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Presbyopia</w:t>
      </w:r>
    </w:p>
    <w:p>
      <w:pPr>
        <w:spacing w:before="0" w:after="160"/>
      </w:pPr>
      <w:r>
        <w:rPr>
          <w:rFonts w:ascii="Calibri" w:hAnsi="Calibri"/>
          <w:b/>
          <w:i w:val="0"/>
          <w:color w:val="212121"/>
          <w:sz w:val="22"/>
        </w:rPr>
        <w:t xml:space="preserve">AKA </w:t>
      </w:r>
      <w:r>
        <w:rPr>
          <w:rFonts w:ascii="Calibri" w:hAnsi="Calibri"/>
          <w:b w:val="0"/>
          <w:i w:val="0"/>
          <w:color w:val="212121"/>
          <w:sz w:val="22"/>
        </w:rPr>
        <w:t>i.e., Age-related loss of near focus, 'reading-glasses age', 'after-forty' near-vision difficulty (lay), short-arm syndrome; loss of accommodation, senopia (clinical)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Presbyopia is the progressive, age-related loss of the eye's ability to focus on near objects (loss of accommodation), caused chiefly by hardening and reduced elasticity of the crystalline lens together with age-related changes in the lens capsule, zonules and ciliary muscle. It is a normal, universal physiological process rather than a disease, becoming symptomatic in most people from the early-to-mid 40s and reaching near-complete loss of accommodation by 50 to 55 years of age; because the near addition required rises with age, presbyopia is progressive until it stabilises. Uncorrected presbyopia is the single largest cause of near vision impairment worldwide and a major, easily remediable public-health burden, particularly in low-resource and rural populations including much of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Presbyopia is essentially universal with ageing. Globally an estimated 1.8 billion people had presbyopia in 2015 (about 25% of the world population), and around 826 million of them had near vision impairment simply because they had no or inadequate spectacle correction, making it the leading cause of near vision impairment worldwide; the global unmet need for presbyopia correction is estimated at about 45%. India carries a very heavy and largely under-addressed share of this burden - a systematic review of Indian adults estimated the prevalence of uncorrected presbyopia at about 33%, and population-based and community studies from South India (e.g., the Andhra Pradesh Eye Disease Study and rapid-assessment surveys in fishing communities) and from rural North India document high presbyopia prevalence with low spectacle coverage. In hot, high-sunlight tropical regions such as much of India, presbyopia also tends to become symptomatic earlier, commonly in the late 30s to early 40s. The unmet need is a public-health priority because correction is simple and inexpensive (a pair of near glasses), yet rates of unaddressed near vision impairment remain far higher in low-income and rural populations (over 80% in the poorest world regions) than in high-income settings (under 10%).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Presbyopia is a clinical diagnosis based on an age-appropriate reduction of near vision that improves with a plus (convex) reading addition, after any distance refractive error has been corrected. A standard assessment includes: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Symptomatic near blur - difficulty reading small print (e.g., N6/N8 or Jaeger targets) at the habitual working distance (about 33 to 40 cm), typically beginning in the early-to-mid 40s;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near visual acuity at 40 cm that improves to normal with a plus reading addition placed over the best distance correction - the key confirmatory step;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amplitude of accommodation for age (push-up / push-down or minus-lens methods), below the Hofstetter age-expected minimum (approximately 15 minus 0.25 times age, in dioptres);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Recession of the near point of accommodation - the nearest point of clear focus moves progressively farther away with 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Determination of the near addition ('add') using cross-cylinder or trial plus lenses; the add rises with age (roughly +0.75 to +1.00 D in the mid-40s, up to about +2.50 D by age 60);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Full distance refraction / autorefraction first, to detect and correct hyperopia, myopia or astigmatism, which alter the age at which presbyopia becomes symptomatic;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Cycloplegic refraction where premature presbyopia, latent hyperopia, accommodative insufficiency or diabetes is suspected, especially in patients under 40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Slit-lamp and dilated fundus examination to exclude other causes of near-vision difficulty (cataract, maculopathy, optic neuropathy) and, in premature cases, screening for systemic causes such as uncontrolled diabetes or anticholinergic medication.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Presbyopia is described clinically by its stage/severity and by whether it appears at the expected age or prematurely:</w:t>
      </w:r>
    </w:p>
    <w:p>
      <w:pPr>
        <w:spacing w:before="0" w:after="80"/>
      </w:pPr>
      <w:r>
        <w:rPr>
          <w:rFonts w:ascii="Calibri" w:hAnsi="Calibri"/>
          <w:b w:val="0"/>
          <w:i w:val="0"/>
          <w:color w:val="212121"/>
          <w:sz w:val="21"/>
        </w:rPr>
        <w:t>(1) Incipient (early) presbyopia - the earliest stage, with the first symptoms of near blur and eyestrain (especially in dim light or when tired) but often still just readable without a formal reading add;</w:t>
      </w:r>
    </w:p>
    <w:p>
      <w:pPr>
        <w:spacing w:before="0" w:after="80"/>
      </w:pPr>
      <w:r>
        <w:rPr>
          <w:rFonts w:ascii="Calibri" w:hAnsi="Calibri"/>
          <w:b w:val="0"/>
          <w:i w:val="0"/>
          <w:color w:val="212121"/>
          <w:sz w:val="21"/>
        </w:rPr>
        <w:t>(2) Functional presbyopia - clinically manifest presbyopia in which a near addition measurably improves near vision and is required for comfortable near work; the required add increases progressively with age;</w:t>
      </w:r>
    </w:p>
    <w:p>
      <w:pPr>
        <w:spacing w:before="0" w:after="80"/>
      </w:pPr>
      <w:r>
        <w:rPr>
          <w:rFonts w:ascii="Calibri" w:hAnsi="Calibri"/>
          <w:b w:val="0"/>
          <w:i w:val="0"/>
          <w:color w:val="212121"/>
          <w:sz w:val="21"/>
        </w:rPr>
        <w:t>(3) Absolute presbyopia - the end stage in which essentially no accommodation remains (amplitude near zero), usually by the mid-50s, so near tasks are impossible without a near correction;</w:t>
      </w:r>
    </w:p>
    <w:p>
      <w:pPr>
        <w:spacing w:before="0" w:after="80"/>
      </w:pPr>
      <w:r>
        <w:rPr>
          <w:rFonts w:ascii="Calibri" w:hAnsi="Calibri"/>
          <w:b w:val="0"/>
          <w:i w:val="0"/>
          <w:color w:val="212121"/>
          <w:sz w:val="21"/>
        </w:rPr>
        <w:t>(4) Premature presbyopia - presbyopic symptoms appearing before the expected age (before about 38 to 40 years), associated with uncorrected hyperopia, hot/tropical environmental exposure, poor nutrition, uncontrolled diabetes, certain drugs (anticholinergics, antidepressants, antipsychotics) and some systemic or neurological disease;</w:t>
      </w:r>
    </w:p>
    <w:p>
      <w:pPr>
        <w:spacing w:before="0" w:after="80"/>
      </w:pPr>
      <w:r>
        <w:rPr>
          <w:rFonts w:ascii="Calibri" w:hAnsi="Calibri"/>
          <w:b w:val="0"/>
          <w:i w:val="0"/>
          <w:color w:val="212121"/>
          <w:sz w:val="21"/>
        </w:rPr>
        <w:t>(5) Nocturnal presbyopia - relative difficulty with near focus in dim illumination due to reduced depth of field as the pupil dilates, without a true additional loss of accommodation.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Lenticular ageing (loss of lens elasticity): Progressive sclerosis and hardening of the crystalline lens nucleus with loss of elasticity of the lens capsule reduce the lens's ability to change shape during accommodation - the central mechanism (Helmholtz model).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Ciliary muscle and zonular changes: Age-related change in ciliary muscle geometry and loss of elasticity of the zonular and posterior attachments reduce the effective accommodative effort transmitted to the lens.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Ageing (chronological): Accommodative amplitude declines steadily from childhood (about 7 to 10 dioptres) to roughly 0.5 dioptre by age 50, so presbyopia is an inevitable consequence of ageing.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Uncorrected hyperopia: Hyperopes use part of their accommodation for distance vision and therefore exhaust their near reserve earlier, becoming symptomatically presbyopic at a younger age.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heat and ultraviolet exposure: Chronic exposure to high ambient temperature and sunlight (as in tropical, equatorial India and among outdoor workers) is associated with earlier lens hardening and earlier onset of presbyopia.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Systemic and pharmacological factors: Uncontrolled diabetes/hyperglycaemia, poor nutrition, and drugs that reduce accommodation (anticholinergics, antidepressants, antihistamines, antipsychotics, some diuretics) can precipitate premature presbyopia.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High near-vision demand: Sustained near-work (reading, fine handwork, tailoring, screens) unmasks and worsens symptoms as accommodative reserve falls with 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 to 49 years)</w:t>
            </w:r>
          </w:p>
        </w:tc>
        <w:tc>
          <w:tcPr>
            <w:tcW w:type="dxa" w:w="4276"/>
            <w:vAlign w:val="top"/>
          </w:tcPr>
          <w:p>
            <w:pPr>
              <w:spacing w:after="60" w:line="259" w:lineRule="auto"/>
            </w:pPr>
            <w:r>
              <w:rPr>
                <w:rFonts w:ascii="Calibri" w:hAnsi="Calibri"/>
                <w:b w:val="0"/>
                <w:i w:val="0"/>
                <w:color w:val="212121"/>
                <w:sz w:val="19"/>
              </w:rPr>
              <w:t>Accommodative reserve falls below the level needed for comfortable near work in the fifth decade, so near blur, eyestrain and the need for reading glasses characteristically begin in the early-to-mid 40s. This is the age band in which most people first seek near correction.</w:t>
            </w:r>
          </w:p>
          <w:p>
            <w:pPr>
              <w:spacing w:after="40" w:before="60" w:line="259" w:lineRule="auto"/>
            </w:pPr>
            <w:r>
              <w:rPr>
                <w:rFonts w:ascii="Calibri" w:hAnsi="Calibri"/>
                <w:b w:val="0"/>
                <w:i w:val="0"/>
                <w:color w:val="212121"/>
                <w:sz w:val="19"/>
              </w:rPr>
              <w:t>The average age at first reporting presbyopic symptoms is about 42 to 44 years; in India a large share of adults have uncorrected presbyopia (systematic-review estimate about 33%).</w:t>
            </w:r>
          </w:p>
          <w:p>
            <w:pPr>
              <w:spacing w:after="40" w:line="252" w:lineRule="auto"/>
            </w:pPr>
            <w:hyperlink r:id="rId9">
              <w:r>
                <w:rPr>
                  <w:rFonts w:ascii="Calibri" w:hAnsi="Calibri" w:cs="Calibri"/>
                  <w:sz w:val="18"/>
                  <w:color w:val="1155CC"/>
                  <w:u w:val="single"/>
                </w:rPr>
                <w:t xml:space="preserve">pubmed.ncbi.nlm.nih.gov/31007213 - Sheeladevi 2019, systematic review of refractive error &amp; presbyopia in India</w:t>
              </w:r>
            </w:hyperlink>
          </w:p>
          <w:p>
            <w:pPr>
              <w:spacing w:before="60" w:after="40"/>
            </w:pPr>
            <w:r>
              <w:rPr>
                <w:rFonts w:ascii="Calibri" w:hAnsi="Calibri"/>
                <w:b w:val="0"/>
                <w:i w:val="0"/>
                <w:color w:val="5A5A5A"/>
                <w:sz w:val="18"/>
              </w:rPr>
              <w:t>#presbyopia  #nearvision  #age40  #readingglasses  #accommodation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(50 years and above)</w:t>
            </w:r>
          </w:p>
        </w:tc>
        <w:tc>
          <w:tcPr>
            <w:tcW w:type="dxa" w:w="4276"/>
            <w:vAlign w:val="top"/>
          </w:tcPr>
          <w:p>
            <w:pPr>
              <w:spacing w:after="60" w:line="259" w:lineRule="auto"/>
            </w:pPr>
            <w:r>
              <w:rPr>
                <w:rFonts w:ascii="Calibri" w:hAnsi="Calibri"/>
                <w:b w:val="0"/>
                <w:i w:val="0"/>
                <w:color w:val="212121"/>
                <w:sz w:val="19"/>
              </w:rPr>
              <w:t>By the mid-50s almost no accommodation remains (absolute presbyopia), so near correction is universally required; in older adults presbyopia commonly coexists with cataract and other age-related eye disease, compounding near-vision difficulty.</w:t>
            </w:r>
          </w:p>
          <w:p>
            <w:pPr>
              <w:spacing w:after="40" w:before="60" w:line="259" w:lineRule="auto"/>
            </w:pPr>
            <w:r>
              <w:rPr>
                <w:rFonts w:ascii="Calibri" w:hAnsi="Calibri"/>
                <w:b w:val="0"/>
                <w:i w:val="0"/>
                <w:color w:val="212121"/>
                <w:sz w:val="19"/>
              </w:rPr>
              <w:t>Accommodative amplitude falls to about 0.5 dioptre by age 50, with near-complete loss of accommodation between 50 and 55 years; presbyopia is essentially universal beyond this age.</w:t>
            </w:r>
          </w:p>
          <w:p>
            <w:pPr>
              <w:spacing w:after="40" w:line="252" w:lineRule="auto"/>
            </w:pPr>
            <w:hyperlink r:id="rId10">
              <w:r>
                <w:rPr>
                  <w:rFonts w:ascii="Calibri" w:hAnsi="Calibri" w:cs="Calibri"/>
                  <w:sz w:val="18"/>
                  <w:color w:val="1155CC"/>
                  <w:u w:val="single"/>
                </w:rPr>
                <w:t xml:space="preserve">eyewiki.aao.org - Presbyopia (American Academy of Ophthalmology)</w:t>
              </w:r>
            </w:hyperlink>
          </w:p>
          <w:p>
            <w:pPr>
              <w:spacing w:before="60" w:after="40"/>
            </w:pPr>
            <w:r>
              <w:rPr>
                <w:rFonts w:ascii="Calibri" w:hAnsi="Calibri"/>
                <w:b w:val="0"/>
                <w:i w:val="0"/>
                <w:color w:val="5A5A5A"/>
                <w:sz w:val="18"/>
              </w:rPr>
              <w:t>#elderly  #absolutepresbyopia  #accommodationloss  #cataractoverlap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(middle-aged)</w:t>
            </w:r>
          </w:p>
        </w:tc>
        <w:tc>
          <w:tcPr>
            <w:tcW w:type="dxa" w:w="4276"/>
            <w:vAlign w:val="top"/>
          </w:tcPr>
          <w:p>
            <w:pPr>
              <w:spacing w:after="60" w:line="259" w:lineRule="auto"/>
            </w:pPr>
            <w:r>
              <w:rPr>
                <w:rFonts w:ascii="Calibri" w:hAnsi="Calibri"/>
                <w:b w:val="0"/>
                <w:i w:val="0"/>
                <w:color w:val="212121"/>
                <w:sz w:val="19"/>
              </w:rPr>
              <w:t>Women tend to become symptomatic slightly earlier - shorter average arm length and high near-work demand mean a stronger add is needed sooner - and in India women, especially in rural and low-income households, have lower spectacle coverage and higher unmet need owing to gender-related barriers to eye care.</w:t>
            </w:r>
          </w:p>
          <w:p>
            <w:pPr>
              <w:spacing w:after="40" w:before="60" w:line="259" w:lineRule="auto"/>
            </w:pPr>
            <w:r>
              <w:rPr>
                <w:rFonts w:ascii="Calibri" w:hAnsi="Calibri"/>
                <w:b w:val="0"/>
                <w:i w:val="0"/>
                <w:color w:val="212121"/>
                <w:sz w:val="19"/>
              </w:rPr>
              <w:t>Middle-aged women show earlier, more symptomatic presbyopia and higher rates of associated dry eye; near-vision spectacle coverage is consistently lower among women in Indian community surveys.</w:t>
            </w:r>
          </w:p>
          <w:p>
            <w:pPr>
              <w:spacing w:after="40" w:line="252" w:lineRule="auto"/>
            </w:pPr>
            <w:hyperlink r:id="rId11">
              <w:r>
                <w:rPr>
                  <w:rFonts w:ascii="Calibri" w:hAnsi="Calibri" w:cs="Calibri"/>
                  <w:sz w:val="18"/>
                  <w:color w:val="1155CC"/>
                  <w:u w:val="single"/>
                </w:rPr>
                <w:t xml:space="preserve">pubmed.ncbi.nlm.nih.gov/39246672 - Ayaki 2024, presbyopia, dry eye &amp; sex differences</w:t>
              </w:r>
            </w:hyperlink>
          </w:p>
          <w:p>
            <w:pPr>
              <w:spacing w:before="60" w:after="40"/>
            </w:pPr>
            <w:r>
              <w:rPr>
                <w:rFonts w:ascii="Calibri" w:hAnsi="Calibri"/>
                <w:b w:val="0"/>
                <w:i w:val="0"/>
                <w:color w:val="5A5A5A"/>
                <w:sz w:val="18"/>
              </w:rPr>
              <w:t>#women  #gendergap  #spectaclecoverage  #dryeye  #unmetneed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adults</w:t>
            </w:r>
          </w:p>
        </w:tc>
        <w:tc>
          <w:tcPr>
            <w:tcW w:type="dxa" w:w="4276"/>
            <w:vAlign w:val="top"/>
          </w:tcPr>
          <w:p>
            <w:pPr>
              <w:spacing w:after="60" w:line="259" w:lineRule="auto"/>
            </w:pPr>
            <w:r>
              <w:rPr>
                <w:rFonts w:ascii="Calibri" w:hAnsi="Calibri"/>
                <w:b w:val="0"/>
                <w:i w:val="0"/>
                <w:color w:val="212121"/>
                <w:sz w:val="19"/>
              </w:rPr>
              <w:t>Near-vision correction is cheap and simple, but affordability, low awareness, distance to eye-care services and low prioritisation of reading glasses mean low-income and rural adults have very high uncorrected presbyopia and near-vision disability that directly threatens livelihoods in manual and near-work trades.</w:t>
            </w:r>
          </w:p>
          <w:p>
            <w:pPr>
              <w:spacing w:after="40" w:before="60" w:line="259" w:lineRule="auto"/>
            </w:pPr>
            <w:r>
              <w:rPr>
                <w:rFonts w:ascii="Calibri" w:hAnsi="Calibri"/>
                <w:b w:val="0"/>
                <w:i w:val="0"/>
                <w:color w:val="212121"/>
                <w:sz w:val="19"/>
              </w:rPr>
              <w:t>Rates of unaddressed near vision impairment exceed 80% in the poorest world regions versus under 10% in high-income regions; rural Indian studies (e.g., rural Jhajjar, Haryana) report high presbyopia prevalence with low spectacle coverage and multiple barriers to correction.</w:t>
            </w:r>
          </w:p>
          <w:p>
            <w:pPr>
              <w:spacing w:after="40" w:line="252" w:lineRule="auto"/>
            </w:pPr>
            <w:hyperlink r:id="rId12">
              <w:r>
                <w:rPr>
                  <w:rFonts w:ascii="Calibri" w:hAnsi="Calibri" w:cs="Calibri"/>
                  <w:sz w:val="18"/>
                  <w:color w:val="1155CC"/>
                  <w:u w:val="single"/>
                </w:rPr>
                <w:t xml:space="preserve">who.int - Blindness and vision impairment fact sheet</w:t>
              </w:r>
            </w:hyperlink>
          </w:p>
          <w:p>
            <w:pPr>
              <w:spacing w:before="60" w:after="40"/>
            </w:pPr>
            <w:r>
              <w:rPr>
                <w:rFonts w:ascii="Calibri" w:hAnsi="Calibri"/>
                <w:b w:val="0"/>
                <w:i w:val="0"/>
                <w:color w:val="5A5A5A"/>
                <w:sz w:val="18"/>
              </w:rPr>
              <w:t>#poverty  #rural  #accesstocare  #affordability  #unmetneed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&amp; tropical Indian populations</w:t>
            </w:r>
          </w:p>
        </w:tc>
        <w:tc>
          <w:tcPr>
            <w:tcW w:type="dxa" w:w="4276"/>
            <w:vAlign w:val="top"/>
          </w:tcPr>
          <w:p>
            <w:pPr>
              <w:spacing w:after="60" w:line="259" w:lineRule="auto"/>
            </w:pPr>
            <w:r>
              <w:rPr>
                <w:rFonts w:ascii="Calibri" w:hAnsi="Calibri"/>
                <w:b w:val="0"/>
                <w:i w:val="0"/>
                <w:color w:val="212121"/>
                <w:sz w:val="19"/>
              </w:rPr>
              <w:t>Population-based data from South India show a high burden of presbyopia, and in hot, high-sunlight tropical regions presbyopia tends to begin earlier than in temperate climates. Traditional near-work occupations and reading demands add to the early need for near correction.</w:t>
            </w:r>
          </w:p>
          <w:p>
            <w:pPr>
              <w:spacing w:after="40" w:before="60" w:line="259" w:lineRule="auto"/>
            </w:pPr>
            <w:r>
              <w:rPr>
                <w:rFonts w:ascii="Calibri" w:hAnsi="Calibri"/>
                <w:b w:val="0"/>
                <w:i w:val="0"/>
                <w:color w:val="212121"/>
                <w:sz w:val="19"/>
              </w:rPr>
              <w:t>Population-based assessment in Andhra Pradesh (the Andhra Pradesh Eye Disease Study) and other South Indian surveys document a high prevalence of presbyopia; symptomatic onset is commonly earlier (late 30s to early 40s) in tropical India.</w:t>
            </w:r>
          </w:p>
          <w:p>
            <w:pPr>
              <w:spacing w:after="40" w:line="252" w:lineRule="auto"/>
            </w:pPr>
            <w:hyperlink r:id="rId13">
              <w:r>
                <w:rPr>
                  <w:rFonts w:ascii="Calibri" w:hAnsi="Calibri" w:cs="Calibri"/>
                  <w:sz w:val="18"/>
                  <w:color w:val="1155CC"/>
                  <w:u w:val="single"/>
                </w:rPr>
                <w:t xml:space="preserve">pubmed.ncbi.nlm.nih.gov/16723440 - Nirmalan 2006, Andhra Pradesh Eye Disease Study</w:t>
              </w:r>
            </w:hyperlink>
          </w:p>
          <w:p>
            <w:pPr>
              <w:spacing w:before="60" w:after="40"/>
            </w:pPr>
            <w:r>
              <w:rPr>
                <w:rFonts w:ascii="Calibri" w:hAnsi="Calibri"/>
                <w:b w:val="0"/>
                <w:i w:val="0"/>
                <w:color w:val="5A5A5A"/>
                <w:sz w:val="18"/>
              </w:rPr>
              <w:t>#SouthIndia  #tropical  #earlyonset  #sunlight  #APEDS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occupational geography</w:t>
            </w:r>
          </w:p>
        </w:tc>
        <w:tc>
          <w:tcPr>
            <w:tcW w:type="dxa" w:w="2160"/>
            <w:vAlign w:val="top"/>
          </w:tcPr>
          <w:p>
            <w:pPr>
              <w:spacing w:after="40" w:before="0" w:line="259" w:lineRule="auto"/>
            </w:pPr>
            <w:r>
              <w:rPr>
                <w:rFonts w:ascii="Calibri" w:hAnsi="Calibri"/>
                <w:b w:val="0"/>
                <w:i w:val="0"/>
                <w:color w:val="212121"/>
                <w:sz w:val="19"/>
              </w:rPr>
              <w:t>Coastal &amp; outdoor high-UV populations</w:t>
            </w:r>
          </w:p>
        </w:tc>
        <w:tc>
          <w:tcPr>
            <w:tcW w:type="dxa" w:w="4276"/>
            <w:vAlign w:val="top"/>
          </w:tcPr>
          <w:p>
            <w:pPr>
              <w:spacing w:after="60" w:line="259" w:lineRule="auto"/>
            </w:pPr>
            <w:r>
              <w:rPr>
                <w:rFonts w:ascii="Calibri" w:hAnsi="Calibri"/>
                <w:b w:val="0"/>
                <w:i w:val="0"/>
                <w:color w:val="212121"/>
                <w:sz w:val="19"/>
              </w:rPr>
              <w:t>Communities with intense outdoor sun and heat exposure (coastal fishing, farming, construction) show a high presbyopia burden with poor spectacle coverage; cumulative ultraviolet and heat exposure is linked to earlier lens hardening.</w:t>
            </w:r>
          </w:p>
          <w:p>
            <w:pPr>
              <w:spacing w:after="40" w:before="60" w:line="259" w:lineRule="auto"/>
            </w:pPr>
            <w:r>
              <w:rPr>
                <w:rFonts w:ascii="Calibri" w:hAnsi="Calibri"/>
                <w:b w:val="0"/>
                <w:i w:val="0"/>
                <w:color w:val="212121"/>
                <w:sz w:val="19"/>
              </w:rPr>
              <w:t>Rapid-assessment surveys in South Indian marine fishing communities (the RAVI project) document high uncorrected refractive error and presbyopia with low spectacle coverage.</w:t>
            </w:r>
          </w:p>
          <w:p>
            <w:pPr>
              <w:spacing w:after="40" w:line="252" w:lineRule="auto"/>
            </w:pPr>
            <w:hyperlink r:id="rId14">
              <w:r>
                <w:rPr>
                  <w:rFonts w:ascii="Calibri" w:hAnsi="Calibri" w:cs="Calibri"/>
                  <w:sz w:val="18"/>
                  <w:color w:val="1155CC"/>
                  <w:u w:val="single"/>
                </w:rPr>
                <w:t xml:space="preserve">pubmed.ncbi.nlm.nih.gov/22276902 - Marmamula 2012, RAVI project, marine fishing communities</w:t>
              </w:r>
            </w:hyperlink>
          </w:p>
          <w:p>
            <w:pPr>
              <w:spacing w:before="60" w:after="40"/>
            </w:pPr>
            <w:r>
              <w:rPr>
                <w:rFonts w:ascii="Calibri" w:hAnsi="Calibri"/>
                <w:b w:val="0"/>
                <w:i w:val="0"/>
                <w:color w:val="5A5A5A"/>
                <w:sz w:val="18"/>
              </w:rPr>
              <w:t>#UVexposure  #coastal  #fishingcommunity  #outdoorwork  #lowcoverage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 near-work demand</w:t>
            </w:r>
          </w:p>
        </w:tc>
        <w:tc>
          <w:tcPr>
            <w:tcW w:type="dxa" w:w="2160"/>
            <w:vAlign w:val="top"/>
          </w:tcPr>
          <w:p>
            <w:pPr>
              <w:spacing w:after="40" w:before="0" w:line="259" w:lineRule="auto"/>
            </w:pPr>
            <w:r>
              <w:rPr>
                <w:rFonts w:ascii="Calibri" w:hAnsi="Calibri"/>
                <w:b w:val="0"/>
                <w:i w:val="0"/>
                <w:color w:val="212121"/>
                <w:sz w:val="19"/>
              </w:rPr>
              <w:t>Tailors, weavers, artisans, teachers, IT/computer &amp; mobile users, students</w:t>
            </w:r>
          </w:p>
        </w:tc>
        <w:tc>
          <w:tcPr>
            <w:tcW w:type="dxa" w:w="4276"/>
            <w:vAlign w:val="top"/>
          </w:tcPr>
          <w:p>
            <w:pPr>
              <w:spacing w:after="60" w:line="259" w:lineRule="auto"/>
            </w:pPr>
            <w:r>
              <w:rPr>
                <w:rFonts w:ascii="Calibri" w:hAnsi="Calibri"/>
                <w:b w:val="0"/>
                <w:i w:val="0"/>
                <w:color w:val="212121"/>
                <w:sz w:val="19"/>
              </w:rPr>
              <w:t>High sustained near-vision demand unmasks presbyopia earlier and makes even mild loss of accommodation disabling; near-work occupations report the greatest functional impact and the strongest need for accurate near correction, and prolonged screen use adds to eyestrain (asthenopia).</w:t>
            </w:r>
          </w:p>
          <w:p>
            <w:pPr>
              <w:spacing w:after="40" w:before="60" w:line="259" w:lineRule="auto"/>
            </w:pPr>
            <w:r>
              <w:rPr>
                <w:rFonts w:ascii="Calibri" w:hAnsi="Calibri"/>
                <w:b w:val="0"/>
                <w:i w:val="0"/>
                <w:color w:val="212121"/>
                <w:sz w:val="19"/>
              </w:rPr>
              <w:t>Presbyopia has its greatest occupational impact in near-work trades (weaving, tailoring, fine handwork) and among heavy screen users; such groups show high demand for and benefit from near correction.</w:t>
            </w:r>
          </w:p>
          <w:p>
            <w:pPr>
              <w:spacing w:after="40" w:line="252" w:lineRule="auto"/>
            </w:pPr>
            <w:hyperlink r:id="rId15">
              <w:r>
                <w:rPr>
                  <w:rFonts w:ascii="Calibri" w:hAnsi="Calibri" w:cs="Calibri"/>
                  <w:sz w:val="18"/>
                  <w:color w:val="1155CC"/>
                  <w:u w:val="single"/>
                </w:rPr>
                <w:t xml:space="preserve">pubmed.ncbi.nlm.nih.gov/38594155 - Markoulli 2024, BCLA CLEAR Presbyopia: epidemiology &amp; impact</w:t>
              </w:r>
            </w:hyperlink>
          </w:p>
          <w:p>
            <w:pPr>
              <w:spacing w:before="60" w:after="40"/>
            </w:pPr>
            <w:r>
              <w:rPr>
                <w:rFonts w:ascii="Calibri" w:hAnsi="Calibri"/>
                <w:b w:val="0"/>
                <w:i w:val="0"/>
                <w:color w:val="5A5A5A"/>
                <w:sz w:val="18"/>
              </w:rPr>
              <w:t>#nearwork  #occupation  #screens  #asthenopia  #productivity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increases oxidative stress and accelerates age-related lens changes and cataract; it is a plausible contributor to earlier lens hardening and presbyopia, though it is not the dominant driver.</w:t>
            </w:r>
          </w:p>
          <w:p>
            <w:pPr>
              <w:spacing w:after="40" w:before="60" w:line="259" w:lineRule="auto"/>
            </w:pPr>
            <w:r>
              <w:rPr>
                <w:rFonts w:ascii="Calibri" w:hAnsi="Calibri"/>
                <w:b w:val="0"/>
                <w:i w:val="0"/>
                <w:color w:val="212121"/>
                <w:sz w:val="19"/>
              </w:rPr>
              <w:t>Smoking accelerates oxidative lens ageing and cataract; any effect on presbyopia is through earlier lens hardening and is modest compared with chronological ageing.</w:t>
            </w:r>
          </w:p>
          <w:p>
            <w:pPr>
              <w:spacing w:before="60" w:after="40"/>
            </w:pPr>
            <w:r>
              <w:rPr>
                <w:rFonts w:ascii="Calibri" w:hAnsi="Calibri"/>
                <w:b w:val="0"/>
                <w:i w:val="0"/>
                <w:color w:val="5A5A5A"/>
                <w:sz w:val="18"/>
              </w:rPr>
              <w:t>#smoking  #oxidativestress  #lensageing  #cataractrisk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Heavy alcohol use has no established direct role in presbyopia; any contribution is indirect, through nutritional deficiency and effects on general ocular and systemic health.</w:t>
            </w:r>
          </w:p>
          <w:p>
            <w:pPr>
              <w:spacing w:after="40" w:before="60" w:line="259" w:lineRule="auto"/>
            </w:pPr>
            <w:r>
              <w:rPr>
                <w:rFonts w:ascii="Calibri" w:hAnsi="Calibri"/>
                <w:b w:val="0"/>
                <w:i w:val="0"/>
                <w:color w:val="212121"/>
                <w:sz w:val="19"/>
              </w:rPr>
              <w:t>No established direct causal link between alcohol and presbyopia; ageing, heat exposure and near-work demand are the dominant factors.</w:t>
            </w:r>
          </w:p>
          <w:p>
            <w:pPr>
              <w:spacing w:before="60" w:after="40"/>
            </w:pPr>
            <w:r>
              <w:rPr>
                <w:rFonts w:ascii="Calibri" w:hAnsi="Calibri"/>
                <w:b w:val="0"/>
                <w:i w:val="0"/>
                <w:color w:val="5A5A5A"/>
                <w:sz w:val="18"/>
              </w:rPr>
              <w:t>#alcohol  #indirect  #nutrition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Low-antioxidant, poor-micronutrient diets</w:t>
            </w:r>
          </w:p>
        </w:tc>
        <w:tc>
          <w:tcPr>
            <w:tcW w:type="dxa" w:w="4276"/>
            <w:vAlign w:val="top"/>
          </w:tcPr>
          <w:p>
            <w:pPr>
              <w:spacing w:after="60" w:line="259" w:lineRule="auto"/>
            </w:pPr>
            <w:r>
              <w:rPr>
                <w:rFonts w:ascii="Calibri" w:hAnsi="Calibri"/>
                <w:b w:val="0"/>
                <w:i w:val="0"/>
                <w:color w:val="212121"/>
                <w:sz w:val="19"/>
              </w:rPr>
              <w:t>Diets low in antioxidants and micronutrients (vitamins C and E, carotenoids) may offer less protection against oxidative lens ageing, and severe malnutrition has been linked to earlier (premature) presbyopia; good glycaemic control through diet also protects the lens.</w:t>
            </w:r>
          </w:p>
          <w:p>
            <w:pPr>
              <w:spacing w:after="40" w:before="60" w:line="259" w:lineRule="auto"/>
            </w:pPr>
            <w:r>
              <w:rPr>
                <w:rFonts w:ascii="Calibri" w:hAnsi="Calibri"/>
                <w:b w:val="0"/>
                <w:i w:val="0"/>
                <w:color w:val="212121"/>
                <w:sz w:val="19"/>
              </w:rPr>
              <w:t>Poor nutrition is a recognised contributor to premature presbyopia, and antioxidant-rich diets are considered protective for the ageing lens (evidence is supportive rather than definitive).</w:t>
            </w:r>
          </w:p>
          <w:p>
            <w:pPr>
              <w:spacing w:before="60" w:after="40"/>
            </w:pPr>
            <w:r>
              <w:rPr>
                <w:rFonts w:ascii="Calibri" w:hAnsi="Calibri"/>
                <w:b w:val="0"/>
                <w:i w:val="0"/>
                <w:color w:val="5A5A5A"/>
                <w:sz w:val="18"/>
              </w:rPr>
              <w:t>#nutrition  #antioxidants  #malnutrition  #lenshealth</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refractive predisposition</w:t>
            </w:r>
          </w:p>
        </w:tc>
        <w:tc>
          <w:tcPr>
            <w:tcW w:type="dxa" w:w="2160"/>
            <w:vAlign w:val="top"/>
          </w:tcPr>
          <w:p>
            <w:pPr>
              <w:spacing w:after="40" w:before="0" w:line="259" w:lineRule="auto"/>
            </w:pPr>
            <w:r>
              <w:rPr>
                <w:rFonts w:ascii="Calibri" w:hAnsi="Calibri"/>
                <w:b w:val="0"/>
                <w:i w:val="0"/>
                <w:color w:val="212121"/>
                <w:sz w:val="19"/>
              </w:rPr>
              <w:t>Hyperopes &amp; families with early presbyopia</w:t>
            </w:r>
          </w:p>
        </w:tc>
        <w:tc>
          <w:tcPr>
            <w:tcW w:type="dxa" w:w="4276"/>
            <w:vAlign w:val="top"/>
          </w:tcPr>
          <w:p>
            <w:pPr>
              <w:spacing w:after="60" w:line="259" w:lineRule="auto"/>
            </w:pPr>
            <w:r>
              <w:rPr>
                <w:rFonts w:ascii="Calibri" w:hAnsi="Calibri"/>
                <w:b w:val="0"/>
                <w:i w:val="0"/>
                <w:color w:val="212121"/>
                <w:sz w:val="19"/>
              </w:rPr>
              <w:t>Uncorrected hyperopia and a familial tendency to early presbyopia lower the age at which near symptoms appear, because hyperopes deplete their accommodative reserve sooner; refractive status strongly modifies the presenting age.</w:t>
            </w:r>
          </w:p>
          <w:p>
            <w:pPr>
              <w:spacing w:after="40" w:before="60" w:line="259" w:lineRule="auto"/>
            </w:pPr>
            <w:r>
              <w:rPr>
                <w:rFonts w:ascii="Calibri" w:hAnsi="Calibri"/>
                <w:b w:val="0"/>
                <w:i w:val="0"/>
                <w:color w:val="212121"/>
                <w:sz w:val="19"/>
              </w:rPr>
              <w:t>Hyperopes typically become symptomatically presbyopic several years earlier than emmetropes; refractive status is a key determinant of the age at which near correction is first needed.</w:t>
            </w:r>
          </w:p>
          <w:p>
            <w:pPr>
              <w:spacing w:after="40" w:line="252" w:lineRule="auto"/>
            </w:pPr>
            <w:hyperlink r:id="rId10">
              <w:r>
                <w:rPr>
                  <w:rFonts w:ascii="Calibri" w:hAnsi="Calibri" w:cs="Calibri"/>
                  <w:sz w:val="18"/>
                  <w:color w:val="1155CC"/>
                  <w:u w:val="single"/>
                </w:rPr>
                <w:t xml:space="preserve">eyewiki.aao.org - Presbyopia (American Academy of Ophthalmology)</w:t>
              </w:r>
            </w:hyperlink>
          </w:p>
          <w:p>
            <w:pPr>
              <w:spacing w:before="60" w:after="40"/>
            </w:pPr>
            <w:r>
              <w:rPr>
                <w:rFonts w:ascii="Calibri" w:hAnsi="Calibri"/>
                <w:b w:val="0"/>
                <w:i w:val="0"/>
                <w:color w:val="5A5A5A"/>
                <w:sz w:val="18"/>
              </w:rPr>
              <w:t>#hyperopia  #familyhistory  #refractiveerror  #earlyonset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 poor glycaemic control</w:t>
            </w:r>
          </w:p>
        </w:tc>
        <w:tc>
          <w:tcPr>
            <w:tcW w:type="dxa" w:w="4276"/>
            <w:vAlign w:val="top"/>
          </w:tcPr>
          <w:p>
            <w:pPr>
              <w:spacing w:after="60" w:line="259" w:lineRule="auto"/>
            </w:pPr>
            <w:r>
              <w:rPr>
                <w:rFonts w:ascii="Calibri" w:hAnsi="Calibri"/>
                <w:b w:val="0"/>
                <w:i w:val="0"/>
                <w:color w:val="212121"/>
                <w:sz w:val="19"/>
              </w:rPr>
              <w:t>Hyperglycaemia causes osmotic swelling and biochemical changes in the crystalline lens that reduce accommodation and can produce fluctuating and premature near-vision difficulty; presbyopia has been shown to be associated with glycaemic levels in South Indian patients.</w:t>
            </w:r>
          </w:p>
          <w:p>
            <w:pPr>
              <w:spacing w:after="40" w:before="60" w:line="259" w:lineRule="auto"/>
            </w:pPr>
            <w:r>
              <w:rPr>
                <w:rFonts w:ascii="Calibri" w:hAnsi="Calibri"/>
                <w:b w:val="0"/>
                <w:i w:val="0"/>
                <w:color w:val="212121"/>
                <w:sz w:val="19"/>
              </w:rPr>
              <w:t>In a South Indian population, presbyopia prevalence and risk were associated with higher glycaemic levels, supporting diabetes as a risk factor for earlier and more marked presbyopia.</w:t>
            </w:r>
          </w:p>
          <w:p>
            <w:pPr>
              <w:spacing w:after="40" w:line="252" w:lineRule="auto"/>
            </w:pPr>
            <w:hyperlink r:id="rId16">
              <w:r>
                <w:rPr>
                  <w:rFonts w:ascii="Calibri" w:hAnsi="Calibri" w:cs="Calibri"/>
                  <w:sz w:val="18"/>
                  <w:color w:val="1155CC"/>
                  <w:u w:val="single"/>
                </w:rPr>
                <w:t xml:space="preserve">pubmed.ncbi.nlm.nih.gov/34708766 - Srinivasan 2021, presbyopia &amp; glycaemic levels, South India</w:t>
              </w:r>
            </w:hyperlink>
          </w:p>
          <w:p>
            <w:pPr>
              <w:spacing w:before="60" w:after="40"/>
            </w:pPr>
            <w:r>
              <w:rPr>
                <w:rFonts w:ascii="Calibri" w:hAnsi="Calibri"/>
                <w:b w:val="0"/>
                <w:i w:val="0"/>
                <w:color w:val="5A5A5A"/>
                <w:sz w:val="18"/>
              </w:rPr>
              <w:t>#diabetes  #hyperglycaemia  #prematurepresbyopia  #lenschanges  #fluctuatingvision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Uncorrected refractive error</w:t>
            </w:r>
          </w:p>
        </w:tc>
        <w:tc>
          <w:tcPr>
            <w:tcW w:type="dxa" w:w="2160"/>
            <w:vAlign w:val="top"/>
          </w:tcPr>
          <w:p>
            <w:pPr>
              <w:spacing w:after="40" w:before="0" w:line="259" w:lineRule="auto"/>
            </w:pPr>
            <w:r>
              <w:rPr>
                <w:rFonts w:ascii="Calibri" w:hAnsi="Calibri"/>
                <w:b w:val="0"/>
                <w:i w:val="0"/>
                <w:color w:val="212121"/>
                <w:sz w:val="19"/>
              </w:rPr>
              <w:t>Uncorrected hyperopia / high near-add demand</w:t>
            </w:r>
          </w:p>
        </w:tc>
        <w:tc>
          <w:tcPr>
            <w:tcW w:type="dxa" w:w="4276"/>
            <w:vAlign w:val="top"/>
          </w:tcPr>
          <w:p>
            <w:pPr>
              <w:spacing w:after="60" w:line="259" w:lineRule="auto"/>
            </w:pPr>
            <w:r>
              <w:rPr>
                <w:rFonts w:ascii="Calibri" w:hAnsi="Calibri"/>
                <w:b w:val="0"/>
                <w:i w:val="0"/>
                <w:color w:val="212121"/>
                <w:sz w:val="19"/>
              </w:rPr>
              <w:t>Uncorrected hyperopia is the commonest condition that makes presbyopia present early and severely - the total plus power needed for near equals the latent hyperopia plus the age-related add, so these patients need earlier and stronger reading correction.</w:t>
            </w:r>
          </w:p>
          <w:p>
            <w:pPr>
              <w:spacing w:after="40" w:before="60" w:line="259" w:lineRule="auto"/>
            </w:pPr>
            <w:r>
              <w:rPr>
                <w:rFonts w:ascii="Calibri" w:hAnsi="Calibri"/>
                <w:b w:val="0"/>
                <w:i w:val="0"/>
                <w:color w:val="212121"/>
                <w:sz w:val="19"/>
              </w:rPr>
              <w:t>Uncorrected hyperopia advances the symptomatic onset of presbyopia and increases the near add required at any given age.</w:t>
            </w:r>
          </w:p>
          <w:p>
            <w:pPr>
              <w:spacing w:before="60" w:after="40"/>
            </w:pPr>
            <w:r>
              <w:rPr>
                <w:rFonts w:ascii="Calibri" w:hAnsi="Calibri"/>
                <w:b w:val="0"/>
                <w:i w:val="0"/>
                <w:color w:val="5A5A5A"/>
                <w:sz w:val="18"/>
              </w:rPr>
              <w:t>#hyperopia  #latenthyperopia  #earlypresbyopia  #nearadd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Cataract (nuclear sclerosis)</w:t>
            </w:r>
          </w:p>
        </w:tc>
        <w:tc>
          <w:tcPr>
            <w:tcW w:type="dxa" w:w="2160"/>
            <w:vAlign w:val="top"/>
          </w:tcPr>
          <w:p>
            <w:pPr>
              <w:spacing w:after="40" w:before="0" w:line="259" w:lineRule="auto"/>
            </w:pPr>
            <w:r>
              <w:rPr>
                <w:rFonts w:ascii="Calibri" w:hAnsi="Calibri"/>
                <w:b w:val="0"/>
                <w:i w:val="0"/>
                <w:color w:val="212121"/>
                <w:sz w:val="19"/>
              </w:rPr>
              <w:t>Adults with early age-related cataract</w:t>
            </w:r>
          </w:p>
        </w:tc>
        <w:tc>
          <w:tcPr>
            <w:tcW w:type="dxa" w:w="4276"/>
            <w:vAlign w:val="top"/>
          </w:tcPr>
          <w:p>
            <w:pPr>
              <w:spacing w:after="60" w:line="259" w:lineRule="auto"/>
            </w:pPr>
            <w:r>
              <w:rPr>
                <w:rFonts w:ascii="Calibri" w:hAnsi="Calibri"/>
                <w:b w:val="0"/>
                <w:i w:val="0"/>
                <w:color w:val="212121"/>
                <w:sz w:val="19"/>
              </w:rPr>
              <w:t>Age-related nuclear sclerotic cataract shares the same ageing-lens process; the index myopic shift can transiently improve near vision ('second sight') but ultimately worsens both near and distance vision and complicates presbyopic correction.</w:t>
            </w:r>
          </w:p>
          <w:p>
            <w:pPr>
              <w:spacing w:after="40" w:before="60" w:line="259" w:lineRule="auto"/>
            </w:pPr>
            <w:r>
              <w:rPr>
                <w:rFonts w:ascii="Calibri" w:hAnsi="Calibri"/>
                <w:b w:val="0"/>
                <w:i w:val="0"/>
                <w:color w:val="212121"/>
                <w:sz w:val="19"/>
              </w:rPr>
              <w:t>Nuclear sclerosis coexists with presbyopia in older adults; a myopic shift may cause temporary 'second sight' before overall vision declines.</w:t>
            </w:r>
          </w:p>
          <w:p>
            <w:pPr>
              <w:spacing w:before="60" w:after="40"/>
            </w:pPr>
            <w:r>
              <w:rPr>
                <w:rFonts w:ascii="Calibri" w:hAnsi="Calibri"/>
                <w:b w:val="0"/>
                <w:i w:val="0"/>
                <w:color w:val="5A5A5A"/>
                <w:sz w:val="18"/>
              </w:rPr>
              <w:t>#cataract  #nuclearsclerosis  #secondsight  #lensageing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Accommodation-reducing medication</w:t>
            </w:r>
          </w:p>
        </w:tc>
        <w:tc>
          <w:tcPr>
            <w:tcW w:type="dxa" w:w="2160"/>
            <w:vAlign w:val="top"/>
          </w:tcPr>
          <w:p>
            <w:pPr>
              <w:spacing w:after="40" w:before="0" w:line="259" w:lineRule="auto"/>
            </w:pPr>
            <w:r>
              <w:rPr>
                <w:rFonts w:ascii="Calibri" w:hAnsi="Calibri"/>
                <w:b w:val="0"/>
                <w:i w:val="0"/>
                <w:color w:val="212121"/>
                <w:sz w:val="19"/>
              </w:rPr>
              <w:t>Chronic anticholinergic / psychotropic drug users</w:t>
            </w:r>
          </w:p>
        </w:tc>
        <w:tc>
          <w:tcPr>
            <w:tcW w:type="dxa" w:w="4276"/>
            <w:vAlign w:val="top"/>
          </w:tcPr>
          <w:p>
            <w:pPr>
              <w:spacing w:after="60" w:line="259" w:lineRule="auto"/>
            </w:pPr>
            <w:r>
              <w:rPr>
                <w:rFonts w:ascii="Calibri" w:hAnsi="Calibri"/>
                <w:b w:val="0"/>
                <w:i w:val="0"/>
                <w:color w:val="212121"/>
                <w:sz w:val="19"/>
              </w:rPr>
              <w:t>Drugs with anticholinergic or ciliary-relaxing effects (antidepressants, antihistamines, antipsychotics, antispasmodics, some antihypertensives) reduce accommodation and can precipitate premature presbyopic symptoms, particularly in patients approaching 40.</w:t>
            </w:r>
          </w:p>
          <w:p>
            <w:pPr>
              <w:spacing w:after="40" w:before="60" w:line="259" w:lineRule="auto"/>
            </w:pPr>
            <w:r>
              <w:rPr>
                <w:rFonts w:ascii="Calibri" w:hAnsi="Calibri"/>
                <w:b w:val="0"/>
                <w:i w:val="0"/>
                <w:color w:val="212121"/>
                <w:sz w:val="19"/>
              </w:rPr>
              <w:t>Anticholinergic and related medications reduce accommodative amplitude and can unmask or worsen presbyopia.</w:t>
            </w:r>
          </w:p>
          <w:p>
            <w:pPr>
              <w:spacing w:before="60" w:after="40"/>
            </w:pPr>
            <w:r>
              <w:rPr>
                <w:rFonts w:ascii="Calibri" w:hAnsi="Calibri"/>
                <w:b w:val="0"/>
                <w:i w:val="0"/>
                <w:color w:val="5A5A5A"/>
                <w:sz w:val="18"/>
              </w:rPr>
              <w:t>#medications  #anticholinergic  #accommodation  #drugsideeffect  #prematurepresbyopia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ocular surgery, trauma or dry eye</w:t>
            </w:r>
          </w:p>
        </w:tc>
        <w:tc>
          <w:tcPr>
            <w:tcW w:type="dxa" w:w="2160"/>
            <w:vAlign w:val="top"/>
          </w:tcPr>
          <w:p>
            <w:pPr>
              <w:spacing w:after="40" w:before="0" w:line="259" w:lineRule="auto"/>
            </w:pPr>
            <w:r>
              <w:rPr>
                <w:rFonts w:ascii="Calibri" w:hAnsi="Calibri"/>
                <w:b w:val="0"/>
                <w:i w:val="0"/>
                <w:color w:val="212121"/>
                <w:sz w:val="19"/>
              </w:rPr>
              <w:t>Pseudophakic, post-traumatic &amp; dry-eye patients</w:t>
            </w:r>
          </w:p>
        </w:tc>
        <w:tc>
          <w:tcPr>
            <w:tcW w:type="dxa" w:w="4276"/>
            <w:vAlign w:val="top"/>
          </w:tcPr>
          <w:p>
            <w:pPr>
              <w:spacing w:after="60" w:line="259" w:lineRule="auto"/>
            </w:pPr>
            <w:r>
              <w:rPr>
                <w:rFonts w:ascii="Calibri" w:hAnsi="Calibri"/>
                <w:b w:val="0"/>
                <w:i w:val="0"/>
                <w:color w:val="212121"/>
                <w:sz w:val="19"/>
              </w:rPr>
              <w:t>Loss of accommodation after cataract or refractive surgery (pseudophakia), ocular trauma or ciliary/pupillary damage produces presbyopia-like near difficulty, and coexisting dry eye - common in middle age - degrades near and reading comfort further.</w:t>
            </w:r>
          </w:p>
          <w:p>
            <w:pPr>
              <w:spacing w:after="40" w:before="60" w:line="259" w:lineRule="auto"/>
            </w:pPr>
            <w:r>
              <w:rPr>
                <w:rFonts w:ascii="Calibri" w:hAnsi="Calibri"/>
                <w:b w:val="0"/>
                <w:i w:val="0"/>
                <w:color w:val="212121"/>
                <w:sz w:val="19"/>
              </w:rPr>
              <w:t>Pseudophakia and ciliary or accommodative damage cause absolute presbyopia; dry eye is a frequent middle-age comorbidity that worsens near visual comfort.</w:t>
            </w:r>
          </w:p>
          <w:p>
            <w:pPr>
              <w:spacing w:before="60" w:after="40"/>
            </w:pPr>
            <w:r>
              <w:rPr>
                <w:rFonts w:ascii="Calibri" w:hAnsi="Calibri"/>
                <w:b w:val="0"/>
                <w:i w:val="0"/>
                <w:color w:val="5A5A5A"/>
                <w:sz w:val="18"/>
              </w:rPr>
              <w:t>#pseudophakia  #oculartrauma  #dryeye  #accommodationloss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Presbyopia is driven by ageing of the lens and ciliary apparatus, so physical activity has little direct effect on its onset; regular activity is beneficial only indirectly, mainly by improving glycaemic and vascular health, which may modestly influence lens ageing.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Antioxidant and micronutrient status (vitamins C and E, carotenoids) may influence oxidative lens ageing, and good glycaemic control through diet protects the lens; severe malnutrition is linked to premature presbyopia. Overall dietary effects are supportive rather than decisive.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direct causal role in presbyopia, but fatigue and poor sleep worsen near-work eyestrain (asthenopia) and make early presbyopic symptoms more troublesome, especially in dim light and late in the day.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increases oxidative stress and accelerates lens changes and cataract, plausibly bringing forward lens hardening and presbyopic onset; the effect is modest compared with chronological ageing but is a modifiable contributor.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direct role in presbyopia; heavy use may act indirectly through nutritional deficiency and general ocular/systemic ill-health.</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does not cause presbyopia, but uncorrected near-vision difficulty causes frustration, reduced productivity and lower quality of life, and stress/anxiety heighten the perception of eyestrain and near-vision symptoms.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meaningful effect on the lens hardening that causes presbyopia; adequate hydration supports tear film and reduces coexisting dry-eye discomfort during reading.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negligible effect on accommodation or presbyopia; any influence on transient focusing or eyestrain is minor and clinically unimportant.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affect presbyopia itself; clean spectacles and good lid/ocular-surface hygiene reduce coexisting dry-eye and eyelid disease that can worsen near-vision comfort.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Dim or inadequate lighting, small print, prolonged uninterrupted near work, glare and heat/UV exposure provoke and unmask presbyopic symptoms; improving these conditions substantially relieves symptomatic near blur and eyestrain.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Presbyopes adopt compensatory postures - holding material at arm's length and tilting the head/chin up to use bifocal or progressive segments - which causes neck and shoulder strain; correct working distance, screen height and lens design reduce these effects.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Near visual acuity at 40 cm (N-notation)</w:t>
            </w:r>
          </w:p>
        </w:tc>
        <w:tc>
          <w:tcPr>
            <w:tcW w:type="dxa" w:w="1655"/>
            <w:vAlign w:val="top"/>
          </w:tcPr>
          <w:p>
            <w:pPr>
              <w:spacing w:after="40" w:before="0" w:line="259" w:lineRule="auto"/>
            </w:pPr>
            <w:r>
              <w:rPr>
                <w:rFonts w:ascii="Calibri" w:hAnsi="Calibri"/>
                <w:b w:val="0"/>
                <w:i w:val="0"/>
                <w:color w:val="212121"/>
                <w:sz w:val="19"/>
              </w:rPr>
              <w:t>Adults 40+, near-work occupations</w:t>
            </w:r>
          </w:p>
        </w:tc>
        <w:tc>
          <w:tcPr>
            <w:tcW w:type="dxa" w:w="1512"/>
            <w:vAlign w:val="top"/>
          </w:tcPr>
          <w:p>
            <w:pPr>
              <w:spacing w:after="40" w:before="0" w:line="259" w:lineRule="auto"/>
            </w:pPr>
            <w:r>
              <w:rPr>
                <w:rFonts w:ascii="Calibri" w:hAnsi="Calibri"/>
                <w:b w:val="0"/>
                <w:i w:val="0"/>
                <w:color w:val="212121"/>
                <w:sz w:val="19"/>
              </w:rPr>
              <w:t>N6 or better read comfortably at 40 cm</w:t>
            </w:r>
          </w:p>
        </w:tc>
        <w:tc>
          <w:tcPr>
            <w:tcW w:type="dxa" w:w="1512"/>
            <w:vAlign w:val="top"/>
          </w:tcPr>
          <w:p>
            <w:pPr>
              <w:spacing w:after="40" w:before="0" w:line="259" w:lineRule="auto"/>
            </w:pPr>
            <w:r>
              <w:rPr>
                <w:rFonts w:ascii="Calibri" w:hAnsi="Calibri"/>
                <w:b w:val="0"/>
                <w:i w:val="0"/>
                <w:color w:val="212121"/>
                <w:sz w:val="19"/>
              </w:rPr>
              <w:t>Unable to read N6/N8 at 40 cm without a plus add</w:t>
            </w:r>
          </w:p>
        </w:tc>
        <w:tc>
          <w:tcPr>
            <w:tcW w:type="dxa" w:w="1468"/>
            <w:vAlign w:val="top"/>
          </w:tcPr>
          <w:p>
            <w:pPr>
              <w:spacing w:after="60" w:line="259" w:lineRule="auto"/>
            </w:pPr>
            <w:r>
              <w:rPr>
                <w:rFonts w:ascii="Calibri" w:hAnsi="Calibri"/>
                <w:b w:val="0"/>
                <w:i w:val="0"/>
                <w:color w:val="212121"/>
                <w:sz w:val="19"/>
              </w:rPr>
              <w:t>Near VA that improves with a plus lens confirms presbyopia.</w:t>
            </w:r>
          </w:p>
          <w:p>
            <w:pPr>
              <w:spacing w:after="40" w:line="252" w:lineRule="auto"/>
            </w:pPr>
            <w:hyperlink r:id="rId10">
              <w:r>
                <w:rPr>
                  <w:rFonts w:ascii="Calibri" w:hAnsi="Calibri" w:cs="Calibri"/>
                  <w:sz w:val="18"/>
                  <w:color w:val="1155CC"/>
                  <w:u w:val="single"/>
                </w:rPr>
                <w:t xml:space="preserve">https://eyewiki.aao.org/Presbyopia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Amplitude of accommodation (dioptres)</w:t>
            </w:r>
          </w:p>
        </w:tc>
        <w:tc>
          <w:tcPr>
            <w:tcW w:type="dxa" w:w="1655"/>
            <w:vAlign w:val="top"/>
          </w:tcPr>
          <w:p>
            <w:pPr>
              <w:spacing w:after="40" w:before="0" w:line="259" w:lineRule="auto"/>
            </w:pPr>
            <w:r>
              <w:rPr>
                <w:rFonts w:ascii="Calibri" w:hAnsi="Calibri"/>
                <w:b w:val="0"/>
                <w:i w:val="0"/>
                <w:color w:val="212121"/>
                <w:sz w:val="19"/>
              </w:rPr>
              <w:t>Adults across ages</w:t>
            </w:r>
          </w:p>
        </w:tc>
        <w:tc>
          <w:tcPr>
            <w:tcW w:type="dxa" w:w="1512"/>
            <w:vAlign w:val="top"/>
          </w:tcPr>
          <w:p>
            <w:pPr>
              <w:spacing w:after="40" w:before="0" w:line="259" w:lineRule="auto"/>
            </w:pPr>
            <w:r>
              <w:rPr>
                <w:rFonts w:ascii="Calibri" w:hAnsi="Calibri"/>
                <w:b w:val="0"/>
                <w:i w:val="0"/>
                <w:color w:val="212121"/>
                <w:sz w:val="19"/>
              </w:rPr>
              <w:t>Age-appropriate (about 15 minus 0.25 x age); reserve above near demand</w:t>
            </w:r>
          </w:p>
        </w:tc>
        <w:tc>
          <w:tcPr>
            <w:tcW w:type="dxa" w:w="1512"/>
            <w:vAlign w:val="top"/>
          </w:tcPr>
          <w:p>
            <w:pPr>
              <w:spacing w:after="40" w:before="0" w:line="259" w:lineRule="auto"/>
            </w:pPr>
            <w:r>
              <w:rPr>
                <w:rFonts w:ascii="Calibri" w:hAnsi="Calibri"/>
                <w:b w:val="0"/>
                <w:i w:val="0"/>
                <w:color w:val="212121"/>
                <w:sz w:val="19"/>
              </w:rPr>
              <w:t>Below about 5 D (near demand at 40 cm = 2.5 D) - symptomatic</w:t>
            </w:r>
          </w:p>
        </w:tc>
        <w:tc>
          <w:tcPr>
            <w:tcW w:type="dxa" w:w="1468"/>
            <w:vAlign w:val="top"/>
          </w:tcPr>
          <w:p>
            <w:pPr>
              <w:spacing w:after="60" w:line="259" w:lineRule="auto"/>
            </w:pPr>
            <w:r>
              <w:rPr>
                <w:rFonts w:ascii="Calibri" w:hAnsi="Calibri"/>
                <w:b w:val="0"/>
                <w:i w:val="0"/>
                <w:color w:val="212121"/>
                <w:sz w:val="19"/>
              </w:rPr>
              <w:t>Falls to ~0.5 D by age 50 (Hofstetter/EyeWiki).</w:t>
            </w:r>
          </w:p>
          <w:p>
            <w:pPr>
              <w:spacing w:after="40" w:line="252" w:lineRule="auto"/>
            </w:pPr>
            <w:hyperlink r:id="rId10">
              <w:r>
                <w:rPr>
                  <w:rFonts w:ascii="Calibri" w:hAnsi="Calibri" w:cs="Calibri"/>
                  <w:sz w:val="18"/>
                  <w:color w:val="1155CC"/>
                  <w:u w:val="single"/>
                </w:rPr>
                <w:t xml:space="preserve">https://eyewiki.aao.org/Presbyopia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Near addition power required (dioptres)</w:t>
            </w:r>
          </w:p>
        </w:tc>
        <w:tc>
          <w:tcPr>
            <w:tcW w:type="dxa" w:w="1655"/>
            <w:vAlign w:val="top"/>
          </w:tcPr>
          <w:p>
            <w:pPr>
              <w:spacing w:after="40" w:before="0" w:line="259" w:lineRule="auto"/>
            </w:pPr>
            <w:r>
              <w:rPr>
                <w:rFonts w:ascii="Calibri" w:hAnsi="Calibri"/>
                <w:b w:val="0"/>
                <w:i w:val="0"/>
                <w:color w:val="212121"/>
                <w:sz w:val="19"/>
              </w:rPr>
              <w:t>Adults 40 to 65 years</w:t>
            </w:r>
          </w:p>
        </w:tc>
        <w:tc>
          <w:tcPr>
            <w:tcW w:type="dxa" w:w="1512"/>
            <w:vAlign w:val="top"/>
          </w:tcPr>
          <w:p>
            <w:pPr>
              <w:spacing w:after="40" w:before="0" w:line="259" w:lineRule="auto"/>
            </w:pPr>
            <w:r>
              <w:rPr>
                <w:rFonts w:ascii="Calibri" w:hAnsi="Calibri"/>
                <w:b w:val="0"/>
                <w:i w:val="0"/>
                <w:color w:val="212121"/>
                <w:sz w:val="19"/>
              </w:rPr>
              <w:t>Lowest plus giving comfortable clear N6 at working distance</w:t>
            </w:r>
          </w:p>
        </w:tc>
        <w:tc>
          <w:tcPr>
            <w:tcW w:type="dxa" w:w="1512"/>
            <w:vAlign w:val="top"/>
          </w:tcPr>
          <w:p>
            <w:pPr>
              <w:spacing w:after="40" w:before="0" w:line="259" w:lineRule="auto"/>
            </w:pPr>
            <w:r>
              <w:rPr>
                <w:rFonts w:ascii="Calibri" w:hAnsi="Calibri"/>
                <w:b w:val="0"/>
                <w:i w:val="0"/>
                <w:color w:val="212121"/>
                <w:sz w:val="19"/>
              </w:rPr>
              <w:t>Rising add: ~+1.00 D at 45, +1.50 at 50, +2.00 at 55, +2.50 at 60</w:t>
            </w:r>
          </w:p>
        </w:tc>
        <w:tc>
          <w:tcPr>
            <w:tcW w:type="dxa" w:w="1468"/>
            <w:vAlign w:val="top"/>
          </w:tcPr>
          <w:p>
            <w:pPr>
              <w:spacing w:after="40" w:before="0" w:line="259" w:lineRule="auto"/>
            </w:pPr>
            <w:r>
              <w:rPr>
                <w:rFonts w:ascii="Calibri" w:hAnsi="Calibri"/>
                <w:b w:val="0"/>
                <w:i w:val="0"/>
                <w:color w:val="212121"/>
                <w:sz w:val="19"/>
              </w:rPr>
              <w:t>Progressive add is expected until it plateaus in the mid-60s.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Habitual near working distance (cm)</w:t>
            </w:r>
          </w:p>
        </w:tc>
        <w:tc>
          <w:tcPr>
            <w:tcW w:type="dxa" w:w="1655"/>
            <w:vAlign w:val="top"/>
          </w:tcPr>
          <w:p>
            <w:pPr>
              <w:spacing w:after="40" w:before="0" w:line="259" w:lineRule="auto"/>
            </w:pPr>
            <w:r>
              <w:rPr>
                <w:rFonts w:ascii="Calibri" w:hAnsi="Calibri"/>
                <w:b w:val="0"/>
                <w:i w:val="0"/>
                <w:color w:val="212121"/>
                <w:sz w:val="19"/>
              </w:rPr>
              <w:t>Readers, artisans, screen users</w:t>
            </w:r>
          </w:p>
        </w:tc>
        <w:tc>
          <w:tcPr>
            <w:tcW w:type="dxa" w:w="1512"/>
            <w:vAlign w:val="top"/>
          </w:tcPr>
          <w:p>
            <w:pPr>
              <w:spacing w:after="40" w:before="0" w:line="259" w:lineRule="auto"/>
            </w:pPr>
            <w:r>
              <w:rPr>
                <w:rFonts w:ascii="Calibri" w:hAnsi="Calibri"/>
                <w:b w:val="0"/>
                <w:i w:val="0"/>
                <w:color w:val="212121"/>
                <w:sz w:val="19"/>
              </w:rPr>
              <w:t>About 33 to 40 cm for print; ~50 to 70 cm for screens</w:t>
            </w:r>
          </w:p>
        </w:tc>
        <w:tc>
          <w:tcPr>
            <w:tcW w:type="dxa" w:w="1512"/>
            <w:vAlign w:val="top"/>
          </w:tcPr>
          <w:p>
            <w:pPr>
              <w:spacing w:after="40" w:before="0" w:line="259" w:lineRule="auto"/>
            </w:pPr>
            <w:r>
              <w:rPr>
                <w:rFonts w:ascii="Calibri" w:hAnsi="Calibri"/>
                <w:b w:val="0"/>
                <w:i w:val="0"/>
                <w:color w:val="212121"/>
                <w:sz w:val="19"/>
              </w:rPr>
              <w:t>Holding material at arm's length (&gt;45 to 50 cm) to focus</w:t>
            </w:r>
          </w:p>
        </w:tc>
        <w:tc>
          <w:tcPr>
            <w:tcW w:type="dxa" w:w="1468"/>
            <w:vAlign w:val="top"/>
          </w:tcPr>
          <w:p>
            <w:pPr>
              <w:spacing w:after="40" w:before="0" w:line="259" w:lineRule="auto"/>
            </w:pPr>
            <w:r>
              <w:rPr>
                <w:rFonts w:ascii="Calibri" w:hAnsi="Calibri"/>
                <w:b w:val="0"/>
                <w:i w:val="0"/>
                <w:color w:val="212121"/>
                <w:sz w:val="19"/>
              </w:rPr>
              <w:t>Lengthening working distance ('trombone sign') is an early clue.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Task lighting for near work (lux)</w:t>
            </w:r>
          </w:p>
        </w:tc>
        <w:tc>
          <w:tcPr>
            <w:tcW w:type="dxa" w:w="1655"/>
            <w:vAlign w:val="top"/>
          </w:tcPr>
          <w:p>
            <w:pPr>
              <w:spacing w:after="40" w:before="0" w:line="259" w:lineRule="auto"/>
            </w:pPr>
            <w:r>
              <w:rPr>
                <w:rFonts w:ascii="Calibri" w:hAnsi="Calibri"/>
                <w:b w:val="0"/>
                <w:i w:val="0"/>
                <w:color w:val="212121"/>
                <w:sz w:val="19"/>
              </w:rPr>
              <w:t>All presbyopes, elderly</w:t>
            </w:r>
          </w:p>
        </w:tc>
        <w:tc>
          <w:tcPr>
            <w:tcW w:type="dxa" w:w="1512"/>
            <w:vAlign w:val="top"/>
          </w:tcPr>
          <w:p>
            <w:pPr>
              <w:spacing w:after="40" w:before="0" w:line="259" w:lineRule="auto"/>
            </w:pPr>
            <w:r>
              <w:rPr>
                <w:rFonts w:ascii="Calibri" w:hAnsi="Calibri"/>
                <w:b w:val="0"/>
                <w:i w:val="0"/>
                <w:color w:val="212121"/>
                <w:sz w:val="19"/>
              </w:rPr>
              <w:t>&gt;= 300 to 500 lux directed task lighting</w:t>
            </w:r>
          </w:p>
        </w:tc>
        <w:tc>
          <w:tcPr>
            <w:tcW w:type="dxa" w:w="1512"/>
            <w:vAlign w:val="top"/>
          </w:tcPr>
          <w:p>
            <w:pPr>
              <w:spacing w:after="40" w:before="0" w:line="259" w:lineRule="auto"/>
            </w:pPr>
            <w:r>
              <w:rPr>
                <w:rFonts w:ascii="Calibri" w:hAnsi="Calibri"/>
                <w:b w:val="0"/>
                <w:i w:val="0"/>
                <w:color w:val="212121"/>
                <w:sz w:val="19"/>
              </w:rPr>
              <w:t>Dim light (&lt;100 lux) - near blur worsens</w:t>
            </w:r>
          </w:p>
        </w:tc>
        <w:tc>
          <w:tcPr>
            <w:tcW w:type="dxa" w:w="1468"/>
            <w:vAlign w:val="top"/>
          </w:tcPr>
          <w:p>
            <w:pPr>
              <w:spacing w:after="40" w:before="0" w:line="259" w:lineRule="auto"/>
            </w:pPr>
            <w:r>
              <w:rPr>
                <w:rFonts w:ascii="Calibri" w:hAnsi="Calibri"/>
                <w:b w:val="0"/>
                <w:i w:val="0"/>
                <w:color w:val="212121"/>
                <w:sz w:val="19"/>
              </w:rPr>
              <w:t>Good lighting increases depth of field and eases early presbyopia.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Continuous near-work duration / breaks</w:t>
            </w:r>
          </w:p>
        </w:tc>
        <w:tc>
          <w:tcPr>
            <w:tcW w:type="dxa" w:w="1655"/>
            <w:vAlign w:val="top"/>
          </w:tcPr>
          <w:p>
            <w:pPr>
              <w:spacing w:after="40" w:before="0" w:line="259" w:lineRule="auto"/>
            </w:pPr>
            <w:r>
              <w:rPr>
                <w:rFonts w:ascii="Calibri" w:hAnsi="Calibri"/>
                <w:b w:val="0"/>
                <w:i w:val="0"/>
                <w:color w:val="212121"/>
                <w:sz w:val="19"/>
              </w:rPr>
              <w:t>Screen &amp; fine-work users</w:t>
            </w:r>
          </w:p>
        </w:tc>
        <w:tc>
          <w:tcPr>
            <w:tcW w:type="dxa" w:w="1512"/>
            <w:vAlign w:val="top"/>
          </w:tcPr>
          <w:p>
            <w:pPr>
              <w:spacing w:after="40" w:before="0" w:line="259" w:lineRule="auto"/>
            </w:pPr>
            <w:r>
              <w:rPr>
                <w:rFonts w:ascii="Calibri" w:hAnsi="Calibri"/>
                <w:b w:val="0"/>
                <w:i w:val="0"/>
                <w:color w:val="212121"/>
                <w:sz w:val="19"/>
              </w:rPr>
              <w:t>20-20-20 rule (every 20 min, 20 s, ~6 m / 20 ft)</w:t>
            </w:r>
          </w:p>
        </w:tc>
        <w:tc>
          <w:tcPr>
            <w:tcW w:type="dxa" w:w="1512"/>
            <w:vAlign w:val="top"/>
          </w:tcPr>
          <w:p>
            <w:pPr>
              <w:spacing w:after="40" w:before="0" w:line="259" w:lineRule="auto"/>
            </w:pPr>
            <w:r>
              <w:rPr>
                <w:rFonts w:ascii="Calibri" w:hAnsi="Calibri"/>
                <w:b w:val="0"/>
                <w:i w:val="0"/>
                <w:color w:val="212121"/>
                <w:sz w:val="19"/>
              </w:rPr>
              <w:t>&gt;2 h uninterrupted near work - eyestrain, headache</w:t>
            </w:r>
          </w:p>
        </w:tc>
        <w:tc>
          <w:tcPr>
            <w:tcW w:type="dxa" w:w="1468"/>
            <w:vAlign w:val="top"/>
          </w:tcPr>
          <w:p>
            <w:pPr>
              <w:spacing w:after="40" w:before="0" w:line="259" w:lineRule="auto"/>
            </w:pPr>
            <w:r>
              <w:rPr>
                <w:rFonts w:ascii="Calibri" w:hAnsi="Calibri"/>
                <w:b w:val="0"/>
                <w:i w:val="0"/>
                <w:color w:val="212121"/>
                <w:sz w:val="19"/>
              </w:rPr>
              <w:t>Regular breaks reduce asthenopia layered on presbyopia.</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Head/neck posture with multifocals</w:t>
            </w:r>
          </w:p>
        </w:tc>
        <w:tc>
          <w:tcPr>
            <w:tcW w:type="dxa" w:w="1655"/>
            <w:vAlign w:val="top"/>
          </w:tcPr>
          <w:p>
            <w:pPr>
              <w:spacing w:after="40" w:before="0" w:line="259" w:lineRule="auto"/>
            </w:pPr>
            <w:r>
              <w:rPr>
                <w:rFonts w:ascii="Calibri" w:hAnsi="Calibri"/>
                <w:b w:val="0"/>
                <w:i w:val="0"/>
                <w:color w:val="212121"/>
                <w:sz w:val="19"/>
              </w:rPr>
              <w:t>Bifocal / progressive wearers</w:t>
            </w:r>
          </w:p>
        </w:tc>
        <w:tc>
          <w:tcPr>
            <w:tcW w:type="dxa" w:w="1512"/>
            <w:vAlign w:val="top"/>
          </w:tcPr>
          <w:p>
            <w:pPr>
              <w:spacing w:after="40" w:before="0" w:line="259" w:lineRule="auto"/>
            </w:pPr>
            <w:r>
              <w:rPr>
                <w:rFonts w:ascii="Calibri" w:hAnsi="Calibri"/>
                <w:b w:val="0"/>
                <w:i w:val="0"/>
                <w:color w:val="212121"/>
                <w:sz w:val="19"/>
              </w:rPr>
              <w:t>Comfortable upright posture; screen at or below eye level</w:t>
            </w:r>
          </w:p>
        </w:tc>
        <w:tc>
          <w:tcPr>
            <w:tcW w:type="dxa" w:w="1512"/>
            <w:vAlign w:val="top"/>
          </w:tcPr>
          <w:p>
            <w:pPr>
              <w:spacing w:after="40" w:before="0" w:line="259" w:lineRule="auto"/>
            </w:pPr>
            <w:r>
              <w:rPr>
                <w:rFonts w:ascii="Calibri" w:hAnsi="Calibri"/>
                <w:b w:val="0"/>
                <w:i w:val="0"/>
                <w:color w:val="212121"/>
                <w:sz w:val="19"/>
              </w:rPr>
              <w:t>Chin-up posture / neck extension to use near segment</w:t>
            </w:r>
          </w:p>
        </w:tc>
        <w:tc>
          <w:tcPr>
            <w:tcW w:type="dxa" w:w="1468"/>
            <w:vAlign w:val="top"/>
          </w:tcPr>
          <w:p>
            <w:pPr>
              <w:spacing w:after="40" w:before="0" w:line="259" w:lineRule="auto"/>
            </w:pPr>
            <w:r>
              <w:rPr>
                <w:rFonts w:ascii="Calibri" w:hAnsi="Calibri"/>
                <w:b w:val="0"/>
                <w:i w:val="0"/>
                <w:color w:val="212121"/>
                <w:sz w:val="19"/>
              </w:rPr>
              <w:t>Poor ergonomics causes neck and shoulder strain.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outdoor &amp; indoor workers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Oxidative stress accelerates lens ageing and cataract.</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 %)</w:t>
            </w:r>
          </w:p>
        </w:tc>
        <w:tc>
          <w:tcPr>
            <w:tcW w:type="dxa" w:w="1655"/>
            <w:vAlign w:val="top"/>
          </w:tcPr>
          <w:p>
            <w:pPr>
              <w:spacing w:after="40" w:before="0" w:line="259" w:lineRule="auto"/>
            </w:pPr>
            <w:r>
              <w:rPr>
                <w:rFonts w:ascii="Calibri" w:hAnsi="Calibri"/>
                <w:b w:val="0"/>
                <w:i w:val="0"/>
                <w:color w:val="212121"/>
                <w:sz w:val="19"/>
              </w:rPr>
              <w:t>Diabetic &amp; prediabetic adults</w:t>
            </w:r>
          </w:p>
        </w:tc>
        <w:tc>
          <w:tcPr>
            <w:tcW w:type="dxa" w:w="1512"/>
            <w:vAlign w:val="top"/>
          </w:tcPr>
          <w:p>
            <w:pPr>
              <w:spacing w:after="40" w:before="0" w:line="259" w:lineRule="auto"/>
            </w:pPr>
            <w:r>
              <w:rPr>
                <w:rFonts w:ascii="Calibri" w:hAnsi="Calibri"/>
                <w:b w:val="0"/>
                <w:i w:val="0"/>
                <w:color w:val="212121"/>
                <w:sz w:val="19"/>
              </w:rPr>
              <w:t>&lt; 5.7% (non-diabetic); individualised target if diabetic</w:t>
            </w:r>
          </w:p>
        </w:tc>
        <w:tc>
          <w:tcPr>
            <w:tcW w:type="dxa" w:w="1512"/>
            <w:vAlign w:val="top"/>
          </w:tcPr>
          <w:p>
            <w:pPr>
              <w:spacing w:after="40" w:before="0" w:line="259" w:lineRule="auto"/>
            </w:pPr>
            <w:r>
              <w:rPr>
                <w:rFonts w:ascii="Calibri" w:hAnsi="Calibri"/>
                <w:b w:val="0"/>
                <w:i w:val="0"/>
                <w:color w:val="212121"/>
                <w:sz w:val="19"/>
              </w:rPr>
              <w:t>&gt;= 6.5% / poorly controlled diabetes</w:t>
            </w:r>
          </w:p>
        </w:tc>
        <w:tc>
          <w:tcPr>
            <w:tcW w:type="dxa" w:w="1468"/>
            <w:vAlign w:val="top"/>
          </w:tcPr>
          <w:p>
            <w:pPr>
              <w:spacing w:after="60" w:line="259" w:lineRule="auto"/>
            </w:pPr>
            <w:r>
              <w:rPr>
                <w:rFonts w:ascii="Calibri" w:hAnsi="Calibri"/>
                <w:b w:val="0"/>
                <w:i w:val="0"/>
                <w:color w:val="212121"/>
                <w:sz w:val="19"/>
              </w:rPr>
              <w:t>Hyperglycaemia causes lens swelling and fluctuating, premature near blur.</w:t>
            </w:r>
          </w:p>
          <w:p>
            <w:pPr>
              <w:spacing w:after="40" w:line="252" w:lineRule="auto"/>
            </w:pPr>
            <w:hyperlink r:id="rId16">
              <w:r>
                <w:rPr>
                  <w:rFonts w:ascii="Calibri" w:hAnsi="Calibri" w:cs="Calibri"/>
                  <w:sz w:val="18"/>
                  <w:color w:val="1155CC"/>
                  <w:u w:val="single"/>
                </w:rPr>
                <w:t xml:space="preserve">https://pubmed.ncbi.nlm.nih.gov/34708766/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Near visual acuity (N-notation / Jaeger at 40 cm)</w:t>
            </w:r>
          </w:p>
        </w:tc>
        <w:tc>
          <w:tcPr>
            <w:tcW w:type="dxa" w:w="892"/>
            <w:vAlign w:val="top"/>
          </w:tcPr>
          <w:p>
            <w:pPr>
              <w:spacing w:after="40" w:before="0" w:line="259" w:lineRule="auto"/>
            </w:pPr>
            <w:r>
              <w:rPr>
                <w:rFonts w:ascii="Calibri" w:hAnsi="Calibri"/>
                <w:b w:val="0"/>
                <w:i w:val="0"/>
                <w:color w:val="212121"/>
                <w:sz w:val="16"/>
              </w:rPr>
              <w:t>Near vision chart</w:t>
            </w:r>
          </w:p>
        </w:tc>
        <w:tc>
          <w:tcPr>
            <w:tcW w:type="dxa" w:w="950"/>
            <w:vAlign w:val="top"/>
          </w:tcPr>
          <w:p>
            <w:pPr>
              <w:spacing w:after="40" w:before="0" w:line="259" w:lineRule="auto"/>
            </w:pPr>
            <w:r>
              <w:rPr>
                <w:rFonts w:ascii="Calibri" w:hAnsi="Calibri"/>
                <w:b w:val="0"/>
                <w:i w:val="0"/>
                <w:color w:val="212121"/>
                <w:sz w:val="16"/>
              </w:rPr>
              <w:t>N6 or better at 40 cm</w:t>
            </w:r>
          </w:p>
        </w:tc>
        <w:tc>
          <w:tcPr>
            <w:tcW w:type="dxa" w:w="950"/>
            <w:vAlign w:val="top"/>
          </w:tcPr>
          <w:p>
            <w:pPr>
              <w:spacing w:after="40" w:before="0" w:line="259" w:lineRule="auto"/>
            </w:pPr>
            <w:r>
              <w:rPr>
                <w:rFonts w:ascii="Calibri" w:hAnsi="Calibri"/>
                <w:b w:val="0"/>
                <w:i w:val="0"/>
                <w:color w:val="212121"/>
                <w:sz w:val="16"/>
              </w:rPr>
              <w:t>Cannot read N6/N8; improves with plus add</w:t>
            </w:r>
          </w:p>
        </w:tc>
        <w:tc>
          <w:tcPr>
            <w:tcW w:type="dxa" w:w="1036"/>
            <w:vAlign w:val="top"/>
          </w:tcPr>
          <w:p>
            <w:pPr>
              <w:spacing w:after="40" w:before="0" w:line="259" w:lineRule="auto"/>
            </w:pPr>
            <w:r>
              <w:rPr>
                <w:rFonts w:ascii="Calibri" w:hAnsi="Calibri"/>
                <w:b w:val="0"/>
                <w:i w:val="0"/>
                <w:color w:val="212121"/>
                <w:sz w:val="16"/>
              </w:rPr>
              <w:t>Quantifies functional near vision; improvement with a plus lens confirms presbyopia</w:t>
            </w:r>
          </w:p>
        </w:tc>
        <w:tc>
          <w:tcPr>
            <w:tcW w:type="dxa" w:w="1036"/>
            <w:vAlign w:val="top"/>
          </w:tcPr>
          <w:p>
            <w:pPr>
              <w:spacing w:after="40" w:before="0" w:line="259" w:lineRule="auto"/>
            </w:pPr>
            <w:r>
              <w:rPr>
                <w:rFonts w:ascii="Calibri" w:hAnsi="Calibri"/>
                <w:b w:val="0"/>
                <w:i w:val="0"/>
                <w:color w:val="212121"/>
                <w:sz w:val="16"/>
              </w:rPr>
              <w:t>Adults 40+, near-work occupations, symptomatic near blur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Test each eye and binocularly at habitual distance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Amplitude of accommodation</w:t>
            </w:r>
          </w:p>
        </w:tc>
        <w:tc>
          <w:tcPr>
            <w:tcW w:type="dxa" w:w="892"/>
            <w:vAlign w:val="top"/>
          </w:tcPr>
          <w:p>
            <w:pPr>
              <w:spacing w:after="40" w:before="0" w:line="259" w:lineRule="auto"/>
            </w:pPr>
            <w:r>
              <w:rPr>
                <w:rFonts w:ascii="Calibri" w:hAnsi="Calibri"/>
                <w:b w:val="0"/>
                <w:i w:val="0"/>
                <w:color w:val="212121"/>
                <w:sz w:val="16"/>
              </w:rPr>
              <w:t>Push-up / minus-lens test</w:t>
            </w:r>
          </w:p>
        </w:tc>
        <w:tc>
          <w:tcPr>
            <w:tcW w:type="dxa" w:w="950"/>
            <w:vAlign w:val="top"/>
          </w:tcPr>
          <w:p>
            <w:pPr>
              <w:spacing w:after="40" w:before="0" w:line="259" w:lineRule="auto"/>
            </w:pPr>
            <w:r>
              <w:rPr>
                <w:rFonts w:ascii="Calibri" w:hAnsi="Calibri"/>
                <w:b w:val="0"/>
                <w:i w:val="0"/>
                <w:color w:val="212121"/>
                <w:sz w:val="16"/>
              </w:rPr>
              <w:t>Age-appropriate (Hofstetter minimum ~15 - 0.25 x age)</w:t>
            </w:r>
          </w:p>
        </w:tc>
        <w:tc>
          <w:tcPr>
            <w:tcW w:type="dxa" w:w="950"/>
            <w:vAlign w:val="top"/>
          </w:tcPr>
          <w:p>
            <w:pPr>
              <w:spacing w:after="40" w:before="0" w:line="259" w:lineRule="auto"/>
            </w:pPr>
            <w:r>
              <w:rPr>
                <w:rFonts w:ascii="Calibri" w:hAnsi="Calibri"/>
                <w:b w:val="0"/>
                <w:i w:val="0"/>
                <w:color w:val="212121"/>
                <w:sz w:val="16"/>
              </w:rPr>
              <w:t>Reduced for age (symptomatic below ~5 D)</w:t>
            </w:r>
          </w:p>
        </w:tc>
        <w:tc>
          <w:tcPr>
            <w:tcW w:type="dxa" w:w="1036"/>
            <w:vAlign w:val="top"/>
          </w:tcPr>
          <w:p>
            <w:pPr>
              <w:spacing w:after="40" w:before="0" w:line="259" w:lineRule="auto"/>
            </w:pPr>
            <w:r>
              <w:rPr>
                <w:rFonts w:ascii="Calibri" w:hAnsi="Calibri"/>
                <w:b w:val="0"/>
                <w:i w:val="0"/>
                <w:color w:val="212121"/>
                <w:sz w:val="16"/>
              </w:rPr>
              <w:t>Objectively grades accommodative loss and stage of presbyopia</w:t>
            </w:r>
          </w:p>
        </w:tc>
        <w:tc>
          <w:tcPr>
            <w:tcW w:type="dxa" w:w="1036"/>
            <w:vAlign w:val="top"/>
          </w:tcPr>
          <w:p>
            <w:pPr>
              <w:spacing w:after="40" w:before="0" w:line="259" w:lineRule="auto"/>
            </w:pPr>
            <w:r>
              <w:rPr>
                <w:rFonts w:ascii="Calibri" w:hAnsi="Calibri"/>
                <w:b w:val="0"/>
                <w:i w:val="0"/>
                <w:color w:val="212121"/>
                <w:sz w:val="16"/>
              </w:rPr>
              <w:t>Adults, premature presbyopia, accommodative insufficiency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 for age in a young patient suggests premature/secondary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Distance refraction / autorefraction + BCVA</w:t>
            </w:r>
          </w:p>
        </w:tc>
        <w:tc>
          <w:tcPr>
            <w:tcW w:type="dxa" w:w="892"/>
            <w:vAlign w:val="top"/>
          </w:tcPr>
          <w:p>
            <w:pPr>
              <w:spacing w:after="40" w:before="0" w:line="259" w:lineRule="auto"/>
            </w:pPr>
            <w:r>
              <w:rPr>
                <w:rFonts w:ascii="Calibri" w:hAnsi="Calibri"/>
                <w:b w:val="0"/>
                <w:i w:val="0"/>
                <w:color w:val="212121"/>
                <w:sz w:val="16"/>
              </w:rPr>
              <w:t>Refraction</w:t>
            </w:r>
          </w:p>
        </w:tc>
        <w:tc>
          <w:tcPr>
            <w:tcW w:type="dxa" w:w="950"/>
            <w:vAlign w:val="top"/>
          </w:tcPr>
          <w:p>
            <w:pPr>
              <w:spacing w:after="40" w:before="0" w:line="259" w:lineRule="auto"/>
            </w:pPr>
            <w:r>
              <w:rPr>
                <w:rFonts w:ascii="Calibri" w:hAnsi="Calibri"/>
                <w:b w:val="0"/>
                <w:i w:val="0"/>
                <w:color w:val="212121"/>
                <w:sz w:val="16"/>
              </w:rPr>
              <w:t>Emmetropia or fully corrected ametropia</w:t>
            </w:r>
          </w:p>
        </w:tc>
        <w:tc>
          <w:tcPr>
            <w:tcW w:type="dxa" w:w="950"/>
            <w:vAlign w:val="top"/>
          </w:tcPr>
          <w:p>
            <w:pPr>
              <w:spacing w:after="40" w:before="0" w:line="259" w:lineRule="auto"/>
            </w:pPr>
            <w:r>
              <w:rPr>
                <w:rFonts w:ascii="Calibri" w:hAnsi="Calibri"/>
                <w:b w:val="0"/>
                <w:i w:val="0"/>
                <w:color w:val="212121"/>
                <w:sz w:val="16"/>
              </w:rPr>
              <w:t>Uncorrected hyperopia, myopia or astigmatism</w:t>
            </w:r>
          </w:p>
        </w:tc>
        <w:tc>
          <w:tcPr>
            <w:tcW w:type="dxa" w:w="1036"/>
            <w:vAlign w:val="top"/>
          </w:tcPr>
          <w:p>
            <w:pPr>
              <w:spacing w:after="40" w:before="0" w:line="259" w:lineRule="auto"/>
            </w:pPr>
            <w:r>
              <w:rPr>
                <w:rFonts w:ascii="Calibri" w:hAnsi="Calibri"/>
                <w:b w:val="0"/>
                <w:i w:val="0"/>
                <w:color w:val="212121"/>
                <w:sz w:val="16"/>
              </w:rPr>
              <w:t>Distance error must be corrected first; hyperopia advances presbyopic onset</w:t>
            </w:r>
          </w:p>
        </w:tc>
        <w:tc>
          <w:tcPr>
            <w:tcW w:type="dxa" w:w="1036"/>
            <w:vAlign w:val="top"/>
          </w:tcPr>
          <w:p>
            <w:pPr>
              <w:spacing w:after="40" w:before="0" w:line="259" w:lineRule="auto"/>
            </w:pPr>
            <w:r>
              <w:rPr>
                <w:rFonts w:ascii="Calibri" w:hAnsi="Calibri"/>
                <w:b w:val="0"/>
                <w:i w:val="0"/>
                <w:color w:val="212121"/>
                <w:sz w:val="16"/>
              </w:rPr>
              <w:t>All patients, hyperopes, prior spectacle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first step</w:t>
            </w:r>
          </w:p>
        </w:tc>
        <w:tc>
          <w:tcPr>
            <w:tcW w:type="dxa" w:w="720"/>
            <w:vAlign w:val="top"/>
          </w:tcPr>
          <w:p>
            <w:pPr>
              <w:spacing w:after="40" w:before="0" w:line="259" w:lineRule="auto"/>
            </w:pPr>
            <w:r>
              <w:rPr>
                <w:rFonts w:ascii="Calibri" w:hAnsi="Calibri"/>
                <w:b w:val="0"/>
                <w:i w:val="0"/>
                <w:color w:val="212121"/>
                <w:sz w:val="16"/>
              </w:rPr>
              <w:t>Near add is always determined over the best distance correction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Near addition ('add') determination</w:t>
            </w:r>
          </w:p>
        </w:tc>
        <w:tc>
          <w:tcPr>
            <w:tcW w:type="dxa" w:w="892"/>
            <w:vAlign w:val="top"/>
          </w:tcPr>
          <w:p>
            <w:pPr>
              <w:spacing w:after="40" w:before="0" w:line="259" w:lineRule="auto"/>
            </w:pPr>
            <w:r>
              <w:rPr>
                <w:rFonts w:ascii="Calibri" w:hAnsi="Calibri"/>
                <w:b w:val="0"/>
                <w:i w:val="0"/>
                <w:color w:val="212121"/>
                <w:sz w:val="16"/>
              </w:rPr>
              <w:t>Cross-cylinder / trial add</w:t>
            </w:r>
          </w:p>
        </w:tc>
        <w:tc>
          <w:tcPr>
            <w:tcW w:type="dxa" w:w="950"/>
            <w:vAlign w:val="top"/>
          </w:tcPr>
          <w:p>
            <w:pPr>
              <w:spacing w:after="40" w:before="0" w:line="259" w:lineRule="auto"/>
            </w:pPr>
            <w:r>
              <w:rPr>
                <w:rFonts w:ascii="Calibri" w:hAnsi="Calibri"/>
                <w:b w:val="0"/>
                <w:i w:val="0"/>
                <w:color w:val="212121"/>
                <w:sz w:val="16"/>
              </w:rPr>
              <w:t>Lowest plus giving clear comfortable N6</w:t>
            </w:r>
          </w:p>
        </w:tc>
        <w:tc>
          <w:tcPr>
            <w:tcW w:type="dxa" w:w="950"/>
            <w:vAlign w:val="top"/>
          </w:tcPr>
          <w:p>
            <w:pPr>
              <w:spacing w:after="40" w:before="0" w:line="259" w:lineRule="auto"/>
            </w:pPr>
            <w:r>
              <w:rPr>
                <w:rFonts w:ascii="Calibri" w:hAnsi="Calibri"/>
                <w:b w:val="0"/>
                <w:i w:val="0"/>
                <w:color w:val="212121"/>
                <w:sz w:val="16"/>
              </w:rPr>
              <w:t>Rising add with age (+1.00 to +2.50 D)</w:t>
            </w:r>
          </w:p>
        </w:tc>
        <w:tc>
          <w:tcPr>
            <w:tcW w:type="dxa" w:w="1036"/>
            <w:vAlign w:val="top"/>
          </w:tcPr>
          <w:p>
            <w:pPr>
              <w:spacing w:after="40" w:before="0" w:line="259" w:lineRule="auto"/>
            </w:pPr>
            <w:r>
              <w:rPr>
                <w:rFonts w:ascii="Calibri" w:hAnsi="Calibri"/>
                <w:b w:val="0"/>
                <w:i w:val="0"/>
                <w:color w:val="212121"/>
                <w:sz w:val="16"/>
              </w:rPr>
              <w:t>Prescribes the reading correction and tracks progression</w:t>
            </w:r>
          </w:p>
        </w:tc>
        <w:tc>
          <w:tcPr>
            <w:tcW w:type="dxa" w:w="1036"/>
            <w:vAlign w:val="top"/>
          </w:tcPr>
          <w:p>
            <w:pPr>
              <w:spacing w:after="40" w:before="0" w:line="259" w:lineRule="auto"/>
            </w:pPr>
            <w:r>
              <w:rPr>
                <w:rFonts w:ascii="Calibri" w:hAnsi="Calibri"/>
                <w:b w:val="0"/>
                <w:i w:val="0"/>
                <w:color w:val="212121"/>
                <w:sz w:val="16"/>
              </w:rPr>
              <w:t>Presbyopic adults 40 to 65</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Therapeutic (prescribing)</w:t>
            </w:r>
          </w:p>
        </w:tc>
        <w:tc>
          <w:tcPr>
            <w:tcW w:type="dxa" w:w="720"/>
            <w:vAlign w:val="top"/>
          </w:tcPr>
          <w:p>
            <w:pPr>
              <w:spacing w:after="40" w:before="0" w:line="259" w:lineRule="auto"/>
            </w:pPr>
            <w:r>
              <w:rPr>
                <w:rFonts w:ascii="Calibri" w:hAnsi="Calibri"/>
                <w:b w:val="0"/>
                <w:i w:val="0"/>
                <w:color w:val="212121"/>
                <w:sz w:val="16"/>
              </w:rPr>
              <w:t>Balance add against preferred working distance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Cycloplegic refraction</w:t>
            </w:r>
          </w:p>
        </w:tc>
        <w:tc>
          <w:tcPr>
            <w:tcW w:type="dxa" w:w="892"/>
            <w:vAlign w:val="top"/>
          </w:tcPr>
          <w:p>
            <w:pPr>
              <w:spacing w:after="40" w:before="0" w:line="259" w:lineRule="auto"/>
            </w:pPr>
            <w:r>
              <w:rPr>
                <w:rFonts w:ascii="Calibri" w:hAnsi="Calibri"/>
                <w:b w:val="0"/>
                <w:i w:val="0"/>
                <w:color w:val="212121"/>
                <w:sz w:val="16"/>
              </w:rPr>
              <w:t>Cycloplegic refraction</w:t>
            </w:r>
          </w:p>
        </w:tc>
        <w:tc>
          <w:tcPr>
            <w:tcW w:type="dxa" w:w="950"/>
            <w:vAlign w:val="top"/>
          </w:tcPr>
          <w:p>
            <w:pPr>
              <w:spacing w:after="40" w:before="0" w:line="259" w:lineRule="auto"/>
            </w:pPr>
            <w:r>
              <w:rPr>
                <w:rFonts w:ascii="Calibri" w:hAnsi="Calibri"/>
                <w:b w:val="0"/>
                <w:i w:val="0"/>
                <w:color w:val="212121"/>
                <w:sz w:val="16"/>
              </w:rPr>
              <w:t>No latent hyperopia unmasked</w:t>
            </w:r>
          </w:p>
        </w:tc>
        <w:tc>
          <w:tcPr>
            <w:tcW w:type="dxa" w:w="950"/>
            <w:vAlign w:val="top"/>
          </w:tcPr>
          <w:p>
            <w:pPr>
              <w:spacing w:after="40" w:before="0" w:line="259" w:lineRule="auto"/>
            </w:pPr>
            <w:r>
              <w:rPr>
                <w:rFonts w:ascii="Calibri" w:hAnsi="Calibri"/>
                <w:b w:val="0"/>
                <w:i w:val="0"/>
                <w:color w:val="212121"/>
                <w:sz w:val="16"/>
              </w:rPr>
              <w:t>Latent hyperopia / accommodative insufficiency revealed</w:t>
            </w:r>
          </w:p>
        </w:tc>
        <w:tc>
          <w:tcPr>
            <w:tcW w:type="dxa" w:w="1036"/>
            <w:vAlign w:val="top"/>
          </w:tcPr>
          <w:p>
            <w:pPr>
              <w:spacing w:after="40" w:before="0" w:line="259" w:lineRule="auto"/>
            </w:pPr>
            <w:r>
              <w:rPr>
                <w:rFonts w:ascii="Calibri" w:hAnsi="Calibri"/>
                <w:b w:val="0"/>
                <w:i w:val="0"/>
                <w:color w:val="212121"/>
                <w:sz w:val="16"/>
              </w:rPr>
              <w:t>Unmasks latent hyperopia and accommodative problems in premature or atypical cases</w:t>
            </w:r>
          </w:p>
        </w:tc>
        <w:tc>
          <w:tcPr>
            <w:tcW w:type="dxa" w:w="1036"/>
            <w:vAlign w:val="top"/>
          </w:tcPr>
          <w:p>
            <w:pPr>
              <w:spacing w:after="40" w:before="0" w:line="259" w:lineRule="auto"/>
            </w:pPr>
            <w:r>
              <w:rPr>
                <w:rFonts w:ascii="Calibri" w:hAnsi="Calibri"/>
                <w:b w:val="0"/>
                <w:i w:val="0"/>
                <w:color w:val="212121"/>
                <w:sz w:val="16"/>
              </w:rPr>
              <w:t>Patients &lt;40 with near symptoms, suspected diabetes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Especially useful under 40 or when the add seems excessive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Slit-lamp biomicroscopy</w:t>
            </w:r>
          </w:p>
        </w:tc>
        <w:tc>
          <w:tcPr>
            <w:tcW w:type="dxa" w:w="892"/>
            <w:vAlign w:val="top"/>
          </w:tcPr>
          <w:p>
            <w:pPr>
              <w:spacing w:after="40" w:before="0" w:line="259" w:lineRule="auto"/>
            </w:pPr>
            <w:r>
              <w:rPr>
                <w:rFonts w:ascii="Calibri" w:hAnsi="Calibri"/>
                <w:b w:val="0"/>
                <w:i w:val="0"/>
                <w:color w:val="212121"/>
                <w:sz w:val="16"/>
              </w:rPr>
              <w:t>Slit-lamp examination</w:t>
            </w:r>
          </w:p>
        </w:tc>
        <w:tc>
          <w:tcPr>
            <w:tcW w:type="dxa" w:w="950"/>
            <w:vAlign w:val="top"/>
          </w:tcPr>
          <w:p>
            <w:pPr>
              <w:spacing w:after="40" w:before="0" w:line="259" w:lineRule="auto"/>
            </w:pPr>
            <w:r>
              <w:rPr>
                <w:rFonts w:ascii="Calibri" w:hAnsi="Calibri"/>
                <w:b w:val="0"/>
                <w:i w:val="0"/>
                <w:color w:val="212121"/>
                <w:sz w:val="16"/>
              </w:rPr>
              <w:t>Clear lens; healthy anterior segment</w:t>
            </w:r>
          </w:p>
        </w:tc>
        <w:tc>
          <w:tcPr>
            <w:tcW w:type="dxa" w:w="950"/>
            <w:vAlign w:val="top"/>
          </w:tcPr>
          <w:p>
            <w:pPr>
              <w:spacing w:after="40" w:before="0" w:line="259" w:lineRule="auto"/>
            </w:pPr>
            <w:r>
              <w:rPr>
                <w:rFonts w:ascii="Calibri" w:hAnsi="Calibri"/>
                <w:b w:val="0"/>
                <w:i w:val="0"/>
                <w:color w:val="212121"/>
                <w:sz w:val="16"/>
              </w:rPr>
              <w:t>Nuclear sclerosis / cataract; anterior segment disease</w:t>
            </w:r>
          </w:p>
        </w:tc>
        <w:tc>
          <w:tcPr>
            <w:tcW w:type="dxa" w:w="1036"/>
            <w:vAlign w:val="top"/>
          </w:tcPr>
          <w:p>
            <w:pPr>
              <w:spacing w:after="40" w:before="0" w:line="259" w:lineRule="auto"/>
            </w:pPr>
            <w:r>
              <w:rPr>
                <w:rFonts w:ascii="Calibri" w:hAnsi="Calibri"/>
                <w:b w:val="0"/>
                <w:i w:val="0"/>
                <w:color w:val="212121"/>
                <w:sz w:val="16"/>
              </w:rPr>
              <w:t>Detects cataract and other lens/anterior-segment causes of near-vision change</w:t>
            </w:r>
          </w:p>
        </w:tc>
        <w:tc>
          <w:tcPr>
            <w:tcW w:type="dxa" w:w="1036"/>
            <w:vAlign w:val="top"/>
          </w:tcPr>
          <w:p>
            <w:pPr>
              <w:spacing w:after="40" w:before="0" w:line="259" w:lineRule="auto"/>
            </w:pPr>
            <w:r>
              <w:rPr>
                <w:rFonts w:ascii="Calibri" w:hAnsi="Calibri"/>
                <w:b w:val="0"/>
                <w:i w:val="0"/>
                <w:color w:val="212121"/>
                <w:sz w:val="16"/>
              </w:rPr>
              <w:t>Older adults, 'second sight', reduced near &amp; distance vision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Differentiates presbyopia from cataract-related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Dilated fundus examination &amp; IOP</w:t>
            </w:r>
          </w:p>
        </w:tc>
        <w:tc>
          <w:tcPr>
            <w:tcW w:type="dxa" w:w="892"/>
            <w:vAlign w:val="top"/>
          </w:tcPr>
          <w:p>
            <w:pPr>
              <w:spacing w:after="40" w:before="0" w:line="259" w:lineRule="auto"/>
            </w:pPr>
            <w:r>
              <w:rPr>
                <w:rFonts w:ascii="Calibri" w:hAnsi="Calibri"/>
                <w:b w:val="0"/>
                <w:i w:val="0"/>
                <w:color w:val="212121"/>
                <w:sz w:val="16"/>
              </w:rPr>
              <w:t>Fundoscopy + tonometry</w:t>
            </w:r>
          </w:p>
        </w:tc>
        <w:tc>
          <w:tcPr>
            <w:tcW w:type="dxa" w:w="950"/>
            <w:vAlign w:val="top"/>
          </w:tcPr>
          <w:p>
            <w:pPr>
              <w:spacing w:after="40" w:before="0" w:line="259" w:lineRule="auto"/>
            </w:pPr>
            <w:r>
              <w:rPr>
                <w:rFonts w:ascii="Calibri" w:hAnsi="Calibri"/>
                <w:b w:val="0"/>
                <w:i w:val="0"/>
                <w:color w:val="212121"/>
                <w:sz w:val="16"/>
              </w:rPr>
              <w:t>Normal macula, optic nerve and IOP</w:t>
            </w:r>
          </w:p>
        </w:tc>
        <w:tc>
          <w:tcPr>
            <w:tcW w:type="dxa" w:w="950"/>
            <w:vAlign w:val="top"/>
          </w:tcPr>
          <w:p>
            <w:pPr>
              <w:spacing w:after="40" w:before="0" w:line="259" w:lineRule="auto"/>
            </w:pPr>
            <w:r>
              <w:rPr>
                <w:rFonts w:ascii="Calibri" w:hAnsi="Calibri"/>
                <w:b w:val="0"/>
                <w:i w:val="0"/>
                <w:color w:val="212121"/>
                <w:sz w:val="16"/>
              </w:rPr>
              <w:t>Maculopathy, optic neuropathy or raised IOP</w:t>
            </w:r>
          </w:p>
        </w:tc>
        <w:tc>
          <w:tcPr>
            <w:tcW w:type="dxa" w:w="1036"/>
            <w:vAlign w:val="top"/>
          </w:tcPr>
          <w:p>
            <w:pPr>
              <w:spacing w:after="40" w:before="0" w:line="259" w:lineRule="auto"/>
            </w:pPr>
            <w:r>
              <w:rPr>
                <w:rFonts w:ascii="Calibri" w:hAnsi="Calibri"/>
                <w:b w:val="0"/>
                <w:i w:val="0"/>
                <w:color w:val="212121"/>
                <w:sz w:val="16"/>
              </w:rPr>
              <w:t>Excludes retinal/optic-nerve and glaucomatous causes of near-vision difficulty</w:t>
            </w:r>
          </w:p>
        </w:tc>
        <w:tc>
          <w:tcPr>
            <w:tcW w:type="dxa" w:w="1036"/>
            <w:vAlign w:val="top"/>
          </w:tcPr>
          <w:p>
            <w:pPr>
              <w:spacing w:after="40" w:before="0" w:line="259" w:lineRule="auto"/>
            </w:pPr>
            <w:r>
              <w:rPr>
                <w:rFonts w:ascii="Calibri" w:hAnsi="Calibri"/>
                <w:b w:val="0"/>
                <w:i w:val="0"/>
                <w:color w:val="212121"/>
                <w:sz w:val="16"/>
              </w:rPr>
              <w:t>Adults 40+, comprehensive eye exam,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Part of the routine over-40 eye check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FBS 70 to 99 mg/dL; HbA1c &lt; 5.7%</w:t>
            </w:r>
          </w:p>
        </w:tc>
        <w:tc>
          <w:tcPr>
            <w:tcW w:type="dxa" w:w="950"/>
            <w:vAlign w:val="top"/>
          </w:tcPr>
          <w:p>
            <w:pPr>
              <w:spacing w:after="40" w:before="0" w:line="259" w:lineRule="auto"/>
            </w:pPr>
            <w:r>
              <w:rPr>
                <w:rFonts w:ascii="Calibri" w:hAnsi="Calibri"/>
                <w:b w:val="0"/>
                <w:i w:val="0"/>
                <w:color w:val="212121"/>
                <w:sz w:val="16"/>
              </w:rPr>
              <w:t>FBS &gt;= 126 mg/dL; HbA1c &gt;= 6.5%</w:t>
            </w:r>
          </w:p>
        </w:tc>
        <w:tc>
          <w:tcPr>
            <w:tcW w:type="dxa" w:w="1036"/>
            <w:vAlign w:val="top"/>
          </w:tcPr>
          <w:p>
            <w:pPr>
              <w:spacing w:after="40" w:before="0" w:line="259" w:lineRule="auto"/>
            </w:pPr>
            <w:r>
              <w:rPr>
                <w:rFonts w:ascii="Calibri" w:hAnsi="Calibri"/>
                <w:b w:val="0"/>
                <w:i w:val="0"/>
                <w:color w:val="212121"/>
                <w:sz w:val="16"/>
              </w:rPr>
              <w:t>Screens for diabetes when presbyopia is premature or near vision fluctuates</w:t>
            </w:r>
          </w:p>
        </w:tc>
        <w:tc>
          <w:tcPr>
            <w:tcW w:type="dxa" w:w="1036"/>
            <w:vAlign w:val="top"/>
          </w:tcPr>
          <w:p>
            <w:pPr>
              <w:spacing w:after="40" w:before="0" w:line="259" w:lineRule="auto"/>
            </w:pPr>
            <w:r>
              <w:rPr>
                <w:rFonts w:ascii="Calibri" w:hAnsi="Calibri"/>
                <w:b w:val="0"/>
                <w:i w:val="0"/>
                <w:color w:val="212121"/>
                <w:sz w:val="16"/>
              </w:rPr>
              <w:t>Premature presbyopia, fluctuating near vision, diabetics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Correct hyperglycaemia before finalising the reading add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Near-vision chief complaint</w:t>
            </w:r>
          </w:p>
        </w:tc>
        <w:tc>
          <w:tcPr>
            <w:tcW w:type="dxa" w:w="979"/>
            <w:vAlign w:val="top"/>
          </w:tcPr>
          <w:p>
            <w:pPr>
              <w:spacing w:after="40" w:before="0" w:line="259" w:lineRule="auto"/>
            </w:pPr>
            <w:r>
              <w:rPr>
                <w:rFonts w:ascii="Calibri" w:hAnsi="Calibri"/>
                <w:b w:val="0"/>
                <w:i w:val="0"/>
                <w:color w:val="212121"/>
                <w:sz w:val="16"/>
              </w:rPr>
              <w:t>Difficulty reading small print / phone; holding material farther away; worse in dim light or when tired</w:t>
            </w:r>
          </w:p>
        </w:tc>
        <w:tc>
          <w:tcPr>
            <w:tcW w:type="dxa" w:w="950"/>
            <w:vAlign w:val="top"/>
          </w:tcPr>
          <w:p>
            <w:pPr>
              <w:spacing w:after="40" w:before="0" w:line="259" w:lineRule="auto"/>
            </w:pPr>
            <w:r>
              <w:rPr>
                <w:rFonts w:ascii="Calibri" w:hAnsi="Calibri"/>
                <w:b w:val="0"/>
                <w:i w:val="0"/>
                <w:color w:val="212121"/>
                <w:sz w:val="16"/>
              </w:rPr>
              <w:t>No near difficulty</w:t>
            </w:r>
          </w:p>
        </w:tc>
        <w:tc>
          <w:tcPr>
            <w:tcW w:type="dxa" w:w="950"/>
            <w:vAlign w:val="top"/>
          </w:tcPr>
          <w:p>
            <w:pPr>
              <w:spacing w:after="40" w:before="0" w:line="259" w:lineRule="auto"/>
            </w:pPr>
            <w:r>
              <w:rPr>
                <w:rFonts w:ascii="Calibri" w:hAnsi="Calibri"/>
                <w:b w:val="0"/>
                <w:i w:val="0"/>
                <w:color w:val="212121"/>
                <w:sz w:val="16"/>
              </w:rPr>
              <w:t>Progressive near blur and eyestrain from the 40s</w:t>
            </w:r>
          </w:p>
        </w:tc>
        <w:tc>
          <w:tcPr>
            <w:tcW w:type="dxa" w:w="1036"/>
            <w:vAlign w:val="top"/>
          </w:tcPr>
          <w:p>
            <w:pPr>
              <w:spacing w:after="40" w:before="0" w:line="259" w:lineRule="auto"/>
            </w:pPr>
            <w:r>
              <w:rPr>
                <w:rFonts w:ascii="Calibri" w:hAnsi="Calibri"/>
                <w:b w:val="0"/>
                <w:i w:val="0"/>
                <w:color w:val="212121"/>
                <w:sz w:val="16"/>
              </w:rPr>
              <w:t>Classic presbyopic symptom pattern</w:t>
            </w:r>
          </w:p>
        </w:tc>
        <w:tc>
          <w:tcPr>
            <w:tcW w:type="dxa" w:w="1036"/>
            <w:vAlign w:val="top"/>
          </w:tcPr>
          <w:p>
            <w:pPr>
              <w:spacing w:after="40" w:before="0" w:line="259" w:lineRule="auto"/>
            </w:pPr>
            <w:r>
              <w:rPr>
                <w:rFonts w:ascii="Calibri" w:hAnsi="Calibri"/>
                <w:b w:val="0"/>
                <w:i w:val="0"/>
                <w:color w:val="212121"/>
                <w:sz w:val="16"/>
              </w:rPr>
              <w:t>Adults 40+, near-work occupations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working distance and lighting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Age of onset &amp; progression</w:t>
            </w:r>
          </w:p>
        </w:tc>
        <w:tc>
          <w:tcPr>
            <w:tcW w:type="dxa" w:w="979"/>
            <w:vAlign w:val="top"/>
          </w:tcPr>
          <w:p>
            <w:pPr>
              <w:spacing w:after="40" w:before="0" w:line="259" w:lineRule="auto"/>
            </w:pPr>
            <w:r>
              <w:rPr>
                <w:rFonts w:ascii="Calibri" w:hAnsi="Calibri"/>
                <w:b w:val="0"/>
                <w:i w:val="0"/>
                <w:color w:val="212121"/>
                <w:sz w:val="16"/>
              </w:rPr>
              <w:t>Age symptoms began; rate of change; current reading add</w:t>
            </w:r>
          </w:p>
        </w:tc>
        <w:tc>
          <w:tcPr>
            <w:tcW w:type="dxa" w:w="950"/>
            <w:vAlign w:val="top"/>
          </w:tcPr>
          <w:p>
            <w:pPr>
              <w:spacing w:after="40" w:before="0" w:line="259" w:lineRule="auto"/>
            </w:pPr>
            <w:r>
              <w:rPr>
                <w:rFonts w:ascii="Calibri" w:hAnsi="Calibri"/>
                <w:b w:val="0"/>
                <w:i w:val="0"/>
                <w:color w:val="212121"/>
                <w:sz w:val="16"/>
              </w:rPr>
              <w:t>Onset in mid-40s, gradual</w:t>
            </w:r>
          </w:p>
        </w:tc>
        <w:tc>
          <w:tcPr>
            <w:tcW w:type="dxa" w:w="950"/>
            <w:vAlign w:val="top"/>
          </w:tcPr>
          <w:p>
            <w:pPr>
              <w:spacing w:after="40" w:before="0" w:line="259" w:lineRule="auto"/>
            </w:pPr>
            <w:r>
              <w:rPr>
                <w:rFonts w:ascii="Calibri" w:hAnsi="Calibri"/>
                <w:b w:val="0"/>
                <w:i w:val="0"/>
                <w:color w:val="212121"/>
                <w:sz w:val="16"/>
              </w:rPr>
              <w:t>Onset before ~38 to 40 (premature) or rapid change</w:t>
            </w:r>
          </w:p>
        </w:tc>
        <w:tc>
          <w:tcPr>
            <w:tcW w:type="dxa" w:w="1036"/>
            <w:vAlign w:val="top"/>
          </w:tcPr>
          <w:p>
            <w:pPr>
              <w:spacing w:after="40" w:before="0" w:line="259" w:lineRule="auto"/>
            </w:pPr>
            <w:r>
              <w:rPr>
                <w:rFonts w:ascii="Calibri" w:hAnsi="Calibri"/>
                <w:b w:val="0"/>
                <w:i w:val="0"/>
                <w:color w:val="212121"/>
                <w:sz w:val="16"/>
              </w:rPr>
              <w:t>Distinguishes age-appropriate from premature/secondary presbyopia</w:t>
            </w:r>
          </w:p>
        </w:tc>
        <w:tc>
          <w:tcPr>
            <w:tcW w:type="dxa" w:w="1036"/>
            <w:vAlign w:val="top"/>
          </w:tcPr>
          <w:p>
            <w:pPr>
              <w:spacing w:after="40" w:before="0" w:line="259" w:lineRule="auto"/>
            </w:pPr>
            <w:r>
              <w:rPr>
                <w:rFonts w:ascii="Calibri" w:hAnsi="Calibri"/>
                <w:b w:val="0"/>
                <w:i w:val="0"/>
                <w:color w:val="212121"/>
                <w:sz w:val="16"/>
              </w:rPr>
              <w:t>Younger patients with near blur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Early or rapid onset prompts a search for a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&amp; drug history</w:t>
            </w:r>
          </w:p>
        </w:tc>
        <w:tc>
          <w:tcPr>
            <w:tcW w:type="dxa" w:w="979"/>
            <w:vAlign w:val="top"/>
          </w:tcPr>
          <w:p>
            <w:pPr>
              <w:spacing w:after="40" w:before="0" w:line="259" w:lineRule="auto"/>
            </w:pPr>
            <w:r>
              <w:rPr>
                <w:rFonts w:ascii="Calibri" w:hAnsi="Calibri"/>
                <w:b w:val="0"/>
                <w:i w:val="0"/>
                <w:color w:val="212121"/>
                <w:sz w:val="16"/>
              </w:rPr>
              <w:t>Diabetes; anticholinergics, antidepressants, antihistamines, antipsychotics; prior eye surgery/trauma</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Diabetes or accommodation-reducing drugs / prior surgery present</w:t>
            </w:r>
          </w:p>
        </w:tc>
        <w:tc>
          <w:tcPr>
            <w:tcW w:type="dxa" w:w="1036"/>
            <w:vAlign w:val="top"/>
          </w:tcPr>
          <w:p>
            <w:pPr>
              <w:spacing w:after="40" w:before="0" w:line="259" w:lineRule="auto"/>
            </w:pPr>
            <w:r>
              <w:rPr>
                <w:rFonts w:ascii="Calibri" w:hAnsi="Calibri"/>
                <w:b w:val="0"/>
                <w:i w:val="0"/>
                <w:color w:val="212121"/>
                <w:sz w:val="16"/>
              </w:rPr>
              <w:t>Identifies causes of premature or secondary presbyopia</w:t>
            </w:r>
          </w:p>
        </w:tc>
        <w:tc>
          <w:tcPr>
            <w:tcW w:type="dxa" w:w="1036"/>
            <w:vAlign w:val="top"/>
          </w:tcPr>
          <w:p>
            <w:pPr>
              <w:spacing w:after="40" w:before="0" w:line="259" w:lineRule="auto"/>
            </w:pPr>
            <w:r>
              <w:rPr>
                <w:rFonts w:ascii="Calibri" w:hAnsi="Calibri"/>
                <w:b w:val="0"/>
                <w:i w:val="0"/>
                <w:color w:val="212121"/>
                <w:sz w:val="16"/>
              </w:rPr>
              <w:t>Premature presbyopia, diabetics, polypharmacy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Reconcile medications that reduce accommodation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Refractive &amp; occupational history</w:t>
            </w:r>
          </w:p>
        </w:tc>
        <w:tc>
          <w:tcPr>
            <w:tcW w:type="dxa" w:w="979"/>
            <w:vAlign w:val="top"/>
          </w:tcPr>
          <w:p>
            <w:pPr>
              <w:spacing w:after="40" w:before="0" w:line="259" w:lineRule="auto"/>
            </w:pPr>
            <w:r>
              <w:rPr>
                <w:rFonts w:ascii="Calibri" w:hAnsi="Calibri"/>
                <w:b w:val="0"/>
                <w:i w:val="0"/>
                <w:color w:val="212121"/>
                <w:sz w:val="16"/>
              </w:rPr>
              <w:t>Hyperopia/myopia, prior glasses, near-work and hobby demands</w:t>
            </w:r>
          </w:p>
        </w:tc>
        <w:tc>
          <w:tcPr>
            <w:tcW w:type="dxa" w:w="950"/>
            <w:vAlign w:val="top"/>
          </w:tcPr>
          <w:p>
            <w:pPr>
              <w:spacing w:after="40" w:before="0" w:line="259" w:lineRule="auto"/>
            </w:pPr>
            <w:r>
              <w:rPr>
                <w:rFonts w:ascii="Calibri" w:hAnsi="Calibri"/>
                <w:b w:val="0"/>
                <w:i w:val="0"/>
                <w:color w:val="212121"/>
                <w:sz w:val="16"/>
              </w:rPr>
              <w:t>Emmetropia, low near demand</w:t>
            </w:r>
          </w:p>
        </w:tc>
        <w:tc>
          <w:tcPr>
            <w:tcW w:type="dxa" w:w="950"/>
            <w:vAlign w:val="top"/>
          </w:tcPr>
          <w:p>
            <w:pPr>
              <w:spacing w:after="40" w:before="0" w:line="259" w:lineRule="auto"/>
            </w:pPr>
            <w:r>
              <w:rPr>
                <w:rFonts w:ascii="Calibri" w:hAnsi="Calibri"/>
                <w:b w:val="0"/>
                <w:i w:val="0"/>
                <w:color w:val="212121"/>
                <w:sz w:val="16"/>
              </w:rPr>
              <w:t>Hyperopia and/or high sustained near demand</w:t>
            </w:r>
          </w:p>
        </w:tc>
        <w:tc>
          <w:tcPr>
            <w:tcW w:type="dxa" w:w="1036"/>
            <w:vAlign w:val="top"/>
          </w:tcPr>
          <w:p>
            <w:pPr>
              <w:spacing w:after="40" w:before="0" w:line="259" w:lineRule="auto"/>
            </w:pPr>
            <w:r>
              <w:rPr>
                <w:rFonts w:ascii="Calibri" w:hAnsi="Calibri"/>
                <w:b w:val="0"/>
                <w:i w:val="0"/>
                <w:color w:val="212121"/>
                <w:sz w:val="16"/>
              </w:rPr>
              <w:t>Explains earlier onset and guides the target working distance</w:t>
            </w:r>
          </w:p>
        </w:tc>
        <w:tc>
          <w:tcPr>
            <w:tcW w:type="dxa" w:w="1036"/>
            <w:vAlign w:val="top"/>
          </w:tcPr>
          <w:p>
            <w:pPr>
              <w:spacing w:after="40" w:before="0" w:line="259" w:lineRule="auto"/>
            </w:pPr>
            <w:r>
              <w:rPr>
                <w:rFonts w:ascii="Calibri" w:hAnsi="Calibri"/>
                <w:b w:val="0"/>
                <w:i w:val="0"/>
                <w:color w:val="212121"/>
                <w:sz w:val="16"/>
              </w:rPr>
              <w:t>Hyperopes, tailors, IT/screen users, students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Tailor the add to the patient's main near task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Working-distance &amp; posture observation</w:t>
            </w:r>
          </w:p>
        </w:tc>
        <w:tc>
          <w:tcPr>
            <w:tcW w:type="dxa" w:w="979"/>
            <w:vAlign w:val="top"/>
          </w:tcPr>
          <w:p>
            <w:pPr>
              <w:spacing w:after="40" w:before="0" w:line="259" w:lineRule="auto"/>
            </w:pPr>
            <w:r>
              <w:rPr>
                <w:rFonts w:ascii="Calibri" w:hAnsi="Calibri"/>
                <w:b w:val="0"/>
                <w:i w:val="0"/>
                <w:color w:val="212121"/>
                <w:sz w:val="16"/>
              </w:rPr>
              <w:t>Habitual reading distance; arm's-length behaviour; head/chin posture</w:t>
            </w:r>
          </w:p>
        </w:tc>
        <w:tc>
          <w:tcPr>
            <w:tcW w:type="dxa" w:w="950"/>
            <w:vAlign w:val="top"/>
          </w:tcPr>
          <w:p>
            <w:pPr>
              <w:spacing w:after="40" w:before="0" w:line="259" w:lineRule="auto"/>
            </w:pPr>
            <w:r>
              <w:rPr>
                <w:rFonts w:ascii="Calibri" w:hAnsi="Calibri"/>
                <w:b w:val="0"/>
                <w:i w:val="0"/>
                <w:color w:val="212121"/>
                <w:sz w:val="16"/>
              </w:rPr>
              <w:t>Comfortable ~33 to 40 cm, upright</w:t>
            </w:r>
          </w:p>
        </w:tc>
        <w:tc>
          <w:tcPr>
            <w:tcW w:type="dxa" w:w="950"/>
            <w:vAlign w:val="top"/>
          </w:tcPr>
          <w:p>
            <w:pPr>
              <w:spacing w:after="40" w:before="0" w:line="259" w:lineRule="auto"/>
            </w:pPr>
            <w:r>
              <w:rPr>
                <w:rFonts w:ascii="Calibri" w:hAnsi="Calibri"/>
                <w:b w:val="0"/>
                <w:i w:val="0"/>
                <w:color w:val="212121"/>
                <w:sz w:val="16"/>
              </w:rPr>
              <w:t>Material held at arm's length; chin-up posture</w:t>
            </w:r>
          </w:p>
        </w:tc>
        <w:tc>
          <w:tcPr>
            <w:tcW w:type="dxa" w:w="1036"/>
            <w:vAlign w:val="top"/>
          </w:tcPr>
          <w:p>
            <w:pPr>
              <w:spacing w:after="40" w:before="0" w:line="259" w:lineRule="auto"/>
            </w:pPr>
            <w:r>
              <w:rPr>
                <w:rFonts w:ascii="Calibri" w:hAnsi="Calibri"/>
                <w:b w:val="0"/>
                <w:i w:val="0"/>
                <w:color w:val="212121"/>
                <w:sz w:val="16"/>
              </w:rPr>
              <w:t>Demonstrates functional impact and ergonomic strain</w:t>
            </w:r>
          </w:p>
        </w:tc>
        <w:tc>
          <w:tcPr>
            <w:tcW w:type="dxa" w:w="1036"/>
            <w:vAlign w:val="top"/>
          </w:tcPr>
          <w:p>
            <w:pPr>
              <w:spacing w:after="40" w:before="0" w:line="259" w:lineRule="auto"/>
            </w:pPr>
            <w:r>
              <w:rPr>
                <w:rFonts w:ascii="Calibri" w:hAnsi="Calibri"/>
                <w:b w:val="0"/>
                <w:i w:val="0"/>
                <w:color w:val="212121"/>
                <w:sz w:val="16"/>
              </w:rPr>
              <w:t>All presbyopes, multifocal wearers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'Trombone' lengthening of distance is typical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Response to plus reading add</w:t>
            </w:r>
          </w:p>
        </w:tc>
        <w:tc>
          <w:tcPr>
            <w:tcW w:type="dxa" w:w="979"/>
            <w:vAlign w:val="top"/>
          </w:tcPr>
          <w:p>
            <w:pPr>
              <w:spacing w:after="40" w:before="0" w:line="259" w:lineRule="auto"/>
            </w:pPr>
            <w:r>
              <w:rPr>
                <w:rFonts w:ascii="Calibri" w:hAnsi="Calibri"/>
                <w:b w:val="0"/>
                <w:i w:val="0"/>
                <w:color w:val="212121"/>
                <w:sz w:val="16"/>
              </w:rPr>
              <w:t>Near VA before vs after a trial plus lens over distance correction</w:t>
            </w:r>
          </w:p>
        </w:tc>
        <w:tc>
          <w:tcPr>
            <w:tcW w:type="dxa" w:w="950"/>
            <w:vAlign w:val="top"/>
          </w:tcPr>
          <w:p>
            <w:pPr>
              <w:spacing w:after="40" w:before="0" w:line="259" w:lineRule="auto"/>
            </w:pPr>
            <w:r>
              <w:rPr>
                <w:rFonts w:ascii="Calibri" w:hAnsi="Calibri"/>
                <w:b w:val="0"/>
                <w:i w:val="0"/>
                <w:color w:val="212121"/>
                <w:sz w:val="16"/>
              </w:rPr>
              <w:t>Near VA normalises with appropriate add</w:t>
            </w:r>
          </w:p>
        </w:tc>
        <w:tc>
          <w:tcPr>
            <w:tcW w:type="dxa" w:w="950"/>
            <w:vAlign w:val="top"/>
          </w:tcPr>
          <w:p>
            <w:pPr>
              <w:spacing w:after="40" w:before="0" w:line="259" w:lineRule="auto"/>
            </w:pPr>
            <w:r>
              <w:rPr>
                <w:rFonts w:ascii="Calibri" w:hAnsi="Calibri"/>
                <w:b w:val="0"/>
                <w:i w:val="0"/>
                <w:color w:val="212121"/>
                <w:sz w:val="16"/>
              </w:rPr>
              <w:t>Little improvement with plus - consider other pathology</w:t>
            </w:r>
          </w:p>
        </w:tc>
        <w:tc>
          <w:tcPr>
            <w:tcW w:type="dxa" w:w="1036"/>
            <w:vAlign w:val="top"/>
          </w:tcPr>
          <w:p>
            <w:pPr>
              <w:spacing w:after="40" w:before="0" w:line="259" w:lineRule="auto"/>
            </w:pPr>
            <w:r>
              <w:rPr>
                <w:rFonts w:ascii="Calibri" w:hAnsi="Calibri"/>
                <w:b w:val="0"/>
                <w:i w:val="0"/>
                <w:color w:val="212121"/>
                <w:sz w:val="16"/>
              </w:rPr>
              <w:t>Confirms presbyopia and excludes non-refractive near-vision loss</w:t>
            </w:r>
          </w:p>
        </w:tc>
        <w:tc>
          <w:tcPr>
            <w:tcW w:type="dxa" w:w="1036"/>
            <w:vAlign w:val="top"/>
          </w:tcPr>
          <w:p>
            <w:pPr>
              <w:spacing w:after="40" w:before="0" w:line="259" w:lineRule="auto"/>
            </w:pPr>
            <w:r>
              <w:rPr>
                <w:rFonts w:ascii="Calibri" w:hAnsi="Calibri"/>
                <w:b w:val="0"/>
                <w:i w:val="0"/>
                <w:color w:val="212121"/>
                <w:sz w:val="16"/>
              </w:rPr>
              <w:t>Symptomatic adults, atypical near blur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 improvement warrants cataract/retina/optic-nerve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Symptom review</w:t>
            </w:r>
          </w:p>
        </w:tc>
        <w:tc>
          <w:tcPr>
            <w:tcW w:type="dxa" w:w="950"/>
            <w:vAlign w:val="top"/>
          </w:tcPr>
          <w:p>
            <w:pPr>
              <w:spacing w:after="40" w:before="0" w:line="259" w:lineRule="auto"/>
            </w:pPr>
            <w:r>
              <w:rPr>
                <w:rFonts w:ascii="Calibri" w:hAnsi="Calibri"/>
                <w:b w:val="0"/>
                <w:i w:val="0"/>
                <w:color w:val="212121"/>
                <w:sz w:val="16"/>
              </w:rPr>
              <w:t>Asthenopia assessment</w:t>
            </w:r>
          </w:p>
        </w:tc>
        <w:tc>
          <w:tcPr>
            <w:tcW w:type="dxa" w:w="979"/>
            <w:vAlign w:val="top"/>
          </w:tcPr>
          <w:p>
            <w:pPr>
              <w:spacing w:after="40" w:before="0" w:line="259" w:lineRule="auto"/>
            </w:pPr>
            <w:r>
              <w:rPr>
                <w:rFonts w:ascii="Calibri" w:hAnsi="Calibri"/>
                <w:b w:val="0"/>
                <w:i w:val="0"/>
                <w:color w:val="212121"/>
                <w:sz w:val="16"/>
              </w:rPr>
              <w:t>Headache, eyestrain, watering, need for brighter light, intermittent near diplopia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Eyestrain and headache after near work</w:t>
            </w:r>
          </w:p>
        </w:tc>
        <w:tc>
          <w:tcPr>
            <w:tcW w:type="dxa" w:w="1036"/>
            <w:vAlign w:val="top"/>
          </w:tcPr>
          <w:p>
            <w:pPr>
              <w:spacing w:after="40" w:before="0" w:line="259" w:lineRule="auto"/>
            </w:pPr>
            <w:r>
              <w:rPr>
                <w:rFonts w:ascii="Calibri" w:hAnsi="Calibri"/>
                <w:b w:val="0"/>
                <w:i w:val="0"/>
                <w:color w:val="212121"/>
                <w:sz w:val="16"/>
              </w:rPr>
              <w:t>Characterises the symptom burden and guides correction and ergonomics</w:t>
            </w:r>
          </w:p>
        </w:tc>
        <w:tc>
          <w:tcPr>
            <w:tcW w:type="dxa" w:w="1036"/>
            <w:vAlign w:val="top"/>
          </w:tcPr>
          <w:p>
            <w:pPr>
              <w:spacing w:after="40" w:before="0" w:line="259" w:lineRule="auto"/>
            </w:pPr>
            <w:r>
              <w:rPr>
                <w:rFonts w:ascii="Calibri" w:hAnsi="Calibri"/>
                <w:b w:val="0"/>
                <w:i w:val="0"/>
                <w:color w:val="212121"/>
                <w:sz w:val="16"/>
              </w:rPr>
              <w:t>Screen users, students, fine-work occupations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Near exophoria can add intermittent diplopia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Difficulty reading small print at the usual distance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Blurred near vision for fine print, medicine labels, menus and phone text - the hallmark of presbyopia, from the early-to-mid 40s.</w:t>
            </w:r>
          </w:p>
        </w:tc>
      </w:tr>
      <w:tr>
        <w:trPr>
          <w:cantSplit/>
        </w:trPr>
        <w:tc>
          <w:tcPr>
            <w:tcW w:type="dxa" w:w="2304"/>
            <w:vAlign w:val="top"/>
          </w:tcPr>
          <w:p>
            <w:pPr>
              <w:spacing w:after="40" w:before="0" w:line="259" w:lineRule="auto"/>
            </w:pPr>
            <w:r>
              <w:rPr>
                <w:rFonts w:ascii="Calibri" w:hAnsi="Calibri"/>
                <w:b/>
                <w:i w:val="0"/>
                <w:color w:val="212121"/>
                <w:sz w:val="19"/>
              </w:rPr>
              <w:t>Holding reading material / phone at arm's length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Pushing material farther away to bring it into focus (the 'trombone' or short-arm sign) as the near point recedes.</w:t>
            </w:r>
          </w:p>
        </w:tc>
      </w:tr>
      <w:tr>
        <w:trPr>
          <w:cantSplit/>
        </w:trPr>
        <w:tc>
          <w:tcPr>
            <w:tcW w:type="dxa" w:w="2304"/>
            <w:vAlign w:val="top"/>
          </w:tcPr>
          <w:p>
            <w:pPr>
              <w:spacing w:after="40" w:before="0" w:line="259" w:lineRule="auto"/>
            </w:pPr>
            <w:r>
              <w:rPr>
                <w:rFonts w:ascii="Calibri" w:hAnsi="Calibri"/>
                <w:b/>
                <w:i w:val="0"/>
                <w:color w:val="212121"/>
                <w:sz w:val="19"/>
              </w:rPr>
              <w:t>Eyestrain and tired eyes with near work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Asthenopia during sustained reading, sewing or screen use as the ciliary muscle strains to accommodate.</w:t>
            </w:r>
          </w:p>
        </w:tc>
      </w:tr>
      <w:tr>
        <w:trPr>
          <w:cantSplit/>
        </w:trPr>
        <w:tc>
          <w:tcPr>
            <w:tcW w:type="dxa" w:w="2304"/>
            <w:vAlign w:val="top"/>
          </w:tcPr>
          <w:p>
            <w:pPr>
              <w:spacing w:after="40" w:before="0" w:line="259" w:lineRule="auto"/>
            </w:pPr>
            <w:r>
              <w:rPr>
                <w:rFonts w:ascii="Calibri" w:hAnsi="Calibri"/>
                <w:b/>
                <w:i w:val="0"/>
                <w:color w:val="212121"/>
                <w:sz w:val="19"/>
              </w:rPr>
              <w:t>Headache after prolonged near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Frontal or brow-ache developing during or after reading or close work, relieved by a suitable near correction.</w:t>
            </w:r>
          </w:p>
        </w:tc>
      </w:tr>
      <w:tr>
        <w:trPr>
          <w:cantSplit/>
        </w:trPr>
        <w:tc>
          <w:tcPr>
            <w:tcW w:type="dxa" w:w="2304"/>
            <w:vAlign w:val="top"/>
          </w:tcPr>
          <w:p>
            <w:pPr>
              <w:spacing w:after="40" w:before="0" w:line="259" w:lineRule="auto"/>
            </w:pPr>
            <w:r>
              <w:rPr>
                <w:rFonts w:ascii="Calibri" w:hAnsi="Calibri"/>
                <w:b/>
                <w:i w:val="0"/>
                <w:color w:val="212121"/>
                <w:sz w:val="19"/>
              </w:rPr>
              <w:t>Needing brighter light to read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Better near vision in strong, directed light, which increases depth of field; difficulty in dim or evening light.</w:t>
            </w:r>
          </w:p>
        </w:tc>
      </w:tr>
      <w:tr>
        <w:trPr>
          <w:cantSplit/>
        </w:trPr>
        <w:tc>
          <w:tcPr>
            <w:tcW w:type="dxa" w:w="2304"/>
            <w:vAlign w:val="top"/>
          </w:tcPr>
          <w:p>
            <w:pPr>
              <w:spacing w:after="40" w:before="0" w:line="259" w:lineRule="auto"/>
            </w:pPr>
            <w:r>
              <w:rPr>
                <w:rFonts w:ascii="Calibri" w:hAnsi="Calibri"/>
                <w:b/>
                <w:i w:val="0"/>
                <w:color w:val="212121"/>
                <w:sz w:val="19"/>
              </w:rPr>
              <w:t>Near vision worse in dim light or when tired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Symptoms fluctuate and are worse late in the day and in poor illumination (a feature of early/nocturnal presbyopia).</w:t>
            </w:r>
          </w:p>
        </w:tc>
      </w:tr>
      <w:tr>
        <w:trPr>
          <w:cantSplit/>
        </w:trPr>
        <w:tc>
          <w:tcPr>
            <w:tcW w:type="dxa" w:w="2304"/>
            <w:vAlign w:val="top"/>
          </w:tcPr>
          <w:p>
            <w:pPr>
              <w:spacing w:after="40" w:before="0" w:line="259" w:lineRule="auto"/>
            </w:pPr>
            <w:r>
              <w:rPr>
                <w:rFonts w:ascii="Calibri" w:hAnsi="Calibri"/>
                <w:b/>
                <w:i w:val="0"/>
                <w:color w:val="212121"/>
                <w:sz w:val="19"/>
              </w:rPr>
              <w:t>Delayed focusing shifting from near to far and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lag in refocusing when looking up from reading to distance and back, as accommodative flexibility falls.</w:t>
            </w:r>
          </w:p>
        </w:tc>
      </w:tr>
      <w:tr>
        <w:trPr>
          <w:cantSplit/>
        </w:trPr>
        <w:tc>
          <w:tcPr>
            <w:tcW w:type="dxa" w:w="2304"/>
            <w:vAlign w:val="top"/>
          </w:tcPr>
          <w:p>
            <w:pPr>
              <w:spacing w:after="40" w:before="0" w:line="259" w:lineRule="auto"/>
            </w:pPr>
            <w:r>
              <w:rPr>
                <w:rFonts w:ascii="Calibri" w:hAnsi="Calibri"/>
                <w:b/>
                <w:i w:val="0"/>
                <w:color w:val="212121"/>
                <w:sz w:val="19"/>
              </w:rPr>
              <w:t>Squinting to read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Narrowing the lids to create a pinhole effect and briefly sharpen near text.</w:t>
            </w:r>
          </w:p>
        </w:tc>
      </w:tr>
      <w:tr>
        <w:trPr>
          <w:cantSplit/>
        </w:trPr>
        <w:tc>
          <w:tcPr>
            <w:tcW w:type="dxa" w:w="2304"/>
            <w:vAlign w:val="top"/>
          </w:tcPr>
          <w:p>
            <w:pPr>
              <w:spacing w:after="40" w:before="0" w:line="259" w:lineRule="auto"/>
            </w:pPr>
            <w:r>
              <w:rPr>
                <w:rFonts w:ascii="Calibri" w:hAnsi="Calibri"/>
                <w:b/>
                <w:i w:val="0"/>
                <w:color w:val="212121"/>
                <w:sz w:val="19"/>
              </w:rPr>
              <w:t>Watering / intermittent blurring at near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Reflex tearing and transient blur with sustained near effort, often overlapping with dry-eye symptoms in middle age.</w:t>
            </w:r>
          </w:p>
        </w:tc>
      </w:tr>
      <w:tr>
        <w:trPr>
          <w:cantSplit/>
        </w:trPr>
        <w:tc>
          <w:tcPr>
            <w:tcW w:type="dxa" w:w="2304"/>
            <w:vAlign w:val="top"/>
          </w:tcPr>
          <w:p>
            <w:pPr>
              <w:spacing w:after="40" w:before="0" w:line="259" w:lineRule="auto"/>
            </w:pPr>
            <w:r>
              <w:rPr>
                <w:rFonts w:ascii="Calibri" w:hAnsi="Calibri"/>
                <w:b/>
                <w:i w:val="0"/>
                <w:color w:val="212121"/>
                <w:sz w:val="19"/>
              </w:rPr>
              <w:t>Intermittent double vision at near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Decompensation of near exophoria with reduced fusional reserves can cause occasional near diplopia.</w:t>
            </w:r>
          </w:p>
        </w:tc>
      </w:tr>
      <w:tr>
        <w:trPr>
          <w:cantSplit/>
        </w:trPr>
        <w:tc>
          <w:tcPr>
            <w:tcW w:type="dxa" w:w="2304"/>
            <w:vAlign w:val="top"/>
          </w:tcPr>
          <w:p>
            <w:pPr>
              <w:spacing w:after="40" w:before="0" w:line="259" w:lineRule="auto"/>
            </w:pPr>
            <w:r>
              <w:rPr>
                <w:rFonts w:ascii="Calibri" w:hAnsi="Calibri"/>
                <w:b/>
                <w:i w:val="0"/>
                <w:color w:val="212121"/>
                <w:sz w:val="19"/>
              </w:rPr>
              <w:t>Neck, shoulder or upper-back 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compensatory postures such as arm's-length reading or chin-up use of bifocal/progressive segments.</w:t>
            </w:r>
          </w:p>
        </w:tc>
      </w:tr>
      <w:tr>
        <w:trPr>
          <w:cantSplit/>
        </w:trPr>
        <w:tc>
          <w:tcPr>
            <w:tcW w:type="dxa" w:w="2304"/>
            <w:vAlign w:val="top"/>
          </w:tcPr>
          <w:p>
            <w:pPr>
              <w:spacing w:after="40" w:before="0" w:line="259" w:lineRule="auto"/>
            </w:pPr>
            <w:r>
              <w:rPr>
                <w:rFonts w:ascii="Calibri" w:hAnsi="Calibri"/>
                <w:b/>
                <w:i w:val="0"/>
                <w:color w:val="212121"/>
                <w:sz w:val="19"/>
              </w:rPr>
              <w:t>Fluctuating or rapidly changing near vision (premature)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Marked fluctuation or unusually early near blur suggests uncontrolled diabetes, medication effect or another secondary cause.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near visual acuity at 40 cm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Inability to read N6/N8 at the standard 40 cm near distance without correction.</w:t>
            </w:r>
          </w:p>
        </w:tc>
      </w:tr>
      <w:tr>
        <w:trPr>
          <w:cantSplit/>
        </w:trPr>
        <w:tc>
          <w:tcPr>
            <w:tcW w:type="dxa" w:w="3456"/>
            <w:vAlign w:val="top"/>
          </w:tcPr>
          <w:p>
            <w:pPr>
              <w:spacing w:after="40" w:before="0" w:line="259" w:lineRule="auto"/>
            </w:pPr>
            <w:r>
              <w:rPr>
                <w:rFonts w:ascii="Calibri" w:hAnsi="Calibri"/>
                <w:b/>
                <w:i w:val="0"/>
                <w:color w:val="212121"/>
                <w:sz w:val="19"/>
              </w:rPr>
              <w:t>Near vision normalises with a plus reading add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Improvement of near acuity when an appropriate convex (plus) lens is placed over the distance correction - the key diagnostic sign.</w:t>
            </w:r>
          </w:p>
        </w:tc>
      </w:tr>
      <w:tr>
        <w:trPr>
          <w:cantSplit/>
        </w:trPr>
        <w:tc>
          <w:tcPr>
            <w:tcW w:type="dxa" w:w="3456"/>
            <w:vAlign w:val="top"/>
          </w:tcPr>
          <w:p>
            <w:pPr>
              <w:spacing w:after="40" w:before="0" w:line="259" w:lineRule="auto"/>
            </w:pPr>
            <w:r>
              <w:rPr>
                <w:rFonts w:ascii="Calibri" w:hAnsi="Calibri"/>
                <w:b/>
                <w:i w:val="0"/>
                <w:color w:val="212121"/>
                <w:sz w:val="19"/>
              </w:rPr>
              <w:t>Reduced amplitude of accommodation for age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Push-up / minus-lens testing shows accommodation below the Hofstetter age-expected minimum.</w:t>
            </w:r>
          </w:p>
        </w:tc>
      </w:tr>
      <w:tr>
        <w:trPr>
          <w:cantSplit/>
        </w:trPr>
        <w:tc>
          <w:tcPr>
            <w:tcW w:type="dxa" w:w="3456"/>
            <w:vAlign w:val="top"/>
          </w:tcPr>
          <w:p>
            <w:pPr>
              <w:spacing w:after="40" w:before="0" w:line="259" w:lineRule="auto"/>
            </w:pPr>
            <w:r>
              <w:rPr>
                <w:rFonts w:ascii="Calibri" w:hAnsi="Calibri"/>
                <w:b/>
                <w:i w:val="0"/>
                <w:color w:val="212121"/>
                <w:sz w:val="19"/>
              </w:rPr>
              <w:t>Recession of the near point of accommodation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nearest point of clear focus is measurably farther from the eye than expected for age.</w:t>
            </w:r>
          </w:p>
        </w:tc>
      </w:tr>
      <w:tr>
        <w:trPr>
          <w:cantSplit/>
        </w:trPr>
        <w:tc>
          <w:tcPr>
            <w:tcW w:type="dxa" w:w="3456"/>
            <w:vAlign w:val="top"/>
          </w:tcPr>
          <w:p>
            <w:pPr>
              <w:spacing w:after="40" w:before="0" w:line="259" w:lineRule="auto"/>
            </w:pPr>
            <w:r>
              <w:rPr>
                <w:rFonts w:ascii="Calibri" w:hAnsi="Calibri"/>
                <w:b/>
                <w:i w:val="0"/>
                <w:color w:val="212121"/>
                <w:sz w:val="19"/>
              </w:rPr>
              <w:t>Longer habitual working distance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Observed arm's-length reading and lengthened working distance on examination.</w:t>
            </w:r>
          </w:p>
        </w:tc>
      </w:tr>
      <w:tr>
        <w:trPr>
          <w:cantSplit/>
        </w:trPr>
        <w:tc>
          <w:tcPr>
            <w:tcW w:type="dxa" w:w="3456"/>
            <w:vAlign w:val="top"/>
          </w:tcPr>
          <w:p>
            <w:pPr>
              <w:spacing w:after="40" w:before="0" w:line="259" w:lineRule="auto"/>
            </w:pPr>
            <w:r>
              <w:rPr>
                <w:rFonts w:ascii="Calibri" w:hAnsi="Calibri"/>
                <w:b/>
                <w:i w:val="0"/>
                <w:color w:val="212121"/>
                <w:sz w:val="19"/>
              </w:rPr>
              <w:t>Rising near-add requirement on serial refraction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plus add needed increases with age (roughly +1.00 D at 45 up to +2.50 D by 60) until it plateaus.</w:t>
            </w:r>
          </w:p>
        </w:tc>
      </w:tr>
      <w:tr>
        <w:trPr>
          <w:cantSplit/>
        </w:trPr>
        <w:tc>
          <w:tcPr>
            <w:tcW w:type="dxa" w:w="3456"/>
            <w:vAlign w:val="top"/>
          </w:tcPr>
          <w:p>
            <w:pPr>
              <w:spacing w:after="40" w:before="0" w:line="259" w:lineRule="auto"/>
            </w:pPr>
            <w:r>
              <w:rPr>
                <w:rFonts w:ascii="Calibri" w:hAnsi="Calibri"/>
                <w:b/>
                <w:i w:val="0"/>
                <w:color w:val="212121"/>
                <w:sz w:val="19"/>
              </w:rPr>
              <w:t>Reduced near fusional reserve / near exophoria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Cover testing and fusional-reserve measurement may reveal near exophoria contributing to symptoms.</w:t>
            </w:r>
          </w:p>
        </w:tc>
      </w:tr>
      <w:tr>
        <w:trPr>
          <w:cantSplit/>
        </w:trPr>
        <w:tc>
          <w:tcPr>
            <w:tcW w:type="dxa" w:w="3456"/>
            <w:vAlign w:val="top"/>
          </w:tcPr>
          <w:p>
            <w:pPr>
              <w:spacing w:after="40" w:before="0" w:line="259" w:lineRule="auto"/>
            </w:pPr>
            <w:r>
              <w:rPr>
                <w:rFonts w:ascii="Calibri" w:hAnsi="Calibri"/>
                <w:b/>
                <w:i w:val="0"/>
                <w:color w:val="212121"/>
                <w:sz w:val="19"/>
              </w:rPr>
              <w:t>Nuclear sclerosis of the lens on slit-lamp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Age-related lens hardening/opacity visible on biomicroscopy, overlapping with early cataract.</w:t>
            </w:r>
          </w:p>
        </w:tc>
      </w:tr>
      <w:tr>
        <w:trPr>
          <w:cantSplit/>
        </w:trPr>
        <w:tc>
          <w:tcPr>
            <w:tcW w:type="dxa" w:w="3456"/>
            <w:vAlign w:val="top"/>
          </w:tcPr>
          <w:p>
            <w:pPr>
              <w:spacing w:after="40" w:before="0" w:line="259" w:lineRule="auto"/>
            </w:pPr>
            <w:r>
              <w:rPr>
                <w:rFonts w:ascii="Calibri" w:hAnsi="Calibri"/>
                <w:b/>
                <w:i w:val="0"/>
                <w:color w:val="212121"/>
                <w:sz w:val="19"/>
              </w:rPr>
              <w:t>Senile miosis / reduced pupil size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Smaller resting pupil with age increases depth of field but reduces retinal illumination for near tasks in dim light.</w:t>
            </w:r>
          </w:p>
        </w:tc>
      </w:tr>
      <w:tr>
        <w:trPr>
          <w:cantSplit/>
        </w:trPr>
        <w:tc>
          <w:tcPr>
            <w:tcW w:type="dxa" w:w="3456"/>
            <w:vAlign w:val="top"/>
          </w:tcPr>
          <w:p>
            <w:pPr>
              <w:spacing w:after="40" w:before="0" w:line="259" w:lineRule="auto"/>
            </w:pPr>
            <w:r>
              <w:rPr>
                <w:rFonts w:ascii="Calibri" w:hAnsi="Calibri"/>
                <w:b/>
                <w:i w:val="0"/>
                <w:color w:val="212121"/>
                <w:sz w:val="19"/>
              </w:rPr>
              <w:t>Features of a secondary cause (premature presbyopia)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Diabetic lens changes, tonic (Adie's) pupil or third-nerve involvement causing accommodative loss in a younger patient warrant further work-up.</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near-vision impairment (blurred near vision, inability to read small print)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Asthenopia - eyestrain, tired eyes and frontal headache with near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with everyday near tasks (reading, phone use, threading, reading medicine labels)</w:t>
            </w:r>
          </w:p>
        </w:tc>
        <w:tc>
          <w:tcPr>
            <w:tcW w:type="dxa" w:w="2980"/>
            <w:vAlign w:val="top"/>
          </w:tcPr>
          <w:p>
            <w:pPr>
              <w:spacing w:after="40" w:before="0" w:line="259" w:lineRule="auto"/>
            </w:pPr>
            <w:r>
              <w:rPr>
                <w:rFonts w:ascii="Calibri" w:hAnsi="Calibri"/>
                <w:b w:val="0"/>
                <w:i w:val="0"/>
                <w:color w:val="212121"/>
                <w:sz w:val="19"/>
              </w:rPr>
              <w:t>Direct, benign and fully correctable consequences of the physiological loss of accommodation.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productivity and occupational limitation, especially in near-work trades (tailoring, weaving, fine handwork)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loss of independence and difficulty with daily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Neck, shoulder and back strain from compensatory reading postures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Problems from inaccurate over-the-counter 'ready-made' reading glasses (uncorrected astigmatism, unequal power, eyestrain)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trips and falls in the elderly when inappropriate multifocals blur the intermediate/ground view</w:t>
            </w:r>
          </w:p>
        </w:tc>
        <w:tc>
          <w:tcPr>
            <w:tcW w:type="dxa" w:w="2980"/>
            <w:vAlign w:val="top"/>
          </w:tcPr>
          <w:p>
            <w:pPr>
              <w:spacing w:after="40" w:before="0" w:line="259" w:lineRule="auto"/>
            </w:pPr>
            <w:r>
              <w:rPr>
                <w:rFonts w:ascii="Calibri" w:hAnsi="Calibri"/>
                <w:b w:val="0"/>
                <w:i w:val="0"/>
                <w:color w:val="212121"/>
                <w:sz w:val="19"/>
              </w:rPr>
              <w:t>Functional, occupational and social consequences of uncorrected or poorly corrected presbyopia - largely preventable with an accurate near correction.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loss of livelihood and economic disadvantage in near-work-dependent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Contribution to the large global and Indian burden of uncorrected near vision impairment and vision-related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Side effects of surgical/pharmacological correction - multifocal-IOL dysphotopsia (glare, halos), monovision intolerance, and pilocarpine-related brow-ache, dim vision and (rarely) retinal detachment risk</w:t>
            </w:r>
          </w:p>
        </w:tc>
        <w:tc>
          <w:tcPr>
            <w:tcW w:type="dxa" w:w="2980"/>
            <w:vAlign w:val="top"/>
          </w:tcPr>
          <w:p>
            <w:pPr>
              <w:spacing w:after="40" w:before="0" w:line="259" w:lineRule="auto"/>
            </w:pPr>
            <w:r>
              <w:rPr>
                <w:rFonts w:ascii="Calibri" w:hAnsi="Calibri"/>
                <w:b w:val="0"/>
                <w:i w:val="0"/>
                <w:color w:val="212121"/>
                <w:sz w:val="19"/>
              </w:rPr>
              <w:t>Longer-term socioeconomic and iatrogenic outcomes; ordinary presbyopia itself is non-progressive after the mid-60s and does not threaten sight.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Uncorrected hyperopia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Advances the age of symptomatic presbyopia and increases the near add required; the commonest refractive association.</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Hyperglycaemia causes lens changes and is associated with earlier, fluctuating and more marked presbyopia (shown in South Indian patients).</w:t>
            </w:r>
          </w:p>
        </w:tc>
      </w:tr>
      <w:tr>
        <w:trPr>
          <w:cantSplit/>
        </w:trPr>
        <w:tc>
          <w:tcPr>
            <w:tcW w:type="dxa" w:w="2232"/>
            <w:vAlign w:val="top"/>
          </w:tcPr>
          <w:p>
            <w:pPr>
              <w:spacing w:after="40" w:before="0" w:line="259" w:lineRule="auto"/>
            </w:pPr>
            <w:r>
              <w:rPr>
                <w:rFonts w:ascii="Calibri" w:hAnsi="Calibri"/>
                <w:b/>
                <w:i w:val="0"/>
                <w:color w:val="212121"/>
                <w:sz w:val="19"/>
              </w:rPr>
              <w:t>Age-related cataract (nuclear sclerosis)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the ageing-lens process; index myopic shift can cause temporary 'second sight' before vision declines.</w:t>
            </w:r>
          </w:p>
        </w:tc>
      </w:tr>
      <w:tr>
        <w:trPr>
          <w:cantSplit/>
        </w:trPr>
        <w:tc>
          <w:tcPr>
            <w:tcW w:type="dxa" w:w="2232"/>
            <w:vAlign w:val="top"/>
          </w:tcPr>
          <w:p>
            <w:pPr>
              <w:spacing w:after="40" w:before="0" w:line="259" w:lineRule="auto"/>
            </w:pPr>
            <w:r>
              <w:rPr>
                <w:rFonts w:ascii="Calibri" w:hAnsi="Calibri"/>
                <w:b/>
                <w:i w:val="0"/>
                <w:color w:val="212121"/>
                <w:sz w:val="19"/>
              </w:rPr>
              <w:t>Dry eye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middle-aged adults (particularly women); worsens near and reading comfort and overlaps with presbyopic symptoms.</w:t>
            </w:r>
          </w:p>
        </w:tc>
      </w:tr>
      <w:tr>
        <w:trPr>
          <w:cantSplit/>
        </w:trPr>
        <w:tc>
          <w:tcPr>
            <w:tcW w:type="dxa" w:w="2232"/>
            <w:vAlign w:val="top"/>
          </w:tcPr>
          <w:p>
            <w:pPr>
              <w:spacing w:after="40" w:before="0" w:line="259" w:lineRule="auto"/>
            </w:pPr>
            <w:r>
              <w:rPr>
                <w:rFonts w:ascii="Calibri" w:hAnsi="Calibri"/>
                <w:b/>
                <w:i w:val="0"/>
                <w:color w:val="212121"/>
                <w:sz w:val="19"/>
              </w:rPr>
              <w:t>Other uncorrected refractive errors (astigmatism, myopia)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Alter presenting age and near correction; myopes may read comfortably without an add by removing distance glasses.</w:t>
            </w:r>
          </w:p>
        </w:tc>
      </w:tr>
      <w:tr>
        <w:trPr>
          <w:cantSplit/>
        </w:trPr>
        <w:tc>
          <w:tcPr>
            <w:tcW w:type="dxa" w:w="2232"/>
            <w:vAlign w:val="top"/>
          </w:tcPr>
          <w:p>
            <w:pPr>
              <w:spacing w:after="40" w:before="0" w:line="259" w:lineRule="auto"/>
            </w:pPr>
            <w:r>
              <w:rPr>
                <w:rFonts w:ascii="Calibri" w:hAnsi="Calibri"/>
                <w:b/>
                <w:i w:val="0"/>
                <w:color w:val="212121"/>
                <w:sz w:val="19"/>
              </w:rPr>
              <w:t>Use of accommodation-reducing medications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Anticholinergics, antidepressants, antihistamines and antipsychotics reduce accommodation and can precipitate premature presbyopia.</w:t>
            </w:r>
          </w:p>
        </w:tc>
      </w:tr>
      <w:tr>
        <w:trPr>
          <w:cantSplit/>
        </w:trPr>
        <w:tc>
          <w:tcPr>
            <w:tcW w:type="dxa" w:w="2232"/>
            <w:vAlign w:val="top"/>
          </w:tcPr>
          <w:p>
            <w:pPr>
              <w:spacing w:after="40" w:before="0" w:line="259" w:lineRule="auto"/>
            </w:pPr>
            <w:r>
              <w:rPr>
                <w:rFonts w:ascii="Calibri" w:hAnsi="Calibri"/>
                <w:b/>
                <w:i w:val="0"/>
                <w:color w:val="212121"/>
                <w:sz w:val="19"/>
              </w:rPr>
              <w:t>Pseudophakia / prior ocular surgery or trauma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Produces absolute, non-accommodating near vision requiring a fixed near correction or multifocal strategy.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presbyopia is a normal, universal part of ageing (not a disease) and is fully correctable with simple near glasses.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comprehensive eye examination at age 40 and periodically thereafter, and sooner if near tasks become difficult.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obtain reading glasses after a proper refraction rather than relying on random over-the-counter 'ready-made' powers, which may cause eyestrain.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directed task lighting and hold reading material at a comfortable 33 to 40 cm; enlarge font size on phones and screens.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breaks during near and screen work (the 20-20-20 rule) to reduce eyestrain.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early-onset symptoms or rapidly changing near vision should have their eyes and blood sugar checked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Near-work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low-income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users &amp; students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near vision with reading glasses, or with bifocal or progressive (varifocal) lenses if distance correction is also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contact-lens options such as multifocal contact lenses or monovision for suitable, motivated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Update the reading prescription as the add increases with age (it typically plateaus by the mid-60s).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surgical options where appropriate (multifocal or accommodating intraocular lenses, corneal/lens-based procedures) and their trade-offs (glare, halos).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low-cost near-glasses and community/near-vision spectacle programmes to close the large unmet need, especially in rural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Rule out and treat coexisting cataract, dry eye or diabetic lens changes when they contribute to near difficulty.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presbyopes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Hyperopes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Near-work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low-income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Pseudophakic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physical activity does not prevent presbyopia but supports general and eye health and helps control diabetes, which protects the lens.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short movement and distance-gazing breaks during long periods of near or screen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general fitness and weight to reduce diabetes and vascular risk that can worsen lens ageing.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&amp;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screen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green leafy vegetables, fruits and sources of vitamins C and E and carotenoids to support lens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through diet (limit refined carbohydrate and sugary drinks) to reduce hyperglycaemic lens changes.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micronutrients and avoid malnutrition, which is linked to premature presbyopia.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support the tear film and reduce coexisting dry-eye discomfort during reading.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Poor-nutrition / low-income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Dry-eye sufferers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adequate, good-quality sleep, since fatigue worsens near-work eyestrain and makes early presbyopic symptoms more noticeable.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close screen use in dim light late at night, which aggravates asthenopia.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Blink fully and take breaks during evening reading to reduce tired, watering eyes.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users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eyestrain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oxidative stress that accelerates lens ageing and cataract and may bring on presbyopia earlier.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adds to ocular-surface irritation and oxidative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smoking cessation with regular eye checks, especially from age 40.</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&amp; indoor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heavy use harms nutrition and general ocular and systemic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combined with poor diet, which can contribute to nutritional causes of premature presbyopia.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presbyopia is benign, expected with age and readily corrected, to relieve anxiety about failing sight.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frustration and reduced productivity of uncorrected near vision by ensuring an accurate, comfortable near correction.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adaptation to bifocals/progressives or monovision, and review if the correction is causing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restoring near vision improves independence, work capacity and quality of life, especially in near-work occupations.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presbyopic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Near-work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adapting to multifocals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near disability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1007213/" TargetMode="External"/><Relationship Id="rId10" Type="http://schemas.openxmlformats.org/officeDocument/2006/relationships/hyperlink" Target="https://eyewiki.aao.org/Presbyopia" TargetMode="External"/><Relationship Id="rId11" Type="http://schemas.openxmlformats.org/officeDocument/2006/relationships/hyperlink" Target="https://pubmed.ncbi.nlm.nih.gov/39246672/" TargetMode="External"/><Relationship Id="rId12" Type="http://schemas.openxmlformats.org/officeDocument/2006/relationships/hyperlink" Target="https://www.who.int/news-room/fact-sheets/detail/blindness-and-visual-impairment" TargetMode="External"/><Relationship Id="rId13" Type="http://schemas.openxmlformats.org/officeDocument/2006/relationships/hyperlink" Target="https://pubmed.ncbi.nlm.nih.gov/16723440/" TargetMode="External"/><Relationship Id="rId14" Type="http://schemas.openxmlformats.org/officeDocument/2006/relationships/hyperlink" Target="https://pubmed.ncbi.nlm.nih.gov/22276902/" TargetMode="External"/><Relationship Id="rId15" Type="http://schemas.openxmlformats.org/officeDocument/2006/relationships/hyperlink" Target="https://pubmed.ncbi.nlm.nih.gov/38594155/" TargetMode="External"/><Relationship Id="rId16" Type="http://schemas.openxmlformats.org/officeDocument/2006/relationships/hyperlink" Target="https://pubmed.ncbi.nlm.nih.gov/34708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