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Conjunctivitis</w:t>
      </w:r>
    </w:p>
    <w:p>
      <w:pPr>
        <w:spacing w:before="0" w:after="160"/>
      </w:pPr>
      <w:r>
        <w:rPr>
          <w:rFonts w:ascii="Calibri" w:hAnsi="Calibri"/>
          <w:b/>
          <w:i w:val="0"/>
          <w:color w:val="212121"/>
          <w:sz w:val="22"/>
        </w:rPr>
        <w:t xml:space="preserve">AKA </w:t>
      </w:r>
      <w:r>
        <w:rPr>
          <w:rFonts w:ascii="Calibri" w:hAnsi="Calibri"/>
          <w:b w:val="0"/>
          <w:i w:val="0"/>
          <w:color w:val="212121"/>
          <w:sz w:val="22"/>
        </w:rPr>
        <w:t>i.e., Pink eye, Sore eyes, Red eye, 'Madras eye' / 'Joy Bangla' (epidemic viral conjunctivitis), Aankh aana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Conjunctivitis is inflammation of the conjunctiva — the thin, transparent mucous membrane that lines the inner surface of the eyelids and covers the white of the eye (sclera). It typically presents with conjunctival redness (hyperaemia), discharge, watering, grittiness and irritation, with vision usually preserved. It is broadly classified by cause into infectious (viral, bacterial) and non-infectious (allergic, irritant/toxic) forms; viral and allergic types are commonest overall, whereas bacterial forms predominate in young children.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Conjunctivitis ('pink eye') is among the most frequent reasons for primary eye-care visits in India across all age groups. Allergic eye disease is particularly common: a community-based Indian study (EPIC-VKC) reported a combined prevalence of allergic eye disease and vernal keratoconjunctivitis of about 4.98%, while allergic rhinoconjunctivitis affects roughly 3.9% of children aged 6–7 years and 10.9% of those aged 13–14 years. Seasonal epidemics of acute viral conjunctivitis — colloquially the 'Madras eye' — recur during the humid monsoon months; the large 2023 outbreak (driven largely by coxsackievirus A24) spread across several states including Maharashtra (~30% of reported cases) and Gujarat (~21%).</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Conjunctivitis is a clinical diagnosis based on history and torchlight/slit-lamp examination; laboratory testing is reserved for severe, hyperacute, chronic, recurrent, neonatal or treatment-resistant cases. The cause is inferred from the pattern of the following features: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Bacterial: mucopurulent or purulent discharge with morning matting/gluing of the lids, a papillary conjunctival reaction, and minimal itching; more common in young children.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Viral: acute onset with watery discharge, a follicular reaction, an ipsilateral tender pre-auricular lymph node, frequent recent upper-respiratory infection or contact, and typically starting in one eye then involving the second within 1–2 days.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Allergic: bilateral intense itching (the hallmark), ropey/stringy mucoid discharge, chemosis, conjunctival papillae/cobblestoning, and a personal or family history of atopy; no pre-auricular node.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Neonatal (ophthalmia neonatorum): any conjunctivitis within the first 28 days of life requires urgent work-up for gonococcal and chlamydial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Red-flag features requiring same-day ophthalmology referral: reduced visual acuity, severe pain, marked photophobia, ciliary/circumcorneal injection, corneal opacity or fluorescein staining, fixed/irregular pupil, or contact-lens-related disease — these suggest keratitis or other serious pathology rather than simple conjunctivitis.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Conjunctivitis is classified by aetiology into infectious and non-infectious categories, with several clinically important subtypes:</w:t>
      </w:r>
    </w:p>
    <w:p>
      <w:pPr>
        <w:spacing w:before="0" w:after="80"/>
      </w:pPr>
      <w:r>
        <w:rPr>
          <w:rFonts w:ascii="Calibri" w:hAnsi="Calibri"/>
          <w:b w:val="0"/>
          <w:i w:val="0"/>
          <w:color w:val="212121"/>
          <w:sz w:val="21"/>
        </w:rPr>
        <w:t>(1) Viral conjunctivitis — the commonest infectious form. Adenovirus predominates (up to ~90% of viral cases), producing sporadic pink eye, pharyngoconjunctival fever (types 3, 4, 7) and epidemic keratoconjunctivitis (types 8, 19, 37). Acute haemorrhagic conjunctivitis is caused by enteroviruses/coxsackievirus A24 and picornaviruses; herpes simplex and varicella-zoster are less common. Highly contagious for ~10–14 days.</w:t>
      </w:r>
    </w:p>
    <w:p>
      <w:pPr>
        <w:spacing w:before="0" w:after="80"/>
      </w:pPr>
      <w:r>
        <w:rPr>
          <w:rFonts w:ascii="Calibri" w:hAnsi="Calibri"/>
          <w:b w:val="0"/>
          <w:i w:val="0"/>
          <w:color w:val="212121"/>
          <w:sz w:val="21"/>
        </w:rPr>
        <w:t>(2) Bacterial conjunctivitis — usually due to Staphylococcus aureus, Streptococcus pneumoniae and Haemophilus influenzae. Hyperacute purulent disease is caused by Neisseria gonorrhoeae; chronic follicular disease is caused by Chlamydia trachomatis (serovars D–K, inclusion conjunctivitis; serovars A–C, trachoma). More frequent in children.</w:t>
      </w:r>
    </w:p>
    <w:p>
      <w:pPr>
        <w:spacing w:before="0" w:after="80"/>
      </w:pPr>
      <w:r>
        <w:rPr>
          <w:rFonts w:ascii="Calibri" w:hAnsi="Calibri"/>
          <w:b w:val="0"/>
          <w:i w:val="0"/>
          <w:color w:val="212121"/>
          <w:sz w:val="21"/>
        </w:rPr>
        <w:t>(3) Allergic conjunctivitis — an IgE-mediated hypersensitivity. Subtypes: Seasonal (SAC) and Perennial (PAC) allergic conjunctivitis; Vernal keratoconjunctivitis (VKC — boys aged 5–10, hot dry climates); Atopic keratoconjunctivitis (AKC — adults 30–50); and Giant papillary conjunctivitis (contact-lens / ocular-prosthesis related).</w:t>
      </w:r>
    </w:p>
    <w:p>
      <w:pPr>
        <w:spacing w:before="0" w:after="80"/>
      </w:pPr>
      <w:r>
        <w:rPr>
          <w:rFonts w:ascii="Calibri" w:hAnsi="Calibri"/>
          <w:b w:val="0"/>
          <w:i w:val="0"/>
          <w:color w:val="212121"/>
          <w:sz w:val="21"/>
        </w:rPr>
        <w:t>(4) Irritant / toxic and other — chemical splashes, air pollution and smoke, chlorine, drug-induced (medicamentosa), foreign body, and cicatricial (scarring) forms.</w:t>
      </w:r>
    </w:p>
    <w:p>
      <w:pPr>
        <w:spacing w:before="0" w:after="80"/>
      </w:pPr>
      <w:r>
        <w:rPr>
          <w:rFonts w:ascii="Calibri" w:hAnsi="Calibri"/>
          <w:b w:val="0"/>
          <w:i w:val="0"/>
          <w:color w:val="212121"/>
          <w:sz w:val="21"/>
        </w:rPr>
        <w:t>(5) Neonatal conjunctivitis (ophthalmia neonatorum) — occurring in the first month of life; chemical, gonococcal, chlamydial or other bacterial in origin, transmitted from the maternal genital tract during delivery.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Viral infection: Adenovirus accounts for the majority; enterovirus/coxsackievirus A24 causes acute haemorrhagic ('Madras eye') epidemics, with HSV and VZV less common. Spread by direct contact, fomites and respiratory droplets.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Bacterial infection: Staphylococcus aureus, Streptococcus pneumoniae and Haemophilus influenzae are usual; Neisseria gonorrhoeae causes hyperacute disease and Chlamydia trachomatis causes inclusion conjunctivitis and trachoma.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Allergic hypersensitivity: IgE-mediated mast-cell degranulation in response to pollen, house-dust mite, mould and animal dander underlies SAC, PAC, VKC and AKC.</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Environmental irritants: Air pollution (PM2.5), tobacco and biomass smoke, dust, chlorine, chemicals and UV directly inflame the ocular surface — an important driver in urban India.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Contact lens wear: Mechanical trauma, hypoxia and poor lens hygiene cause giant papillary conjunctivitis and raise the risk of sight-threatening microbial keratitis.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Poor hygiene and crowding: Shared towels/linen, unwashed hands, eye-rubbing, and overcrowded households and schools facilitate epidemic transmission.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Maternal genital infection: Untreated gonococcal or chlamydial infection transmitted during vaginal delivery causes ophthalmia neonatorum.</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(school-age)</w:t>
            </w:r>
          </w:p>
        </w:tc>
        <w:tc>
          <w:tcPr>
            <w:tcW w:type="dxa" w:w="4276"/>
            <w:vAlign w:val="top"/>
          </w:tcPr>
          <w:p>
            <w:pPr>
              <w:spacing w:after="60" w:line="259" w:lineRule="auto"/>
            </w:pPr>
            <w:r>
              <w:rPr>
                <w:rFonts w:ascii="Calibri" w:hAnsi="Calibri"/>
                <w:b w:val="0"/>
                <w:i w:val="0"/>
                <w:color w:val="212121"/>
                <w:sz w:val="19"/>
              </w:rPr>
              <w:t>Bacterial conjunctivitis and vernal keratoconjunctivitis are concentrated in childhood. Close contact in schools, frequent hand-to-eye touching and immature hygiene habits promote transmission, while VKC classically flares in prepubertal children.</w:t>
            </w:r>
          </w:p>
          <w:p>
            <w:pPr>
              <w:spacing w:after="40" w:before="60" w:line="259" w:lineRule="auto"/>
            </w:pPr>
            <w:r>
              <w:rPr>
                <w:rFonts w:ascii="Calibri" w:hAnsi="Calibri"/>
                <w:b w:val="0"/>
                <w:i w:val="0"/>
                <w:color w:val="212121"/>
                <w:sz w:val="19"/>
              </w:rPr>
              <w:t>Bacterial conjunctivitis is more common in children than adults; vernal keratoconjunctivitis characteristically peaks between ages 5 and 10.</w:t>
            </w:r>
          </w:p>
          <w:p>
            <w:pPr>
              <w:spacing w:after="40" w:line="252" w:lineRule="auto"/>
            </w:pPr>
            <w:hyperlink r:id="rId9">
              <w:r>
                <w:rPr>
                  <w:rFonts w:ascii="Calibri" w:hAnsi="Calibri" w:cs="Calibri"/>
                  <w:sz w:val="18"/>
                  <w:color w:val="1155CC"/>
                  <w:u w:val="single"/>
                </w:rPr>
                <w:t xml:space="preserve">ncbi.nlm.nih.gov — Allergic Conjunctivitis (StatPearls)</w:t>
              </w:r>
            </w:hyperlink>
          </w:p>
          <w:p>
            <w:pPr>
              <w:spacing w:before="60" w:after="40"/>
            </w:pPr>
            <w:r>
              <w:rPr>
                <w:rFonts w:ascii="Calibri" w:hAnsi="Calibri"/>
                <w:b w:val="0"/>
                <w:i w:val="0"/>
                <w:color w:val="5A5A5A"/>
                <w:sz w:val="18"/>
              </w:rPr>
              <w:t>#pinkeye  #schoolchildren  #VKC  #handhygiene  #contagious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Viral and allergic forms predominate in adults through workplace and commuting exposure, crowded public transport, contact-lens wear and pollution. Adenoviral 'pink eye' spreads readily in offices and households.</w:t>
            </w:r>
          </w:p>
          <w:p>
            <w:pPr>
              <w:spacing w:after="40" w:before="60" w:line="259" w:lineRule="auto"/>
            </w:pPr>
            <w:r>
              <w:rPr>
                <w:rFonts w:ascii="Calibri" w:hAnsi="Calibri"/>
                <w:b w:val="0"/>
                <w:i w:val="0"/>
                <w:color w:val="212121"/>
                <w:sz w:val="19"/>
              </w:rPr>
              <w:t>Viral aetiology accounts for up to ~80% of acute infectious conjunctivitis, and up to ~90% of viral cases are caused by adenoviruses.</w:t>
            </w:r>
          </w:p>
          <w:p>
            <w:pPr>
              <w:spacing w:after="40" w:line="252" w:lineRule="auto"/>
            </w:pPr>
            <w:hyperlink r:id="rId10">
              <w:r>
                <w:rPr>
                  <w:rFonts w:ascii="Calibri" w:hAnsi="Calibri" w:cs="Calibri"/>
                  <w:sz w:val="18"/>
                  <w:color w:val="1155CC"/>
                  <w:u w:val="single"/>
                </w:rPr>
                <w:t xml:space="preserve">ncbi.nlm.nih.gov — Viral Conjunctivitis (StatPearls)</w:t>
              </w:r>
            </w:hyperlink>
          </w:p>
          <w:p>
            <w:pPr>
              <w:spacing w:before="60" w:after="40"/>
            </w:pPr>
            <w:r>
              <w:rPr>
                <w:rFonts w:ascii="Calibri" w:hAnsi="Calibri"/>
                <w:b w:val="0"/>
                <w:i w:val="0"/>
                <w:color w:val="5A5A5A"/>
                <w:sz w:val="18"/>
              </w:rPr>
              <w:t>#adenovirus  #viral  #contactlens  #workplace  #pollution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Age-related tear-film instability (dry eye), lid-margin disease (blepharitis) and immune senescence make older adults prone to bacterial and irritant conjunctivitis and to more protracted, recurrent episodes.</w:t>
            </w:r>
          </w:p>
          <w:p>
            <w:pPr>
              <w:spacing w:after="40" w:before="60" w:line="259" w:lineRule="auto"/>
            </w:pPr>
            <w:r>
              <w:rPr>
                <w:rFonts w:ascii="Calibri" w:hAnsi="Calibri"/>
                <w:b w:val="0"/>
                <w:i w:val="0"/>
                <w:color w:val="212121"/>
                <w:sz w:val="19"/>
              </w:rPr>
              <w:t>Reduced tear production and chronic blepharitis in the elderly predispose to secondary bacterial conjunctivitis and a blurred picture with coexisting dry eye.</w:t>
            </w:r>
          </w:p>
          <w:p>
            <w:pPr>
              <w:spacing w:before="60" w:after="40"/>
            </w:pPr>
            <w:r>
              <w:rPr>
                <w:rFonts w:ascii="Calibri" w:hAnsi="Calibri"/>
                <w:b w:val="0"/>
                <w:i w:val="0"/>
                <w:color w:val="5A5A5A"/>
                <w:sz w:val="18"/>
              </w:rPr>
              <w:t>#elderly  #dryeye  #blepharitis  #tearfilm  #recurrent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children (VKC)</w:t>
            </w:r>
          </w:p>
        </w:tc>
        <w:tc>
          <w:tcPr>
            <w:tcW w:type="dxa" w:w="4276"/>
            <w:vAlign w:val="top"/>
          </w:tcPr>
          <w:p>
            <w:pPr>
              <w:spacing w:after="60" w:line="259" w:lineRule="auto"/>
            </w:pPr>
            <w:r>
              <w:rPr>
                <w:rFonts w:ascii="Calibri" w:hAnsi="Calibri"/>
                <w:b w:val="0"/>
                <w:i w:val="0"/>
                <w:color w:val="212121"/>
                <w:sz w:val="19"/>
              </w:rPr>
              <w:t>Vernal keratoconjunctivitis shows a clear male predominance in the prepubertal years, thought to reflect hormonal and immune influences on the allergic ocular surface.</w:t>
            </w:r>
          </w:p>
          <w:p>
            <w:pPr>
              <w:spacing w:after="40" w:before="60" w:line="259" w:lineRule="auto"/>
            </w:pPr>
            <w:r>
              <w:rPr>
                <w:rFonts w:ascii="Calibri" w:hAnsi="Calibri"/>
                <w:b w:val="0"/>
                <w:i w:val="0"/>
                <w:color w:val="212121"/>
                <w:sz w:val="19"/>
              </w:rPr>
              <w:t>VKC has a male-to-female ratio of about 2–3:1 in childhood.</w:t>
            </w:r>
          </w:p>
          <w:p>
            <w:pPr>
              <w:spacing w:after="40" w:line="252" w:lineRule="auto"/>
            </w:pPr>
            <w:hyperlink r:id="rId9">
              <w:r>
                <w:rPr>
                  <w:rFonts w:ascii="Calibri" w:hAnsi="Calibri" w:cs="Calibri"/>
                  <w:sz w:val="18"/>
                  <w:color w:val="1155CC"/>
                  <w:u w:val="single"/>
                </w:rPr>
                <w:t xml:space="preserve">ncbi.nlm.nih.gov — Allergic Conjunctivitis (StatPearls)</w:t>
              </w:r>
            </w:hyperlink>
          </w:p>
          <w:p>
            <w:pPr>
              <w:spacing w:before="60" w:after="40"/>
            </w:pPr>
            <w:r>
              <w:rPr>
                <w:rFonts w:ascii="Calibri" w:hAnsi="Calibri"/>
                <w:b w:val="0"/>
                <w:i w:val="0"/>
                <w:color w:val="5A5A5A"/>
                <w:sz w:val="18"/>
              </w:rPr>
              <w:t>#VKC  #boys  #atopy  #cobblestone  #shieldulcer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overcrowded households</w:t>
            </w:r>
          </w:p>
        </w:tc>
        <w:tc>
          <w:tcPr>
            <w:tcW w:type="dxa" w:w="4276"/>
            <w:vAlign w:val="top"/>
          </w:tcPr>
          <w:p>
            <w:pPr>
              <w:spacing w:after="60" w:line="259" w:lineRule="auto"/>
            </w:pPr>
            <w:r>
              <w:rPr>
                <w:rFonts w:ascii="Calibri" w:hAnsi="Calibri"/>
                <w:b w:val="0"/>
                <w:i w:val="0"/>
                <w:color w:val="212121"/>
                <w:sz w:val="19"/>
              </w:rPr>
              <w:t>Overcrowding, shared towels and bedding, limited water for face and hand washing, and reduced access to eye care accelerate spread of infectious conjunctivitis and historically sustained blinding trachoma.</w:t>
            </w:r>
          </w:p>
          <w:p>
            <w:pPr>
              <w:spacing w:after="40" w:before="60" w:line="259" w:lineRule="auto"/>
            </w:pPr>
            <w:r>
              <w:rPr>
                <w:rFonts w:ascii="Calibri" w:hAnsi="Calibri"/>
                <w:b w:val="0"/>
                <w:i w:val="0"/>
                <w:color w:val="212121"/>
                <w:sz w:val="19"/>
              </w:rPr>
              <w:t>India was validated by WHO as having eliminated trachoma (chronic chlamydial conjunctivitis) as a public health problem in October 2024, reflecting sustained gains in hygiene, sanitation and antibiotic access.</w:t>
            </w:r>
          </w:p>
          <w:p>
            <w:pPr>
              <w:spacing w:after="40" w:line="252" w:lineRule="auto"/>
            </w:pPr>
            <w:hyperlink r:id="rId11">
              <w:r>
                <w:rPr>
                  <w:rFonts w:ascii="Calibri" w:hAnsi="Calibri" w:cs="Calibri"/>
                  <w:sz w:val="18"/>
                  <w:color w:val="1155CC"/>
                  <w:u w:val="single"/>
                </w:rPr>
                <w:t xml:space="preserve">pubmed.ncbi.nlm.nih.gov/39389595 — India eliminates trachoma (BMJ 2024)</w:t>
              </w:r>
            </w:hyperlink>
          </w:p>
          <w:p>
            <w:pPr>
              <w:spacing w:before="60" w:after="40"/>
            </w:pPr>
            <w:r>
              <w:rPr>
                <w:rFonts w:ascii="Calibri" w:hAnsi="Calibri"/>
                <w:b w:val="0"/>
                <w:i w:val="0"/>
                <w:color w:val="5A5A5A"/>
                <w:sz w:val="18"/>
              </w:rPr>
              <w:t>#trachoma  #overcrowding  #sanitation  #WASH  #chlamydia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Hot, dry, dusty regions of India</w:t>
            </w:r>
          </w:p>
        </w:tc>
        <w:tc>
          <w:tcPr>
            <w:tcW w:type="dxa" w:w="4276"/>
            <w:vAlign w:val="top"/>
          </w:tcPr>
          <w:p>
            <w:pPr>
              <w:spacing w:after="60" w:line="259" w:lineRule="auto"/>
            </w:pPr>
            <w:r>
              <w:rPr>
                <w:rFonts w:ascii="Calibri" w:hAnsi="Calibri"/>
                <w:b w:val="0"/>
                <w:i w:val="0"/>
                <w:color w:val="212121"/>
                <w:sz w:val="19"/>
              </w:rPr>
              <w:t>Vernal keratoconjunctivitis is strongly climate-linked, clustering in the hot, dry, dusty and sunny belts of north, central and western India where perennial allergen and UV exposure is high.</w:t>
            </w:r>
          </w:p>
          <w:p>
            <w:pPr>
              <w:spacing w:after="40" w:before="60" w:line="259" w:lineRule="auto"/>
            </w:pPr>
            <w:r>
              <w:rPr>
                <w:rFonts w:ascii="Calibri" w:hAnsi="Calibri"/>
                <w:b w:val="0"/>
                <w:i w:val="0"/>
                <w:color w:val="212121"/>
                <w:sz w:val="19"/>
              </w:rPr>
              <w:t>A community study in India found a combined prevalence of allergic eye disease and VKC of about 4.98%.</w:t>
            </w:r>
          </w:p>
          <w:p>
            <w:pPr>
              <w:spacing w:after="40" w:line="252" w:lineRule="auto"/>
            </w:pPr>
            <w:hyperlink r:id="rId12">
              <w:r>
                <w:rPr>
                  <w:rFonts w:ascii="Calibri" w:hAnsi="Calibri" w:cs="Calibri"/>
                  <w:sz w:val="18"/>
                  <w:color w:val="1155CC"/>
                  <w:u w:val="single"/>
                </w:rPr>
                <w:t xml:space="preserve">pubmed.ncbi.nlm.nih.gov/39743044 — EPIC-VKC study (Ocular Surface 2025)</w:t>
              </w:r>
            </w:hyperlink>
          </w:p>
          <w:p>
            <w:pPr>
              <w:spacing w:before="60" w:after="40"/>
            </w:pPr>
            <w:r>
              <w:rPr>
                <w:rFonts w:ascii="Calibri" w:hAnsi="Calibri"/>
                <w:b w:val="0"/>
                <w:i w:val="0"/>
                <w:color w:val="5A5A5A"/>
                <w:sz w:val="18"/>
              </w:rPr>
              <w:t>#VKC  #tropical  #dust  #UV  #allergiceyedisease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(urban pollution)</w:t>
            </w:r>
          </w:p>
        </w:tc>
        <w:tc>
          <w:tcPr>
            <w:tcW w:type="dxa" w:w="2160"/>
            <w:vAlign w:val="top"/>
          </w:tcPr>
          <w:p>
            <w:pPr>
              <w:spacing w:after="40" w:before="0" w:line="259" w:lineRule="auto"/>
            </w:pPr>
            <w:r>
              <w:rPr>
                <w:rFonts w:ascii="Calibri" w:hAnsi="Calibri"/>
                <w:b w:val="0"/>
                <w:i w:val="0"/>
                <w:color w:val="212121"/>
                <w:sz w:val="19"/>
              </w:rPr>
              <w:t>Delhi-NCR and metro residents</w:t>
            </w:r>
          </w:p>
        </w:tc>
        <w:tc>
          <w:tcPr>
            <w:tcW w:type="dxa" w:w="4276"/>
            <w:vAlign w:val="top"/>
          </w:tcPr>
          <w:p>
            <w:pPr>
              <w:spacing w:after="60" w:line="259" w:lineRule="auto"/>
            </w:pPr>
            <w:r>
              <w:rPr>
                <w:rFonts w:ascii="Calibri" w:hAnsi="Calibri"/>
                <w:b w:val="0"/>
                <w:i w:val="0"/>
                <w:color w:val="212121"/>
                <w:sz w:val="19"/>
              </w:rPr>
              <w:t>High ambient PM2.5, vehicular and construction dust, and elevated pollen load in Indian metros directly irritate the ocular surface and worsen both allergic and irritant conjunctivitis, especially during high-AQI winter smog.</w:t>
            </w:r>
          </w:p>
          <w:p>
            <w:pPr>
              <w:spacing w:after="40" w:before="60" w:line="259" w:lineRule="auto"/>
            </w:pPr>
            <w:r>
              <w:rPr>
                <w:rFonts w:ascii="Calibri" w:hAnsi="Calibri"/>
                <w:b w:val="0"/>
                <w:i w:val="0"/>
                <w:color w:val="212121"/>
                <w:sz w:val="19"/>
              </w:rPr>
              <w:t>Chronic exposure to particulate air pollution is a recognised driver of ocular-surface inflammation and allergic eye symptoms in urban Indian populations.</w:t>
            </w:r>
          </w:p>
          <w:p>
            <w:pPr>
              <w:spacing w:before="60" w:after="40"/>
            </w:pPr>
            <w:r>
              <w:rPr>
                <w:rFonts w:ascii="Calibri" w:hAnsi="Calibri"/>
                <w:b w:val="0"/>
                <w:i w:val="0"/>
                <w:color w:val="5A5A5A"/>
                <w:sz w:val="18"/>
              </w:rPr>
              <w:t>#pollution  #PM25  #AQI  #urbanindia  #irritant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Seasonality</w:t>
            </w:r>
          </w:p>
        </w:tc>
        <w:tc>
          <w:tcPr>
            <w:tcW w:type="dxa" w:w="2160"/>
            <w:vAlign w:val="top"/>
          </w:tcPr>
          <w:p>
            <w:pPr>
              <w:spacing w:after="40" w:before="0" w:line="259" w:lineRule="auto"/>
            </w:pPr>
            <w:r>
              <w:rPr>
                <w:rFonts w:ascii="Calibri" w:hAnsi="Calibri"/>
                <w:b w:val="0"/>
                <w:i w:val="0"/>
                <w:color w:val="212121"/>
                <w:sz w:val="19"/>
              </w:rPr>
              <w:t>Monsoon / humid-season populations</w:t>
            </w:r>
          </w:p>
        </w:tc>
        <w:tc>
          <w:tcPr>
            <w:tcW w:type="dxa" w:w="4276"/>
            <w:vAlign w:val="top"/>
          </w:tcPr>
          <w:p>
            <w:pPr>
              <w:spacing w:after="60" w:line="259" w:lineRule="auto"/>
            </w:pPr>
            <w:r>
              <w:rPr>
                <w:rFonts w:ascii="Calibri" w:hAnsi="Calibri"/>
                <w:b w:val="0"/>
                <w:i w:val="0"/>
                <w:color w:val="212121"/>
                <w:sz w:val="19"/>
              </w:rPr>
              <w:t>Warm, humid and crowded monsoon conditions favour explosive person-to-person spread of acute viral (and haemorrhagic) conjunctivitis — the classic seasonal 'Madras eye' epidemics.</w:t>
            </w:r>
          </w:p>
          <w:p>
            <w:pPr>
              <w:spacing w:after="40" w:before="60" w:line="259" w:lineRule="auto"/>
            </w:pPr>
            <w:r>
              <w:rPr>
                <w:rFonts w:ascii="Calibri" w:hAnsi="Calibri"/>
                <w:b w:val="0"/>
                <w:i w:val="0"/>
                <w:color w:val="212121"/>
                <w:sz w:val="19"/>
              </w:rPr>
              <w:t>The 2023 Indian pink-eye outbreak was linked to humid weather and spread across states including Maharashtra (~30%) and Gujarat (~21%), with coxsackievirus A24 as a leading cause.</w:t>
            </w:r>
          </w:p>
          <w:p>
            <w:pPr>
              <w:spacing w:after="40" w:line="252" w:lineRule="auto"/>
            </w:pPr>
            <w:hyperlink r:id="rId13">
              <w:r>
                <w:rPr>
                  <w:rFonts w:ascii="Calibri" w:hAnsi="Calibri" w:cs="Calibri"/>
                  <w:sz w:val="18"/>
                  <w:color w:val="1155CC"/>
                  <w:u w:val="single"/>
                </w:rPr>
                <w:t xml:space="preserve">pubmed.ncbi.nlm.nih.gov/39039676 — India's 2023 conjunctivitis outbreak</w:t>
              </w:r>
            </w:hyperlink>
          </w:p>
          <w:p>
            <w:pPr>
              <w:spacing w:before="60" w:after="40"/>
            </w:pPr>
            <w:r>
              <w:rPr>
                <w:rFonts w:ascii="Calibri" w:hAnsi="Calibri"/>
                <w:b w:val="0"/>
                <w:i w:val="0"/>
                <w:color w:val="5A5A5A"/>
                <w:sz w:val="18"/>
              </w:rPr>
              <w:t>#madraseye  #monsoon  #outbreak  #coxsackieA24  #epidemic</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Contact lens wear</w:t>
            </w:r>
          </w:p>
        </w:tc>
        <w:tc>
          <w:tcPr>
            <w:tcW w:type="dxa" w:w="2160"/>
            <w:vAlign w:val="top"/>
          </w:tcPr>
          <w:p>
            <w:pPr>
              <w:spacing w:after="40" w:before="0" w:line="259" w:lineRule="auto"/>
            </w:pPr>
            <w:r>
              <w:rPr>
                <w:rFonts w:ascii="Calibri" w:hAnsi="Calibri"/>
                <w:b w:val="0"/>
                <w:i w:val="0"/>
                <w:color w:val="212121"/>
                <w:sz w:val="19"/>
              </w:rPr>
              <w:t>Soft contact-lens users, urban youth</w:t>
            </w:r>
          </w:p>
        </w:tc>
        <w:tc>
          <w:tcPr>
            <w:tcW w:type="dxa" w:w="4276"/>
            <w:vAlign w:val="top"/>
          </w:tcPr>
          <w:p>
            <w:pPr>
              <w:spacing w:after="60" w:line="259" w:lineRule="auto"/>
            </w:pPr>
            <w:r>
              <w:rPr>
                <w:rFonts w:ascii="Calibri" w:hAnsi="Calibri"/>
                <w:b w:val="0"/>
                <w:i w:val="0"/>
                <w:color w:val="212121"/>
                <w:sz w:val="19"/>
              </w:rPr>
              <w:t>Extended, overnight or poorly cleaned lens wear causes mechanical irritation, hypoxia and giant papillary conjunctivitis, and substantially raises the risk of sight-threatening microbial keratitis.</w:t>
            </w:r>
          </w:p>
          <w:p>
            <w:pPr>
              <w:spacing w:after="40" w:before="60" w:line="259" w:lineRule="auto"/>
            </w:pPr>
            <w:r>
              <w:rPr>
                <w:rFonts w:ascii="Calibri" w:hAnsi="Calibri"/>
                <w:b w:val="0"/>
                <w:i w:val="0"/>
                <w:color w:val="212121"/>
                <w:sz w:val="19"/>
              </w:rPr>
              <w:t>Poor lens hygiene and overnight/extended wear are established risk factors for giant papillary conjunctivitis and contact-lens-related keratitis.</w:t>
            </w:r>
          </w:p>
          <w:p>
            <w:pPr>
              <w:spacing w:before="60" w:after="40"/>
            </w:pPr>
            <w:r>
              <w:rPr>
                <w:rFonts w:ascii="Calibri" w:hAnsi="Calibri"/>
                <w:b w:val="0"/>
                <w:i w:val="0"/>
                <w:color w:val="5A5A5A"/>
                <w:sz w:val="18"/>
              </w:rPr>
              <w:t>#contactlens  #GPC  #keratitis  #overnightwear  #lenshygiene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 behaviour</w:t>
            </w:r>
          </w:p>
        </w:tc>
        <w:tc>
          <w:tcPr>
            <w:tcW w:type="dxa" w:w="2160"/>
            <w:vAlign w:val="top"/>
          </w:tcPr>
          <w:p>
            <w:pPr>
              <w:spacing w:after="40" w:before="0" w:line="259" w:lineRule="auto"/>
            </w:pPr>
            <w:r>
              <w:rPr>
                <w:rFonts w:ascii="Calibri" w:hAnsi="Calibri"/>
                <w:b w:val="0"/>
                <w:i w:val="0"/>
                <w:color w:val="212121"/>
                <w:sz w:val="19"/>
              </w:rPr>
              <w:t>Towel/cosmetic sharers, frequent eye-rubbers</w:t>
            </w:r>
          </w:p>
        </w:tc>
        <w:tc>
          <w:tcPr>
            <w:tcW w:type="dxa" w:w="4276"/>
            <w:vAlign w:val="top"/>
          </w:tcPr>
          <w:p>
            <w:pPr>
              <w:spacing w:after="60" w:line="259" w:lineRule="auto"/>
            </w:pPr>
            <w:r>
              <w:rPr>
                <w:rFonts w:ascii="Calibri" w:hAnsi="Calibri"/>
                <w:b w:val="0"/>
                <w:i w:val="0"/>
                <w:color w:val="212121"/>
                <w:sz w:val="19"/>
              </w:rPr>
              <w:t>Touching the eyes with unwashed hands, sharing towels, pillows, kajal and eye cosmetics, and habitual rubbing transfer pathogens and allergens directly to the conjunctiva and drive household and community outbreaks.</w:t>
            </w:r>
          </w:p>
          <w:p>
            <w:pPr>
              <w:spacing w:after="40" w:before="60" w:line="259" w:lineRule="auto"/>
            </w:pPr>
            <w:r>
              <w:rPr>
                <w:rFonts w:ascii="Calibri" w:hAnsi="Calibri"/>
                <w:b w:val="0"/>
                <w:i w:val="0"/>
                <w:color w:val="212121"/>
                <w:sz w:val="19"/>
              </w:rPr>
              <w:t>Viral and bacterial conjunctivitis are highly contagious and spread via hands, contaminated surfaces and shared personal items.</w:t>
            </w:r>
          </w:p>
          <w:p>
            <w:pPr>
              <w:spacing w:after="40" w:line="252" w:lineRule="auto"/>
            </w:pPr>
            <w:hyperlink r:id="rId14">
              <w:r>
                <w:rPr>
                  <w:rFonts w:ascii="Calibri" w:hAnsi="Calibri" w:cs="Calibri"/>
                  <w:sz w:val="18"/>
                  <w:color w:val="1155CC"/>
                  <w:u w:val="single"/>
                </w:rPr>
                <w:t xml:space="preserve">cdc.gov — causes and spread of pink eye</w:t>
              </w:r>
            </w:hyperlink>
          </w:p>
          <w:p>
            <w:pPr>
              <w:spacing w:before="60" w:after="40"/>
            </w:pPr>
            <w:r>
              <w:rPr>
                <w:rFonts w:ascii="Calibri" w:hAnsi="Calibri"/>
                <w:b w:val="0"/>
                <w:i w:val="0"/>
                <w:color w:val="5A5A5A"/>
                <w:sz w:val="18"/>
              </w:rPr>
              <w:t>#handhygiene  #towelsharing  #kajal  #eyerubbing  #fomites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Swimming / water exposure</w:t>
            </w:r>
          </w:p>
        </w:tc>
        <w:tc>
          <w:tcPr>
            <w:tcW w:type="dxa" w:w="2160"/>
            <w:vAlign w:val="top"/>
          </w:tcPr>
          <w:p>
            <w:pPr>
              <w:spacing w:after="40" w:before="0" w:line="259" w:lineRule="auto"/>
            </w:pPr>
            <w:r>
              <w:rPr>
                <w:rFonts w:ascii="Calibri" w:hAnsi="Calibri"/>
                <w:b w:val="0"/>
                <w:i w:val="0"/>
                <w:color w:val="212121"/>
                <w:sz w:val="19"/>
              </w:rPr>
              <w:t>Swimmers in shared/unchlorinated pools</w:t>
            </w:r>
          </w:p>
        </w:tc>
        <w:tc>
          <w:tcPr>
            <w:tcW w:type="dxa" w:w="4276"/>
            <w:vAlign w:val="top"/>
          </w:tcPr>
          <w:p>
            <w:pPr>
              <w:spacing w:after="60" w:line="259" w:lineRule="auto"/>
            </w:pPr>
            <w:r>
              <w:rPr>
                <w:rFonts w:ascii="Calibri" w:hAnsi="Calibri"/>
                <w:b w:val="0"/>
                <w:i w:val="0"/>
                <w:color w:val="212121"/>
                <w:sz w:val="19"/>
              </w:rPr>
              <w:t>Adenovirus survives in inadequately chlorinated water, and chlorine itself irritates the conjunctiva; shared pools are a classic route for epidemic keratoconjunctivitis and irritant conjunctivitis.</w:t>
            </w:r>
          </w:p>
          <w:p>
            <w:pPr>
              <w:spacing w:after="40" w:before="60" w:line="259" w:lineRule="auto"/>
            </w:pPr>
            <w:r>
              <w:rPr>
                <w:rFonts w:ascii="Calibri" w:hAnsi="Calibri"/>
                <w:b w:val="0"/>
                <w:i w:val="0"/>
                <w:color w:val="212121"/>
                <w:sz w:val="19"/>
              </w:rPr>
              <w:t>Swimming in contaminated or shared pool water is a recognised route of adenoviral conjunctivitis transmission.</w:t>
            </w:r>
          </w:p>
          <w:p>
            <w:pPr>
              <w:spacing w:after="40" w:line="252" w:lineRule="auto"/>
            </w:pPr>
            <w:hyperlink r:id="rId15">
              <w:r>
                <w:rPr>
                  <w:rFonts w:ascii="Calibri" w:hAnsi="Calibri" w:cs="Calibri"/>
                  <w:sz w:val="18"/>
                  <w:color w:val="1155CC"/>
                  <w:u w:val="single"/>
                </w:rPr>
                <w:t xml:space="preserve">cdc.gov — about pink eye</w:t>
              </w:r>
            </w:hyperlink>
          </w:p>
          <w:p>
            <w:pPr>
              <w:spacing w:before="60" w:after="40"/>
            </w:pPr>
            <w:r>
              <w:rPr>
                <w:rFonts w:ascii="Calibri" w:hAnsi="Calibri"/>
                <w:b w:val="0"/>
                <w:i w:val="0"/>
                <w:color w:val="5A5A5A"/>
                <w:sz w:val="18"/>
              </w:rPr>
              <w:t>#swimming  #adenovirus  #chlorine  #pooleye  #irritant</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Atopic / food-allergic individuals</w:t>
            </w:r>
          </w:p>
        </w:tc>
        <w:tc>
          <w:tcPr>
            <w:tcW w:type="dxa" w:w="2160"/>
            <w:vAlign w:val="top"/>
          </w:tcPr>
          <w:p>
            <w:pPr>
              <w:spacing w:after="40" w:before="0" w:line="259" w:lineRule="auto"/>
            </w:pPr>
            <w:r>
              <w:rPr>
                <w:rFonts w:ascii="Calibri" w:hAnsi="Calibri"/>
                <w:b w:val="0"/>
                <w:i w:val="0"/>
                <w:color w:val="212121"/>
                <w:sz w:val="19"/>
              </w:rPr>
              <w:t>Children with the atopic march</w:t>
            </w:r>
          </w:p>
        </w:tc>
        <w:tc>
          <w:tcPr>
            <w:tcW w:type="dxa" w:w="4276"/>
            <w:vAlign w:val="top"/>
          </w:tcPr>
          <w:p>
            <w:pPr>
              <w:spacing w:after="60" w:line="259" w:lineRule="auto"/>
            </w:pPr>
            <w:r>
              <w:rPr>
                <w:rFonts w:ascii="Calibri" w:hAnsi="Calibri"/>
                <w:b w:val="0"/>
                <w:i w:val="0"/>
                <w:color w:val="212121"/>
                <w:sz w:val="19"/>
              </w:rPr>
              <w:t>Food and inhalant allergen sensitisation in atopic individuals contributes to the wider allergic phenotype (the 'atopic march'), of which allergic conjunctivitis and rhinoconjunctivitis are common ocular manifestations.</w:t>
            </w:r>
          </w:p>
          <w:p>
            <w:pPr>
              <w:spacing w:after="40" w:before="60" w:line="259" w:lineRule="auto"/>
            </w:pPr>
            <w:r>
              <w:rPr>
                <w:rFonts w:ascii="Calibri" w:hAnsi="Calibri"/>
                <w:b w:val="0"/>
                <w:i w:val="0"/>
                <w:color w:val="212121"/>
                <w:sz w:val="19"/>
              </w:rPr>
              <w:t>Among Indian children with recurrent wheeze, about 15% also had allergic conjunctivitis, underscoring shared atopic susceptibility.</w:t>
            </w:r>
          </w:p>
          <w:p>
            <w:pPr>
              <w:spacing w:after="40" w:line="252" w:lineRule="auto"/>
            </w:pPr>
            <w:hyperlink r:id="rId16">
              <w:r>
                <w:rPr>
                  <w:rFonts w:ascii="Calibri" w:hAnsi="Calibri" w:cs="Calibri"/>
                  <w:sz w:val="18"/>
                  <w:color w:val="1155CC"/>
                  <w:u w:val="single"/>
                </w:rPr>
                <w:t xml:space="preserve">pubmed.ncbi.nlm.nih.gov/19346577 — atopy in Indian children (Indian Pediatr 2009)</w:t>
              </w:r>
            </w:hyperlink>
          </w:p>
          <w:p>
            <w:pPr>
              <w:spacing w:before="60" w:after="40"/>
            </w:pPr>
            <w:r>
              <w:rPr>
                <w:rFonts w:ascii="Calibri" w:hAnsi="Calibri"/>
                <w:b w:val="0"/>
                <w:i w:val="0"/>
                <w:color w:val="5A5A5A"/>
                <w:sz w:val="18"/>
              </w:rPr>
              <w:t>#atopicmarch  #foodallergy  #IgE  #eczema  #sensitisation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atopy (asthma/eczema/rhinitis)</w:t>
            </w:r>
          </w:p>
        </w:tc>
        <w:tc>
          <w:tcPr>
            <w:tcW w:type="dxa" w:w="4276"/>
            <w:vAlign w:val="top"/>
          </w:tcPr>
          <w:p>
            <w:pPr>
              <w:spacing w:after="60" w:line="259" w:lineRule="auto"/>
            </w:pPr>
            <w:r>
              <w:rPr>
                <w:rFonts w:ascii="Calibri" w:hAnsi="Calibri"/>
                <w:b w:val="0"/>
                <w:i w:val="0"/>
                <w:color w:val="212121"/>
                <w:sz w:val="19"/>
              </w:rPr>
              <w:t>Allergic conjunctivitis clusters strongly in atopic families; inherited IgE-driven hypersensitivity increases the likelihood of SAC, PAC, VKC and AKC.</w:t>
            </w:r>
          </w:p>
          <w:p>
            <w:pPr>
              <w:spacing w:after="40" w:before="60" w:line="259" w:lineRule="auto"/>
            </w:pPr>
            <w:r>
              <w:rPr>
                <w:rFonts w:ascii="Calibri" w:hAnsi="Calibri"/>
                <w:b w:val="0"/>
                <w:i w:val="0"/>
                <w:color w:val="212121"/>
                <w:sz w:val="19"/>
              </w:rPr>
              <w:t>Onset of allergic conjunctivitis is typically before age 20 and is closely linked to a personal or family history of atopy.</w:t>
            </w:r>
          </w:p>
          <w:p>
            <w:pPr>
              <w:spacing w:after="40" w:line="252" w:lineRule="auto"/>
            </w:pPr>
            <w:hyperlink r:id="rId9">
              <w:r>
                <w:rPr>
                  <w:rFonts w:ascii="Calibri" w:hAnsi="Calibri" w:cs="Calibri"/>
                  <w:sz w:val="18"/>
                  <w:color w:val="1155CC"/>
                  <w:u w:val="single"/>
                </w:rPr>
                <w:t xml:space="preserve">ncbi.nlm.nih.gov — Allergic Conjunctivitis (StatPearls)</w:t>
              </w:r>
            </w:hyperlink>
          </w:p>
          <w:p>
            <w:pPr>
              <w:spacing w:before="60" w:after="40"/>
            </w:pPr>
            <w:r>
              <w:rPr>
                <w:rFonts w:ascii="Calibri" w:hAnsi="Calibri"/>
                <w:b w:val="0"/>
                <w:i w:val="0"/>
                <w:color w:val="5A5A5A"/>
                <w:sz w:val="18"/>
              </w:rPr>
              <w:t>#familyhistory  #atopy  #IgE  #inherited  #allergicmarch</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Allergic rhinitis</w:t>
            </w:r>
          </w:p>
        </w:tc>
        <w:tc>
          <w:tcPr>
            <w:tcW w:type="dxa" w:w="2160"/>
            <w:vAlign w:val="top"/>
          </w:tcPr>
          <w:p>
            <w:pPr>
              <w:spacing w:after="40" w:before="0" w:line="259" w:lineRule="auto"/>
            </w:pPr>
            <w:r>
              <w:rPr>
                <w:rFonts w:ascii="Calibri" w:hAnsi="Calibri"/>
                <w:b w:val="0"/>
                <w:i w:val="0"/>
                <w:color w:val="212121"/>
                <w:sz w:val="19"/>
              </w:rPr>
              <w:t>Patients with allergic rhinitis</w:t>
            </w:r>
          </w:p>
        </w:tc>
        <w:tc>
          <w:tcPr>
            <w:tcW w:type="dxa" w:w="4276"/>
            <w:vAlign w:val="top"/>
          </w:tcPr>
          <w:p>
            <w:pPr>
              <w:spacing w:after="60" w:line="259" w:lineRule="auto"/>
            </w:pPr>
            <w:r>
              <w:rPr>
                <w:rFonts w:ascii="Calibri" w:hAnsi="Calibri"/>
                <w:b w:val="0"/>
                <w:i w:val="0"/>
                <w:color w:val="212121"/>
                <w:sz w:val="19"/>
              </w:rPr>
              <w:t>The nasal and ocular mucosae share allergen exposure and a common IgE-mediated response, so rhinitis and conjunctivitis frequently co-occur as 'allergic rhinoconjunctivitis'.</w:t>
            </w:r>
          </w:p>
          <w:p>
            <w:pPr>
              <w:spacing w:after="40" w:before="60" w:line="259" w:lineRule="auto"/>
            </w:pPr>
            <w:r>
              <w:rPr>
                <w:rFonts w:ascii="Calibri" w:hAnsi="Calibri"/>
                <w:b w:val="0"/>
                <w:i w:val="0"/>
                <w:color w:val="212121"/>
                <w:sz w:val="19"/>
              </w:rPr>
              <w:t>Allergic rhinoconjunctivitis was found in 3.9% of Indian children aged 6–7 years and 10.9% of those aged 13–14 years.</w:t>
            </w:r>
          </w:p>
          <w:p>
            <w:pPr>
              <w:spacing w:after="40" w:line="252" w:lineRule="auto"/>
            </w:pPr>
            <w:hyperlink r:id="rId17">
              <w:r>
                <w:rPr>
                  <w:rFonts w:ascii="Calibri" w:hAnsi="Calibri" w:cs="Calibri"/>
                  <w:sz w:val="18"/>
                  <w:color w:val="1155CC"/>
                  <w:u w:val="single"/>
                </w:rPr>
                <w:t xml:space="preserve">pubmed.ncbi.nlm.nih.gov/27663282 — allergic rhinoconjunctivitis in Indian children</w:t>
              </w:r>
            </w:hyperlink>
          </w:p>
          <w:p>
            <w:pPr>
              <w:spacing w:before="60" w:after="40"/>
            </w:pPr>
            <w:r>
              <w:rPr>
                <w:rFonts w:ascii="Calibri" w:hAnsi="Calibri"/>
                <w:b w:val="0"/>
                <w:i w:val="0"/>
                <w:color w:val="5A5A5A"/>
                <w:sz w:val="18"/>
              </w:rPr>
              <w:t>#rhinoconjunctivitis  #allergicrhinitis  #hayfever  #IgE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Atopic dermatitis / asthma</w:t>
            </w:r>
          </w:p>
        </w:tc>
        <w:tc>
          <w:tcPr>
            <w:tcW w:type="dxa" w:w="2160"/>
            <w:vAlign w:val="top"/>
          </w:tcPr>
          <w:p>
            <w:pPr>
              <w:spacing w:after="40" w:before="0" w:line="259" w:lineRule="auto"/>
            </w:pPr>
            <w:r>
              <w:rPr>
                <w:rFonts w:ascii="Calibri" w:hAnsi="Calibri"/>
                <w:b w:val="0"/>
                <w:i w:val="0"/>
                <w:color w:val="212121"/>
                <w:sz w:val="19"/>
              </w:rPr>
              <w:t>Patients with eczema or asthma</w:t>
            </w:r>
          </w:p>
        </w:tc>
        <w:tc>
          <w:tcPr>
            <w:tcW w:type="dxa" w:w="4276"/>
            <w:vAlign w:val="top"/>
          </w:tcPr>
          <w:p>
            <w:pPr>
              <w:spacing w:after="60" w:line="259" w:lineRule="auto"/>
            </w:pPr>
            <w:r>
              <w:rPr>
                <w:rFonts w:ascii="Calibri" w:hAnsi="Calibri"/>
                <w:b w:val="0"/>
                <w:i w:val="0"/>
                <w:color w:val="212121"/>
                <w:sz w:val="19"/>
              </w:rPr>
              <w:t>Atopic dermatitis and asthma share the underlying allergic diathesis with the eye; atopic keratoconjunctivitis (AKC) is closely tied to chronic eczema and can threaten sight.</w:t>
            </w:r>
          </w:p>
          <w:p>
            <w:pPr>
              <w:spacing w:after="40" w:before="60" w:line="259" w:lineRule="auto"/>
            </w:pPr>
            <w:r>
              <w:rPr>
                <w:rFonts w:ascii="Calibri" w:hAnsi="Calibri"/>
                <w:b w:val="0"/>
                <w:i w:val="0"/>
                <w:color w:val="212121"/>
                <w:sz w:val="19"/>
              </w:rPr>
              <w:t>Atopic keratoconjunctivitis typically affects adults aged 30–50 and is associated with a background of atopic dermatitis and asthma.</w:t>
            </w:r>
          </w:p>
          <w:p>
            <w:pPr>
              <w:spacing w:after="40" w:line="252" w:lineRule="auto"/>
            </w:pPr>
            <w:hyperlink r:id="rId9">
              <w:r>
                <w:rPr>
                  <w:rFonts w:ascii="Calibri" w:hAnsi="Calibri" w:cs="Calibri"/>
                  <w:sz w:val="18"/>
                  <w:color w:val="1155CC"/>
                  <w:u w:val="single"/>
                </w:rPr>
                <w:t xml:space="preserve">ncbi.nlm.nih.gov — Allergic Conjunctivitis (StatPearls)</w:t>
              </w:r>
            </w:hyperlink>
          </w:p>
          <w:p>
            <w:pPr>
              <w:spacing w:before="60" w:after="40"/>
            </w:pPr>
            <w:r>
              <w:rPr>
                <w:rFonts w:ascii="Calibri" w:hAnsi="Calibri"/>
                <w:b w:val="0"/>
                <w:i w:val="0"/>
                <w:color w:val="5A5A5A"/>
                <w:sz w:val="18"/>
              </w:rPr>
              <w:t>#eczema  #asthma  #AKC  #atopy  #chronicallergy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Dry eye disease</w:t>
            </w:r>
          </w:p>
        </w:tc>
        <w:tc>
          <w:tcPr>
            <w:tcW w:type="dxa" w:w="2160"/>
            <w:vAlign w:val="top"/>
          </w:tcPr>
          <w:p>
            <w:pPr>
              <w:spacing w:after="40" w:before="0" w:line="259" w:lineRule="auto"/>
            </w:pPr>
            <w:r>
              <w:rPr>
                <w:rFonts w:ascii="Calibri" w:hAnsi="Calibri"/>
                <w:b w:val="0"/>
                <w:i w:val="0"/>
                <w:color w:val="212121"/>
                <w:sz w:val="19"/>
              </w:rPr>
              <w:t>Patients with dry eye / ocular surface disease</w:t>
            </w:r>
          </w:p>
        </w:tc>
        <w:tc>
          <w:tcPr>
            <w:tcW w:type="dxa" w:w="4276"/>
            <w:vAlign w:val="top"/>
          </w:tcPr>
          <w:p>
            <w:pPr>
              <w:spacing w:after="60" w:line="259" w:lineRule="auto"/>
            </w:pPr>
            <w:r>
              <w:rPr>
                <w:rFonts w:ascii="Calibri" w:hAnsi="Calibri"/>
                <w:b w:val="0"/>
                <w:i w:val="0"/>
                <w:color w:val="212121"/>
                <w:sz w:val="19"/>
              </w:rPr>
              <w:t>A deficient or unstable tear film reduces clearance of allergens and pathogens and heightens surface inflammation, so dry eye commonly coexists with and aggravates allergic conjunctivitis.</w:t>
            </w:r>
          </w:p>
          <w:p>
            <w:pPr>
              <w:spacing w:after="40" w:before="60" w:line="259" w:lineRule="auto"/>
            </w:pPr>
            <w:r>
              <w:rPr>
                <w:rFonts w:ascii="Calibri" w:hAnsi="Calibri"/>
                <w:b w:val="0"/>
                <w:i w:val="0"/>
                <w:color w:val="212121"/>
                <w:sz w:val="19"/>
              </w:rPr>
              <w:t>An Indian study documented a substantial burden of dry eye disease among patients with allergic conjunctivitis, reflecting overlapping ocular-surface inflammation.</w:t>
            </w:r>
          </w:p>
          <w:p>
            <w:pPr>
              <w:spacing w:after="40" w:line="252" w:lineRule="auto"/>
            </w:pPr>
            <w:hyperlink r:id="rId18">
              <w:r>
                <w:rPr>
                  <w:rFonts w:ascii="Calibri" w:hAnsi="Calibri" w:cs="Calibri"/>
                  <w:sz w:val="18"/>
                  <w:color w:val="1155CC"/>
                  <w:u w:val="single"/>
                </w:rPr>
                <w:t xml:space="preserve">pubmed.ncbi.nlm.nih.gov/37026289 — dry eye in allergic conjunctivitis (IJO 2023)</w:t>
              </w:r>
            </w:hyperlink>
          </w:p>
          <w:p>
            <w:pPr>
              <w:spacing w:before="60" w:after="40"/>
            </w:pPr>
            <w:r>
              <w:rPr>
                <w:rFonts w:ascii="Calibri" w:hAnsi="Calibri"/>
                <w:b w:val="0"/>
                <w:i w:val="0"/>
                <w:color w:val="5A5A5A"/>
                <w:sz w:val="18"/>
              </w:rPr>
              <w:t>#dryeye  #tearfilm  #ocularsurface  #allergic  #overlap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genital infection</w:t>
            </w:r>
          </w:p>
        </w:tc>
        <w:tc>
          <w:tcPr>
            <w:tcW w:type="dxa" w:w="2160"/>
            <w:vAlign w:val="top"/>
          </w:tcPr>
          <w:p>
            <w:pPr>
              <w:spacing w:after="40" w:before="0" w:line="259" w:lineRule="auto"/>
            </w:pPr>
            <w:r>
              <w:rPr>
                <w:rFonts w:ascii="Calibri" w:hAnsi="Calibri"/>
                <w:b w:val="0"/>
                <w:i w:val="0"/>
                <w:color w:val="212121"/>
                <w:sz w:val="19"/>
              </w:rPr>
              <w:t>Neonates of mothers with untreated STI</w:t>
            </w:r>
          </w:p>
        </w:tc>
        <w:tc>
          <w:tcPr>
            <w:tcW w:type="dxa" w:w="4276"/>
            <w:vAlign w:val="top"/>
          </w:tcPr>
          <w:p>
            <w:pPr>
              <w:spacing w:after="60" w:line="259" w:lineRule="auto"/>
            </w:pPr>
            <w:r>
              <w:rPr>
                <w:rFonts w:ascii="Calibri" w:hAnsi="Calibri"/>
                <w:b w:val="0"/>
                <w:i w:val="0"/>
                <w:color w:val="212121"/>
                <w:sz w:val="19"/>
              </w:rPr>
              <w:t>Gonococcal or chlamydial infection in the birth canal is transmitted to the newborn during vaginal delivery, causing ophthalmia neonatorum, which can be rapidly sight-threatening (gonococcal) if untreated.</w:t>
            </w:r>
          </w:p>
          <w:p>
            <w:pPr>
              <w:spacing w:after="40" w:before="60" w:line="259" w:lineRule="auto"/>
            </w:pPr>
            <w:r>
              <w:rPr>
                <w:rFonts w:ascii="Calibri" w:hAnsi="Calibri"/>
                <w:b w:val="0"/>
                <w:i w:val="0"/>
                <w:color w:val="212121"/>
                <w:sz w:val="19"/>
              </w:rPr>
              <w:t>Ophthalmia neonatorum in India is importantly caused by Chlamydia trachomatis and Neisseria gonorrhoeae acquired during delivery.</w:t>
            </w:r>
          </w:p>
          <w:p>
            <w:pPr>
              <w:spacing w:before="60" w:after="40"/>
            </w:pPr>
            <w:r>
              <w:rPr>
                <w:rFonts w:ascii="Calibri" w:hAnsi="Calibri"/>
                <w:b w:val="0"/>
                <w:i w:val="0"/>
                <w:color w:val="5A5A5A"/>
                <w:sz w:val="18"/>
              </w:rPr>
              <w:t>#ophthalmianeonatorum  #neonatal  #gonococcal  #chlamydia  #Crede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a direct cause of conjunctivitis; general fitness supports immune defence. However, swimming in contaminated or shared pools is a recognised route of adenoviral and irritant conjunctivitis.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dietary cause. In atopic individuals, food-allergen sensitisation contributes to the wider allergic phenotype, and omega-3 intake and good hydration support tear-film stability.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 insufficient sleep impairs immune defence and destabilises the tear film, increasing susceptibility to infection and ocular-surface irritation.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Active and passive tobacco and biomass smoke are direct ocular-surface irritants that aggravate redness, dryness and both allergic and irritant conjunctivitis.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role; heavy intake causes dehydration and reduced tear production, mildly worsening ocular-surface symptoms.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Psychological stress can exacerbate atopic/allergic flares and habitual eye-rubbing; chronic VKC and AKC in turn reduce quality of life and sleep.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Clean water for face and hand washing is protective, while contaminated water and inadequate washing facilitate spread of infectious conjunctivitis and, historically, trachoma.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association with conjunctivitis; caffeine is neither a recognised risk nor a protective factor.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single most important modifiable factor for infectious conjunctivitis: hand hygiene, avoiding eye-touching and rubbing, not sharing towels or cosmetics, and proper contact-lens care sharply reduce transmission and recurrence.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Allergen exposure (pollen, house-dust mite, dander), airborne pollutants and smoke, chlorinated pool water, contact-lens overwear, eye cosmetics (kajal) and infectious contacts directly precipitate episodes.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Hand-hygiene before eye contact</w:t>
            </w:r>
          </w:p>
        </w:tc>
        <w:tc>
          <w:tcPr>
            <w:tcW w:type="dxa" w:w="1655"/>
            <w:vAlign w:val="top"/>
          </w:tcPr>
          <w:p>
            <w:pPr>
              <w:spacing w:after="40" w:before="0" w:line="259" w:lineRule="auto"/>
            </w:pPr>
            <w:r>
              <w:rPr>
                <w:rFonts w:ascii="Calibri" w:hAnsi="Calibri"/>
                <w:b w:val="0"/>
                <w:i w:val="0"/>
                <w:color w:val="212121"/>
                <w:sz w:val="19"/>
              </w:rPr>
              <w:t>All ages, outbreak contacts</w:t>
            </w:r>
          </w:p>
        </w:tc>
        <w:tc>
          <w:tcPr>
            <w:tcW w:type="dxa" w:w="1512"/>
            <w:vAlign w:val="top"/>
          </w:tcPr>
          <w:p>
            <w:pPr>
              <w:spacing w:after="40" w:before="0" w:line="259" w:lineRule="auto"/>
            </w:pPr>
            <w:r>
              <w:rPr>
                <w:rFonts w:ascii="Calibri" w:hAnsi="Calibri"/>
                <w:b w:val="0"/>
                <w:i w:val="0"/>
                <w:color w:val="212121"/>
                <w:sz w:val="19"/>
              </w:rPr>
              <w:t>Wash hands with soap before and after touching eyes/face</w:t>
            </w:r>
          </w:p>
        </w:tc>
        <w:tc>
          <w:tcPr>
            <w:tcW w:type="dxa" w:w="1512"/>
            <w:vAlign w:val="top"/>
          </w:tcPr>
          <w:p>
            <w:pPr>
              <w:spacing w:after="40" w:before="0" w:line="259" w:lineRule="auto"/>
            </w:pPr>
            <w:r>
              <w:rPr>
                <w:rFonts w:ascii="Calibri" w:hAnsi="Calibri"/>
                <w:b w:val="0"/>
                <w:i w:val="0"/>
                <w:color w:val="212121"/>
                <w:sz w:val="19"/>
              </w:rPr>
              <w:t>Touching or rubbing eyes with unwashed hands</w:t>
            </w:r>
          </w:p>
        </w:tc>
        <w:tc>
          <w:tcPr>
            <w:tcW w:type="dxa" w:w="1468"/>
            <w:vAlign w:val="top"/>
          </w:tcPr>
          <w:p>
            <w:pPr>
              <w:spacing w:after="60" w:line="259" w:lineRule="auto"/>
            </w:pPr>
            <w:r>
              <w:rPr>
                <w:rFonts w:ascii="Calibri" w:hAnsi="Calibri"/>
                <w:b w:val="0"/>
                <w:i w:val="0"/>
                <w:color w:val="212121"/>
                <w:sz w:val="19"/>
              </w:rPr>
              <w:t>Primary route of infectious spread</w:t>
            </w:r>
          </w:p>
          <w:p>
            <w:pPr>
              <w:spacing w:after="40" w:line="252" w:lineRule="auto"/>
            </w:pPr>
            <w:hyperlink r:id="rId14">
              <w:r>
                <w:rPr>
                  <w:rFonts w:ascii="Calibri" w:hAnsi="Calibri" w:cs="Calibri"/>
                  <w:sz w:val="18"/>
                  <w:color w:val="1155CC"/>
                  <w:u w:val="single"/>
                </w:rPr>
                <w:t xml:space="preserve">https://www.cdc.gov/conjunctivitis/causes/index.html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Sharing of towels/pillows/cosmetics</w:t>
            </w:r>
          </w:p>
        </w:tc>
        <w:tc>
          <w:tcPr>
            <w:tcW w:type="dxa" w:w="1655"/>
            <w:vAlign w:val="top"/>
          </w:tcPr>
          <w:p>
            <w:pPr>
              <w:spacing w:after="40" w:before="0" w:line="259" w:lineRule="auto"/>
            </w:pPr>
            <w:r>
              <w:rPr>
                <w:rFonts w:ascii="Calibri" w:hAnsi="Calibri"/>
                <w:b w:val="0"/>
                <w:i w:val="0"/>
                <w:color w:val="212121"/>
                <w:sz w:val="19"/>
              </w:rPr>
              <w:t>Households, students, outbreak settings</w:t>
            </w:r>
          </w:p>
        </w:tc>
        <w:tc>
          <w:tcPr>
            <w:tcW w:type="dxa" w:w="1512"/>
            <w:vAlign w:val="top"/>
          </w:tcPr>
          <w:p>
            <w:pPr>
              <w:spacing w:after="40" w:before="0" w:line="259" w:lineRule="auto"/>
            </w:pPr>
            <w:r>
              <w:rPr>
                <w:rFonts w:ascii="Calibri" w:hAnsi="Calibri"/>
                <w:b w:val="0"/>
                <w:i w:val="0"/>
                <w:color w:val="212121"/>
                <w:sz w:val="19"/>
              </w:rPr>
              <w:t>Individual towel, linen and eye cosmetics</w:t>
            </w:r>
          </w:p>
        </w:tc>
        <w:tc>
          <w:tcPr>
            <w:tcW w:type="dxa" w:w="1512"/>
            <w:vAlign w:val="top"/>
          </w:tcPr>
          <w:p>
            <w:pPr>
              <w:spacing w:after="40" w:before="0" w:line="259" w:lineRule="auto"/>
            </w:pPr>
            <w:r>
              <w:rPr>
                <w:rFonts w:ascii="Calibri" w:hAnsi="Calibri"/>
                <w:b w:val="0"/>
                <w:i w:val="0"/>
                <w:color w:val="212121"/>
                <w:sz w:val="19"/>
              </w:rPr>
              <w:t>Shared towels, pillowcases, kajal or mascara</w:t>
            </w:r>
          </w:p>
        </w:tc>
        <w:tc>
          <w:tcPr>
            <w:tcW w:type="dxa" w:w="1468"/>
            <w:vAlign w:val="top"/>
          </w:tcPr>
          <w:p>
            <w:pPr>
              <w:spacing w:after="40" w:before="0" w:line="259" w:lineRule="auto"/>
            </w:pPr>
            <w:r>
              <w:rPr>
                <w:rFonts w:ascii="Calibri" w:hAnsi="Calibri"/>
                <w:b w:val="0"/>
                <w:i w:val="0"/>
                <w:color w:val="212121"/>
                <w:sz w:val="19"/>
              </w:rPr>
              <w:t>Fomite transmission drives household clusters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Contact-lens wear (hours/day)</w:t>
            </w:r>
          </w:p>
        </w:tc>
        <w:tc>
          <w:tcPr>
            <w:tcW w:type="dxa" w:w="1655"/>
            <w:vAlign w:val="top"/>
          </w:tcPr>
          <w:p>
            <w:pPr>
              <w:spacing w:after="40" w:before="0" w:line="259" w:lineRule="auto"/>
            </w:pPr>
            <w:r>
              <w:rPr>
                <w:rFonts w:ascii="Calibri" w:hAnsi="Calibri"/>
                <w:b w:val="0"/>
                <w:i w:val="0"/>
                <w:color w:val="212121"/>
                <w:sz w:val="19"/>
              </w:rPr>
              <w:t>Contact-lens users</w:t>
            </w:r>
          </w:p>
        </w:tc>
        <w:tc>
          <w:tcPr>
            <w:tcW w:type="dxa" w:w="1512"/>
            <w:vAlign w:val="top"/>
          </w:tcPr>
          <w:p>
            <w:pPr>
              <w:spacing w:after="40" w:before="0" w:line="259" w:lineRule="auto"/>
            </w:pPr>
            <w:r>
              <w:rPr>
                <w:rFonts w:ascii="Calibri" w:hAnsi="Calibri"/>
                <w:b w:val="0"/>
                <w:i w:val="0"/>
                <w:color w:val="212121"/>
                <w:sz w:val="19"/>
              </w:rPr>
              <w:t>≤ 8–10 h/day, daily cleaning, no overnight wear</w:t>
            </w:r>
          </w:p>
        </w:tc>
        <w:tc>
          <w:tcPr>
            <w:tcW w:type="dxa" w:w="1512"/>
            <w:vAlign w:val="top"/>
          </w:tcPr>
          <w:p>
            <w:pPr>
              <w:spacing w:after="40" w:before="0" w:line="259" w:lineRule="auto"/>
            </w:pPr>
            <w:r>
              <w:rPr>
                <w:rFonts w:ascii="Calibri" w:hAnsi="Calibri"/>
                <w:b w:val="0"/>
                <w:i w:val="0"/>
                <w:color w:val="212121"/>
                <w:sz w:val="19"/>
              </w:rPr>
              <w:t>&gt; 10 h/day, extended or overnight wear</w:t>
            </w:r>
          </w:p>
        </w:tc>
        <w:tc>
          <w:tcPr>
            <w:tcW w:type="dxa" w:w="1468"/>
            <w:vAlign w:val="top"/>
          </w:tcPr>
          <w:p>
            <w:pPr>
              <w:spacing w:after="60" w:line="259" w:lineRule="auto"/>
            </w:pPr>
            <w:r>
              <w:rPr>
                <w:rFonts w:ascii="Calibri" w:hAnsi="Calibri"/>
                <w:b w:val="0"/>
                <w:i w:val="0"/>
                <w:color w:val="212121"/>
                <w:sz w:val="19"/>
              </w:rPr>
              <w:t>Raises GPC and microbial keratitis risk</w:t>
            </w:r>
          </w:p>
          <w:p>
            <w:pPr>
              <w:spacing w:after="40" w:line="252" w:lineRule="auto"/>
            </w:pPr>
            <w:hyperlink r:id="rId10">
              <w:r>
                <w:rPr>
                  <w:rFonts w:ascii="Calibri" w:hAnsi="Calibri" w:cs="Calibri"/>
                  <w:sz w:val="18"/>
                  <w:color w:val="1155CC"/>
                  <w:u w:val="single"/>
                </w:rPr>
                <w:t xml:space="preserve">https://www.ncbi.nlm.nih.gov/books/NBK470271/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Habitual eye-rubbing</w:t>
            </w:r>
          </w:p>
        </w:tc>
        <w:tc>
          <w:tcPr>
            <w:tcW w:type="dxa" w:w="1655"/>
            <w:vAlign w:val="top"/>
          </w:tcPr>
          <w:p>
            <w:pPr>
              <w:spacing w:after="40" w:before="0" w:line="259" w:lineRule="auto"/>
            </w:pPr>
            <w:r>
              <w:rPr>
                <w:rFonts w:ascii="Calibri" w:hAnsi="Calibri"/>
                <w:b w:val="0"/>
                <w:i w:val="0"/>
                <w:color w:val="212121"/>
                <w:sz w:val="19"/>
              </w:rPr>
              <w:t>VKC/AKC patients, atopics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Frequent vigorous rubbing</w:t>
            </w:r>
          </w:p>
        </w:tc>
        <w:tc>
          <w:tcPr>
            <w:tcW w:type="dxa" w:w="1468"/>
            <w:vAlign w:val="top"/>
          </w:tcPr>
          <w:p>
            <w:pPr>
              <w:spacing w:after="40" w:before="0" w:line="259" w:lineRule="auto"/>
            </w:pPr>
            <w:r>
              <w:rPr>
                <w:rFonts w:ascii="Calibri" w:hAnsi="Calibri"/>
                <w:b w:val="0"/>
                <w:i w:val="0"/>
                <w:color w:val="212121"/>
                <w:sz w:val="19"/>
              </w:rPr>
              <w:t>Worsens allergy and predisposes to keratoconus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Ambient air quality (PM2.5 / AQI)</w:t>
            </w:r>
          </w:p>
        </w:tc>
        <w:tc>
          <w:tcPr>
            <w:tcW w:type="dxa" w:w="1655"/>
            <w:vAlign w:val="top"/>
          </w:tcPr>
          <w:p>
            <w:pPr>
              <w:spacing w:after="40" w:before="0" w:line="259" w:lineRule="auto"/>
            </w:pPr>
            <w:r>
              <w:rPr>
                <w:rFonts w:ascii="Calibri" w:hAnsi="Calibri"/>
                <w:b w:val="0"/>
                <w:i w:val="0"/>
                <w:color w:val="212121"/>
                <w:sz w:val="19"/>
              </w:rPr>
              <w:t>Urban residents, allergics</w:t>
            </w:r>
          </w:p>
        </w:tc>
        <w:tc>
          <w:tcPr>
            <w:tcW w:type="dxa" w:w="1512"/>
            <w:vAlign w:val="top"/>
          </w:tcPr>
          <w:p>
            <w:pPr>
              <w:spacing w:after="40" w:before="0" w:line="259" w:lineRule="auto"/>
            </w:pPr>
            <w:r>
              <w:rPr>
                <w:rFonts w:ascii="Calibri" w:hAnsi="Calibri"/>
                <w:b w:val="0"/>
                <w:i w:val="0"/>
                <w:color w:val="212121"/>
                <w:sz w:val="19"/>
              </w:rPr>
              <w:t>AQI &lt; 50 (PM2.5 &lt; 12 µg/m³)</w:t>
            </w:r>
          </w:p>
        </w:tc>
        <w:tc>
          <w:tcPr>
            <w:tcW w:type="dxa" w:w="1512"/>
            <w:vAlign w:val="top"/>
          </w:tcPr>
          <w:p>
            <w:pPr>
              <w:spacing w:after="40" w:before="0" w:line="259" w:lineRule="auto"/>
            </w:pPr>
            <w:r>
              <w:rPr>
                <w:rFonts w:ascii="Calibri" w:hAnsi="Calibri"/>
                <w:b w:val="0"/>
                <w:i w:val="0"/>
                <w:color w:val="212121"/>
                <w:sz w:val="19"/>
              </w:rPr>
              <w:t>AQI &gt; 150 / high pollen days</w:t>
            </w:r>
          </w:p>
        </w:tc>
        <w:tc>
          <w:tcPr>
            <w:tcW w:type="dxa" w:w="1468"/>
            <w:vAlign w:val="top"/>
          </w:tcPr>
          <w:p>
            <w:pPr>
              <w:spacing w:after="40" w:before="0" w:line="259" w:lineRule="auto"/>
            </w:pPr>
            <w:r>
              <w:rPr>
                <w:rFonts w:ascii="Calibri" w:hAnsi="Calibri"/>
                <w:b w:val="0"/>
                <w:i w:val="0"/>
                <w:color w:val="212121"/>
                <w:sz w:val="19"/>
              </w:rPr>
              <w:t>Particulates and pollen inflame the ocular surface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Eye-cosmetic hygiene</w:t>
            </w:r>
          </w:p>
        </w:tc>
        <w:tc>
          <w:tcPr>
            <w:tcW w:type="dxa" w:w="1655"/>
            <w:vAlign w:val="top"/>
          </w:tcPr>
          <w:p>
            <w:pPr>
              <w:spacing w:after="40" w:before="0" w:line="259" w:lineRule="auto"/>
            </w:pPr>
            <w:r>
              <w:rPr>
                <w:rFonts w:ascii="Calibri" w:hAnsi="Calibri"/>
                <w:b w:val="0"/>
                <w:i w:val="0"/>
                <w:color w:val="212121"/>
                <w:sz w:val="19"/>
              </w:rPr>
              <w:t>Cosmetic users</w:t>
            </w:r>
          </w:p>
        </w:tc>
        <w:tc>
          <w:tcPr>
            <w:tcW w:type="dxa" w:w="1512"/>
            <w:vAlign w:val="top"/>
          </w:tcPr>
          <w:p>
            <w:pPr>
              <w:spacing w:after="40" w:before="0" w:line="259" w:lineRule="auto"/>
            </w:pPr>
            <w:r>
              <w:rPr>
                <w:rFonts w:ascii="Calibri" w:hAnsi="Calibri"/>
                <w:b w:val="0"/>
                <w:i w:val="0"/>
                <w:color w:val="212121"/>
                <w:sz w:val="19"/>
              </w:rPr>
              <w:t>Remove nightly; replace mascara/kajal every ~3 months</w:t>
            </w:r>
          </w:p>
        </w:tc>
        <w:tc>
          <w:tcPr>
            <w:tcW w:type="dxa" w:w="1512"/>
            <w:vAlign w:val="top"/>
          </w:tcPr>
          <w:p>
            <w:pPr>
              <w:spacing w:after="40" w:before="0" w:line="259" w:lineRule="auto"/>
            </w:pPr>
            <w:r>
              <w:rPr>
                <w:rFonts w:ascii="Calibri" w:hAnsi="Calibri"/>
                <w:b w:val="0"/>
                <w:i w:val="0"/>
                <w:color w:val="212121"/>
                <w:sz w:val="19"/>
              </w:rPr>
              <w:t>Sharing or using expired cosmetics; sleeping in kajal</w:t>
            </w:r>
          </w:p>
        </w:tc>
        <w:tc>
          <w:tcPr>
            <w:tcW w:type="dxa" w:w="1468"/>
            <w:vAlign w:val="top"/>
          </w:tcPr>
          <w:p>
            <w:pPr>
              <w:spacing w:after="40" w:before="0" w:line="259" w:lineRule="auto"/>
            </w:pPr>
            <w:r>
              <w:rPr>
                <w:rFonts w:ascii="Calibri" w:hAnsi="Calibri"/>
                <w:b w:val="0"/>
                <w:i w:val="0"/>
                <w:color w:val="212121"/>
                <w:sz w:val="19"/>
              </w:rPr>
              <w:t>Source of bacterial and irritant conjunctivitis</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Swimming-pool exposure</w:t>
            </w:r>
          </w:p>
        </w:tc>
        <w:tc>
          <w:tcPr>
            <w:tcW w:type="dxa" w:w="1655"/>
            <w:vAlign w:val="top"/>
          </w:tcPr>
          <w:p>
            <w:pPr>
              <w:spacing w:after="40" w:before="0" w:line="259" w:lineRule="auto"/>
            </w:pPr>
            <w:r>
              <w:rPr>
                <w:rFonts w:ascii="Calibri" w:hAnsi="Calibri"/>
                <w:b w:val="0"/>
                <w:i w:val="0"/>
                <w:color w:val="212121"/>
                <w:sz w:val="19"/>
              </w:rPr>
              <w:t>Swimmers</w:t>
            </w:r>
          </w:p>
        </w:tc>
        <w:tc>
          <w:tcPr>
            <w:tcW w:type="dxa" w:w="1512"/>
            <w:vAlign w:val="top"/>
          </w:tcPr>
          <w:p>
            <w:pPr>
              <w:spacing w:after="40" w:before="0" w:line="259" w:lineRule="auto"/>
            </w:pPr>
            <w:r>
              <w:rPr>
                <w:rFonts w:ascii="Calibri" w:hAnsi="Calibri"/>
                <w:b w:val="0"/>
                <w:i w:val="0"/>
                <w:color w:val="212121"/>
                <w:sz w:val="19"/>
              </w:rPr>
              <w:t>Well-chlorinated water; swim goggles</w:t>
            </w:r>
          </w:p>
        </w:tc>
        <w:tc>
          <w:tcPr>
            <w:tcW w:type="dxa" w:w="1512"/>
            <w:vAlign w:val="top"/>
          </w:tcPr>
          <w:p>
            <w:pPr>
              <w:spacing w:after="40" w:before="0" w:line="259" w:lineRule="auto"/>
            </w:pPr>
            <w:r>
              <w:rPr>
                <w:rFonts w:ascii="Calibri" w:hAnsi="Calibri"/>
                <w:b w:val="0"/>
                <w:i w:val="0"/>
                <w:color w:val="212121"/>
                <w:sz w:val="19"/>
              </w:rPr>
              <w:t>Shared/unchlorinated pools during outbreaks</w:t>
            </w:r>
          </w:p>
        </w:tc>
        <w:tc>
          <w:tcPr>
            <w:tcW w:type="dxa" w:w="1468"/>
            <w:vAlign w:val="top"/>
          </w:tcPr>
          <w:p>
            <w:pPr>
              <w:spacing w:after="60" w:line="259" w:lineRule="auto"/>
            </w:pPr>
            <w:r>
              <w:rPr>
                <w:rFonts w:ascii="Calibri" w:hAnsi="Calibri"/>
                <w:b w:val="0"/>
                <w:i w:val="0"/>
                <w:color w:val="212121"/>
                <w:sz w:val="19"/>
              </w:rPr>
              <w:t>Adenoviral and chlorine-irritant exposure</w:t>
            </w:r>
          </w:p>
          <w:p>
            <w:pPr>
              <w:spacing w:after="40" w:line="252" w:lineRule="auto"/>
            </w:pPr>
            <w:hyperlink r:id="rId15">
              <w:r>
                <w:rPr>
                  <w:rFonts w:ascii="Calibri" w:hAnsi="Calibri" w:cs="Calibri"/>
                  <w:sz w:val="18"/>
                  <w:color w:val="1155CC"/>
                  <w:u w:val="single"/>
                </w:rPr>
                <w:t xml:space="preserve">https://www.cdc.gov/conjunctivitis/about/index.html</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Tear-film adequacy / hydration</w:t>
            </w:r>
          </w:p>
        </w:tc>
        <w:tc>
          <w:tcPr>
            <w:tcW w:type="dxa" w:w="1655"/>
            <w:vAlign w:val="top"/>
          </w:tcPr>
          <w:p>
            <w:pPr>
              <w:spacing w:after="40" w:before="0" w:line="259" w:lineRule="auto"/>
            </w:pPr>
            <w:r>
              <w:rPr>
                <w:rFonts w:ascii="Calibri" w:hAnsi="Calibri"/>
                <w:b w:val="0"/>
                <w:i w:val="0"/>
                <w:color w:val="212121"/>
                <w:sz w:val="19"/>
              </w:rPr>
              <w:t>Elderly, dry-eye, screen users</w:t>
            </w:r>
          </w:p>
        </w:tc>
        <w:tc>
          <w:tcPr>
            <w:tcW w:type="dxa" w:w="1512"/>
            <w:vAlign w:val="top"/>
          </w:tcPr>
          <w:p>
            <w:pPr>
              <w:spacing w:after="40" w:before="0" w:line="259" w:lineRule="auto"/>
            </w:pPr>
            <w:r>
              <w:rPr>
                <w:rFonts w:ascii="Calibri" w:hAnsi="Calibri"/>
                <w:b w:val="0"/>
                <w:i w:val="0"/>
                <w:color w:val="212121"/>
                <w:sz w:val="19"/>
              </w:rPr>
              <w:t>Adequate hydration; tear break-up time &gt; 10 s</w:t>
            </w:r>
          </w:p>
        </w:tc>
        <w:tc>
          <w:tcPr>
            <w:tcW w:type="dxa" w:w="1512"/>
            <w:vAlign w:val="top"/>
          </w:tcPr>
          <w:p>
            <w:pPr>
              <w:spacing w:after="40" w:before="0" w:line="259" w:lineRule="auto"/>
            </w:pPr>
            <w:r>
              <w:rPr>
                <w:rFonts w:ascii="Calibri" w:hAnsi="Calibri"/>
                <w:b w:val="0"/>
                <w:i w:val="0"/>
                <w:color w:val="212121"/>
                <w:sz w:val="19"/>
              </w:rPr>
              <w:t>Dehydration; TBUT &lt; 10 s</w:t>
            </w:r>
          </w:p>
        </w:tc>
        <w:tc>
          <w:tcPr>
            <w:tcW w:type="dxa" w:w="1468"/>
            <w:vAlign w:val="top"/>
          </w:tcPr>
          <w:p>
            <w:pPr>
              <w:spacing w:after="40" w:before="0" w:line="259" w:lineRule="auto"/>
            </w:pPr>
            <w:r>
              <w:rPr>
                <w:rFonts w:ascii="Calibri" w:hAnsi="Calibri"/>
                <w:b w:val="0"/>
                <w:i w:val="0"/>
                <w:color w:val="212121"/>
                <w:sz w:val="19"/>
              </w:rPr>
              <w:t>Unstable tear film worsens irritation and allergy</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duration/quality</w:t>
            </w:r>
          </w:p>
        </w:tc>
        <w:tc>
          <w:tcPr>
            <w:tcW w:type="dxa" w:w="1655"/>
            <w:vAlign w:val="top"/>
          </w:tcPr>
          <w:p>
            <w:pPr>
              <w:spacing w:after="40" w:before="0" w:line="259" w:lineRule="auto"/>
            </w:pPr>
            <w:r>
              <w:rPr>
                <w:rFonts w:ascii="Calibri" w:hAnsi="Calibri"/>
                <w:b w:val="0"/>
                <w:i w:val="0"/>
                <w:color w:val="212121"/>
                <w:sz w:val="19"/>
              </w:rPr>
              <w:t>Adults, students</w:t>
            </w:r>
          </w:p>
        </w:tc>
        <w:tc>
          <w:tcPr>
            <w:tcW w:type="dxa" w:w="1512"/>
            <w:vAlign w:val="top"/>
          </w:tcPr>
          <w:p>
            <w:pPr>
              <w:spacing w:after="40" w:before="0" w:line="259" w:lineRule="auto"/>
            </w:pPr>
            <w:r>
              <w:rPr>
                <w:rFonts w:ascii="Calibri" w:hAnsi="Calibri"/>
                <w:b w:val="0"/>
                <w:i w:val="0"/>
                <w:color w:val="212121"/>
                <w:sz w:val="19"/>
              </w:rPr>
              <w:t>7–9 h/night</w:t>
            </w:r>
          </w:p>
        </w:tc>
        <w:tc>
          <w:tcPr>
            <w:tcW w:type="dxa" w:w="1512"/>
            <w:vAlign w:val="top"/>
          </w:tcPr>
          <w:p>
            <w:pPr>
              <w:spacing w:after="40" w:before="0" w:line="259" w:lineRule="auto"/>
            </w:pPr>
            <w:r>
              <w:rPr>
                <w:rFonts w:ascii="Calibri" w:hAnsi="Calibri"/>
                <w:b w:val="0"/>
                <w:i w:val="0"/>
                <w:color w:val="212121"/>
                <w:sz w:val="19"/>
              </w:rPr>
              <w:t>&lt; 6 h or poor quality</w:t>
            </w:r>
          </w:p>
        </w:tc>
        <w:tc>
          <w:tcPr>
            <w:tcW w:type="dxa" w:w="1468"/>
            <w:vAlign w:val="top"/>
          </w:tcPr>
          <w:p>
            <w:pPr>
              <w:spacing w:after="40" w:before="0" w:line="259" w:lineRule="auto"/>
            </w:pPr>
            <w:r>
              <w:rPr>
                <w:rFonts w:ascii="Calibri" w:hAnsi="Calibri"/>
                <w:b w:val="0"/>
                <w:i w:val="0"/>
                <w:color w:val="212121"/>
                <w:sz w:val="19"/>
              </w:rPr>
              <w:t>Supports immune defence and ocular-surface health</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Tobacco/biomass smoke exposure</w:t>
            </w:r>
          </w:p>
        </w:tc>
        <w:tc>
          <w:tcPr>
            <w:tcW w:type="dxa" w:w="1655"/>
            <w:vAlign w:val="top"/>
          </w:tcPr>
          <w:p>
            <w:pPr>
              <w:spacing w:after="40" w:before="0" w:line="259" w:lineRule="auto"/>
            </w:pPr>
            <w:r>
              <w:rPr>
                <w:rFonts w:ascii="Calibri" w:hAnsi="Calibri"/>
                <w:b w:val="0"/>
                <w:i w:val="0"/>
                <w:color w:val="212121"/>
                <w:sz w:val="19"/>
              </w:rPr>
              <w:t>Smokers, biomass-fuel households</w:t>
            </w:r>
          </w:p>
        </w:tc>
        <w:tc>
          <w:tcPr>
            <w:tcW w:type="dxa" w:w="1512"/>
            <w:vAlign w:val="top"/>
          </w:tcPr>
          <w:p>
            <w:pPr>
              <w:spacing w:after="40" w:before="0" w:line="259" w:lineRule="auto"/>
            </w:pPr>
            <w:r>
              <w:rPr>
                <w:rFonts w:ascii="Calibri" w:hAnsi="Calibri"/>
                <w:b w:val="0"/>
                <w:i w:val="0"/>
                <w:color w:val="212121"/>
                <w:sz w:val="19"/>
              </w:rPr>
              <w:t>0 (no active or passive exposure)</w:t>
            </w:r>
          </w:p>
        </w:tc>
        <w:tc>
          <w:tcPr>
            <w:tcW w:type="dxa" w:w="1512"/>
            <w:vAlign w:val="top"/>
          </w:tcPr>
          <w:p>
            <w:pPr>
              <w:spacing w:after="40" w:before="0" w:line="259" w:lineRule="auto"/>
            </w:pPr>
            <w:r>
              <w:rPr>
                <w:rFonts w:ascii="Calibri" w:hAnsi="Calibri"/>
                <w:b w:val="0"/>
                <w:i w:val="0"/>
                <w:color w:val="212121"/>
                <w:sz w:val="19"/>
              </w:rPr>
              <w:t>Any active or passive smoke exposure</w:t>
            </w:r>
          </w:p>
        </w:tc>
        <w:tc>
          <w:tcPr>
            <w:tcW w:type="dxa" w:w="1468"/>
            <w:vAlign w:val="top"/>
          </w:tcPr>
          <w:p>
            <w:pPr>
              <w:spacing w:after="40" w:before="0" w:line="259" w:lineRule="auto"/>
            </w:pPr>
            <w:r>
              <w:rPr>
                <w:rFonts w:ascii="Calibri" w:hAnsi="Calibri"/>
                <w:b w:val="0"/>
                <w:i w:val="0"/>
                <w:color w:val="212121"/>
                <w:sz w:val="19"/>
              </w:rPr>
              <w:t>Direct ocular-surface irritant</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Bacterial pathogen / sensitivity</w:t>
            </w:r>
          </w:p>
        </w:tc>
        <w:tc>
          <w:tcPr>
            <w:tcW w:type="dxa" w:w="892"/>
            <w:vAlign w:val="top"/>
          </w:tcPr>
          <w:p>
            <w:pPr>
              <w:spacing w:after="40" w:before="0" w:line="259" w:lineRule="auto"/>
            </w:pPr>
            <w:r>
              <w:rPr>
                <w:rFonts w:ascii="Calibri" w:hAnsi="Calibri"/>
                <w:b w:val="0"/>
                <w:i w:val="0"/>
                <w:color w:val="212121"/>
                <w:sz w:val="16"/>
              </w:rPr>
              <w:t>Conjunctival swab — Gram stain, culture &amp; sensitivity</w:t>
            </w:r>
          </w:p>
        </w:tc>
        <w:tc>
          <w:tcPr>
            <w:tcW w:type="dxa" w:w="950"/>
            <w:vAlign w:val="top"/>
          </w:tcPr>
          <w:p>
            <w:pPr>
              <w:spacing w:after="40" w:before="0" w:line="259" w:lineRule="auto"/>
            </w:pPr>
            <w:r>
              <w:rPr>
                <w:rFonts w:ascii="Calibri" w:hAnsi="Calibri"/>
                <w:b w:val="0"/>
                <w:i w:val="0"/>
                <w:color w:val="212121"/>
                <w:sz w:val="16"/>
              </w:rPr>
              <w:t>No growth / normal flora</w:t>
            </w:r>
          </w:p>
        </w:tc>
        <w:tc>
          <w:tcPr>
            <w:tcW w:type="dxa" w:w="950"/>
            <w:vAlign w:val="top"/>
          </w:tcPr>
          <w:p>
            <w:pPr>
              <w:spacing w:after="40" w:before="0" w:line="259" w:lineRule="auto"/>
            </w:pPr>
            <w:r>
              <w:rPr>
                <w:rFonts w:ascii="Calibri" w:hAnsi="Calibri"/>
                <w:b w:val="0"/>
                <w:i w:val="0"/>
                <w:color w:val="212121"/>
                <w:sz w:val="16"/>
              </w:rPr>
              <w:t>Growth of S. aureus, S. pneumoniae, H. influenzae or N. gonorrhoeae</w:t>
            </w:r>
          </w:p>
        </w:tc>
        <w:tc>
          <w:tcPr>
            <w:tcW w:type="dxa" w:w="1036"/>
            <w:vAlign w:val="top"/>
          </w:tcPr>
          <w:p>
            <w:pPr>
              <w:spacing w:after="40" w:before="0" w:line="259" w:lineRule="auto"/>
            </w:pPr>
            <w:r>
              <w:rPr>
                <w:rFonts w:ascii="Calibri" w:hAnsi="Calibri"/>
                <w:b w:val="0"/>
                <w:i w:val="0"/>
                <w:color w:val="212121"/>
                <w:sz w:val="16"/>
              </w:rPr>
              <w:t>Confirms bacterial aetiology and guides targeted antibiotic therapy</w:t>
            </w:r>
          </w:p>
        </w:tc>
        <w:tc>
          <w:tcPr>
            <w:tcW w:type="dxa" w:w="1036"/>
            <w:vAlign w:val="top"/>
          </w:tcPr>
          <w:p>
            <w:pPr>
              <w:spacing w:after="40" w:before="0" w:line="259" w:lineRule="auto"/>
            </w:pPr>
            <w:r>
              <w:rPr>
                <w:rFonts w:ascii="Calibri" w:hAnsi="Calibri"/>
                <w:b w:val="0"/>
                <w:i w:val="0"/>
                <w:color w:val="212121"/>
                <w:sz w:val="16"/>
              </w:rPr>
              <w:t>Severe/hyperacute, neonatal, chronic or non-resolving cases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Essential in hyperacute (gonococcal) and neonatal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Inflammatory cell type</w:t>
            </w:r>
          </w:p>
        </w:tc>
        <w:tc>
          <w:tcPr>
            <w:tcW w:type="dxa" w:w="892"/>
            <w:vAlign w:val="top"/>
          </w:tcPr>
          <w:p>
            <w:pPr>
              <w:spacing w:after="40" w:before="0" w:line="259" w:lineRule="auto"/>
            </w:pPr>
            <w:r>
              <w:rPr>
                <w:rFonts w:ascii="Calibri" w:hAnsi="Calibri"/>
                <w:b w:val="0"/>
                <w:i w:val="0"/>
                <w:color w:val="212121"/>
                <w:sz w:val="16"/>
              </w:rPr>
              <w:t>Conjunctival scraping — Giemsa/Wright stain</w:t>
            </w:r>
          </w:p>
        </w:tc>
        <w:tc>
          <w:tcPr>
            <w:tcW w:type="dxa" w:w="950"/>
            <w:vAlign w:val="top"/>
          </w:tcPr>
          <w:p>
            <w:pPr>
              <w:spacing w:after="40" w:before="0" w:line="259" w:lineRule="auto"/>
            </w:pPr>
            <w:r>
              <w:rPr>
                <w:rFonts w:ascii="Calibri" w:hAnsi="Calibri"/>
                <w:b w:val="0"/>
                <w:i w:val="0"/>
                <w:color w:val="212121"/>
                <w:sz w:val="16"/>
              </w:rPr>
              <w:t>Scant cells</w:t>
            </w:r>
          </w:p>
        </w:tc>
        <w:tc>
          <w:tcPr>
            <w:tcW w:type="dxa" w:w="950"/>
            <w:vAlign w:val="top"/>
          </w:tcPr>
          <w:p>
            <w:pPr>
              <w:spacing w:after="40" w:before="0" w:line="259" w:lineRule="auto"/>
            </w:pPr>
            <w:r>
              <w:rPr>
                <w:rFonts w:ascii="Calibri" w:hAnsi="Calibri"/>
                <w:b w:val="0"/>
                <w:i w:val="0"/>
                <w:color w:val="212121"/>
                <w:sz w:val="16"/>
              </w:rPr>
              <w:t>Neutrophils (bacterial), mononuclear/lymphocytes (viral), eosinophils (allergic)</w:t>
            </w:r>
          </w:p>
        </w:tc>
        <w:tc>
          <w:tcPr>
            <w:tcW w:type="dxa" w:w="1036"/>
            <w:vAlign w:val="top"/>
          </w:tcPr>
          <w:p>
            <w:pPr>
              <w:spacing w:after="40" w:before="0" w:line="259" w:lineRule="auto"/>
            </w:pPr>
            <w:r>
              <w:rPr>
                <w:rFonts w:ascii="Calibri" w:hAnsi="Calibri"/>
                <w:b w:val="0"/>
                <w:i w:val="0"/>
                <w:color w:val="212121"/>
                <w:sz w:val="16"/>
              </w:rPr>
              <w:t>Differentiates bacterial, viral and allergic causes; eosinophils support allergy</w:t>
            </w:r>
          </w:p>
        </w:tc>
        <w:tc>
          <w:tcPr>
            <w:tcW w:type="dxa" w:w="1036"/>
            <w:vAlign w:val="top"/>
          </w:tcPr>
          <w:p>
            <w:pPr>
              <w:spacing w:after="40" w:before="0" w:line="259" w:lineRule="auto"/>
            </w:pPr>
            <w:r>
              <w:rPr>
                <w:rFonts w:ascii="Calibri" w:hAnsi="Calibri"/>
                <w:b w:val="0"/>
                <w:i w:val="0"/>
                <w:color w:val="212121"/>
                <w:sz w:val="16"/>
              </w:rPr>
              <w:t>Diagnostically uncertain or refractory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Intracytoplasmic inclusions suggest chlamydial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Viral / chlamydial nucleic acid</w:t>
            </w:r>
          </w:p>
        </w:tc>
        <w:tc>
          <w:tcPr>
            <w:tcW w:type="dxa" w:w="892"/>
            <w:vAlign w:val="top"/>
          </w:tcPr>
          <w:p>
            <w:pPr>
              <w:spacing w:after="40" w:before="0" w:line="259" w:lineRule="auto"/>
            </w:pPr>
            <w:r>
              <w:rPr>
                <w:rFonts w:ascii="Calibri" w:hAnsi="Calibri"/>
                <w:b w:val="0"/>
                <w:i w:val="0"/>
                <w:color w:val="212121"/>
                <w:sz w:val="16"/>
              </w:rPr>
              <w:t>PCR (adenovirus, HSV, Chlamydia trachomatis)</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Target DNA detected</w:t>
            </w:r>
          </w:p>
        </w:tc>
        <w:tc>
          <w:tcPr>
            <w:tcW w:type="dxa" w:w="1036"/>
            <w:vAlign w:val="top"/>
          </w:tcPr>
          <w:p>
            <w:pPr>
              <w:spacing w:after="40" w:before="0" w:line="259" w:lineRule="auto"/>
            </w:pPr>
            <w:r>
              <w:rPr>
                <w:rFonts w:ascii="Calibri" w:hAnsi="Calibri"/>
                <w:b w:val="0"/>
                <w:i w:val="0"/>
                <w:color w:val="212121"/>
                <w:sz w:val="16"/>
              </w:rPr>
              <w:t>Highly accurate confirmation of viral or chlamydial cause</w:t>
            </w:r>
          </w:p>
        </w:tc>
        <w:tc>
          <w:tcPr>
            <w:tcW w:type="dxa" w:w="1036"/>
            <w:vAlign w:val="top"/>
          </w:tcPr>
          <w:p>
            <w:pPr>
              <w:spacing w:after="40" w:before="0" w:line="259" w:lineRule="auto"/>
            </w:pPr>
            <w:r>
              <w:rPr>
                <w:rFonts w:ascii="Calibri" w:hAnsi="Calibri"/>
                <w:b w:val="0"/>
                <w:i w:val="0"/>
                <w:color w:val="212121"/>
                <w:sz w:val="16"/>
              </w:rPr>
              <w:t>Outbreaks, atypical/severe, suspected HSV or chlamydial disease</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PCR ~93% sensitive and ~97% specific from conjunctival swabs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Point-of-care</w:t>
            </w:r>
          </w:p>
        </w:tc>
        <w:tc>
          <w:tcPr>
            <w:tcW w:type="dxa" w:w="1036"/>
            <w:vAlign w:val="top"/>
          </w:tcPr>
          <w:p>
            <w:pPr>
              <w:spacing w:after="40" w:before="0" w:line="259" w:lineRule="auto"/>
            </w:pPr>
            <w:r>
              <w:rPr>
                <w:rFonts w:ascii="Calibri" w:hAnsi="Calibri"/>
                <w:b w:val="0"/>
                <w:i w:val="0"/>
                <w:color w:val="212121"/>
                <w:sz w:val="16"/>
              </w:rPr>
              <w:t>Adenoviral antigen</w:t>
            </w:r>
          </w:p>
        </w:tc>
        <w:tc>
          <w:tcPr>
            <w:tcW w:type="dxa" w:w="892"/>
            <w:vAlign w:val="top"/>
          </w:tcPr>
          <w:p>
            <w:pPr>
              <w:spacing w:after="40" w:before="0" w:line="259" w:lineRule="auto"/>
            </w:pPr>
            <w:r>
              <w:rPr>
                <w:rFonts w:ascii="Calibri" w:hAnsi="Calibri"/>
                <w:b w:val="0"/>
                <w:i w:val="0"/>
                <w:color w:val="212121"/>
                <w:sz w:val="16"/>
              </w:rPr>
              <w:t>Rapid antigen immunoassay (e.g., AdenoPlus)</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Rapid bedside confirmation of adenoviral conjunctivitis</w:t>
            </w:r>
          </w:p>
        </w:tc>
        <w:tc>
          <w:tcPr>
            <w:tcW w:type="dxa" w:w="1036"/>
            <w:vAlign w:val="top"/>
          </w:tcPr>
          <w:p>
            <w:pPr>
              <w:spacing w:after="40" w:before="0" w:line="259" w:lineRule="auto"/>
            </w:pPr>
            <w:r>
              <w:rPr>
                <w:rFonts w:ascii="Calibri" w:hAnsi="Calibri"/>
                <w:b w:val="0"/>
                <w:i w:val="0"/>
                <w:color w:val="212121"/>
                <w:sz w:val="16"/>
              </w:rPr>
              <w:t>Suspected adenoviral 'pink eye', outbreak triage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Results in ~10 minutes; supports infection-control decisions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Total &amp; allergen-specific IgE</w:t>
            </w:r>
          </w:p>
        </w:tc>
        <w:tc>
          <w:tcPr>
            <w:tcW w:type="dxa" w:w="892"/>
            <w:vAlign w:val="top"/>
          </w:tcPr>
          <w:p>
            <w:pPr>
              <w:spacing w:after="40" w:before="0" w:line="259" w:lineRule="auto"/>
            </w:pPr>
            <w:r>
              <w:rPr>
                <w:rFonts w:ascii="Calibri" w:hAnsi="Calibri"/>
                <w:b w:val="0"/>
                <w:i w:val="0"/>
                <w:color w:val="212121"/>
                <w:sz w:val="16"/>
              </w:rPr>
              <w:t>Serum IgE / skin-prick or specific IgE testing</w:t>
            </w:r>
          </w:p>
        </w:tc>
        <w:tc>
          <w:tcPr>
            <w:tcW w:type="dxa" w:w="950"/>
            <w:vAlign w:val="top"/>
          </w:tcPr>
          <w:p>
            <w:pPr>
              <w:spacing w:after="40" w:before="0" w:line="259" w:lineRule="auto"/>
            </w:pPr>
            <w:r>
              <w:rPr>
                <w:rFonts w:ascii="Calibri" w:hAnsi="Calibri"/>
                <w:b w:val="0"/>
                <w:i w:val="0"/>
                <w:color w:val="212121"/>
                <w:sz w:val="16"/>
              </w:rPr>
              <w:t>Age-appropriate reference range</w:t>
            </w:r>
          </w:p>
        </w:tc>
        <w:tc>
          <w:tcPr>
            <w:tcW w:type="dxa" w:w="950"/>
            <w:vAlign w:val="top"/>
          </w:tcPr>
          <w:p>
            <w:pPr>
              <w:spacing w:after="40" w:before="0" w:line="259" w:lineRule="auto"/>
            </w:pPr>
            <w:r>
              <w:rPr>
                <w:rFonts w:ascii="Calibri" w:hAnsi="Calibri"/>
                <w:b w:val="0"/>
                <w:i w:val="0"/>
                <w:color w:val="212121"/>
                <w:sz w:val="16"/>
              </w:rPr>
              <w:t>Elevated total or allergen-specific IgE</w:t>
            </w:r>
          </w:p>
        </w:tc>
        <w:tc>
          <w:tcPr>
            <w:tcW w:type="dxa" w:w="1036"/>
            <w:vAlign w:val="top"/>
          </w:tcPr>
          <w:p>
            <w:pPr>
              <w:spacing w:after="40" w:before="0" w:line="259" w:lineRule="auto"/>
            </w:pPr>
            <w:r>
              <w:rPr>
                <w:rFonts w:ascii="Calibri" w:hAnsi="Calibri"/>
                <w:b w:val="0"/>
                <w:i w:val="0"/>
                <w:color w:val="212121"/>
                <w:sz w:val="16"/>
              </w:rPr>
              <w:t>Supports allergic aetiology and identifies triggers for avoidance</w:t>
            </w:r>
          </w:p>
        </w:tc>
        <w:tc>
          <w:tcPr>
            <w:tcW w:type="dxa" w:w="1036"/>
            <w:vAlign w:val="top"/>
          </w:tcPr>
          <w:p>
            <w:pPr>
              <w:spacing w:after="40" w:before="0" w:line="259" w:lineRule="auto"/>
            </w:pPr>
            <w:r>
              <w:rPr>
                <w:rFonts w:ascii="Calibri" w:hAnsi="Calibri"/>
                <w:b w:val="0"/>
                <w:i w:val="0"/>
                <w:color w:val="212121"/>
                <w:sz w:val="16"/>
              </w:rPr>
              <w:t>Recurrent/perennial allergic conjunctivitis, VKC/AKC, atopics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allergen avoidance and immunotherapy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Chlamydia / gonococcus (neonate)</w:t>
            </w:r>
          </w:p>
        </w:tc>
        <w:tc>
          <w:tcPr>
            <w:tcW w:type="dxa" w:w="892"/>
            <w:vAlign w:val="top"/>
          </w:tcPr>
          <w:p>
            <w:pPr>
              <w:spacing w:after="40" w:before="0" w:line="259" w:lineRule="auto"/>
            </w:pPr>
            <w:r>
              <w:rPr>
                <w:rFonts w:ascii="Calibri" w:hAnsi="Calibri"/>
                <w:b w:val="0"/>
                <w:i w:val="0"/>
                <w:color w:val="212121"/>
                <w:sz w:val="16"/>
              </w:rPr>
              <w:t>NAAT / Giemsa for inclusion bodies + Gram stain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for C. trachomatis or N. gonorrhoeae</w:t>
            </w:r>
          </w:p>
        </w:tc>
        <w:tc>
          <w:tcPr>
            <w:tcW w:type="dxa" w:w="1036"/>
            <w:vAlign w:val="top"/>
          </w:tcPr>
          <w:p>
            <w:pPr>
              <w:spacing w:after="40" w:before="0" w:line="259" w:lineRule="auto"/>
            </w:pPr>
            <w:r>
              <w:rPr>
                <w:rFonts w:ascii="Calibri" w:hAnsi="Calibri"/>
                <w:b w:val="0"/>
                <w:i w:val="0"/>
                <w:color w:val="212121"/>
                <w:sz w:val="16"/>
              </w:rPr>
              <w:t>Confirms cause of ophthalmia neonatorum; mandates systemic treatment and parental screening</w:t>
            </w:r>
          </w:p>
        </w:tc>
        <w:tc>
          <w:tcPr>
            <w:tcW w:type="dxa" w:w="1036"/>
            <w:vAlign w:val="top"/>
          </w:tcPr>
          <w:p>
            <w:pPr>
              <w:spacing w:after="40" w:before="0" w:line="259" w:lineRule="auto"/>
            </w:pPr>
            <w:r>
              <w:rPr>
                <w:rFonts w:ascii="Calibri" w:hAnsi="Calibri"/>
                <w:b w:val="0"/>
                <w:i w:val="0"/>
                <w:color w:val="212121"/>
                <w:sz w:val="16"/>
              </w:rPr>
              <w:t>Neonates with conjunctivitis in the first 28 days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Gonococcal disease is a sight-threatening emergency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Redness, discharge, watering, itching, gritty/foreign-body sensation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Establishes conjunctivitis and points to likely cause</w:t>
            </w:r>
          </w:p>
        </w:tc>
        <w:tc>
          <w:tcPr>
            <w:tcW w:type="dxa" w:w="1036"/>
            <w:vAlign w:val="top"/>
          </w:tcPr>
          <w:p>
            <w:pPr>
              <w:spacing w:after="40" w:before="0" w:line="259" w:lineRule="auto"/>
            </w:pPr>
            <w:r>
              <w:rPr>
                <w:rFonts w:ascii="Calibri" w:hAnsi="Calibri"/>
                <w:b w:val="0"/>
                <w:i w:val="0"/>
                <w:color w:val="212121"/>
                <w:sz w:val="16"/>
              </w:rPr>
              <w:t>All presenting patients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Onset, laterality and duration help classify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History/Inspection</w:t>
            </w:r>
          </w:p>
        </w:tc>
        <w:tc>
          <w:tcPr>
            <w:tcW w:type="dxa" w:w="950"/>
            <w:vAlign w:val="top"/>
          </w:tcPr>
          <w:p>
            <w:pPr>
              <w:spacing w:after="40" w:before="0" w:line="259" w:lineRule="auto"/>
            </w:pPr>
            <w:r>
              <w:rPr>
                <w:rFonts w:ascii="Calibri" w:hAnsi="Calibri"/>
                <w:b w:val="0"/>
                <w:i w:val="0"/>
                <w:color w:val="212121"/>
                <w:sz w:val="16"/>
              </w:rPr>
              <w:t>Character of discharge</w:t>
            </w:r>
          </w:p>
        </w:tc>
        <w:tc>
          <w:tcPr>
            <w:tcW w:type="dxa" w:w="979"/>
            <w:vAlign w:val="top"/>
          </w:tcPr>
          <w:p>
            <w:pPr>
              <w:spacing w:after="40" w:before="0" w:line="259" w:lineRule="auto"/>
            </w:pPr>
            <w:r>
              <w:rPr>
                <w:rFonts w:ascii="Calibri" w:hAnsi="Calibri"/>
                <w:b w:val="0"/>
                <w:i w:val="0"/>
                <w:color w:val="212121"/>
                <w:sz w:val="16"/>
              </w:rPr>
              <w:t>Watery vs mucopurulent/purulent vs ropey mucoid</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Watery (viral), purulent (bacterial), ropey mucoid (allergic)</w:t>
            </w:r>
          </w:p>
        </w:tc>
        <w:tc>
          <w:tcPr>
            <w:tcW w:type="dxa" w:w="1036"/>
            <w:vAlign w:val="top"/>
          </w:tcPr>
          <w:p>
            <w:pPr>
              <w:spacing w:after="40" w:before="0" w:line="259" w:lineRule="auto"/>
            </w:pPr>
            <w:r>
              <w:rPr>
                <w:rFonts w:ascii="Calibri" w:hAnsi="Calibri"/>
                <w:b w:val="0"/>
                <w:i w:val="0"/>
                <w:color w:val="212121"/>
                <w:sz w:val="16"/>
              </w:rPr>
              <w:t>Discharge type is a key discriminator of aetiology</w:t>
            </w:r>
          </w:p>
        </w:tc>
        <w:tc>
          <w:tcPr>
            <w:tcW w:type="dxa" w:w="1036"/>
            <w:vAlign w:val="top"/>
          </w:tcPr>
          <w:p>
            <w:pPr>
              <w:spacing w:after="40" w:before="0" w:line="259" w:lineRule="auto"/>
            </w:pPr>
            <w:r>
              <w:rPr>
                <w:rFonts w:ascii="Calibri" w:hAnsi="Calibri"/>
                <w:b w:val="0"/>
                <w:i w:val="0"/>
                <w:color w:val="212121"/>
                <w:sz w:val="16"/>
              </w:rPr>
              <w:t>All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Morning matting/gluing suggests bacterial cause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Itching</w:t>
            </w:r>
          </w:p>
        </w:tc>
        <w:tc>
          <w:tcPr>
            <w:tcW w:type="dxa" w:w="979"/>
            <w:vAlign w:val="top"/>
          </w:tcPr>
          <w:p>
            <w:pPr>
              <w:spacing w:after="40" w:before="0" w:line="259" w:lineRule="auto"/>
            </w:pPr>
            <w:r>
              <w:rPr>
                <w:rFonts w:ascii="Calibri" w:hAnsi="Calibri"/>
                <w:b w:val="0"/>
                <w:i w:val="0"/>
                <w:color w:val="212121"/>
                <w:sz w:val="16"/>
              </w:rPr>
              <w:t>Presence and intensity of itch</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Marked bilateral itching</w:t>
            </w:r>
          </w:p>
        </w:tc>
        <w:tc>
          <w:tcPr>
            <w:tcW w:type="dxa" w:w="1036"/>
            <w:vAlign w:val="top"/>
          </w:tcPr>
          <w:p>
            <w:pPr>
              <w:spacing w:after="40" w:before="0" w:line="259" w:lineRule="auto"/>
            </w:pPr>
            <w:r>
              <w:rPr>
                <w:rFonts w:ascii="Calibri" w:hAnsi="Calibri"/>
                <w:b w:val="0"/>
                <w:i w:val="0"/>
                <w:color w:val="212121"/>
                <w:sz w:val="16"/>
              </w:rPr>
              <w:t>Intense itching is the hallmark of allergic conjunctivitis</w:t>
            </w:r>
          </w:p>
        </w:tc>
        <w:tc>
          <w:tcPr>
            <w:tcW w:type="dxa" w:w="1036"/>
            <w:vAlign w:val="top"/>
          </w:tcPr>
          <w:p>
            <w:pPr>
              <w:spacing w:after="40" w:before="0" w:line="259" w:lineRule="auto"/>
            </w:pPr>
            <w:r>
              <w:rPr>
                <w:rFonts w:ascii="Calibri" w:hAnsi="Calibri"/>
                <w:b w:val="0"/>
                <w:i w:val="0"/>
                <w:color w:val="212121"/>
                <w:sz w:val="16"/>
              </w:rPr>
              <w:t>Atopics, VKC/AKC, seasonal sufferers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'Itch out of proportion to signs' favours allergy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w:t>
            </w:r>
          </w:p>
        </w:tc>
        <w:tc>
          <w:tcPr>
            <w:tcW w:type="dxa" w:w="950"/>
            <w:vAlign w:val="top"/>
          </w:tcPr>
          <w:p>
            <w:pPr>
              <w:spacing w:after="40" w:before="0" w:line="259" w:lineRule="auto"/>
            </w:pPr>
            <w:r>
              <w:rPr>
                <w:rFonts w:ascii="Calibri" w:hAnsi="Calibri"/>
                <w:b w:val="0"/>
                <w:i w:val="0"/>
                <w:color w:val="212121"/>
                <w:sz w:val="16"/>
              </w:rPr>
              <w:t>Pre-auricular lymph node</w:t>
            </w:r>
          </w:p>
        </w:tc>
        <w:tc>
          <w:tcPr>
            <w:tcW w:type="dxa" w:w="979"/>
            <w:vAlign w:val="top"/>
          </w:tcPr>
          <w:p>
            <w:pPr>
              <w:spacing w:after="40" w:before="0" w:line="259" w:lineRule="auto"/>
            </w:pPr>
            <w:r>
              <w:rPr>
                <w:rFonts w:ascii="Calibri" w:hAnsi="Calibri"/>
                <w:b w:val="0"/>
                <w:i w:val="0"/>
                <w:color w:val="212121"/>
                <w:sz w:val="16"/>
              </w:rPr>
              <w:t>Tender palpable node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(ipsilateral, tender)</w:t>
            </w:r>
          </w:p>
        </w:tc>
        <w:tc>
          <w:tcPr>
            <w:tcW w:type="dxa" w:w="1036"/>
            <w:vAlign w:val="top"/>
          </w:tcPr>
          <w:p>
            <w:pPr>
              <w:spacing w:after="40" w:before="0" w:line="259" w:lineRule="auto"/>
            </w:pPr>
            <w:r>
              <w:rPr>
                <w:rFonts w:ascii="Calibri" w:hAnsi="Calibri"/>
                <w:b w:val="0"/>
                <w:i w:val="0"/>
                <w:color w:val="212121"/>
                <w:sz w:val="16"/>
              </w:rPr>
              <w:t>Strongly suggests viral (or chlamydial) conjunctivitis</w:t>
            </w:r>
          </w:p>
        </w:tc>
        <w:tc>
          <w:tcPr>
            <w:tcW w:type="dxa" w:w="1036"/>
            <w:vAlign w:val="top"/>
          </w:tcPr>
          <w:p>
            <w:pPr>
              <w:spacing w:after="40" w:before="0" w:line="259" w:lineRule="auto"/>
            </w:pPr>
            <w:r>
              <w:rPr>
                <w:rFonts w:ascii="Calibri" w:hAnsi="Calibri"/>
                <w:b w:val="0"/>
                <w:i w:val="0"/>
                <w:color w:val="212121"/>
                <w:sz w:val="16"/>
              </w:rPr>
              <w:t>Suspected viral/adenoviral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Rare in simple bacterial or allergic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Visual acuity</w:t>
            </w:r>
          </w:p>
        </w:tc>
        <w:tc>
          <w:tcPr>
            <w:tcW w:type="dxa" w:w="979"/>
            <w:vAlign w:val="top"/>
          </w:tcPr>
          <w:p>
            <w:pPr>
              <w:spacing w:after="40" w:before="0" w:line="259" w:lineRule="auto"/>
            </w:pPr>
            <w:r>
              <w:rPr>
                <w:rFonts w:ascii="Calibri" w:hAnsi="Calibri"/>
                <w:b w:val="0"/>
                <w:i w:val="0"/>
                <w:color w:val="212121"/>
                <w:sz w:val="16"/>
              </w:rPr>
              <w:t>Snellen/logMAR acuity</w:t>
            </w:r>
          </w:p>
        </w:tc>
        <w:tc>
          <w:tcPr>
            <w:tcW w:type="dxa" w:w="950"/>
            <w:vAlign w:val="top"/>
          </w:tcPr>
          <w:p>
            <w:pPr>
              <w:spacing w:after="40" w:before="0" w:line="259" w:lineRule="auto"/>
            </w:pPr>
            <w:r>
              <w:rPr>
                <w:rFonts w:ascii="Calibri" w:hAnsi="Calibri"/>
                <w:b w:val="0"/>
                <w:i w:val="0"/>
                <w:color w:val="212121"/>
                <w:sz w:val="16"/>
              </w:rPr>
              <w:t>Unaffected (e.g., 6/6)</w:t>
            </w:r>
          </w:p>
        </w:tc>
        <w:tc>
          <w:tcPr>
            <w:tcW w:type="dxa" w:w="950"/>
            <w:vAlign w:val="top"/>
          </w:tcPr>
          <w:p>
            <w:pPr>
              <w:spacing w:after="40" w:before="0" w:line="259" w:lineRule="auto"/>
            </w:pPr>
            <w:r>
              <w:rPr>
                <w:rFonts w:ascii="Calibri" w:hAnsi="Calibri"/>
                <w:b w:val="0"/>
                <w:i w:val="0"/>
                <w:color w:val="212121"/>
                <w:sz w:val="16"/>
              </w:rPr>
              <w:t>Reduced acuity</w:t>
            </w:r>
          </w:p>
        </w:tc>
        <w:tc>
          <w:tcPr>
            <w:tcW w:type="dxa" w:w="1036"/>
            <w:vAlign w:val="top"/>
          </w:tcPr>
          <w:p>
            <w:pPr>
              <w:spacing w:after="40" w:before="0" w:line="259" w:lineRule="auto"/>
            </w:pPr>
            <w:r>
              <w:rPr>
                <w:rFonts w:ascii="Calibri" w:hAnsi="Calibri"/>
                <w:b w:val="0"/>
                <w:i w:val="0"/>
                <w:color w:val="212121"/>
                <w:sz w:val="16"/>
              </w:rPr>
              <w:t>Reduced vision is a red flag for corneal involvement/keratitis, not simple conjunctivitis</w:t>
            </w:r>
          </w:p>
        </w:tc>
        <w:tc>
          <w:tcPr>
            <w:tcW w:type="dxa" w:w="1036"/>
            <w:vAlign w:val="top"/>
          </w:tcPr>
          <w:p>
            <w:pPr>
              <w:spacing w:after="40" w:before="0" w:line="259" w:lineRule="auto"/>
            </w:pPr>
            <w:r>
              <w:rPr>
                <w:rFonts w:ascii="Calibri" w:hAnsi="Calibri"/>
                <w:b w:val="0"/>
                <w:i w:val="0"/>
                <w:color w:val="212121"/>
                <w:sz w:val="16"/>
              </w:rPr>
              <w:t>All cases; mandatory in contact-lens wearers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 screen</w:t>
            </w:r>
          </w:p>
        </w:tc>
        <w:tc>
          <w:tcPr>
            <w:tcW w:type="dxa" w:w="720"/>
            <w:vAlign w:val="top"/>
          </w:tcPr>
          <w:p>
            <w:pPr>
              <w:spacing w:after="40" w:before="0" w:line="259" w:lineRule="auto"/>
            </w:pPr>
            <w:r>
              <w:rPr>
                <w:rFonts w:ascii="Calibri" w:hAnsi="Calibri"/>
                <w:b w:val="0"/>
                <w:i w:val="0"/>
                <w:color w:val="212121"/>
                <w:sz w:val="16"/>
              </w:rPr>
              <w:t>Prompts urgent ophthalmology referral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Slit-lamp</w:t>
            </w:r>
          </w:p>
        </w:tc>
        <w:tc>
          <w:tcPr>
            <w:tcW w:type="dxa" w:w="950"/>
            <w:vAlign w:val="top"/>
          </w:tcPr>
          <w:p>
            <w:pPr>
              <w:spacing w:after="40" w:before="0" w:line="259" w:lineRule="auto"/>
            </w:pPr>
            <w:r>
              <w:rPr>
                <w:rFonts w:ascii="Calibri" w:hAnsi="Calibri"/>
                <w:b w:val="0"/>
                <w:i w:val="0"/>
                <w:color w:val="212121"/>
                <w:sz w:val="16"/>
              </w:rPr>
              <w:t>Conjunctival reaction</w:t>
            </w:r>
          </w:p>
        </w:tc>
        <w:tc>
          <w:tcPr>
            <w:tcW w:type="dxa" w:w="979"/>
            <w:vAlign w:val="top"/>
          </w:tcPr>
          <w:p>
            <w:pPr>
              <w:spacing w:after="40" w:before="0" w:line="259" w:lineRule="auto"/>
            </w:pPr>
            <w:r>
              <w:rPr>
                <w:rFonts w:ascii="Calibri" w:hAnsi="Calibri"/>
                <w:b w:val="0"/>
                <w:i w:val="0"/>
                <w:color w:val="212121"/>
                <w:sz w:val="16"/>
              </w:rPr>
              <w:t>Follicles vs papillae</w:t>
            </w:r>
          </w:p>
        </w:tc>
        <w:tc>
          <w:tcPr>
            <w:tcW w:type="dxa" w:w="950"/>
            <w:vAlign w:val="top"/>
          </w:tcPr>
          <w:p>
            <w:pPr>
              <w:spacing w:after="40" w:before="0" w:line="259" w:lineRule="auto"/>
            </w:pPr>
            <w:r>
              <w:rPr>
                <w:rFonts w:ascii="Calibri" w:hAnsi="Calibri"/>
                <w:b w:val="0"/>
                <w:i w:val="0"/>
                <w:color w:val="212121"/>
                <w:sz w:val="16"/>
              </w:rPr>
              <w:t>Smooth conjunctiva</w:t>
            </w:r>
          </w:p>
        </w:tc>
        <w:tc>
          <w:tcPr>
            <w:tcW w:type="dxa" w:w="950"/>
            <w:vAlign w:val="top"/>
          </w:tcPr>
          <w:p>
            <w:pPr>
              <w:spacing w:after="40" w:before="0" w:line="259" w:lineRule="auto"/>
            </w:pPr>
            <w:r>
              <w:rPr>
                <w:rFonts w:ascii="Calibri" w:hAnsi="Calibri"/>
                <w:b w:val="0"/>
                <w:i w:val="0"/>
                <w:color w:val="212121"/>
                <w:sz w:val="16"/>
              </w:rPr>
              <w:t>Follicles (viral/chlamydial) vs papillae/giant cobblestone (allergic, VKC)</w:t>
            </w:r>
          </w:p>
        </w:tc>
        <w:tc>
          <w:tcPr>
            <w:tcW w:type="dxa" w:w="1036"/>
            <w:vAlign w:val="top"/>
          </w:tcPr>
          <w:p>
            <w:pPr>
              <w:spacing w:after="40" w:before="0" w:line="259" w:lineRule="auto"/>
            </w:pPr>
            <w:r>
              <w:rPr>
                <w:rFonts w:ascii="Calibri" w:hAnsi="Calibri"/>
                <w:b w:val="0"/>
                <w:i w:val="0"/>
                <w:color w:val="212121"/>
                <w:sz w:val="16"/>
              </w:rPr>
              <w:t>Reaction pattern refines the aetiological diagnosis</w:t>
            </w:r>
          </w:p>
        </w:tc>
        <w:tc>
          <w:tcPr>
            <w:tcW w:type="dxa" w:w="1036"/>
            <w:vAlign w:val="top"/>
          </w:tcPr>
          <w:p>
            <w:pPr>
              <w:spacing w:after="40" w:before="0" w:line="259" w:lineRule="auto"/>
            </w:pPr>
            <w:r>
              <w:rPr>
                <w:rFonts w:ascii="Calibri" w:hAnsi="Calibri"/>
                <w:b w:val="0"/>
                <w:i w:val="0"/>
                <w:color w:val="212121"/>
                <w:sz w:val="16"/>
              </w:rPr>
              <w:t>Chronic, recurrent or atypical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Horner-Trantas dots indicate active VKC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Slit-lamp</w:t>
            </w:r>
          </w:p>
        </w:tc>
        <w:tc>
          <w:tcPr>
            <w:tcW w:type="dxa" w:w="950"/>
            <w:vAlign w:val="top"/>
          </w:tcPr>
          <w:p>
            <w:pPr>
              <w:spacing w:after="40" w:before="0" w:line="259" w:lineRule="auto"/>
            </w:pPr>
            <w:r>
              <w:rPr>
                <w:rFonts w:ascii="Calibri" w:hAnsi="Calibri"/>
                <w:b w:val="0"/>
                <w:i w:val="0"/>
                <w:color w:val="212121"/>
                <w:sz w:val="16"/>
              </w:rPr>
              <w:t>Fluorescein staining</w:t>
            </w:r>
          </w:p>
        </w:tc>
        <w:tc>
          <w:tcPr>
            <w:tcW w:type="dxa" w:w="979"/>
            <w:vAlign w:val="top"/>
          </w:tcPr>
          <w:p>
            <w:pPr>
              <w:spacing w:after="40" w:before="0" w:line="259" w:lineRule="auto"/>
            </w:pPr>
            <w:r>
              <w:rPr>
                <w:rFonts w:ascii="Calibri" w:hAnsi="Calibri"/>
                <w:b w:val="0"/>
                <w:i w:val="0"/>
                <w:color w:val="212121"/>
                <w:sz w:val="16"/>
              </w:rPr>
              <w:t>Corneal epithelial integrity</w:t>
            </w:r>
          </w:p>
        </w:tc>
        <w:tc>
          <w:tcPr>
            <w:tcW w:type="dxa" w:w="950"/>
            <w:vAlign w:val="top"/>
          </w:tcPr>
          <w:p>
            <w:pPr>
              <w:spacing w:after="40" w:before="0" w:line="259" w:lineRule="auto"/>
            </w:pPr>
            <w:r>
              <w:rPr>
                <w:rFonts w:ascii="Calibri" w:hAnsi="Calibri"/>
                <w:b w:val="0"/>
                <w:i w:val="0"/>
                <w:color w:val="212121"/>
                <w:sz w:val="16"/>
              </w:rPr>
              <w:t>No staining</w:t>
            </w:r>
          </w:p>
        </w:tc>
        <w:tc>
          <w:tcPr>
            <w:tcW w:type="dxa" w:w="950"/>
            <w:vAlign w:val="top"/>
          </w:tcPr>
          <w:p>
            <w:pPr>
              <w:spacing w:after="40" w:before="0" w:line="259" w:lineRule="auto"/>
            </w:pPr>
            <w:r>
              <w:rPr>
                <w:rFonts w:ascii="Calibri" w:hAnsi="Calibri"/>
                <w:b w:val="0"/>
                <w:i w:val="0"/>
                <w:color w:val="212121"/>
                <w:sz w:val="16"/>
              </w:rPr>
              <w:t>Punctate keratitis, epithelial defect, shield ulcer, dendrite</w:t>
            </w:r>
          </w:p>
        </w:tc>
        <w:tc>
          <w:tcPr>
            <w:tcW w:type="dxa" w:w="1036"/>
            <w:vAlign w:val="top"/>
          </w:tcPr>
          <w:p>
            <w:pPr>
              <w:spacing w:after="40" w:before="0" w:line="259" w:lineRule="auto"/>
            </w:pPr>
            <w:r>
              <w:rPr>
                <w:rFonts w:ascii="Calibri" w:hAnsi="Calibri"/>
                <w:b w:val="0"/>
                <w:i w:val="0"/>
                <w:color w:val="212121"/>
                <w:sz w:val="16"/>
              </w:rPr>
              <w:t>Detects corneal involvement (HSV dendrite, VKC shield ulcer, keratitis)</w:t>
            </w:r>
          </w:p>
        </w:tc>
        <w:tc>
          <w:tcPr>
            <w:tcW w:type="dxa" w:w="1036"/>
            <w:vAlign w:val="top"/>
          </w:tcPr>
          <w:p>
            <w:pPr>
              <w:spacing w:after="40" w:before="0" w:line="259" w:lineRule="auto"/>
            </w:pPr>
            <w:r>
              <w:rPr>
                <w:rFonts w:ascii="Calibri" w:hAnsi="Calibri"/>
                <w:b w:val="0"/>
                <w:i w:val="0"/>
                <w:color w:val="212121"/>
                <w:sz w:val="16"/>
              </w:rPr>
              <w:t>Painful, photophobic or vision-affected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 screen</w:t>
            </w:r>
          </w:p>
        </w:tc>
        <w:tc>
          <w:tcPr>
            <w:tcW w:type="dxa" w:w="720"/>
            <w:vAlign w:val="top"/>
          </w:tcPr>
          <w:p>
            <w:pPr>
              <w:spacing w:after="40" w:before="0" w:line="259" w:lineRule="auto"/>
            </w:pPr>
            <w:r>
              <w:rPr>
                <w:rFonts w:ascii="Calibri" w:hAnsi="Calibri"/>
                <w:b w:val="0"/>
                <w:i w:val="0"/>
                <w:color w:val="212121"/>
                <w:sz w:val="16"/>
              </w:rPr>
              <w:t>Dendritic staining suggests herpes simplex — avoid steroids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Contact / epidemiological history</w:t>
            </w:r>
          </w:p>
        </w:tc>
        <w:tc>
          <w:tcPr>
            <w:tcW w:type="dxa" w:w="979"/>
            <w:vAlign w:val="top"/>
          </w:tcPr>
          <w:p>
            <w:pPr>
              <w:spacing w:after="40" w:before="0" w:line="259" w:lineRule="auto"/>
            </w:pPr>
            <w:r>
              <w:rPr>
                <w:rFonts w:ascii="Calibri" w:hAnsi="Calibri"/>
                <w:b w:val="0"/>
                <w:i w:val="0"/>
                <w:color w:val="212121"/>
                <w:sz w:val="16"/>
              </w:rPr>
              <w:t>Sick contacts, season, contact-lens use, atopy, neonatal/sexual exposure</w:t>
            </w:r>
          </w:p>
        </w:tc>
        <w:tc>
          <w:tcPr>
            <w:tcW w:type="dxa" w:w="950"/>
            <w:vAlign w:val="top"/>
          </w:tcPr>
          <w:p>
            <w:pPr>
              <w:spacing w:after="40" w:before="0" w:line="259" w:lineRule="auto"/>
            </w:pPr>
            <w:r>
              <w:rPr>
                <w:rFonts w:ascii="Calibri" w:hAnsi="Calibri"/>
                <w:b w:val="0"/>
                <w:i w:val="0"/>
                <w:color w:val="212121"/>
                <w:sz w:val="16"/>
              </w:rPr>
              <w:t>None identified</w:t>
            </w:r>
          </w:p>
        </w:tc>
        <w:tc>
          <w:tcPr>
            <w:tcW w:type="dxa" w:w="950"/>
            <w:vAlign w:val="top"/>
          </w:tcPr>
          <w:p>
            <w:pPr>
              <w:spacing w:after="40" w:before="0" w:line="259" w:lineRule="auto"/>
            </w:pPr>
            <w:r>
              <w:rPr>
                <w:rFonts w:ascii="Calibri" w:hAnsi="Calibri"/>
                <w:b w:val="0"/>
                <w:i w:val="0"/>
                <w:color w:val="212121"/>
                <w:sz w:val="16"/>
              </w:rPr>
              <w:t>Positive relevant exposure</w:t>
            </w:r>
          </w:p>
        </w:tc>
        <w:tc>
          <w:tcPr>
            <w:tcW w:type="dxa" w:w="1036"/>
            <w:vAlign w:val="top"/>
          </w:tcPr>
          <w:p>
            <w:pPr>
              <w:spacing w:after="40" w:before="0" w:line="259" w:lineRule="auto"/>
            </w:pPr>
            <w:r>
              <w:rPr>
                <w:rFonts w:ascii="Calibri" w:hAnsi="Calibri"/>
                <w:b w:val="0"/>
                <w:i w:val="0"/>
                <w:color w:val="212121"/>
                <w:sz w:val="16"/>
              </w:rPr>
              <w:t>Identifies source and infection-control needs; flags neonatal and STI-related disease</w:t>
            </w:r>
          </w:p>
        </w:tc>
        <w:tc>
          <w:tcPr>
            <w:tcW w:type="dxa" w:w="1036"/>
            <w:vAlign w:val="top"/>
          </w:tcPr>
          <w:p>
            <w:pPr>
              <w:spacing w:after="40" w:before="0" w:line="259" w:lineRule="auto"/>
            </w:pPr>
            <w:r>
              <w:rPr>
                <w:rFonts w:ascii="Calibri" w:hAnsi="Calibri"/>
                <w:b w:val="0"/>
                <w:i w:val="0"/>
                <w:color w:val="212121"/>
                <w:sz w:val="16"/>
              </w:rPr>
              <w:t>Outbreak contacts, neonates, lens wearers, atopics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isolation and partner/parent screening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Redness of the eye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Conjunctival hyperaemia — the defining feature across all types.</w:t>
            </w:r>
          </w:p>
        </w:tc>
      </w:tr>
      <w:tr>
        <w:trPr>
          <w:cantSplit/>
        </w:trPr>
        <w:tc>
          <w:tcPr>
            <w:tcW w:type="dxa" w:w="2304"/>
            <w:vAlign w:val="top"/>
          </w:tcPr>
          <w:p>
            <w:pPr>
              <w:spacing w:after="40" w:before="0" w:line="259" w:lineRule="auto"/>
            </w:pPr>
            <w:r>
              <w:rPr>
                <w:rFonts w:ascii="Calibri" w:hAnsi="Calibri"/>
                <w:b/>
                <w:i w:val="0"/>
                <w:color w:val="212121"/>
                <w:sz w:val="19"/>
              </w:rPr>
              <w:t>Watering / tearing (epiphora)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Reflex lacrimation; profuse and watery especially in viral disease.</w:t>
            </w:r>
          </w:p>
        </w:tc>
      </w:tr>
      <w:tr>
        <w:trPr>
          <w:cantSplit/>
        </w:trPr>
        <w:tc>
          <w:tcPr>
            <w:tcW w:type="dxa" w:w="2304"/>
            <w:vAlign w:val="top"/>
          </w:tcPr>
          <w:p>
            <w:pPr>
              <w:spacing w:after="40" w:before="0" w:line="259" w:lineRule="auto"/>
            </w:pPr>
            <w:r>
              <w:rPr>
                <w:rFonts w:ascii="Calibri" w:hAnsi="Calibri"/>
                <w:b/>
                <w:i w:val="0"/>
                <w:color w:val="212121"/>
                <w:sz w:val="19"/>
              </w:rPr>
              <w:t>Discharge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Purulent/mucopurulent in bacterial, watery in viral, ropey mucoid in allergic conjunctivitis.</w:t>
            </w:r>
          </w:p>
        </w:tc>
      </w:tr>
      <w:tr>
        <w:trPr>
          <w:cantSplit/>
        </w:trPr>
        <w:tc>
          <w:tcPr>
            <w:tcW w:type="dxa" w:w="2304"/>
            <w:vAlign w:val="top"/>
          </w:tcPr>
          <w:p>
            <w:pPr>
              <w:spacing w:after="40" w:before="0" w:line="259" w:lineRule="auto"/>
            </w:pPr>
            <w:r>
              <w:rPr>
                <w:rFonts w:ascii="Calibri" w:hAnsi="Calibri"/>
                <w:b/>
                <w:i w:val="0"/>
                <w:color w:val="212121"/>
                <w:sz w:val="19"/>
              </w:rPr>
              <w:t>Itching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of allergic conjunctivitis; usually mild or absent in infective forms.</w:t>
            </w:r>
          </w:p>
        </w:tc>
      </w:tr>
      <w:tr>
        <w:trPr>
          <w:cantSplit/>
        </w:trPr>
        <w:tc>
          <w:tcPr>
            <w:tcW w:type="dxa" w:w="2304"/>
            <w:vAlign w:val="top"/>
          </w:tcPr>
          <w:p>
            <w:pPr>
              <w:spacing w:after="40" w:before="0" w:line="259" w:lineRule="auto"/>
            </w:pPr>
            <w:r>
              <w:rPr>
                <w:rFonts w:ascii="Calibri" w:hAnsi="Calibri"/>
                <w:b/>
                <w:i w:val="0"/>
                <w:color w:val="212121"/>
                <w:sz w:val="19"/>
              </w:rPr>
              <w:t>Gritty / foreign-body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Sense of 'sand' or burning from surface inflammation.</w:t>
            </w:r>
          </w:p>
        </w:tc>
      </w:tr>
      <w:tr>
        <w:trPr>
          <w:cantSplit/>
        </w:trPr>
        <w:tc>
          <w:tcPr>
            <w:tcW w:type="dxa" w:w="2304"/>
            <w:vAlign w:val="top"/>
          </w:tcPr>
          <w:p>
            <w:pPr>
              <w:spacing w:after="40" w:before="0" w:line="259" w:lineRule="auto"/>
            </w:pPr>
            <w:r>
              <w:rPr>
                <w:rFonts w:ascii="Calibri" w:hAnsi="Calibri"/>
                <w:b/>
                <w:i w:val="0"/>
                <w:color w:val="212121"/>
                <w:sz w:val="19"/>
              </w:rPr>
              <w:t>Lids stuck together on waking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Morning matting from dried discharge; typical of bacterial infection.</w:t>
            </w:r>
          </w:p>
        </w:tc>
      </w:tr>
      <w:tr>
        <w:trPr>
          <w:cantSplit/>
        </w:trPr>
        <w:tc>
          <w:tcPr>
            <w:tcW w:type="dxa" w:w="2304"/>
            <w:vAlign w:val="top"/>
          </w:tcPr>
          <w:p>
            <w:pPr>
              <w:spacing w:after="40" w:before="0" w:line="259" w:lineRule="auto"/>
            </w:pPr>
            <w:r>
              <w:rPr>
                <w:rFonts w:ascii="Calibri" w:hAnsi="Calibri"/>
                <w:b/>
                <w:i w:val="0"/>
                <w:color w:val="212121"/>
                <w:sz w:val="19"/>
              </w:rPr>
              <w:t>Swollen / puffy eyelids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Lid oedema, prominent in allergic and severe viral disease.</w:t>
            </w:r>
          </w:p>
        </w:tc>
      </w:tr>
      <w:tr>
        <w:trPr>
          <w:cantSplit/>
        </w:trPr>
        <w:tc>
          <w:tcPr>
            <w:tcW w:type="dxa" w:w="2304"/>
            <w:vAlign w:val="top"/>
          </w:tcPr>
          <w:p>
            <w:pPr>
              <w:spacing w:after="40" w:before="0" w:line="259" w:lineRule="auto"/>
            </w:pPr>
            <w:r>
              <w:rPr>
                <w:rFonts w:ascii="Calibri" w:hAnsi="Calibri"/>
                <w:b/>
                <w:i w:val="0"/>
                <w:color w:val="212121"/>
                <w:sz w:val="19"/>
              </w:rPr>
              <w:t>Photophobia (light sensitivity)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corneal involvement (keratoconjunctivitis) and warrants closer review.</w:t>
            </w:r>
          </w:p>
        </w:tc>
      </w:tr>
      <w:tr>
        <w:trPr>
          <w:cantSplit/>
        </w:trPr>
        <w:tc>
          <w:tcPr>
            <w:tcW w:type="dxa" w:w="2304"/>
            <w:vAlign w:val="top"/>
          </w:tcPr>
          <w:p>
            <w:pPr>
              <w:spacing w:after="40" w:before="0" w:line="259" w:lineRule="auto"/>
            </w:pPr>
            <w:r>
              <w:rPr>
                <w:rFonts w:ascii="Calibri" w:hAnsi="Calibri"/>
                <w:b/>
                <w:i w:val="0"/>
                <w:color w:val="212121"/>
                <w:sz w:val="19"/>
              </w:rPr>
              <w:t>Transient blurred vision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discharge or tear-film disturbance; clears with blinking. Persistent blur is a red flag.</w:t>
            </w:r>
          </w:p>
        </w:tc>
      </w:tr>
      <w:tr>
        <w:trPr>
          <w:cantSplit/>
        </w:trPr>
        <w:tc>
          <w:tcPr>
            <w:tcW w:type="dxa" w:w="2304"/>
            <w:vAlign w:val="top"/>
          </w:tcPr>
          <w:p>
            <w:pPr>
              <w:spacing w:after="40" w:before="0" w:line="259" w:lineRule="auto"/>
            </w:pPr>
            <w:r>
              <w:rPr>
                <w:rFonts w:ascii="Calibri" w:hAnsi="Calibri"/>
                <w:b/>
                <w:i w:val="0"/>
                <w:color w:val="212121"/>
                <w:sz w:val="19"/>
              </w:rPr>
              <w:t>Ropey mucus that can be drawn out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Characteristic of vernal/atopic keratoconjunctivitis.</w:t>
            </w:r>
          </w:p>
        </w:tc>
      </w:tr>
      <w:tr>
        <w:trPr>
          <w:cantSplit/>
        </w:trPr>
        <w:tc>
          <w:tcPr>
            <w:tcW w:type="dxa" w:w="2304"/>
            <w:vAlign w:val="top"/>
          </w:tcPr>
          <w:p>
            <w:pPr>
              <w:spacing w:after="40" w:before="0" w:line="259" w:lineRule="auto"/>
            </w:pPr>
            <w:r>
              <w:rPr>
                <w:rFonts w:ascii="Calibri" w:hAnsi="Calibri"/>
                <w:b/>
                <w:i w:val="0"/>
                <w:color w:val="212121"/>
                <w:sz w:val="19"/>
              </w:rPr>
              <w:t>Marked eye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Uncommon in simple conjunctivitis; significant pain suggests keratitis, scleritis or other serious pathology.</w:t>
            </w:r>
          </w:p>
        </w:tc>
      </w:tr>
      <w:tr>
        <w:trPr>
          <w:cantSplit/>
        </w:trPr>
        <w:tc>
          <w:tcPr>
            <w:tcW w:type="dxa" w:w="2304"/>
            <w:vAlign w:val="top"/>
          </w:tcPr>
          <w:p>
            <w:pPr>
              <w:spacing w:after="40" w:before="0" w:line="259" w:lineRule="auto"/>
            </w:pPr>
            <w:r>
              <w:rPr>
                <w:rFonts w:ascii="Calibri" w:hAnsi="Calibri"/>
                <w:b/>
                <w:i w:val="0"/>
                <w:color w:val="212121"/>
                <w:sz w:val="19"/>
              </w:rPr>
              <w:t>Sudden drop in vision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Not a feature of uncomplicated conjunctivitis; indicates corneal ulcer or another sight-threatening condition.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Conjunctival injection / hyperaemia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Diffuse dilation of conjunctival vessels; maximal in the fornices, sparing the limbus (unlike ciliary flush).</w:t>
            </w:r>
          </w:p>
        </w:tc>
      </w:tr>
      <w:tr>
        <w:trPr>
          <w:cantSplit/>
        </w:trPr>
        <w:tc>
          <w:tcPr>
            <w:tcW w:type="dxa" w:w="3456"/>
            <w:vAlign w:val="top"/>
          </w:tcPr>
          <w:p>
            <w:pPr>
              <w:spacing w:after="40" w:before="0" w:line="259" w:lineRule="auto"/>
            </w:pPr>
            <w:r>
              <w:rPr>
                <w:rFonts w:ascii="Calibri" w:hAnsi="Calibri"/>
                <w:b/>
                <w:i w:val="0"/>
                <w:color w:val="212121"/>
                <w:sz w:val="19"/>
              </w:rPr>
              <w:t>Discharge on the lid margins/lashes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Purulent (bacterial), watery (viral) or stringy mucoid (allergic).</w:t>
            </w:r>
          </w:p>
        </w:tc>
      </w:tr>
      <w:tr>
        <w:trPr>
          <w:cantSplit/>
        </w:trPr>
        <w:tc>
          <w:tcPr>
            <w:tcW w:type="dxa" w:w="3456"/>
            <w:vAlign w:val="top"/>
          </w:tcPr>
          <w:p>
            <w:pPr>
              <w:spacing w:after="40" w:before="0" w:line="259" w:lineRule="auto"/>
            </w:pPr>
            <w:r>
              <w:rPr>
                <w:rFonts w:ascii="Calibri" w:hAnsi="Calibri"/>
                <w:b/>
                <w:i w:val="0"/>
                <w:color w:val="212121"/>
                <w:sz w:val="19"/>
              </w:rPr>
              <w:t>Chemosis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Oedematous, boggy swelling of the conjunctiva, prominent in allergic and severe cases.</w:t>
            </w:r>
          </w:p>
        </w:tc>
      </w:tr>
      <w:tr>
        <w:trPr>
          <w:cantSplit/>
        </w:trPr>
        <w:tc>
          <w:tcPr>
            <w:tcW w:type="dxa" w:w="3456"/>
            <w:vAlign w:val="top"/>
          </w:tcPr>
          <w:p>
            <w:pPr>
              <w:spacing w:after="40" w:before="0" w:line="259" w:lineRule="auto"/>
            </w:pPr>
            <w:r>
              <w:rPr>
                <w:rFonts w:ascii="Calibri" w:hAnsi="Calibri"/>
                <w:b/>
                <w:i w:val="0"/>
                <w:color w:val="212121"/>
                <w:sz w:val="19"/>
              </w:rPr>
              <w:t>Eyelid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Puffy lids; marked in allergic and adenoviral disease.</w:t>
            </w:r>
          </w:p>
        </w:tc>
      </w:tr>
      <w:tr>
        <w:trPr>
          <w:cantSplit/>
        </w:trPr>
        <w:tc>
          <w:tcPr>
            <w:tcW w:type="dxa" w:w="3456"/>
            <w:vAlign w:val="top"/>
          </w:tcPr>
          <w:p>
            <w:pPr>
              <w:spacing w:after="40" w:before="0" w:line="259" w:lineRule="auto"/>
            </w:pPr>
            <w:r>
              <w:rPr>
                <w:rFonts w:ascii="Calibri" w:hAnsi="Calibri"/>
                <w:b/>
                <w:i w:val="0"/>
                <w:color w:val="212121"/>
                <w:sz w:val="19"/>
              </w:rPr>
              <w:t>Conjunctival follicles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Small pale lymphoid elevations — typical of viral and chlamydial conjunctivitis.</w:t>
            </w:r>
          </w:p>
        </w:tc>
      </w:tr>
      <w:tr>
        <w:trPr>
          <w:cantSplit/>
        </w:trPr>
        <w:tc>
          <w:tcPr>
            <w:tcW w:type="dxa" w:w="3456"/>
            <w:vAlign w:val="top"/>
          </w:tcPr>
          <w:p>
            <w:pPr>
              <w:spacing w:after="40" w:before="0" w:line="259" w:lineRule="auto"/>
            </w:pPr>
            <w:r>
              <w:rPr>
                <w:rFonts w:ascii="Calibri" w:hAnsi="Calibri"/>
                <w:b/>
                <w:i w:val="0"/>
                <w:color w:val="212121"/>
                <w:sz w:val="19"/>
              </w:rPr>
              <w:t>Conjunctival papillae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Flat-topped vascular elevations — seen in allergic and bacterial disease; giant 'cobblestone' papillae in VKC.</w:t>
            </w:r>
          </w:p>
        </w:tc>
      </w:tr>
      <w:tr>
        <w:trPr>
          <w:cantSplit/>
        </w:trPr>
        <w:tc>
          <w:tcPr>
            <w:tcW w:type="dxa" w:w="3456"/>
            <w:vAlign w:val="top"/>
          </w:tcPr>
          <w:p>
            <w:pPr>
              <w:spacing w:after="40" w:before="0" w:line="259" w:lineRule="auto"/>
            </w:pPr>
            <w:r>
              <w:rPr>
                <w:rFonts w:ascii="Calibri" w:hAnsi="Calibri"/>
                <w:b/>
                <w:i w:val="0"/>
                <w:color w:val="212121"/>
                <w:sz w:val="19"/>
              </w:rPr>
              <w:t>Tender pre-auricular lymph node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Ipsilateral node characteristic of viral (adenoviral) conjunctivitis.</w:t>
            </w:r>
          </w:p>
        </w:tc>
      </w:tr>
      <w:tr>
        <w:trPr>
          <w:cantSplit/>
        </w:trPr>
        <w:tc>
          <w:tcPr>
            <w:tcW w:type="dxa" w:w="3456"/>
            <w:vAlign w:val="top"/>
          </w:tcPr>
          <w:p>
            <w:pPr>
              <w:spacing w:after="40" w:before="0" w:line="259" w:lineRule="auto"/>
            </w:pPr>
            <w:r>
              <w:rPr>
                <w:rFonts w:ascii="Calibri" w:hAnsi="Calibri"/>
                <w:b/>
                <w:i w:val="0"/>
                <w:color w:val="212121"/>
                <w:sz w:val="19"/>
              </w:rPr>
              <w:t>Subconjunctival haemorrhage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Petechial or sheet-like bleeding typical of acute haemorrhagic ('Madras eye') conjunctivitis.</w:t>
            </w:r>
          </w:p>
        </w:tc>
      </w:tr>
      <w:tr>
        <w:trPr>
          <w:cantSplit/>
        </w:trPr>
        <w:tc>
          <w:tcPr>
            <w:tcW w:type="dxa" w:w="3456"/>
            <w:vAlign w:val="top"/>
          </w:tcPr>
          <w:p>
            <w:pPr>
              <w:spacing w:after="40" w:before="0" w:line="259" w:lineRule="auto"/>
            </w:pPr>
            <w:r>
              <w:rPr>
                <w:rFonts w:ascii="Calibri" w:hAnsi="Calibri"/>
                <w:b/>
                <w:i w:val="0"/>
                <w:color w:val="212121"/>
                <w:sz w:val="19"/>
              </w:rPr>
              <w:t>Pseudomembrane / true membrane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Fibrinous membrane over the tarsal conjunctiva in severe adenoviral, streptococcal or gonococcal disease.</w:t>
            </w:r>
          </w:p>
        </w:tc>
      </w:tr>
      <w:tr>
        <w:trPr>
          <w:cantSplit/>
        </w:trPr>
        <w:tc>
          <w:tcPr>
            <w:tcW w:type="dxa" w:w="3456"/>
            <w:vAlign w:val="top"/>
          </w:tcPr>
          <w:p>
            <w:pPr>
              <w:spacing w:after="40" w:before="0" w:line="259" w:lineRule="auto"/>
            </w:pPr>
            <w:r>
              <w:rPr>
                <w:rFonts w:ascii="Calibri" w:hAnsi="Calibri"/>
                <w:b/>
                <w:i w:val="0"/>
                <w:color w:val="212121"/>
                <w:sz w:val="19"/>
              </w:rPr>
              <w:t>Horner-Trantas dots / limbal infiltrates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Gelatinous limbal nodules with chalky white dots — markers of active vernal keratoconjunctivitis.</w:t>
            </w:r>
          </w:p>
        </w:tc>
      </w:tr>
      <w:tr>
        <w:trPr>
          <w:cantSplit/>
        </w:trPr>
        <w:tc>
          <w:tcPr>
            <w:tcW w:type="dxa" w:w="3456"/>
            <w:vAlign w:val="top"/>
          </w:tcPr>
          <w:p>
            <w:pPr>
              <w:spacing w:after="40" w:before="0" w:line="259" w:lineRule="auto"/>
            </w:pPr>
            <w:r>
              <w:rPr>
                <w:rFonts w:ascii="Calibri" w:hAnsi="Calibri"/>
                <w:b/>
                <w:i w:val="0"/>
                <w:color w:val="212121"/>
                <w:sz w:val="19"/>
              </w:rPr>
              <w:t>Punctate epithelial keratitis / shield ulcer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Corneal epithelial staining or a sterile 'shield' ulcer indicates corneal involvement (adenoviral or VKC).</w:t>
            </w:r>
          </w:p>
        </w:tc>
      </w:tr>
      <w:tr>
        <w:trPr>
          <w:cantSplit/>
        </w:trPr>
        <w:tc>
          <w:tcPr>
            <w:tcW w:type="dxa" w:w="3456"/>
            <w:vAlign w:val="top"/>
          </w:tcPr>
          <w:p>
            <w:pPr>
              <w:spacing w:after="40" w:before="0" w:line="259" w:lineRule="auto"/>
            </w:pPr>
            <w:r>
              <w:rPr>
                <w:rFonts w:ascii="Calibri" w:hAnsi="Calibri"/>
                <w:b/>
                <w:i w:val="0"/>
                <w:color w:val="212121"/>
                <w:sz w:val="19"/>
              </w:rPr>
              <w:t>Corneal opacity / scarring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Sequel of severe, chronic or cicatricial disease (e.g., trachoma) — sight-threatening.</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Punctate epithelial keratitis and corneal epithelial defects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Pseudomembrane or true membrane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 eyelid oedema and chemosis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Subconjunctival haemorrhage (acute haemorrhagic conjunctivitis)</w:t>
            </w:r>
          </w:p>
        </w:tc>
        <w:tc>
          <w:tcPr>
            <w:tcW w:type="dxa" w:w="2980"/>
            <w:vAlign w:val="top"/>
          </w:tcPr>
          <w:p>
            <w:pPr>
              <w:spacing w:after="40" w:before="0" w:line="259" w:lineRule="auto"/>
            </w:pPr>
            <w:r>
              <w:rPr>
                <w:rFonts w:ascii="Calibri" w:hAnsi="Calibri"/>
                <w:b w:val="0"/>
                <w:i w:val="0"/>
                <w:color w:val="212121"/>
                <w:sz w:val="19"/>
              </w:rPr>
              <w:t>Direct acute effects of intense conjunctival and adjacent corneal inflammation.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Subepithelial corneal infiltrates (adenoviral)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Bacterial superinfection of viral or allergic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Contact-lens-related microbial keratitis / corneal ulcer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Vernal shield ulcer and limbal stem-cell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dry eye / ocular-surface disease</w:t>
            </w:r>
          </w:p>
        </w:tc>
        <w:tc>
          <w:tcPr>
            <w:tcW w:type="dxa" w:w="2980"/>
            <w:vAlign w:val="top"/>
          </w:tcPr>
          <w:p>
            <w:pPr>
              <w:spacing w:after="40" w:before="0" w:line="259" w:lineRule="auto"/>
            </w:pPr>
            <w:r>
              <w:rPr>
                <w:rFonts w:ascii="Calibri" w:hAnsi="Calibri"/>
                <w:b w:val="0"/>
                <w:i w:val="0"/>
                <w:color w:val="212121"/>
                <w:sz w:val="19"/>
              </w:rPr>
              <w:t>Arise from progression, superinfection or corneal extension of the primary process.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Corneal scarring, vascularisation and opacity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Cicatricial changes with trichiasis and entropion (trachoma)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Keratoconus from chronic eye-rubbing in VKC/AKC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visual impairment or blindness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relapsing or steroid-dependent allergic disease</w:t>
            </w:r>
          </w:p>
        </w:tc>
        <w:tc>
          <w:tcPr>
            <w:tcW w:type="dxa" w:w="2980"/>
            <w:vAlign w:val="top"/>
          </w:tcPr>
          <w:p>
            <w:pPr>
              <w:spacing w:after="40" w:before="0" w:line="259" w:lineRule="auto"/>
            </w:pPr>
            <w:r>
              <w:rPr>
                <w:rFonts w:ascii="Calibri" w:hAnsi="Calibri"/>
                <w:b w:val="0"/>
                <w:i w:val="0"/>
                <w:color w:val="212121"/>
                <w:sz w:val="19"/>
              </w:rPr>
              <w:t>Irreversible, sight-threatening outcomes of severe, chronic or untreated conjunctivitis; among HSV conjunctivitis patients up to ~38% develop corneal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Allergic rhinitis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IgE-mediated response with the eye, presenting together as allergic rhinoconjunctivitis.</w:t>
            </w:r>
          </w:p>
        </w:tc>
      </w:tr>
      <w:tr>
        <w:trPr>
          <w:cantSplit/>
        </w:trPr>
        <w:tc>
          <w:tcPr>
            <w:tcW w:type="dxa" w:w="2232"/>
            <w:vAlign w:val="top"/>
          </w:tcPr>
          <w:p>
            <w:pPr>
              <w:spacing w:after="40" w:before="0" w:line="259" w:lineRule="auto"/>
            </w:pPr>
            <w:r>
              <w:rPr>
                <w:rFonts w:ascii="Calibri" w:hAnsi="Calibri"/>
                <w:b/>
                <w:i w:val="0"/>
                <w:color w:val="212121"/>
                <w:sz w:val="19"/>
              </w:rPr>
              <w:t>Atopic dermatitis / eczema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Underlies atopic keratoconjunctivitis (AKC) and a heightened allergic ocular response.</w:t>
            </w:r>
          </w:p>
        </w:tc>
      </w:tr>
      <w:tr>
        <w:trPr>
          <w:cantSplit/>
        </w:trPr>
        <w:tc>
          <w:tcPr>
            <w:tcW w:type="dxa" w:w="2232"/>
            <w:vAlign w:val="top"/>
          </w:tcPr>
          <w:p>
            <w:pPr>
              <w:spacing w:after="40" w:before="0" w:line="259" w:lineRule="auto"/>
            </w:pPr>
            <w:r>
              <w:rPr>
                <w:rFonts w:ascii="Calibri" w:hAnsi="Calibri"/>
                <w:b/>
                <w:i w:val="0"/>
                <w:color w:val="212121"/>
                <w:sz w:val="19"/>
              </w:rPr>
              <w:t>Asthma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Part of the atopic triad; frequently coexists with allergic eye disease.</w:t>
            </w:r>
          </w:p>
        </w:tc>
      </w:tr>
      <w:tr>
        <w:trPr>
          <w:cantSplit/>
        </w:trPr>
        <w:tc>
          <w:tcPr>
            <w:tcW w:type="dxa" w:w="2232"/>
            <w:vAlign w:val="top"/>
          </w:tcPr>
          <w:p>
            <w:pPr>
              <w:spacing w:after="40" w:before="0" w:line="259" w:lineRule="auto"/>
            </w:pPr>
            <w:r>
              <w:rPr>
                <w:rFonts w:ascii="Calibri" w:hAnsi="Calibri"/>
                <w:b/>
                <w:i w:val="0"/>
                <w:color w:val="212121"/>
                <w:sz w:val="19"/>
              </w:rPr>
              <w:t>Dry eye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Unstable tear film coexists with and worsens allergic conjunctivitis and irritant symptoms.</w:t>
            </w:r>
          </w:p>
        </w:tc>
      </w:tr>
      <w:tr>
        <w:trPr>
          <w:cantSplit/>
        </w:trPr>
        <w:tc>
          <w:tcPr>
            <w:tcW w:type="dxa" w:w="2232"/>
            <w:vAlign w:val="top"/>
          </w:tcPr>
          <w:p>
            <w:pPr>
              <w:spacing w:after="40" w:before="0" w:line="259" w:lineRule="auto"/>
            </w:pPr>
            <w:r>
              <w:rPr>
                <w:rFonts w:ascii="Calibri" w:hAnsi="Calibri"/>
                <w:b/>
                <w:i w:val="0"/>
                <w:color w:val="212121"/>
                <w:sz w:val="19"/>
              </w:rPr>
              <w:t>Blepharitis / meibomian gland dysfunction</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Chronic lid-margin disease predisposes to recurrent bacterial conjunctivitis.</w:t>
            </w:r>
          </w:p>
        </w:tc>
      </w:tr>
      <w:tr>
        <w:trPr>
          <w:cantSplit/>
        </w:trPr>
        <w:tc>
          <w:tcPr>
            <w:tcW w:type="dxa" w:w="2232"/>
            <w:vAlign w:val="top"/>
          </w:tcPr>
          <w:p>
            <w:pPr>
              <w:spacing w:after="40" w:before="0" w:line="259" w:lineRule="auto"/>
            </w:pPr>
            <w:r>
              <w:rPr>
                <w:rFonts w:ascii="Calibri" w:hAnsi="Calibri"/>
                <w:b/>
                <w:i w:val="0"/>
                <w:color w:val="212121"/>
                <w:sz w:val="19"/>
              </w:rPr>
              <w:t>Keratoconus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Associated with chronic eye-rubbing in longstanding vernal/atopic keratoconjunctivitis.</w:t>
            </w:r>
          </w:p>
        </w:tc>
      </w:tr>
      <w:tr>
        <w:trPr>
          <w:cantSplit/>
        </w:trPr>
        <w:tc>
          <w:tcPr>
            <w:tcW w:type="dxa" w:w="2232"/>
            <w:vAlign w:val="top"/>
          </w:tcPr>
          <w:p>
            <w:pPr>
              <w:spacing w:after="40" w:before="0" w:line="259" w:lineRule="auto"/>
            </w:pPr>
            <w:r>
              <w:rPr>
                <w:rFonts w:ascii="Calibri" w:hAnsi="Calibri"/>
                <w:b/>
                <w:i w:val="0"/>
                <w:color w:val="212121"/>
                <w:sz w:val="19"/>
              </w:rPr>
              <w:t>Upper respiratory tract 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Adenoviral conjunctivitis often accompanies coryza/pharyngoconjunctival fever.</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frequently with soap and water, and avoid touching or rubbing the eyes.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share towels, pillows, handkerchiefs, kajal or eye cosmetics; use separate linen during an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viral outbreaks ('Madras eye'), stay home for a few days, avoid crowds and swimming pools, and disinfect shared surfaces.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strict contact-lens hygiene: clean/store lenses properly, avoid overnight wear, and remove lenses at the first sign of redness.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features (pain, reduced vision, photophobia, contact-lens use) and seek prompt eye-care review rather than self-medicating with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newborns receive eye prophylaxis and that mothers with genital infection are treated to prevent ophthalmia neonatorum.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Contact-lens 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Outbreak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 parents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prescribed drops (antibiotic for bacterial, mast-cell stabiliser/antihistamine for allergic) as directed; most viral cases are self-limiting and need only supportive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clean warm compresses to loosen bacterial crusting and cool compresses to relieve allergic itching.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Gently clean discharge from lids outwards with a fresh swab for each wipe; wash hands before and after.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steroid drops unless prescribed and herpes has been excluded, as they can worsen HSV keratitis.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follow-up for severe, neonatal or non-resolving disease to detect corneal complications early.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conjunctivitis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Bacterial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Allergic sufferers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swim goggles and use only adequately chlorinated pools; avoid swimming during conjunctivitis outbreaks or while symptomatic.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Shower and rinse the face after swimming to remove chlorine and pool contaminants.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team-sport equipment sharing (goggles, towels) when eye infection is circulating.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Swimmers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known atopic individuals, identify and avoid confirmed food and inhalant allergen triggers.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diet adequate in omega-3 fatty acids to support tear-film stability.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to maintain a healthy ocular surface.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Atopic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Allergic conjunctivitis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Dry-eye sufferers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immune defence and a stable tear film.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the eyes and follow the 20-20-20 rule during prolonged screen use to reduce ocular-surface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Remove eye make-up before sleep to prevent lid-margin irritation and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users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active smoking and second-hand tobacco smoke, which directly irritate the conjunctiva.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kitchen ventilation and reduce exposure to biomass/cooking smoke, a common irritant in Indian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eyes from dust and fumes with glasses in polluted or occupational settings.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Biomass-fuel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Urban/industrial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alcohol intake, as excess causes dehydration and reduced tear production that worsen surface irritation.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to preserve tear-film quality.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Dry-eye sufferers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which can aggravate atopic flares and habitual eye-rubbing.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Discourage eye-rubbing through awareness and, where needed, behavioural strategies, to reduce allergic flares and keratoconus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support for children with chronic VKC, whose symptoms can affect schooling and quality of life.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Atopic/VKC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chronic allergy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lid hygiene (warm compress and gentle lid-margin cleaning) for blepharitis-associated and bacterial conjunctivitis.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Discard eye cosmetics and contact lenses/cases used during an infective episode to prevent re-inoculation.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fresh tissue/swab for each eye and each wipe, and launder towels and pillowcases in hot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Isolate personal items and wash hands meticulously to protect household members during contagious phases.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Infective conjunctivitis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Blepharitis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48118/" TargetMode="External"/><Relationship Id="rId10" Type="http://schemas.openxmlformats.org/officeDocument/2006/relationships/hyperlink" Target="https://www.ncbi.nlm.nih.gov/books/NBK470271/" TargetMode="External"/><Relationship Id="rId11" Type="http://schemas.openxmlformats.org/officeDocument/2006/relationships/hyperlink" Target="https://pubmed.ncbi.nlm.nih.gov/39389595/" TargetMode="External"/><Relationship Id="rId12" Type="http://schemas.openxmlformats.org/officeDocument/2006/relationships/hyperlink" Target="https://pubmed.ncbi.nlm.nih.gov/39743044/" TargetMode="External"/><Relationship Id="rId13" Type="http://schemas.openxmlformats.org/officeDocument/2006/relationships/hyperlink" Target="https://pubmed.ncbi.nlm.nih.gov/39039676/" TargetMode="External"/><Relationship Id="rId14" Type="http://schemas.openxmlformats.org/officeDocument/2006/relationships/hyperlink" Target="https://www.cdc.gov/conjunctivitis/causes/index.html" TargetMode="External"/><Relationship Id="rId15" Type="http://schemas.openxmlformats.org/officeDocument/2006/relationships/hyperlink" Target="https://www.cdc.gov/conjunctivitis/about/index.html" TargetMode="External"/><Relationship Id="rId16" Type="http://schemas.openxmlformats.org/officeDocument/2006/relationships/hyperlink" Target="https://pubmed.ncbi.nlm.nih.gov/19346577/" TargetMode="External"/><Relationship Id="rId17" Type="http://schemas.openxmlformats.org/officeDocument/2006/relationships/hyperlink" Target="https://pubmed.ncbi.nlm.nih.gov/27663282/" TargetMode="External"/><Relationship Id="rId18" Type="http://schemas.openxmlformats.org/officeDocument/2006/relationships/hyperlink" Target="https://pubmed.ncbi.nlm.nih.gov/370262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