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rFonts w:ascii="Calibri" w:hAnsi="Calibri"/>
          <w:b/>
          <w:i w:val="0"/>
          <w:color w:val="2B2B33"/>
          <w:sz w:val="44"/>
        </w:rPr>
        <w:t>Computer Vision Syndrome / Digital Eye Strain</w:t>
      </w:r>
    </w:p>
    <w:p>
      <w:pPr>
        <w:spacing w:before="0" w:after="160"/>
      </w:pPr>
      <w:r>
        <w:rPr>
          <w:rFonts w:ascii="Calibri" w:hAnsi="Calibri"/>
          <w:b/>
          <w:i w:val="0"/>
          <w:color w:val="212121"/>
          <w:sz w:val="22"/>
        </w:rPr>
        <w:t xml:space="preserve">AKA </w:t>
      </w:r>
      <w:r>
        <w:rPr>
          <w:rFonts w:ascii="Calibri" w:hAnsi="Calibri"/>
          <w:b w:val="0"/>
          <w:i w:val="0"/>
          <w:color w:val="212121"/>
          <w:sz w:val="22"/>
        </w:rPr>
        <w:t>i.e., Digital Eye Strain (DES), Computer Vision Syndrome (CVS), Visual Fatigue, Screen Fatigue, Digital Asthenopia</w:t>
      </w:r>
    </w:p>
    <w:p>
      <w:pPr>
        <w:spacing w:before="280" w:after="120"/>
      </w:pPr>
      <w:r>
        <w:rPr>
          <w:rFonts w:ascii="Calibri" w:hAnsi="Calibri"/>
          <w:b/>
          <w:i w:val="0"/>
          <w:color w:val="212121"/>
          <w:sz w:val="31"/>
        </w:rPr>
        <w:t>Introduction to MCP</w:t>
      </w:r>
    </w:p>
    <w:p>
      <w:pPr>
        <w:spacing w:before="200" w:after="120"/>
      </w:pPr>
      <w:r>
        <w:rPr>
          <w:rFonts w:ascii="Calibri" w:hAnsi="Calibri"/>
          <w:b/>
          <w:i w:val="0"/>
          <w:color w:val="212121"/>
          <w:sz w:val="25"/>
        </w:rPr>
        <w:t>Definition</w:t>
      </w:r>
    </w:p>
    <w:p>
      <w:pPr>
        <w:spacing w:before="0" w:after="120"/>
      </w:pPr>
      <w:r>
        <w:rPr>
          <w:rFonts w:ascii="Calibri" w:hAnsi="Calibri"/>
          <w:b w:val="0"/>
          <w:i w:val="0"/>
          <w:color w:val="212121"/>
          <w:sz w:val="21"/>
        </w:rPr>
        <w:t>Computer vision syndrome (CVS), also called digital eye strain, is a group of eye- and vision-related problems that result from prolonged, uninterrupted use of digital screens such as computers, laptops, tablets and smartphones. It arises because the visual system is forced to sustain near focus, blinks less often and incompletely, and works under adverse ergonomic and lighting conditions, producing a mix of ocular-surface symptoms (dryness, burning, watering), asthenopic/accommodative symptoms (eye strain, headache, blurred vision) and musculoskeletal complaints (neck and shoulder pain). Symptoms are usually temporary and reversible with rest and correction, but become recurrent and disabling with continued heavy screen exposure.</w:t>
      </w:r>
    </w:p>
    <w:p>
      <w:pPr>
        <w:spacing w:before="200" w:after="120"/>
      </w:pPr>
      <w:r>
        <w:rPr>
          <w:rFonts w:ascii="Calibri" w:hAnsi="Calibri"/>
          <w:b/>
          <w:i w:val="0"/>
          <w:color w:val="212121"/>
          <w:sz w:val="25"/>
        </w:rPr>
        <w:t>Prevalence</w:t>
      </w:r>
    </w:p>
    <w:p>
      <w:pPr>
        <w:spacing w:before="0" w:after="120"/>
      </w:pPr>
      <w:r>
        <w:rPr>
          <w:rFonts w:ascii="Calibri" w:hAnsi="Calibri"/>
          <w:b w:val="0"/>
          <w:i w:val="0"/>
          <w:color w:val="212121"/>
          <w:sz w:val="21"/>
        </w:rPr>
        <w:t>Digital eye strain has become one of the most common lifestyle and occupational eye problems in India. Among Indian college and professional screen users, reported prevalence ranges from about 50% to over 80%: a Chennai study found CVS in 81.9% of engineering and 78.6% of medical students, and a Pune study reported 77.5% among medical students. Globally, a 2023 meta-analysis of 45 studies estimated a pooled CVS prevalence of about 66%, and 50-90% of regular computer users experience one or more symptoms.</w:t>
      </w:r>
    </w:p>
    <w:p>
      <w:pPr>
        <w:spacing w:before="200" w:after="120"/>
      </w:pPr>
      <w:r>
        <w:rPr>
          <w:rFonts w:ascii="Calibri" w:hAnsi="Calibri"/>
          <w:b/>
          <w:i w:val="0"/>
          <w:color w:val="212121"/>
          <w:sz w:val="25"/>
        </w:rPr>
        <w:t>Diagnosis</w:t>
      </w:r>
    </w:p>
    <w:p>
      <w:pPr>
        <w:spacing w:before="0" w:after="120"/>
      </w:pPr>
      <w:r>
        <w:rPr>
          <w:rFonts w:ascii="Calibri" w:hAnsi="Calibri"/>
          <w:b w:val="0"/>
          <w:i w:val="0"/>
          <w:color w:val="212121"/>
          <w:sz w:val="21"/>
        </w:rPr>
        <w:t>CVS is a clinical, largely symptom-based diagnosis. There is no single confirmatory test; it is established from a history of screen-related visual and ocular symptoms plus an examination that excludes or corrects other causes (uncorrected refractive error, dry eye, binocular-vision or accommodative disorders). Validated symptom tools such as the Computer Vision Syndrome Questionnaire (CVS-Q) help quantify and confirm it. Supportive features include:</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A temporal relationship: onset or worsening of eye strain, dryness, blurred vision or headache during or after &gt;= 2 continuous hours of digital screen use, with relief on stopping;</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Two or more characteristic symptoms - eye strain/tiredness, dry or watering eyes, burning/irritation, blurred or fluctuating vision, headache, and neck/shoulder ache;</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A validated questionnaire score above threshold (e.g., CVS-Q &gt;= 6) that supports the diagnosis and grades severity;</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Reduced or incomplete blinking and a shortened tear break-up time on slit-lamp examination, with an otherwise healthy anterior segment;</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Detection and correction of contributory factors - uncorrected refractive error/astigmatism, uncorrected presbyopia, convergence insufficiency or accommodative dysfunction - that reproduce or worsen symptoms;</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Exclusion of other ocular pathology (infective conjunctivitis, uveitis, glaucoma, significant dry eye disease) that can mimic CVS.</w:t>
      </w:r>
    </w:p>
    <w:p>
      <w:pPr>
        <w:spacing w:before="200" w:after="120"/>
      </w:pPr>
      <w:r>
        <w:rPr>
          <w:rFonts w:ascii="Calibri" w:hAnsi="Calibri"/>
          <w:b/>
          <w:i w:val="0"/>
          <w:color w:val="212121"/>
          <w:sz w:val="25"/>
        </w:rPr>
        <w:t>Classification</w:t>
      </w:r>
    </w:p>
    <w:p>
      <w:pPr>
        <w:spacing w:before="0" w:after="120"/>
      </w:pPr>
      <w:r>
        <w:rPr>
          <w:rFonts w:ascii="Calibri" w:hAnsi="Calibri"/>
          <w:b w:val="0"/>
          <w:i w:val="0"/>
          <w:color w:val="212121"/>
          <w:sz w:val="21"/>
        </w:rPr>
        <w:t>CVS has no formal staging, but its symptoms are conventionally grouped by mechanism, which guides management. The main categories are:</w:t>
      </w:r>
    </w:p>
    <w:p>
      <w:pPr>
        <w:spacing w:before="0" w:after="80"/>
      </w:pPr>
      <w:r>
        <w:rPr>
          <w:rFonts w:ascii="Calibri" w:hAnsi="Calibri"/>
          <w:b w:val="0"/>
          <w:i w:val="0"/>
          <w:color w:val="212121"/>
          <w:sz w:val="21"/>
        </w:rPr>
        <w:t>(1) External (ocular-surface) symptoms - dryness, burning, grittiness, irritation and reflex watering, driven mainly by a reduced/incomplete blink rate and increased tear evaporation during screen use;</w:t>
      </w:r>
    </w:p>
    <w:p>
      <w:pPr>
        <w:spacing w:before="0" w:after="80"/>
      </w:pPr>
      <w:r>
        <w:rPr>
          <w:rFonts w:ascii="Calibri" w:hAnsi="Calibri"/>
          <w:b w:val="0"/>
          <w:i w:val="0"/>
          <w:color w:val="212121"/>
          <w:sz w:val="21"/>
        </w:rPr>
        <w:t>(2) Internal (asthenopic/accommodative-vergence) symptoms - eye strain, ache behind the eyes, and difficulty refocusing, arising from sustained near effort and uncorrected refractive or binocular problems;</w:t>
      </w:r>
    </w:p>
    <w:p>
      <w:pPr>
        <w:spacing w:before="0" w:after="80"/>
      </w:pPr>
      <w:r>
        <w:rPr>
          <w:rFonts w:ascii="Calibri" w:hAnsi="Calibri"/>
          <w:b w:val="0"/>
          <w:i w:val="0"/>
          <w:color w:val="212121"/>
          <w:sz w:val="21"/>
        </w:rPr>
        <w:t>(3) Visual symptoms - blurred vision, slow refocusing between screen and distance, and occasional diplopia, related to accommodative and vergence stress and uncorrected refractive error;</w:t>
      </w:r>
    </w:p>
    <w:p>
      <w:pPr>
        <w:spacing w:before="0" w:after="80"/>
      </w:pPr>
      <w:r>
        <w:rPr>
          <w:rFonts w:ascii="Calibri" w:hAnsi="Calibri"/>
          <w:b w:val="0"/>
          <w:i w:val="0"/>
          <w:color w:val="212121"/>
          <w:sz w:val="21"/>
        </w:rPr>
        <w:t>(4) Extraocular/musculoskeletal symptoms - headache, neck, shoulder and back pain, largely ergonomic (screen height, viewing angle, posture). Severity is additionally graded clinically as mild, moderate or severe using symptom-questionnaire scores.</w:t>
      </w:r>
    </w:p>
    <w:p>
      <w:pPr>
        <w:spacing w:before="200" w:after="120"/>
      </w:pPr>
      <w:r>
        <w:rPr>
          <w:rFonts w:ascii="Calibri" w:hAnsi="Calibri"/>
          <w:b/>
          <w:i w:val="0"/>
          <w:color w:val="212121"/>
          <w:sz w:val="25"/>
        </w:rPr>
        <w:t>Etiology</w:t>
      </w:r>
    </w:p>
    <w:p>
      <w:pPr>
        <w:spacing w:after="60"/>
        <w:ind w:left="432" w:hanging="288"/>
      </w:pPr>
      <w:r>
        <w:rPr>
          <w:rFonts w:ascii="Calibri" w:hAnsi="Calibri"/>
          <w:b/>
          <w:i w:val="0"/>
          <w:color w:val="212121"/>
          <w:sz w:val="21"/>
        </w:rPr>
        <w:t xml:space="preserve">1. </w:t>
      </w:r>
      <w:r>
        <w:rPr>
          <w:rFonts w:ascii="Calibri" w:hAnsi="Calibri"/>
          <w:b w:val="0"/>
          <w:i w:val="0"/>
          <w:color w:val="212121"/>
          <w:sz w:val="21"/>
        </w:rPr>
        <w:t>Prolonged near screen work: Sustained accommodation and convergence on a near target for hours fatigues the ciliary and extraocular muscles, producing eye strain, ache and blurred vision.</w:t>
      </w:r>
    </w:p>
    <w:p>
      <w:pPr>
        <w:spacing w:after="60"/>
        <w:ind w:left="432" w:hanging="288"/>
      </w:pPr>
      <w:r>
        <w:rPr>
          <w:rFonts w:ascii="Calibri" w:hAnsi="Calibri"/>
          <w:b/>
          <w:i w:val="0"/>
          <w:color w:val="212121"/>
          <w:sz w:val="21"/>
        </w:rPr>
        <w:t xml:space="preserve">2. </w:t>
      </w:r>
      <w:r>
        <w:rPr>
          <w:rFonts w:ascii="Calibri" w:hAnsi="Calibri"/>
          <w:b w:val="0"/>
          <w:i w:val="0"/>
          <w:color w:val="212121"/>
          <w:sz w:val="21"/>
        </w:rPr>
        <w:t>Reduced and incomplete blinking: Concentration on screens cuts the blink rate from about 22 to as low as 7 blinks/min and increases incomplete blinks, destabilising the tear film and causing dryness, burning and reflex watering.</w:t>
      </w:r>
    </w:p>
    <w:p>
      <w:pPr>
        <w:spacing w:after="60"/>
        <w:ind w:left="432" w:hanging="288"/>
      </w:pPr>
      <w:r>
        <w:rPr>
          <w:rFonts w:ascii="Calibri" w:hAnsi="Calibri"/>
          <w:b/>
          <w:i w:val="0"/>
          <w:color w:val="212121"/>
          <w:sz w:val="21"/>
        </w:rPr>
        <w:t xml:space="preserve">3. </w:t>
      </w:r>
      <w:r>
        <w:rPr>
          <w:rFonts w:ascii="Calibri" w:hAnsi="Calibri"/>
          <w:b w:val="0"/>
          <w:i w:val="0"/>
          <w:color w:val="212121"/>
          <w:sz w:val="21"/>
        </w:rPr>
        <w:t>Uncorrected or under-corrected refractive error: Even small uncorrected hypermetropia, astigmatism or presbyopia greatly increases the visual effort required and precipitates symptoms.</w:t>
      </w:r>
    </w:p>
    <w:p>
      <w:pPr>
        <w:spacing w:after="60"/>
        <w:ind w:left="432" w:hanging="288"/>
      </w:pPr>
      <w:r>
        <w:rPr>
          <w:rFonts w:ascii="Calibri" w:hAnsi="Calibri"/>
          <w:b/>
          <w:i w:val="0"/>
          <w:color w:val="212121"/>
          <w:sz w:val="21"/>
        </w:rPr>
        <w:t xml:space="preserve">4. </w:t>
      </w:r>
      <w:r>
        <w:rPr>
          <w:rFonts w:ascii="Calibri" w:hAnsi="Calibri"/>
          <w:b w:val="0"/>
          <w:i w:val="0"/>
          <w:color w:val="212121"/>
          <w:sz w:val="21"/>
        </w:rPr>
        <w:t>Binocular and accommodative dysfunction: Convergence insufficiency and accommodative anomalies are common and amplify asthenopia during near screen tasks.</w:t>
      </w:r>
    </w:p>
    <w:p>
      <w:pPr>
        <w:spacing w:after="60"/>
        <w:ind w:left="432" w:hanging="288"/>
      </w:pPr>
      <w:r>
        <w:rPr>
          <w:rFonts w:ascii="Calibri" w:hAnsi="Calibri"/>
          <w:b/>
          <w:i w:val="0"/>
          <w:color w:val="212121"/>
          <w:sz w:val="21"/>
        </w:rPr>
        <w:t xml:space="preserve">5. </w:t>
      </w:r>
      <w:r>
        <w:rPr>
          <w:rFonts w:ascii="Calibri" w:hAnsi="Calibri"/>
          <w:b w:val="0"/>
          <w:i w:val="0"/>
          <w:color w:val="212121"/>
          <w:sz w:val="21"/>
        </w:rPr>
        <w:t>Adverse screen ergonomics and environment: Improper viewing distance and angle, glare and reflections, poor lighting, low text contrast, small fonts and dry air-conditioned rooms all increase the visual load.</w:t>
      </w:r>
    </w:p>
    <w:p>
      <w:pPr>
        <w:spacing w:after="60"/>
        <w:ind w:left="432" w:hanging="288"/>
      </w:pPr>
      <w:r>
        <w:rPr>
          <w:rFonts w:ascii="Calibri" w:hAnsi="Calibri"/>
          <w:b/>
          <w:i w:val="0"/>
          <w:color w:val="212121"/>
          <w:sz w:val="21"/>
        </w:rPr>
        <w:t xml:space="preserve">6. </w:t>
      </w:r>
      <w:r>
        <w:rPr>
          <w:rFonts w:ascii="Calibri" w:hAnsi="Calibri"/>
          <w:b w:val="0"/>
          <w:i w:val="0"/>
          <w:color w:val="212121"/>
          <w:sz w:val="21"/>
        </w:rPr>
        <w:t>Excessive daily screen time without breaks: Long continuous exposure (often &gt; 4-6 h/day, worsened by online classes and work-from-home) is the strongest driver; multi-device use and using screens in the dark add further risk.</w:t>
      </w:r>
    </w:p>
    <w:p>
      <w:pPr>
        <w:spacing w:before="280" w:after="120"/>
      </w:pPr>
      <w:r>
        <w:rPr>
          <w:rFonts w:ascii="Calibri" w:hAnsi="Calibri"/>
          <w:b/>
          <w:i w:val="0"/>
          <w:color w:val="212121"/>
          <w:sz w:val="31"/>
        </w:rPr>
        <w:t>Research Draft of MCP</w:t>
      </w:r>
    </w:p>
    <w:p>
      <w:pPr>
        <w:spacing w:before="200" w:after="120"/>
      </w:pPr>
      <w:r>
        <w:rPr>
          <w:rFonts w:ascii="Calibri" w:hAnsi="Calibri"/>
          <w:b/>
          <w:i w:val="0"/>
          <w:color w:val="212121"/>
          <w:sz w:val="25"/>
        </w:rPr>
        <w:t>Profiles Prone To</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401"/>
        <w:gridCol w:w="2401"/>
        <w:gridCol w:w="2401"/>
        <w:gridCol w:w="2401"/>
      </w:tblGrid>
      <w:tr>
        <w:trPr>
          <w:cantSplit/>
        </w:trPr>
        <w:tc>
          <w:tcPr>
            <w:tcW w:type="dxa" w:w="1512"/>
            <w:shd w:val="clear" w:color="auto" w:fill="F2F2F2"/>
            <w:vAlign w:val="center"/>
          </w:tcPr>
          <w:p>
            <w:pPr>
              <w:spacing w:after="40" w:before="0" w:line="259" w:lineRule="auto"/>
            </w:pPr>
            <w:r>
              <w:rPr>
                <w:rFonts w:ascii="Calibri" w:hAnsi="Calibri"/>
                <w:b/>
                <w:i w:val="0"/>
                <w:color w:val="212121"/>
                <w:sz w:val="19"/>
              </w:rPr>
              <w:t>Category</w:t>
            </w:r>
          </w:p>
        </w:tc>
        <w:tc>
          <w:tcPr>
            <w:tcW w:type="dxa" w:w="1655"/>
            <w:shd w:val="clear" w:color="auto" w:fill="F2F2F2"/>
            <w:vAlign w:val="center"/>
          </w:tcPr>
          <w:p>
            <w:pPr>
              <w:spacing w:after="40" w:before="0" w:line="259" w:lineRule="auto"/>
            </w:pPr>
            <w:r>
              <w:rPr>
                <w:rFonts w:ascii="Calibri" w:hAnsi="Calibri"/>
                <w:b/>
                <w:i w:val="0"/>
                <w:color w:val="212121"/>
                <w:sz w:val="19"/>
              </w:rPr>
              <w:t>Disposition</w:t>
            </w:r>
          </w:p>
        </w:tc>
        <w:tc>
          <w:tcPr>
            <w:tcW w:type="dxa" w:w="2160"/>
            <w:shd w:val="clear" w:color="auto" w:fill="F2F2F2"/>
            <w:vAlign w:val="center"/>
          </w:tcPr>
          <w:p>
            <w:pPr>
              <w:spacing w:after="40" w:before="0" w:line="259" w:lineRule="auto"/>
            </w:pPr>
            <w:r>
              <w:rPr>
                <w:rFonts w:ascii="Calibri" w:hAnsi="Calibri"/>
                <w:b/>
                <w:i w:val="0"/>
                <w:color w:val="212121"/>
                <w:sz w:val="19"/>
              </w:rPr>
              <w:t>Profiles</w:t>
            </w:r>
          </w:p>
        </w:tc>
        <w:tc>
          <w:tcPr>
            <w:tcW w:type="dxa" w:w="4276"/>
            <w:shd w:val="clear" w:color="auto" w:fill="F2F2F2"/>
            <w:vAlign w:val="center"/>
          </w:tcPr>
          <w:p>
            <w:pPr>
              <w:spacing w:after="40" w:before="0" w:line="259" w:lineRule="auto"/>
            </w:pPr>
            <w:r>
              <w:rPr>
                <w:rFonts w:ascii="Calibri" w:hAnsi="Calibri"/>
                <w:b/>
                <w:i w:val="0"/>
                <w:color w:val="212121"/>
                <w:sz w:val="19"/>
              </w:rPr>
              <w:t>Explanation</w:t>
            </w:r>
          </w:p>
        </w:tc>
      </w:tr>
      <w:tr>
        <w:trPr>
          <w:cantSplit/>
        </w:trPr>
        <w:tc>
          <w:tcPr>
            <w:tcW w:type="dxa" w:w="1512"/>
            <w:vMerge w:val="restart"/>
            <w:vAlign w:val="center"/>
          </w:tcPr>
          <w:p>
            <w:pPr>
              <w:spacing w:after="40"/>
            </w:pPr>
            <w:r>
              <w:rPr>
                <w:rFonts w:ascii="Calibri" w:hAnsi="Calibri"/>
                <w:b/>
                <w:i w:val="0"/>
                <w:color w:val="212121"/>
                <w:sz w:val="19"/>
              </w:rPr>
              <w:t>Demographic factors</w:t>
            </w:r>
          </w:p>
        </w:tc>
        <w:tc>
          <w:tcPr>
            <w:tcW w:type="dxa" w:w="1655"/>
            <w:vMerge w:val="restart"/>
            <w:vAlign w:val="center"/>
          </w:tcPr>
          <w:p>
            <w:pPr>
              <w:spacing w:after="40"/>
            </w:pPr>
            <w:r>
              <w:rPr>
                <w:rFonts w:ascii="Calibri" w:hAnsi="Calibri"/>
                <w:b w:val="0"/>
                <w:i w:val="0"/>
                <w:color w:val="212121"/>
                <w:sz w:val="19"/>
              </w:rPr>
              <w:t>Age</w:t>
            </w:r>
          </w:p>
        </w:tc>
        <w:tc>
          <w:tcPr>
            <w:tcW w:type="dxa" w:w="2160"/>
            <w:vAlign w:val="top"/>
          </w:tcPr>
          <w:p>
            <w:pPr>
              <w:spacing w:after="40" w:before="0" w:line="259" w:lineRule="auto"/>
            </w:pPr>
            <w:r>
              <w:rPr>
                <w:rFonts w:ascii="Calibri" w:hAnsi="Calibri"/>
                <w:b w:val="0"/>
                <w:i w:val="0"/>
                <w:color w:val="212121"/>
                <w:sz w:val="19"/>
              </w:rPr>
              <w:t>Young and working-age adults (18-45 y): students, IT and desk professionals</w:t>
            </w:r>
          </w:p>
        </w:tc>
        <w:tc>
          <w:tcPr>
            <w:tcW w:type="dxa" w:w="4276"/>
            <w:vAlign w:val="top"/>
          </w:tcPr>
          <w:p>
            <w:pPr>
              <w:spacing w:after="60" w:line="259" w:lineRule="auto"/>
            </w:pPr>
            <w:r>
              <w:rPr>
                <w:rFonts w:ascii="Calibri" w:hAnsi="Calibri"/>
                <w:b w:val="0"/>
                <w:i w:val="0"/>
                <w:color w:val="212121"/>
                <w:sz w:val="19"/>
              </w:rPr>
              <w:t>This group spends the most continuous hours on screens for study and work, sustaining near focus and suppressing blinking, which produces the heaviest CVS symptom burden.</w:t>
            </w:r>
          </w:p>
          <w:p>
            <w:pPr>
              <w:spacing w:after="40" w:before="60" w:line="259" w:lineRule="auto"/>
            </w:pPr>
            <w:r>
              <w:rPr>
                <w:rFonts w:ascii="Calibri" w:hAnsi="Calibri"/>
                <w:b w:val="0"/>
                <w:i w:val="0"/>
                <w:color w:val="212121"/>
                <w:sz w:val="19"/>
              </w:rPr>
              <w:t>In a Chennai study, CVS was present in 81.9% of engineering and 78.6% of medical students; a Pune study found 77.5% among medical students.</w:t>
            </w:r>
          </w:p>
          <w:p>
            <w:pPr>
              <w:spacing w:after="40" w:line="252" w:lineRule="auto"/>
            </w:pPr>
            <w:hyperlink r:id="rId9">
              <w:r>
                <w:rPr>
                  <w:rFonts w:ascii="Calibri" w:hAnsi="Calibri" w:cs="Calibri"/>
                  <w:sz w:val="18"/>
                  <w:color w:val="1155CC"/>
                  <w:u w:val="single"/>
                </w:rPr>
                <w:t xml:space="preserve">pubmed.ncbi.nlm.nih.gov/24761234 — CVS among Chennai students</w:t>
              </w:r>
            </w:hyperlink>
          </w:p>
          <w:p>
            <w:pPr>
              <w:spacing w:before="60" w:after="40"/>
            </w:pPr>
            <w:r>
              <w:rPr>
                <w:rFonts w:ascii="Calibri" w:hAnsi="Calibri"/>
                <w:b w:val="0"/>
                <w:i w:val="0"/>
                <w:color w:val="5A5A5A"/>
                <w:sz w:val="18"/>
              </w:rPr>
              <w:t>#screentime  #ITprofessionals  #nearwork  #students</w:t>
            </w:r>
          </w:p>
        </w:tc>
      </w:tr>
      <w:tr>
        <w:trPr>
          <w:cantSplit/>
        </w:trPr>
        <w:tc>
          <w:tcPr>
            <w:tcW w:type="dxa" w:w="1512"/>
            <w:vMerge/>
            <w:vAlign w:val="top"/>
          </w:tcPr>
          <w:p>
            <w:pPr>
              <w:spacing w:after="40" w:before="0" w:line="259" w:lineRule="auto"/>
            </w:pPr>
          </w:p>
        </w:tc>
        <w:tc>
          <w:tcPr>
            <w:tcW w:type="dxa" w:w="1655"/>
            <w:vMerge/>
            <w:vAlign w:val="top"/>
          </w:tcPr>
          <w:p>
            <w:pPr>
              <w:spacing w:after="40" w:before="0" w:line="259" w:lineRule="auto"/>
            </w:pPr>
          </w:p>
        </w:tc>
        <w:tc>
          <w:tcPr>
            <w:tcW w:type="dxa" w:w="2160"/>
            <w:vAlign w:val="top"/>
          </w:tcPr>
          <w:p>
            <w:pPr>
              <w:spacing w:after="40" w:before="0" w:line="259" w:lineRule="auto"/>
            </w:pPr>
            <w:r>
              <w:rPr>
                <w:rFonts w:ascii="Calibri" w:hAnsi="Calibri"/>
                <w:b w:val="0"/>
                <w:i w:val="0"/>
                <w:color w:val="212121"/>
                <w:sz w:val="19"/>
              </w:rPr>
              <w:t>Older / presbyopic adults (&gt;= 45 y)</w:t>
            </w:r>
          </w:p>
        </w:tc>
        <w:tc>
          <w:tcPr>
            <w:tcW w:type="dxa" w:w="4276"/>
            <w:vAlign w:val="top"/>
          </w:tcPr>
          <w:p>
            <w:pPr>
              <w:spacing w:after="60" w:line="259" w:lineRule="auto"/>
            </w:pPr>
            <w:r>
              <w:rPr>
                <w:rFonts w:ascii="Calibri" w:hAnsi="Calibri"/>
                <w:b w:val="0"/>
                <w:i w:val="0"/>
                <w:color w:val="212121"/>
                <w:sz w:val="19"/>
              </w:rPr>
              <w:t>Age-related loss of accommodation (presbyopia), slower focusing and reduced tear production mean that any uncorrected near correction and a drier ocular surface amplify eye strain and blur at screen distance.</w:t>
            </w:r>
          </w:p>
          <w:p>
            <w:pPr>
              <w:spacing w:after="40" w:before="60" w:line="259" w:lineRule="auto"/>
            </w:pPr>
            <w:r>
              <w:rPr>
                <w:rFonts w:ascii="Calibri" w:hAnsi="Calibri"/>
                <w:b w:val="0"/>
                <w:i w:val="0"/>
                <w:color w:val="212121"/>
                <w:sz w:val="19"/>
              </w:rPr>
              <w:t>Presbyopia and age-related dry eye make uncorrected near work and reduced tear film important aggravators of screen-related strain in older users.</w:t>
            </w:r>
          </w:p>
          <w:p>
            <w:pPr>
              <w:spacing w:before="60" w:after="40"/>
            </w:pPr>
            <w:r>
              <w:rPr>
                <w:rFonts w:ascii="Calibri" w:hAnsi="Calibri"/>
                <w:b w:val="0"/>
                <w:i w:val="0"/>
                <w:color w:val="5A5A5A"/>
                <w:sz w:val="18"/>
              </w:rPr>
              <w:t>#presbyopia  #dryeye  #ageing</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Sex</w:t>
            </w:r>
          </w:p>
        </w:tc>
        <w:tc>
          <w:tcPr>
            <w:tcW w:type="dxa" w:w="2160"/>
            <w:vAlign w:val="top"/>
          </w:tcPr>
          <w:p>
            <w:pPr>
              <w:spacing w:after="40" w:before="0" w:line="259" w:lineRule="auto"/>
            </w:pPr>
            <w:r>
              <w:rPr>
                <w:rFonts w:ascii="Calibri" w:hAnsi="Calibri"/>
                <w:b w:val="0"/>
                <w:i w:val="0"/>
                <w:color w:val="212121"/>
                <w:sz w:val="19"/>
              </w:rPr>
              <w:t>Females</w:t>
            </w:r>
          </w:p>
        </w:tc>
        <w:tc>
          <w:tcPr>
            <w:tcW w:type="dxa" w:w="4276"/>
            <w:vAlign w:val="top"/>
          </w:tcPr>
          <w:p>
            <w:pPr>
              <w:spacing w:after="60" w:line="259" w:lineRule="auto"/>
            </w:pPr>
            <w:r>
              <w:rPr>
                <w:rFonts w:ascii="Calibri" w:hAnsi="Calibri"/>
                <w:b w:val="0"/>
                <w:i w:val="0"/>
                <w:color w:val="212121"/>
                <w:sz w:val="19"/>
              </w:rPr>
              <w:t>Women have a lower baseline tear volume and higher rates of evaporative dry eye (hormonal influences, cosmetics), making the ocular-surface component of CVS more symptomatic.</w:t>
            </w:r>
          </w:p>
          <w:p>
            <w:pPr>
              <w:spacing w:after="40" w:before="60" w:line="259" w:lineRule="auto"/>
            </w:pPr>
            <w:r>
              <w:rPr>
                <w:rFonts w:ascii="Calibri" w:hAnsi="Calibri"/>
                <w:b w:val="0"/>
                <w:i w:val="0"/>
                <w:color w:val="212121"/>
                <w:sz w:val="19"/>
              </w:rPr>
              <w:t>In a large self-report survey, digital eye strain symptoms were reported by 69% of women versus 60% of men.</w:t>
            </w:r>
          </w:p>
          <w:p>
            <w:pPr>
              <w:spacing w:after="40" w:line="252" w:lineRule="auto"/>
            </w:pPr>
            <w:hyperlink r:id="rId10">
              <w:r>
                <w:rPr>
                  <w:rFonts w:ascii="Calibri" w:hAnsi="Calibri" w:cs="Calibri"/>
                  <w:sz w:val="18"/>
                  <w:color w:val="1155CC"/>
                  <w:u w:val="single"/>
                </w:rPr>
                <w:t xml:space="preserve">bmjophth.bmj.com — Digital eye strain review (Sheppard &amp; Wolffsohn)</w:t>
              </w:r>
            </w:hyperlink>
          </w:p>
          <w:p>
            <w:pPr>
              <w:spacing w:before="60" w:after="40"/>
            </w:pPr>
            <w:r>
              <w:rPr>
                <w:rFonts w:ascii="Calibri" w:hAnsi="Calibri"/>
                <w:b w:val="0"/>
                <w:i w:val="0"/>
                <w:color w:val="5A5A5A"/>
                <w:sz w:val="18"/>
              </w:rPr>
              <w:t>#dryeye  #hormonal  #tearfilm</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Socioeconomic status</w:t>
            </w:r>
          </w:p>
        </w:tc>
        <w:tc>
          <w:tcPr>
            <w:tcW w:type="dxa" w:w="2160"/>
            <w:vAlign w:val="top"/>
          </w:tcPr>
          <w:p>
            <w:pPr>
              <w:spacing w:after="40" w:before="0" w:line="259" w:lineRule="auto"/>
            </w:pPr>
            <w:r>
              <w:rPr>
                <w:rFonts w:ascii="Calibri" w:hAnsi="Calibri"/>
                <w:b w:val="0"/>
                <w:i w:val="0"/>
                <w:color w:val="212121"/>
                <w:sz w:val="19"/>
              </w:rPr>
              <w:t>Urban, higher-income, educated / knowledge workers and school children</w:t>
            </w:r>
          </w:p>
        </w:tc>
        <w:tc>
          <w:tcPr>
            <w:tcW w:type="dxa" w:w="4276"/>
            <w:vAlign w:val="top"/>
          </w:tcPr>
          <w:p>
            <w:pPr>
              <w:spacing w:after="60" w:line="259" w:lineRule="auto"/>
            </w:pPr>
            <w:r>
              <w:rPr>
                <w:rFonts w:ascii="Calibri" w:hAnsi="Calibri"/>
                <w:b w:val="0"/>
                <w:i w:val="0"/>
                <w:color w:val="212121"/>
                <w:sz w:val="19"/>
              </w:rPr>
              <w:t>Greater access to computers, smartphones and online schooling raises daily screen exposure from an early age, increasing cumulative near-work and CVS risk.</w:t>
            </w:r>
          </w:p>
          <w:p>
            <w:pPr>
              <w:spacing w:after="40" w:before="60" w:line="259" w:lineRule="auto"/>
            </w:pPr>
            <w:r>
              <w:rPr>
                <w:rFonts w:ascii="Calibri" w:hAnsi="Calibri"/>
                <w:b w:val="0"/>
                <w:i w:val="0"/>
                <w:color w:val="212121"/>
                <w:sz w:val="19"/>
              </w:rPr>
              <w:t>In urban Indian schools, daily digital-device use rose from about 20% at age 11 to 50% at age 17.</w:t>
            </w:r>
          </w:p>
          <w:p>
            <w:pPr>
              <w:spacing w:after="40" w:line="252" w:lineRule="auto"/>
            </w:pPr>
            <w:hyperlink r:id="rId11">
              <w:r>
                <w:rPr>
                  <w:rFonts w:ascii="Calibri" w:hAnsi="Calibri" w:cs="Calibri"/>
                  <w:sz w:val="18"/>
                  <w:color w:val="1155CC"/>
                  <w:u w:val="single"/>
                </w:rPr>
                <w:t xml:space="preserve">pubmed.ncbi.nlm.nih.gov/30866885 — digital device use in school children</w:t>
              </w:r>
            </w:hyperlink>
          </w:p>
          <w:p>
            <w:pPr>
              <w:spacing w:before="60" w:after="40"/>
            </w:pPr>
            <w:r>
              <w:rPr>
                <w:rFonts w:ascii="Calibri" w:hAnsi="Calibri"/>
                <w:b w:val="0"/>
                <w:i w:val="0"/>
                <w:color w:val="5A5A5A"/>
                <w:sz w:val="18"/>
              </w:rPr>
              <w:t>#urban  #devices  #schoolchildren  #screenaccess</w:t>
            </w:r>
          </w:p>
        </w:tc>
      </w:tr>
      <w:tr>
        <w:trPr>
          <w:cantSplit/>
        </w:trPr>
        <w:tc>
          <w:tcPr>
            <w:tcW w:type="dxa" w:w="1512"/>
            <w:vMerge w:val="restart"/>
            <w:vAlign w:val="center"/>
          </w:tcPr>
          <w:p>
            <w:pPr>
              <w:spacing w:after="40"/>
            </w:pPr>
            <w:r>
              <w:rPr>
                <w:rFonts w:ascii="Calibri" w:hAnsi="Calibri"/>
                <w:b/>
                <w:i w:val="0"/>
                <w:color w:val="212121"/>
                <w:sz w:val="19"/>
              </w:rPr>
              <w:t>Geographic factors</w:t>
            </w:r>
          </w:p>
        </w:tc>
        <w:tc>
          <w:tcPr>
            <w:tcW w:type="dxa" w:w="1655"/>
            <w:vAlign w:val="center"/>
          </w:tcPr>
          <w:p>
            <w:pPr>
              <w:spacing w:after="40"/>
            </w:pPr>
            <w:r>
              <w:rPr>
                <w:rFonts w:ascii="Calibri" w:hAnsi="Calibri"/>
                <w:b w:val="0"/>
                <w:i w:val="0"/>
                <w:color w:val="212121"/>
                <w:sz w:val="19"/>
              </w:rPr>
              <w:t>Region / urbanisation</w:t>
            </w:r>
          </w:p>
        </w:tc>
        <w:tc>
          <w:tcPr>
            <w:tcW w:type="dxa" w:w="2160"/>
            <w:vAlign w:val="top"/>
          </w:tcPr>
          <w:p>
            <w:pPr>
              <w:spacing w:after="40" w:before="0" w:line="259" w:lineRule="auto"/>
            </w:pPr>
            <w:r>
              <w:rPr>
                <w:rFonts w:ascii="Calibri" w:hAnsi="Calibri"/>
                <w:b w:val="0"/>
                <w:i w:val="0"/>
                <w:color w:val="212121"/>
                <w:sz w:val="19"/>
              </w:rPr>
              <w:t>Urban India and IT-hub metros (Bengaluru, Hyderabad, Chennai, Pune, NCR)</w:t>
            </w:r>
          </w:p>
        </w:tc>
        <w:tc>
          <w:tcPr>
            <w:tcW w:type="dxa" w:w="4276"/>
            <w:vAlign w:val="top"/>
          </w:tcPr>
          <w:p>
            <w:pPr>
              <w:spacing w:after="60" w:line="259" w:lineRule="auto"/>
            </w:pPr>
            <w:r>
              <w:rPr>
                <w:rFonts w:ascii="Calibri" w:hAnsi="Calibri"/>
                <w:b w:val="0"/>
                <w:i w:val="0"/>
                <w:color w:val="212121"/>
                <w:sz w:val="19"/>
              </w:rPr>
              <w:t>A dense concentration of IT/BPO and desk-based work, long commutes with smartphone use, and air-conditioned low-humidity offices combine high screen load with faster tear evaporation.</w:t>
            </w:r>
          </w:p>
          <w:p>
            <w:pPr>
              <w:spacing w:after="40" w:before="60" w:line="259" w:lineRule="auto"/>
            </w:pPr>
            <w:r>
              <w:rPr>
                <w:rFonts w:ascii="Calibri" w:hAnsi="Calibri"/>
                <w:b w:val="0"/>
                <w:i w:val="0"/>
                <w:color w:val="212121"/>
                <w:sz w:val="19"/>
              </w:rPr>
              <w:t>In a North Indian hospital study, urban residence and desk jobs were independent risk factors for dry eye disease, whose overall prevalence was 32%.</w:t>
            </w:r>
          </w:p>
          <w:p>
            <w:pPr>
              <w:spacing w:after="40" w:line="252" w:lineRule="auto"/>
            </w:pPr>
            <w:hyperlink r:id="rId12">
              <w:r>
                <w:rPr>
                  <w:rFonts w:ascii="Calibri" w:hAnsi="Calibri" w:cs="Calibri"/>
                  <w:sz w:val="18"/>
                  <w:color w:val="1155CC"/>
                  <w:u w:val="single"/>
                </w:rPr>
                <w:t xml:space="preserve">pubmed.ncbi.nlm.nih.gov/29380759 — dry eye disease in North India</w:t>
              </w:r>
            </w:hyperlink>
          </w:p>
          <w:p>
            <w:pPr>
              <w:spacing w:before="60" w:after="40"/>
            </w:pPr>
            <w:r>
              <w:rPr>
                <w:rFonts w:ascii="Calibri" w:hAnsi="Calibri"/>
                <w:b w:val="0"/>
                <w:i w:val="0"/>
                <w:color w:val="5A5A5A"/>
                <w:sz w:val="18"/>
              </w:rPr>
              <w:t>#urban  #IThubs  #deskjob  #airconditioning</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Environment</w:t>
            </w:r>
          </w:p>
        </w:tc>
        <w:tc>
          <w:tcPr>
            <w:tcW w:type="dxa" w:w="2160"/>
            <w:vAlign w:val="top"/>
          </w:tcPr>
          <w:p>
            <w:pPr>
              <w:spacing w:after="40" w:before="0" w:line="259" w:lineRule="auto"/>
            </w:pPr>
            <w:r>
              <w:rPr>
                <w:rFonts w:ascii="Calibri" w:hAnsi="Calibri"/>
                <w:b w:val="0"/>
                <w:i w:val="0"/>
                <w:color w:val="212121"/>
                <w:sz w:val="19"/>
              </w:rPr>
              <w:t>Low-humidity, air-conditioned or dusty indoor environments</w:t>
            </w:r>
          </w:p>
        </w:tc>
        <w:tc>
          <w:tcPr>
            <w:tcW w:type="dxa" w:w="4276"/>
            <w:vAlign w:val="top"/>
          </w:tcPr>
          <w:p>
            <w:pPr>
              <w:spacing w:after="60" w:line="259" w:lineRule="auto"/>
            </w:pPr>
            <w:r>
              <w:rPr>
                <w:rFonts w:ascii="Calibri" w:hAnsi="Calibri"/>
                <w:b w:val="0"/>
                <w:i w:val="0"/>
                <w:color w:val="212121"/>
                <w:sz w:val="19"/>
              </w:rPr>
              <w:t>Reduced ambient humidity and forced-air cooling increase tear-film evaporation, while airborne dust and allergens irritate the ocular surface, worsening the dryness and burning of CVS during screen work.</w:t>
            </w:r>
          </w:p>
          <w:p>
            <w:pPr>
              <w:spacing w:after="40" w:before="60" w:line="259" w:lineRule="auto"/>
            </w:pPr>
            <w:r>
              <w:rPr>
                <w:rFonts w:ascii="Calibri" w:hAnsi="Calibri"/>
                <w:b w:val="0"/>
                <w:i w:val="0"/>
                <w:color w:val="212121"/>
                <w:sz w:val="19"/>
              </w:rPr>
              <w:t>Air-conditioned, low-humidity workspaces accelerate tear evaporation and are a recognised aggravator of ocular-surface dryness in screen users.</w:t>
            </w:r>
          </w:p>
          <w:p>
            <w:pPr>
              <w:spacing w:before="60" w:after="40"/>
            </w:pPr>
            <w:r>
              <w:rPr>
                <w:rFonts w:ascii="Calibri" w:hAnsi="Calibri"/>
                <w:b w:val="0"/>
                <w:i w:val="0"/>
                <w:color w:val="5A5A5A"/>
                <w:sz w:val="18"/>
              </w:rPr>
              <w:t>#humidity  #airconditioning  #tearevaporation</w:t>
            </w:r>
          </w:p>
        </w:tc>
      </w:tr>
      <w:tr>
        <w:trPr>
          <w:cantSplit/>
        </w:trPr>
        <w:tc>
          <w:tcPr>
            <w:tcW w:type="dxa" w:w="1512"/>
            <w:vMerge w:val="restart"/>
            <w:vAlign w:val="center"/>
          </w:tcPr>
          <w:p>
            <w:pPr>
              <w:spacing w:after="40"/>
            </w:pPr>
            <w:r>
              <w:rPr>
                <w:rFonts w:ascii="Calibri" w:hAnsi="Calibri"/>
                <w:b/>
                <w:i w:val="0"/>
                <w:color w:val="212121"/>
                <w:sz w:val="19"/>
              </w:rPr>
              <w:t>Lifestyle factors</w:t>
            </w:r>
          </w:p>
        </w:tc>
        <w:tc>
          <w:tcPr>
            <w:tcW w:type="dxa" w:w="1655"/>
            <w:vAlign w:val="center"/>
          </w:tcPr>
          <w:p>
            <w:pPr>
              <w:spacing w:after="40"/>
            </w:pPr>
            <w:r>
              <w:rPr>
                <w:rFonts w:ascii="Calibri" w:hAnsi="Calibri"/>
                <w:b w:val="0"/>
                <w:i w:val="0"/>
                <w:color w:val="212121"/>
                <w:sz w:val="19"/>
              </w:rPr>
              <w:t>Sedentary / prolonged screen use</w:t>
            </w:r>
          </w:p>
        </w:tc>
        <w:tc>
          <w:tcPr>
            <w:tcW w:type="dxa" w:w="2160"/>
            <w:vAlign w:val="top"/>
          </w:tcPr>
          <w:p>
            <w:pPr>
              <w:spacing w:after="40" w:before="0" w:line="259" w:lineRule="auto"/>
            </w:pPr>
            <w:r>
              <w:rPr>
                <w:rFonts w:ascii="Calibri" w:hAnsi="Calibri"/>
                <w:b w:val="0"/>
                <w:i w:val="0"/>
                <w:color w:val="212121"/>
                <w:sz w:val="19"/>
              </w:rPr>
              <w:t>Heavy screen users: IT workers, gamers, work-from-home staff, binge streamers</w:t>
            </w:r>
          </w:p>
        </w:tc>
        <w:tc>
          <w:tcPr>
            <w:tcW w:type="dxa" w:w="4276"/>
            <w:vAlign w:val="top"/>
          </w:tcPr>
          <w:p>
            <w:pPr>
              <w:spacing w:after="60" w:line="259" w:lineRule="auto"/>
            </w:pPr>
            <w:r>
              <w:rPr>
                <w:rFonts w:ascii="Calibri" w:hAnsi="Calibri"/>
                <w:b w:val="0"/>
                <w:i w:val="0"/>
                <w:color w:val="212121"/>
                <w:sz w:val="19"/>
              </w:rPr>
              <w:t>Long, uninterrupted screen sessions sustain accommodation-convergence effort and suppress blinking; symptom risk rises steeply beyond 2 continuous hours and &gt; 4 h/day.</w:t>
            </w:r>
          </w:p>
          <w:p>
            <w:pPr>
              <w:spacing w:after="40" w:before="60" w:line="259" w:lineRule="auto"/>
            </w:pPr>
            <w:r>
              <w:rPr>
                <w:rFonts w:ascii="Calibri" w:hAnsi="Calibri"/>
                <w:b w:val="0"/>
                <w:i w:val="0"/>
                <w:color w:val="212121"/>
                <w:sz w:val="19"/>
              </w:rPr>
              <w:t>Students using computers 4-6 h/day had significantly higher odds of redness (OR 1.2), burning sensation (OR 2.1) and dry eyes (OR 1.8) than those using them &lt; 4 h/day.</w:t>
            </w:r>
          </w:p>
          <w:p>
            <w:pPr>
              <w:spacing w:after="40" w:line="252" w:lineRule="auto"/>
            </w:pPr>
            <w:hyperlink r:id="rId9">
              <w:r>
                <w:rPr>
                  <w:rFonts w:ascii="Calibri" w:hAnsi="Calibri" w:cs="Calibri"/>
                  <w:sz w:val="18"/>
                  <w:color w:val="1155CC"/>
                  <w:u w:val="single"/>
                </w:rPr>
                <w:t xml:space="preserve">pubmed.ncbi.nlm.nih.gov/24761234 — CVS among Chennai students</w:t>
              </w:r>
            </w:hyperlink>
          </w:p>
          <w:p>
            <w:pPr>
              <w:spacing w:before="60" w:after="40"/>
            </w:pPr>
            <w:r>
              <w:rPr>
                <w:rFonts w:ascii="Calibri" w:hAnsi="Calibri"/>
                <w:b w:val="0"/>
                <w:i w:val="0"/>
                <w:color w:val="5A5A5A"/>
                <w:sz w:val="18"/>
              </w:rPr>
              <w:t>#screentime  #sedentary  #WFH  #gaming</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Online learning &amp; remote work</w:t>
            </w:r>
          </w:p>
        </w:tc>
        <w:tc>
          <w:tcPr>
            <w:tcW w:type="dxa" w:w="2160"/>
            <w:vAlign w:val="top"/>
          </w:tcPr>
          <w:p>
            <w:pPr>
              <w:spacing w:after="40" w:before="0" w:line="259" w:lineRule="auto"/>
            </w:pPr>
            <w:r>
              <w:rPr>
                <w:rFonts w:ascii="Calibri" w:hAnsi="Calibri"/>
                <w:b w:val="0"/>
                <w:i w:val="0"/>
                <w:color w:val="212121"/>
                <w:sz w:val="19"/>
              </w:rPr>
              <w:t>Students in online classes and teleworkers</w:t>
            </w:r>
          </w:p>
        </w:tc>
        <w:tc>
          <w:tcPr>
            <w:tcW w:type="dxa" w:w="4276"/>
            <w:vAlign w:val="top"/>
          </w:tcPr>
          <w:p>
            <w:pPr>
              <w:spacing w:after="60" w:line="259" w:lineRule="auto"/>
            </w:pPr>
            <w:r>
              <w:rPr>
                <w:rFonts w:ascii="Calibri" w:hAnsi="Calibri"/>
                <w:b w:val="0"/>
                <w:i w:val="0"/>
                <w:color w:val="212121"/>
                <w:sz w:val="19"/>
              </w:rPr>
              <w:t>The shift to e-learning and work-from-home sharply increased continuous screen time, close viewing distances and dark-room use, driving a surge in digital eye strain.</w:t>
            </w:r>
          </w:p>
          <w:p>
            <w:pPr>
              <w:spacing w:after="40" w:before="60" w:line="259" w:lineRule="auto"/>
            </w:pPr>
            <w:r>
              <w:rPr>
                <w:rFonts w:ascii="Calibri" w:hAnsi="Calibri"/>
                <w:b w:val="0"/>
                <w:i w:val="0"/>
                <w:color w:val="212121"/>
                <w:sz w:val="19"/>
              </w:rPr>
              <w:t>During the pandemic, eye strain was significantly higher in students attending online classes than in the general public (50.6% vs 33.2%).</w:t>
            </w:r>
          </w:p>
          <w:p>
            <w:pPr>
              <w:spacing w:after="40" w:line="252" w:lineRule="auto"/>
            </w:pPr>
            <w:hyperlink r:id="rId13">
              <w:r>
                <w:rPr>
                  <w:rFonts w:ascii="Calibri" w:hAnsi="Calibri" w:cs="Calibri"/>
                  <w:sz w:val="18"/>
                  <w:color w:val="1155CC"/>
                  <w:u w:val="single"/>
                </w:rPr>
                <w:t xml:space="preserve">pubmed.ncbi.nlm.nih.gov/33369521 — Digital Eye Strain epidemic amid COVID-19</w:t>
              </w:r>
            </w:hyperlink>
          </w:p>
          <w:p>
            <w:pPr>
              <w:spacing w:before="60" w:after="40"/>
            </w:pPr>
            <w:r>
              <w:rPr>
                <w:rFonts w:ascii="Calibri" w:hAnsi="Calibri"/>
                <w:b w:val="0"/>
                <w:i w:val="0"/>
                <w:color w:val="5A5A5A"/>
                <w:sz w:val="18"/>
              </w:rPr>
              <w:t>#onlineclasses  #elearning  #WFH  #pandemic</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Smoking</w:t>
            </w:r>
          </w:p>
        </w:tc>
        <w:tc>
          <w:tcPr>
            <w:tcW w:type="dxa" w:w="2160"/>
            <w:vAlign w:val="top"/>
          </w:tcPr>
          <w:p>
            <w:pPr>
              <w:spacing w:after="40" w:before="0" w:line="259" w:lineRule="auto"/>
            </w:pPr>
            <w:r>
              <w:rPr>
                <w:rFonts w:ascii="Calibri" w:hAnsi="Calibri"/>
                <w:b w:val="0"/>
                <w:i w:val="0"/>
                <w:color w:val="212121"/>
                <w:sz w:val="19"/>
              </w:rPr>
              <w:t>Smokers (active and passive)</w:t>
            </w:r>
          </w:p>
        </w:tc>
        <w:tc>
          <w:tcPr>
            <w:tcW w:type="dxa" w:w="4276"/>
            <w:vAlign w:val="top"/>
          </w:tcPr>
          <w:p>
            <w:pPr>
              <w:spacing w:after="60" w:line="259" w:lineRule="auto"/>
            </w:pPr>
            <w:r>
              <w:rPr>
                <w:rFonts w:ascii="Calibri" w:hAnsi="Calibri"/>
                <w:b w:val="0"/>
                <w:i w:val="0"/>
                <w:color w:val="212121"/>
                <w:sz w:val="19"/>
              </w:rPr>
              <w:t>Tobacco smoke destabilises the tear film and inflames the ocular surface, compounding screen-related dryness and irritation.</w:t>
            </w:r>
          </w:p>
          <w:p>
            <w:pPr>
              <w:spacing w:after="40" w:before="60" w:line="259" w:lineRule="auto"/>
            </w:pPr>
            <w:r>
              <w:rPr>
                <w:rFonts w:ascii="Calibri" w:hAnsi="Calibri"/>
                <w:b w:val="0"/>
                <w:i w:val="0"/>
                <w:color w:val="212121"/>
                <w:sz w:val="19"/>
              </w:rPr>
              <w:t>In a North Indian study, cigarette smoking was associated with significantly higher odds of severe dry eye disease.</w:t>
            </w:r>
          </w:p>
          <w:p>
            <w:pPr>
              <w:spacing w:after="40" w:line="252" w:lineRule="auto"/>
            </w:pPr>
            <w:hyperlink r:id="rId12">
              <w:r>
                <w:rPr>
                  <w:rFonts w:ascii="Calibri" w:hAnsi="Calibri" w:cs="Calibri"/>
                  <w:sz w:val="18"/>
                  <w:color w:val="1155CC"/>
                  <w:u w:val="single"/>
                </w:rPr>
                <w:t xml:space="preserve">pubmed.ncbi.nlm.nih.gov/29380759 — dry eye disease in North India</w:t>
              </w:r>
            </w:hyperlink>
          </w:p>
          <w:p>
            <w:pPr>
              <w:spacing w:before="60" w:after="40"/>
            </w:pPr>
            <w:r>
              <w:rPr>
                <w:rFonts w:ascii="Calibri" w:hAnsi="Calibri"/>
                <w:b w:val="0"/>
                <w:i w:val="0"/>
                <w:color w:val="5A5A5A"/>
                <w:sz w:val="18"/>
              </w:rPr>
              <w:t>#smoking  #ocularsurface  #dryeye</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Alcohol</w:t>
            </w:r>
          </w:p>
        </w:tc>
        <w:tc>
          <w:tcPr>
            <w:tcW w:type="dxa" w:w="2160"/>
            <w:vAlign w:val="top"/>
          </w:tcPr>
          <w:p>
            <w:pPr>
              <w:spacing w:after="40" w:before="0" w:line="259" w:lineRule="auto"/>
            </w:pPr>
            <w:r>
              <w:rPr>
                <w:rFonts w:ascii="Calibri" w:hAnsi="Calibri"/>
                <w:b w:val="0"/>
                <w:i w:val="0"/>
                <w:color w:val="212121"/>
                <w:sz w:val="19"/>
              </w:rPr>
              <w:t>Regular / heavy alcohol users</w:t>
            </w:r>
          </w:p>
        </w:tc>
        <w:tc>
          <w:tcPr>
            <w:tcW w:type="dxa" w:w="4276"/>
            <w:vAlign w:val="top"/>
          </w:tcPr>
          <w:p>
            <w:pPr>
              <w:spacing w:after="60" w:line="259" w:lineRule="auto"/>
            </w:pPr>
            <w:r>
              <w:rPr>
                <w:rFonts w:ascii="Calibri" w:hAnsi="Calibri"/>
                <w:b w:val="0"/>
                <w:i w:val="0"/>
                <w:color w:val="212121"/>
                <w:sz w:val="19"/>
              </w:rPr>
              <w:t>Alcohol promotes systemic dehydration and can reduce tear volume and film stability, aggravating ocular-surface dryness during screen use.</w:t>
            </w:r>
          </w:p>
          <w:p>
            <w:pPr>
              <w:spacing w:after="40" w:before="60" w:line="259" w:lineRule="auto"/>
            </w:pPr>
            <w:r>
              <w:rPr>
                <w:rFonts w:ascii="Calibri" w:hAnsi="Calibri"/>
                <w:b w:val="0"/>
                <w:i w:val="0"/>
                <w:color w:val="212121"/>
                <w:sz w:val="19"/>
              </w:rPr>
              <w:t>Heavy alcohol intake contributes to dehydration and tear-film instability, which can worsen screen-related dry-eye symptoms (direct CVS evidence is limited).</w:t>
            </w:r>
          </w:p>
          <w:p>
            <w:pPr>
              <w:spacing w:before="60" w:after="40"/>
            </w:pPr>
            <w:r>
              <w:rPr>
                <w:rFonts w:ascii="Calibri" w:hAnsi="Calibri"/>
                <w:b w:val="0"/>
                <w:i w:val="0"/>
                <w:color w:val="5A5A5A"/>
                <w:sz w:val="18"/>
              </w:rPr>
              <w:t>#alcohol  #dehydration  #tearfilm</w:t>
            </w:r>
          </w:p>
        </w:tc>
      </w:tr>
      <w:tr>
        <w:trPr>
          <w:cantSplit/>
        </w:trPr>
        <w:tc>
          <w:tcPr>
            <w:tcW w:type="dxa" w:w="1512"/>
            <w:vMerge w:val="restart"/>
            <w:vAlign w:val="center"/>
          </w:tcPr>
          <w:p>
            <w:pPr>
              <w:spacing w:after="40"/>
            </w:pPr>
            <w:r>
              <w:rPr>
                <w:rFonts w:ascii="Calibri" w:hAnsi="Calibri"/>
                <w:b/>
                <w:i w:val="0"/>
                <w:color w:val="212121"/>
                <w:sz w:val="19"/>
              </w:rPr>
              <w:t>Dietary factors</w:t>
            </w:r>
          </w:p>
        </w:tc>
        <w:tc>
          <w:tcPr>
            <w:tcW w:type="dxa" w:w="1655"/>
            <w:vAlign w:val="center"/>
          </w:tcPr>
          <w:p>
            <w:pPr>
              <w:spacing w:after="40"/>
            </w:pPr>
            <w:r>
              <w:rPr>
                <w:rFonts w:ascii="Calibri" w:hAnsi="Calibri"/>
                <w:b w:val="0"/>
                <w:i w:val="0"/>
                <w:color w:val="212121"/>
                <w:sz w:val="19"/>
              </w:rPr>
              <w:t>Dietary preference</w:t>
            </w:r>
          </w:p>
        </w:tc>
        <w:tc>
          <w:tcPr>
            <w:tcW w:type="dxa" w:w="2160"/>
            <w:vAlign w:val="top"/>
          </w:tcPr>
          <w:p>
            <w:pPr>
              <w:spacing w:after="40" w:before="0" w:line="259" w:lineRule="auto"/>
            </w:pPr>
            <w:r>
              <w:rPr>
                <w:rFonts w:ascii="Calibri" w:hAnsi="Calibri"/>
                <w:b w:val="0"/>
                <w:i w:val="0"/>
                <w:color w:val="212121"/>
                <w:sz w:val="19"/>
              </w:rPr>
              <w:t>Diets low in omega-3 fatty acids and antioxidants</w:t>
            </w:r>
          </w:p>
        </w:tc>
        <w:tc>
          <w:tcPr>
            <w:tcW w:type="dxa" w:w="4276"/>
            <w:vAlign w:val="top"/>
          </w:tcPr>
          <w:p>
            <w:pPr>
              <w:spacing w:after="60" w:line="259" w:lineRule="auto"/>
            </w:pPr>
            <w:r>
              <w:rPr>
                <w:rFonts w:ascii="Calibri" w:hAnsi="Calibri"/>
                <w:b w:val="0"/>
                <w:i w:val="0"/>
                <w:color w:val="212121"/>
                <w:sz w:val="19"/>
              </w:rPr>
              <w:t>Low omega-3 intake worsens meibomian-gland function and tear-film quality, while low vitamin-A/antioxidant intake impairs ocular-surface health, both intensifying dry-eye symptoms.</w:t>
            </w:r>
          </w:p>
          <w:p>
            <w:pPr>
              <w:spacing w:after="40" w:before="60" w:line="259" w:lineRule="auto"/>
            </w:pPr>
            <w:r>
              <w:rPr>
                <w:rFonts w:ascii="Calibri" w:hAnsi="Calibri"/>
                <w:b w:val="0"/>
                <w:i w:val="0"/>
                <w:color w:val="212121"/>
                <w:sz w:val="19"/>
              </w:rPr>
              <w:t>In one trial, omega-3 supplementation left about 70% of participants symptom-free after 3 months.</w:t>
            </w:r>
          </w:p>
          <w:p>
            <w:pPr>
              <w:spacing w:after="40" w:line="252" w:lineRule="auto"/>
            </w:pPr>
            <w:hyperlink r:id="rId10">
              <w:r>
                <w:rPr>
                  <w:rFonts w:ascii="Calibri" w:hAnsi="Calibri" w:cs="Calibri"/>
                  <w:sz w:val="18"/>
                  <w:color w:val="1155CC"/>
                  <w:u w:val="single"/>
                </w:rPr>
                <w:t xml:space="preserve">bmjophth.bmj.com — Digital eye strain review (Sheppard &amp; Wolffsohn)</w:t>
              </w:r>
            </w:hyperlink>
          </w:p>
          <w:p>
            <w:pPr>
              <w:spacing w:before="60" w:after="40"/>
            </w:pPr>
            <w:r>
              <w:rPr>
                <w:rFonts w:ascii="Calibri" w:hAnsi="Calibri"/>
                <w:b w:val="0"/>
                <w:i w:val="0"/>
                <w:color w:val="5A5A5A"/>
                <w:sz w:val="18"/>
              </w:rPr>
              <w:t>#omega3  #diet  #tearfilm  #antioxidants</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Hydration</w:t>
            </w:r>
          </w:p>
        </w:tc>
        <w:tc>
          <w:tcPr>
            <w:tcW w:type="dxa" w:w="2160"/>
            <w:vAlign w:val="top"/>
          </w:tcPr>
          <w:p>
            <w:pPr>
              <w:spacing w:after="40" w:before="0" w:line="259" w:lineRule="auto"/>
            </w:pPr>
            <w:r>
              <w:rPr>
                <w:rFonts w:ascii="Calibri" w:hAnsi="Calibri"/>
                <w:b w:val="0"/>
                <w:i w:val="0"/>
                <w:color w:val="212121"/>
                <w:sz w:val="19"/>
              </w:rPr>
              <w:t>Low water intake and high caffeine consumption</w:t>
            </w:r>
          </w:p>
        </w:tc>
        <w:tc>
          <w:tcPr>
            <w:tcW w:type="dxa" w:w="4276"/>
            <w:vAlign w:val="top"/>
          </w:tcPr>
          <w:p>
            <w:pPr>
              <w:spacing w:after="60" w:line="259" w:lineRule="auto"/>
            </w:pPr>
            <w:r>
              <w:rPr>
                <w:rFonts w:ascii="Calibri" w:hAnsi="Calibri"/>
                <w:b w:val="0"/>
                <w:i w:val="0"/>
                <w:color w:val="212121"/>
                <w:sz w:val="19"/>
              </w:rPr>
              <w:t>Inadequate hydration and excess caffeine can reduce tear production and promote a drier ocular surface, intensifying the dryness and burning of CVS.</w:t>
            </w:r>
          </w:p>
          <w:p>
            <w:pPr>
              <w:spacing w:after="40" w:before="60" w:line="259" w:lineRule="auto"/>
            </w:pPr>
            <w:r>
              <w:rPr>
                <w:rFonts w:ascii="Calibri" w:hAnsi="Calibri"/>
                <w:b w:val="0"/>
                <w:i w:val="0"/>
                <w:color w:val="212121"/>
                <w:sz w:val="19"/>
              </w:rPr>
              <w:t>Chronic under-hydration reduces tear volume and can worsen ocular-surface dryness during prolonged screen work.</w:t>
            </w:r>
          </w:p>
          <w:p>
            <w:pPr>
              <w:spacing w:before="60" w:after="40"/>
            </w:pPr>
            <w:r>
              <w:rPr>
                <w:rFonts w:ascii="Calibri" w:hAnsi="Calibri"/>
                <w:b w:val="0"/>
                <w:i w:val="0"/>
                <w:color w:val="5A5A5A"/>
                <w:sz w:val="18"/>
              </w:rPr>
              <w:t>#hydration  #caffeine  #dryeyes</w:t>
            </w:r>
          </w:p>
        </w:tc>
      </w:tr>
      <w:tr>
        <w:trPr>
          <w:cantSplit/>
        </w:trPr>
        <w:tc>
          <w:tcPr>
            <w:tcW w:type="dxa" w:w="1512"/>
            <w:vAlign w:val="center"/>
          </w:tcPr>
          <w:p>
            <w:pPr>
              <w:spacing w:after="40"/>
            </w:pPr>
            <w:r>
              <w:rPr>
                <w:rFonts w:ascii="Calibri" w:hAnsi="Calibri"/>
                <w:b/>
                <w:i w:val="0"/>
                <w:color w:val="212121"/>
                <w:sz w:val="19"/>
              </w:rPr>
              <w:t>Genetic factors</w:t>
            </w:r>
          </w:p>
        </w:tc>
        <w:tc>
          <w:tcPr>
            <w:tcW w:type="dxa" w:w="1655"/>
            <w:vAlign w:val="center"/>
          </w:tcPr>
          <w:p>
            <w:pPr>
              <w:spacing w:after="40"/>
            </w:pPr>
            <w:r>
              <w:rPr>
                <w:rFonts w:ascii="Calibri" w:hAnsi="Calibri"/>
                <w:b w:val="0"/>
                <w:i w:val="0"/>
                <w:color w:val="212121"/>
                <w:sz w:val="19"/>
              </w:rPr>
              <w:t>Family history</w:t>
            </w:r>
          </w:p>
        </w:tc>
        <w:tc>
          <w:tcPr>
            <w:tcW w:type="dxa" w:w="2160"/>
            <w:vAlign w:val="top"/>
          </w:tcPr>
          <w:p>
            <w:pPr>
              <w:spacing w:after="40" w:before="0" w:line="259" w:lineRule="auto"/>
            </w:pPr>
            <w:r>
              <w:rPr>
                <w:rFonts w:ascii="Calibri" w:hAnsi="Calibri"/>
                <w:b w:val="0"/>
                <w:i w:val="0"/>
                <w:color w:val="212121"/>
                <w:sz w:val="19"/>
              </w:rPr>
              <w:t>Family history of refractive error, myopia or dry eye</w:t>
            </w:r>
          </w:p>
        </w:tc>
        <w:tc>
          <w:tcPr>
            <w:tcW w:type="dxa" w:w="4276"/>
            <w:vAlign w:val="top"/>
          </w:tcPr>
          <w:p>
            <w:pPr>
              <w:spacing w:after="60" w:line="259" w:lineRule="auto"/>
            </w:pPr>
            <w:r>
              <w:rPr>
                <w:rFonts w:ascii="Calibri" w:hAnsi="Calibri"/>
                <w:b w:val="0"/>
                <w:i w:val="0"/>
                <w:color w:val="212121"/>
                <w:sz w:val="19"/>
              </w:rPr>
              <w:t>Inherited refractive errors (especially myopia and astigmatism) and a familial tendency to dry eye mean uncorrected error and a vulnerable ocular surface precipitate CVS during near screen work.</w:t>
            </w:r>
          </w:p>
          <w:p>
            <w:pPr>
              <w:spacing w:after="40" w:before="60" w:line="259" w:lineRule="auto"/>
            </w:pPr>
            <w:r>
              <w:rPr>
                <w:rFonts w:ascii="Calibri" w:hAnsi="Calibri"/>
                <w:b w:val="0"/>
                <w:i w:val="0"/>
                <w:color w:val="212121"/>
                <w:sz w:val="19"/>
              </w:rPr>
              <w:t>A familial tendency to myopia/refractive error and to dry eye lowers the threshold for screen-induced strain (a heritable predisposition rather than a fixed risk figure).</w:t>
            </w:r>
          </w:p>
          <w:p>
            <w:pPr>
              <w:spacing w:before="60" w:after="40"/>
            </w:pPr>
            <w:r>
              <w:rPr>
                <w:rFonts w:ascii="Calibri" w:hAnsi="Calibri"/>
                <w:b w:val="0"/>
                <w:i w:val="0"/>
                <w:color w:val="5A5A5A"/>
                <w:sz w:val="18"/>
              </w:rPr>
              <w:t>#myopia  #refractiveerror  #familyhistory  #genetics</w:t>
            </w:r>
          </w:p>
        </w:tc>
      </w:tr>
      <w:tr>
        <w:trPr>
          <w:cantSplit/>
        </w:trPr>
        <w:tc>
          <w:tcPr>
            <w:tcW w:type="dxa" w:w="1512"/>
            <w:vMerge w:val="restart"/>
            <w:vAlign w:val="center"/>
          </w:tcPr>
          <w:p>
            <w:pPr>
              <w:spacing w:after="40"/>
            </w:pPr>
            <w:r>
              <w:rPr>
                <w:rFonts w:ascii="Calibri" w:hAnsi="Calibri"/>
                <w:b/>
                <w:i w:val="0"/>
                <w:color w:val="212121"/>
                <w:sz w:val="19"/>
              </w:rPr>
              <w:t>Medical conditions profile (mcp)</w:t>
            </w:r>
          </w:p>
        </w:tc>
        <w:tc>
          <w:tcPr>
            <w:tcW w:type="dxa" w:w="1655"/>
            <w:vAlign w:val="center"/>
          </w:tcPr>
          <w:p>
            <w:pPr>
              <w:spacing w:after="40"/>
            </w:pPr>
            <w:r>
              <w:rPr>
                <w:rFonts w:ascii="Calibri" w:hAnsi="Calibri"/>
                <w:b w:val="0"/>
                <w:i w:val="0"/>
                <w:color w:val="212121"/>
                <w:sz w:val="19"/>
              </w:rPr>
              <w:t>Dry eye disease</w:t>
            </w:r>
          </w:p>
        </w:tc>
        <w:tc>
          <w:tcPr>
            <w:tcW w:type="dxa" w:w="2160"/>
            <w:vAlign w:val="top"/>
          </w:tcPr>
          <w:p>
            <w:pPr>
              <w:spacing w:after="40" w:before="0" w:line="259" w:lineRule="auto"/>
            </w:pPr>
            <w:r>
              <w:rPr>
                <w:rFonts w:ascii="Calibri" w:hAnsi="Calibri"/>
                <w:b w:val="0"/>
                <w:i w:val="0"/>
                <w:color w:val="212121"/>
                <w:sz w:val="19"/>
              </w:rPr>
              <w:t>Patients with dry eye disease / meibomian gland dysfunction</w:t>
            </w:r>
          </w:p>
        </w:tc>
        <w:tc>
          <w:tcPr>
            <w:tcW w:type="dxa" w:w="4276"/>
            <w:vAlign w:val="top"/>
          </w:tcPr>
          <w:p>
            <w:pPr>
              <w:spacing w:after="60" w:line="259" w:lineRule="auto"/>
            </w:pPr>
            <w:r>
              <w:rPr>
                <w:rFonts w:ascii="Calibri" w:hAnsi="Calibri"/>
                <w:b w:val="0"/>
                <w:i w:val="0"/>
                <w:color w:val="212121"/>
                <w:sz w:val="19"/>
              </w:rPr>
              <w:t>A pre-existing unstable or deficient tear film greatly lowers the threshold for screen-induced dryness, burning and blurred vision; dry eye and CVS strongly overlap and reinforce each other.</w:t>
            </w:r>
          </w:p>
          <w:p>
            <w:pPr>
              <w:spacing w:after="40" w:before="60" w:line="259" w:lineRule="auto"/>
            </w:pPr>
            <w:r>
              <w:rPr>
                <w:rFonts w:ascii="Calibri" w:hAnsi="Calibri"/>
                <w:b w:val="0"/>
                <w:i w:val="0"/>
                <w:color w:val="212121"/>
                <w:sz w:val="19"/>
              </w:rPr>
              <w:t>Among North Indian patients using visual display terminals &gt;= 4 h/day, 89.98% had severe dry eye disease.</w:t>
            </w:r>
          </w:p>
          <w:p>
            <w:pPr>
              <w:spacing w:after="40" w:line="252" w:lineRule="auto"/>
            </w:pPr>
            <w:hyperlink r:id="rId12">
              <w:r>
                <w:rPr>
                  <w:rFonts w:ascii="Calibri" w:hAnsi="Calibri" w:cs="Calibri"/>
                  <w:sz w:val="18"/>
                  <w:color w:val="1155CC"/>
                  <w:u w:val="single"/>
                </w:rPr>
                <w:t xml:space="preserve">pubmed.ncbi.nlm.nih.gov/29380759 — dry eye disease in North India</w:t>
              </w:r>
            </w:hyperlink>
          </w:p>
          <w:p>
            <w:pPr>
              <w:spacing w:before="60" w:after="40"/>
            </w:pPr>
            <w:r>
              <w:rPr>
                <w:rFonts w:ascii="Calibri" w:hAnsi="Calibri"/>
                <w:b w:val="0"/>
                <w:i w:val="0"/>
                <w:color w:val="5A5A5A"/>
                <w:sz w:val="18"/>
              </w:rPr>
              <w:t>#dryeye  #MGD  #tearfilm</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Uncorrected refractive error</w:t>
            </w:r>
          </w:p>
        </w:tc>
        <w:tc>
          <w:tcPr>
            <w:tcW w:type="dxa" w:w="2160"/>
            <w:vAlign w:val="top"/>
          </w:tcPr>
          <w:p>
            <w:pPr>
              <w:spacing w:after="40" w:before="0" w:line="259" w:lineRule="auto"/>
            </w:pPr>
            <w:r>
              <w:rPr>
                <w:rFonts w:ascii="Calibri" w:hAnsi="Calibri"/>
                <w:b w:val="0"/>
                <w:i w:val="0"/>
                <w:color w:val="212121"/>
                <w:sz w:val="19"/>
              </w:rPr>
              <w:t>Uncorrected or under-corrected refractive error &amp; presbyopia</w:t>
            </w:r>
          </w:p>
        </w:tc>
        <w:tc>
          <w:tcPr>
            <w:tcW w:type="dxa" w:w="4276"/>
            <w:vAlign w:val="top"/>
          </w:tcPr>
          <w:p>
            <w:pPr>
              <w:spacing w:after="60" w:line="259" w:lineRule="auto"/>
            </w:pPr>
            <w:r>
              <w:rPr>
                <w:rFonts w:ascii="Calibri" w:hAnsi="Calibri"/>
                <w:b w:val="0"/>
                <w:i w:val="0"/>
                <w:color w:val="212121"/>
                <w:sz w:val="19"/>
              </w:rPr>
              <w:t>Even small uncorrected hypermetropia, astigmatism or presbyopia forces extra accommodative effort at the screen, precipitating eye strain, headache and blurred vision.</w:t>
            </w:r>
          </w:p>
          <w:p>
            <w:pPr>
              <w:spacing w:after="40" w:before="60" w:line="259" w:lineRule="auto"/>
            </w:pPr>
            <w:r>
              <w:rPr>
                <w:rFonts w:ascii="Calibri" w:hAnsi="Calibri"/>
                <w:b w:val="0"/>
                <w:i w:val="0"/>
                <w:color w:val="212121"/>
                <w:sz w:val="19"/>
              </w:rPr>
              <w:t>The American Optometric Association notes that even minor uncorrected vision problems can cause or worsen digital eye strain.</w:t>
            </w:r>
          </w:p>
          <w:p>
            <w:pPr>
              <w:spacing w:after="40" w:line="252" w:lineRule="auto"/>
            </w:pPr>
            <w:hyperlink r:id="rId14">
              <w:r>
                <w:rPr>
                  <w:rFonts w:ascii="Calibri" w:hAnsi="Calibri" w:cs="Calibri"/>
                  <w:sz w:val="18"/>
                  <w:color w:val="1155CC"/>
                  <w:u w:val="single"/>
                </w:rPr>
                <w:t xml:space="preserve">aoa.org — Computer Vision Syndrome</w:t>
              </w:r>
            </w:hyperlink>
          </w:p>
          <w:p>
            <w:pPr>
              <w:spacing w:before="60" w:after="40"/>
            </w:pPr>
            <w:r>
              <w:rPr>
                <w:rFonts w:ascii="Calibri" w:hAnsi="Calibri"/>
                <w:b w:val="0"/>
                <w:i w:val="0"/>
                <w:color w:val="5A5A5A"/>
                <w:sz w:val="18"/>
              </w:rPr>
              <w:t>#refractiveerror  #presbyopia  #accommodation</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Binocular / accommodative disorder</w:t>
            </w:r>
          </w:p>
        </w:tc>
        <w:tc>
          <w:tcPr>
            <w:tcW w:type="dxa" w:w="2160"/>
            <w:vAlign w:val="top"/>
          </w:tcPr>
          <w:p>
            <w:pPr>
              <w:spacing w:after="40" w:before="0" w:line="259" w:lineRule="auto"/>
            </w:pPr>
            <w:r>
              <w:rPr>
                <w:rFonts w:ascii="Calibri" w:hAnsi="Calibri"/>
                <w:b w:val="0"/>
                <w:i w:val="0"/>
                <w:color w:val="212121"/>
                <w:sz w:val="19"/>
              </w:rPr>
              <w:t>Convergence insufficiency and accommodative dysfunction</w:t>
            </w:r>
          </w:p>
        </w:tc>
        <w:tc>
          <w:tcPr>
            <w:tcW w:type="dxa" w:w="4276"/>
            <w:vAlign w:val="top"/>
          </w:tcPr>
          <w:p>
            <w:pPr>
              <w:spacing w:after="60" w:line="259" w:lineRule="auto"/>
            </w:pPr>
            <w:r>
              <w:rPr>
                <w:rFonts w:ascii="Calibri" w:hAnsi="Calibri"/>
                <w:b w:val="0"/>
                <w:i w:val="0"/>
                <w:color w:val="212121"/>
                <w:sz w:val="19"/>
              </w:rPr>
              <w:t>Convergence insufficiency and accommodative anomalies are common and magnify near-work asthenopia, producing eye strain, headache and intermittent diplopia during screen tasks.</w:t>
            </w:r>
          </w:p>
          <w:p>
            <w:pPr>
              <w:spacing w:after="40" w:before="60" w:line="259" w:lineRule="auto"/>
            </w:pPr>
            <w:r>
              <w:rPr>
                <w:rFonts w:ascii="Calibri" w:hAnsi="Calibri"/>
                <w:b w:val="0"/>
                <w:i w:val="0"/>
                <w:color w:val="212121"/>
                <w:sz w:val="19"/>
              </w:rPr>
              <w:t>CVS reviews identify oculomotor anomalies (accommodation/vergence) and dry eye as the two principal ocular causes of the syndrome.</w:t>
            </w:r>
          </w:p>
          <w:p>
            <w:pPr>
              <w:spacing w:after="40" w:line="252" w:lineRule="auto"/>
            </w:pPr>
            <w:hyperlink r:id="rId15">
              <w:r>
                <w:rPr>
                  <w:rFonts w:ascii="Calibri" w:hAnsi="Calibri" w:cs="Calibri"/>
                  <w:sz w:val="18"/>
                  <w:color w:val="1155CC"/>
                  <w:u w:val="single"/>
                </w:rPr>
                <w:t xml:space="preserve">pubmed.ncbi.nlm.nih.gov/21480937 — CVS review (Rosenfield)</w:t>
              </w:r>
            </w:hyperlink>
          </w:p>
          <w:p>
            <w:pPr>
              <w:spacing w:before="60" w:after="40"/>
            </w:pPr>
            <w:r>
              <w:rPr>
                <w:rFonts w:ascii="Calibri" w:hAnsi="Calibri"/>
                <w:b w:val="0"/>
                <w:i w:val="0"/>
                <w:color w:val="5A5A5A"/>
                <w:sz w:val="18"/>
              </w:rPr>
              <w:t>#convergence  #accommodation  #binocularvision  #diplopia</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Contact lens wear</w:t>
            </w:r>
          </w:p>
        </w:tc>
        <w:tc>
          <w:tcPr>
            <w:tcW w:type="dxa" w:w="2160"/>
            <w:vAlign w:val="top"/>
          </w:tcPr>
          <w:p>
            <w:pPr>
              <w:spacing w:after="40" w:before="0" w:line="259" w:lineRule="auto"/>
            </w:pPr>
            <w:r>
              <w:rPr>
                <w:rFonts w:ascii="Calibri" w:hAnsi="Calibri"/>
                <w:b w:val="0"/>
                <w:i w:val="0"/>
                <w:color w:val="212121"/>
                <w:sz w:val="19"/>
              </w:rPr>
              <w:t>Contact lens wearers</w:t>
            </w:r>
          </w:p>
        </w:tc>
        <w:tc>
          <w:tcPr>
            <w:tcW w:type="dxa" w:w="4276"/>
            <w:vAlign w:val="top"/>
          </w:tcPr>
          <w:p>
            <w:pPr>
              <w:spacing w:after="60" w:line="259" w:lineRule="auto"/>
            </w:pPr>
            <w:r>
              <w:rPr>
                <w:rFonts w:ascii="Calibri" w:hAnsi="Calibri"/>
                <w:b w:val="0"/>
                <w:i w:val="0"/>
                <w:color w:val="212121"/>
                <w:sz w:val="19"/>
              </w:rPr>
              <w:t>Contact lenses reduce tear-film stability and increase evaporation, so wearers experience more pronounced dryness and irritation during prolonged screen use.</w:t>
            </w:r>
          </w:p>
          <w:p>
            <w:pPr>
              <w:spacing w:after="40" w:before="60" w:line="259" w:lineRule="auto"/>
            </w:pPr>
            <w:r>
              <w:rPr>
                <w:rFonts w:ascii="Calibri" w:hAnsi="Calibri"/>
                <w:b w:val="0"/>
                <w:i w:val="0"/>
                <w:color w:val="212121"/>
                <w:sz w:val="19"/>
              </w:rPr>
              <w:t>Contact lens use was associated with increased odds of severe dry eye disease in a North Indian study.</w:t>
            </w:r>
          </w:p>
          <w:p>
            <w:pPr>
              <w:spacing w:after="40" w:line="252" w:lineRule="auto"/>
            </w:pPr>
            <w:hyperlink r:id="rId12">
              <w:r>
                <w:rPr>
                  <w:rFonts w:ascii="Calibri" w:hAnsi="Calibri" w:cs="Calibri"/>
                  <w:sz w:val="18"/>
                  <w:color w:val="1155CC"/>
                  <w:u w:val="single"/>
                </w:rPr>
                <w:t xml:space="preserve">pubmed.ncbi.nlm.nih.gov/29380759 — dry eye disease in North India</w:t>
              </w:r>
            </w:hyperlink>
          </w:p>
          <w:p>
            <w:pPr>
              <w:spacing w:before="60" w:after="40"/>
            </w:pPr>
            <w:r>
              <w:rPr>
                <w:rFonts w:ascii="Calibri" w:hAnsi="Calibri"/>
                <w:b w:val="0"/>
                <w:i w:val="0"/>
                <w:color w:val="5A5A5A"/>
                <w:sz w:val="18"/>
              </w:rPr>
              <w:t>#contactlens  #dryeye  #tearfilm</w:t>
            </w:r>
          </w:p>
        </w:tc>
      </w:tr>
    </w:tbl>
    <w:p>
      <w:pPr>
        <w:spacing w:before="200" w:after="120"/>
      </w:pPr>
      <w:r>
        <w:rPr>
          <w:rFonts w:ascii="Calibri" w:hAnsi="Calibri"/>
          <w:b/>
          <w:i w:val="0"/>
          <w:color w:val="212121"/>
          <w:sz w:val="25"/>
        </w:rPr>
        <w:t>Lifestyle Health Parameters ( LHP )</w:t>
      </w:r>
    </w:p>
    <w:p>
      <w:pPr>
        <w:spacing w:before="160" w:after="120"/>
      </w:pPr>
      <w:r>
        <w:rPr>
          <w:rFonts w:ascii="Calibri" w:hAnsi="Calibri"/>
          <w:b/>
          <w:i w:val="0"/>
          <w:color w:val="212121"/>
          <w:sz w:val="22"/>
        </w:rPr>
        <w:t>Order of Parameter Influence Study</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2304"/>
            <w:shd w:val="clear" w:color="auto" w:fill="F2F2F2"/>
            <w:vAlign w:val="center"/>
          </w:tcPr>
          <w:p>
            <w:pPr>
              <w:spacing w:after="40" w:before="0" w:line="259" w:lineRule="auto"/>
            </w:pPr>
            <w:r>
              <w:rPr>
                <w:rFonts w:ascii="Calibri" w:hAnsi="Calibri"/>
                <w:b/>
                <w:i w:val="0"/>
                <w:color w:val="212121"/>
                <w:sz w:val="19"/>
              </w:rPr>
              <w:t>LHP</w:t>
            </w:r>
          </w:p>
        </w:tc>
        <w:tc>
          <w:tcPr>
            <w:tcW w:type="dxa" w:w="1800"/>
            <w:shd w:val="clear" w:color="auto" w:fill="F2F2F2"/>
            <w:vAlign w:val="center"/>
          </w:tcPr>
          <w:p>
            <w:pPr>
              <w:spacing w:after="40" w:before="0" w:line="259" w:lineRule="auto"/>
            </w:pPr>
            <w:r>
              <w:rPr>
                <w:rFonts w:ascii="Calibri" w:hAnsi="Calibri"/>
                <w:b/>
                <w:i w:val="0"/>
                <w:color w:val="212121"/>
                <w:sz w:val="19"/>
              </w:rPr>
              <w:t>Influence Level</w:t>
            </w:r>
          </w:p>
        </w:tc>
        <w:tc>
          <w:tcPr>
            <w:tcW w:type="dxa" w:w="5500"/>
            <w:shd w:val="clear" w:color="auto" w:fill="F2F2F2"/>
            <w:vAlign w:val="center"/>
          </w:tcPr>
          <w:p>
            <w:pPr>
              <w:spacing w:after="40" w:before="0" w:line="259" w:lineRule="auto"/>
            </w:pPr>
            <w:r>
              <w:rPr>
                <w:rFonts w:ascii="Calibri" w:hAnsi="Calibri"/>
                <w:b/>
                <w:i w:val="0"/>
                <w:color w:val="212121"/>
                <w:sz w:val="19"/>
              </w:rPr>
              <w:t>Influence Study</w:t>
            </w:r>
          </w:p>
        </w:tc>
      </w:tr>
      <w:tr>
        <w:trPr>
          <w:cantSplit/>
        </w:trPr>
        <w:tc>
          <w:tcPr>
            <w:tcW w:type="dxa" w:w="2304"/>
            <w:vAlign w:val="top"/>
          </w:tcPr>
          <w:p>
            <w:pPr>
              <w:spacing w:after="40" w:before="0" w:line="259" w:lineRule="auto"/>
            </w:pPr>
            <w:r>
              <w:rPr>
                <w:rFonts w:ascii="Calibri" w:hAnsi="Calibri"/>
                <w:b/>
                <w:i w:val="0"/>
                <w:color w:val="212121"/>
                <w:sz w:val="19"/>
              </w:rPr>
              <w:t>Physical activity</w:t>
            </w:r>
          </w:p>
        </w:tc>
        <w:tc>
          <w:tcPr>
            <w:tcW w:type="dxa" w:w="1800"/>
            <w:vAlign w:val="top"/>
          </w:tcPr>
          <w:p>
            <w:pPr>
              <w:spacing w:after="40" w:before="0" w:line="259" w:lineRule="auto"/>
            </w:pPr>
            <w:r>
              <w:rPr>
                <w:rFonts w:ascii="Calibri" w:hAnsi="Calibri"/>
                <w:b w:val="0"/>
                <w:i w:val="0"/>
                <w:color w:val="212121"/>
                <w:sz w:val="19"/>
              </w:rPr>
              <w:t>Medium</w:t>
            </w:r>
          </w:p>
        </w:tc>
        <w:tc>
          <w:tcPr>
            <w:tcW w:type="dxa" w:w="5500"/>
            <w:vAlign w:val="top"/>
          </w:tcPr>
          <w:p>
            <w:pPr>
              <w:spacing w:after="40" w:before="0" w:line="259" w:lineRule="auto"/>
            </w:pPr>
            <w:r>
              <w:rPr>
                <w:rFonts w:ascii="Calibri" w:hAnsi="Calibri"/>
                <w:b w:val="0"/>
                <w:i w:val="0"/>
                <w:color w:val="212121"/>
                <w:sz w:val="19"/>
              </w:rPr>
              <w:t>Frequent breaks, distance gazing and outdoor time reduce sustained near effort and, in children, help slow myopia progression; prolonged uninterrupted screen sitting increases symptom load. The direct effect on the ocular surface is modest and mainly behavioural.</w:t>
            </w:r>
          </w:p>
        </w:tc>
      </w:tr>
      <w:tr>
        <w:trPr>
          <w:cantSplit/>
        </w:trPr>
        <w:tc>
          <w:tcPr>
            <w:tcW w:type="dxa" w:w="2304"/>
            <w:vAlign w:val="top"/>
          </w:tcPr>
          <w:p>
            <w:pPr>
              <w:spacing w:after="40" w:before="0" w:line="259" w:lineRule="auto"/>
            </w:pPr>
            <w:r>
              <w:rPr>
                <w:rFonts w:ascii="Calibri" w:hAnsi="Calibri"/>
                <w:b/>
                <w:i w:val="0"/>
                <w:color w:val="212121"/>
                <w:sz w:val="19"/>
              </w:rPr>
              <w:t>Food</w:t>
            </w:r>
          </w:p>
        </w:tc>
        <w:tc>
          <w:tcPr>
            <w:tcW w:type="dxa" w:w="1800"/>
            <w:vAlign w:val="top"/>
          </w:tcPr>
          <w:p>
            <w:pPr>
              <w:spacing w:after="40" w:before="0" w:line="259" w:lineRule="auto"/>
            </w:pPr>
            <w:r>
              <w:rPr>
                <w:rFonts w:ascii="Calibri" w:hAnsi="Calibri"/>
                <w:b w:val="0"/>
                <w:i w:val="0"/>
                <w:color w:val="212121"/>
                <w:sz w:val="19"/>
              </w:rPr>
              <w:t>Medium</w:t>
            </w:r>
          </w:p>
        </w:tc>
        <w:tc>
          <w:tcPr>
            <w:tcW w:type="dxa" w:w="5500"/>
            <w:vAlign w:val="top"/>
          </w:tcPr>
          <w:p>
            <w:pPr>
              <w:spacing w:after="40" w:before="0" w:line="259" w:lineRule="auto"/>
            </w:pPr>
            <w:r>
              <w:rPr>
                <w:rFonts w:ascii="Calibri" w:hAnsi="Calibri"/>
                <w:b w:val="0"/>
                <w:i w:val="0"/>
                <w:color w:val="212121"/>
                <w:sz w:val="19"/>
              </w:rPr>
              <w:t>Diets rich in omega-3 fatty acids and antioxidants (vitamin A, lutein) support tear-film and meibomian-gland function; omega-3 supplementation improved dry-eye/CVS symptoms, with about 70% symptom-free at 3 months in one trial.</w:t>
            </w:r>
          </w:p>
        </w:tc>
      </w:tr>
      <w:tr>
        <w:trPr>
          <w:cantSplit/>
        </w:trPr>
        <w:tc>
          <w:tcPr>
            <w:tcW w:type="dxa" w:w="2304"/>
            <w:vAlign w:val="top"/>
          </w:tcPr>
          <w:p>
            <w:pPr>
              <w:spacing w:after="40" w:before="0" w:line="259" w:lineRule="auto"/>
            </w:pPr>
            <w:r>
              <w:rPr>
                <w:rFonts w:ascii="Calibri" w:hAnsi="Calibri"/>
                <w:b/>
                <w:i w:val="0"/>
                <w:color w:val="212121"/>
                <w:sz w:val="19"/>
              </w:rPr>
              <w:t>Sleep</w:t>
            </w:r>
          </w:p>
        </w:tc>
        <w:tc>
          <w:tcPr>
            <w:tcW w:type="dxa" w:w="1800"/>
            <w:vAlign w:val="top"/>
          </w:tcPr>
          <w:p>
            <w:pPr>
              <w:spacing w:after="40" w:before="0" w:line="259" w:lineRule="auto"/>
            </w:pPr>
            <w:r>
              <w:rPr>
                <w:rFonts w:ascii="Calibri" w:hAnsi="Calibri"/>
                <w:b w:val="0"/>
                <w:i w:val="0"/>
                <w:color w:val="212121"/>
                <w:sz w:val="19"/>
              </w:rPr>
              <w:t>High</w:t>
            </w:r>
          </w:p>
        </w:tc>
        <w:tc>
          <w:tcPr>
            <w:tcW w:type="dxa" w:w="5500"/>
            <w:vAlign w:val="top"/>
          </w:tcPr>
          <w:p>
            <w:pPr>
              <w:spacing w:after="40" w:before="0" w:line="259" w:lineRule="auto"/>
            </w:pPr>
            <w:r>
              <w:rPr>
                <w:rFonts w:ascii="Calibri" w:hAnsi="Calibri"/>
                <w:b w:val="0"/>
                <w:i w:val="0"/>
                <w:color w:val="212121"/>
                <w:sz w:val="19"/>
              </w:rPr>
              <w:t>CVS is strongly associated with poor sleep quality - 75.5% of medical students with CVS had poor sleep versus 51% of those without - and evening blue-light (400-490 nm) screen exposure disrupts circadian rhythm, creating a bidirectional link.</w:t>
            </w:r>
          </w:p>
        </w:tc>
      </w:tr>
      <w:tr>
        <w:trPr>
          <w:cantSplit/>
        </w:trPr>
        <w:tc>
          <w:tcPr>
            <w:tcW w:type="dxa" w:w="2304"/>
            <w:vAlign w:val="top"/>
          </w:tcPr>
          <w:p>
            <w:pPr>
              <w:spacing w:after="40" w:before="0" w:line="259" w:lineRule="auto"/>
            </w:pPr>
            <w:r>
              <w:rPr>
                <w:rFonts w:ascii="Calibri" w:hAnsi="Calibri"/>
                <w:b/>
                <w:i w:val="0"/>
                <w:color w:val="212121"/>
                <w:sz w:val="19"/>
              </w:rPr>
              <w:t>Smoking</w:t>
            </w:r>
          </w:p>
        </w:tc>
        <w:tc>
          <w:tcPr>
            <w:tcW w:type="dxa" w:w="1800"/>
            <w:vAlign w:val="top"/>
          </w:tcPr>
          <w:p>
            <w:pPr>
              <w:spacing w:after="40" w:before="0" w:line="259" w:lineRule="auto"/>
            </w:pPr>
            <w:r>
              <w:rPr>
                <w:rFonts w:ascii="Calibri" w:hAnsi="Calibri"/>
                <w:b w:val="0"/>
                <w:i w:val="0"/>
                <w:color w:val="212121"/>
                <w:sz w:val="19"/>
              </w:rPr>
              <w:t>Medium</w:t>
            </w:r>
          </w:p>
        </w:tc>
        <w:tc>
          <w:tcPr>
            <w:tcW w:type="dxa" w:w="5500"/>
            <w:vAlign w:val="top"/>
          </w:tcPr>
          <w:p>
            <w:pPr>
              <w:spacing w:after="40" w:before="0" w:line="259" w:lineRule="auto"/>
            </w:pPr>
            <w:r>
              <w:rPr>
                <w:rFonts w:ascii="Calibri" w:hAnsi="Calibri"/>
                <w:b w:val="0"/>
                <w:i w:val="0"/>
                <w:color w:val="212121"/>
                <w:sz w:val="19"/>
              </w:rPr>
              <w:t>Cigarette smoke destabilises the tear film and inflames the ocular surface; smoking was associated with higher odds of severe dry eye disease, compounding screen-related dryness.</w:t>
            </w:r>
          </w:p>
        </w:tc>
      </w:tr>
      <w:tr>
        <w:trPr>
          <w:cantSplit/>
        </w:trPr>
        <w:tc>
          <w:tcPr>
            <w:tcW w:type="dxa" w:w="2304"/>
            <w:vAlign w:val="top"/>
          </w:tcPr>
          <w:p>
            <w:pPr>
              <w:spacing w:after="40" w:before="0" w:line="259" w:lineRule="auto"/>
            </w:pPr>
            <w:r>
              <w:rPr>
                <w:rFonts w:ascii="Calibri" w:hAnsi="Calibri"/>
                <w:b/>
                <w:i w:val="0"/>
                <w:color w:val="212121"/>
                <w:sz w:val="19"/>
              </w:rPr>
              <w:t>Alcohol</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Heavy alcohol intake causes dehydration and may reduce tear volume and film stability, but direct evidence linking alcohol to CVS is limited.</w:t>
            </w:r>
          </w:p>
        </w:tc>
      </w:tr>
      <w:tr>
        <w:trPr>
          <w:cantSplit/>
        </w:trPr>
        <w:tc>
          <w:tcPr>
            <w:tcW w:type="dxa" w:w="2304"/>
            <w:vAlign w:val="top"/>
          </w:tcPr>
          <w:p>
            <w:pPr>
              <w:spacing w:after="40" w:before="0" w:line="259" w:lineRule="auto"/>
            </w:pPr>
            <w:r>
              <w:rPr>
                <w:rFonts w:ascii="Calibri" w:hAnsi="Calibri"/>
                <w:b/>
                <w:i w:val="0"/>
                <w:color w:val="212121"/>
                <w:sz w:val="19"/>
              </w:rPr>
              <w:t>Mental health</w:t>
            </w:r>
          </w:p>
        </w:tc>
        <w:tc>
          <w:tcPr>
            <w:tcW w:type="dxa" w:w="1800"/>
            <w:vAlign w:val="top"/>
          </w:tcPr>
          <w:p>
            <w:pPr>
              <w:spacing w:after="40" w:before="0" w:line="259" w:lineRule="auto"/>
            </w:pPr>
            <w:r>
              <w:rPr>
                <w:rFonts w:ascii="Calibri" w:hAnsi="Calibri"/>
                <w:b w:val="0"/>
                <w:i w:val="0"/>
                <w:color w:val="212121"/>
                <w:sz w:val="19"/>
              </w:rPr>
              <w:t>Medium</w:t>
            </w:r>
          </w:p>
        </w:tc>
        <w:tc>
          <w:tcPr>
            <w:tcW w:type="dxa" w:w="5500"/>
            <w:vAlign w:val="top"/>
          </w:tcPr>
          <w:p>
            <w:pPr>
              <w:spacing w:after="40" w:before="0" w:line="259" w:lineRule="auto"/>
            </w:pPr>
            <w:r>
              <w:rPr>
                <w:rFonts w:ascii="Calibri" w:hAnsi="Calibri"/>
                <w:b w:val="0"/>
                <w:i w:val="0"/>
                <w:color w:val="212121"/>
                <w:sz w:val="19"/>
              </w:rPr>
              <w:t>Prolonged screen use, digital fatigue and study/work stress are linked with CVS, headache and poor sleep; psychological stress lowers symptom tolerance and screen overuse relates to anxiety and low mood.</w:t>
            </w:r>
          </w:p>
        </w:tc>
      </w:tr>
      <w:tr>
        <w:trPr>
          <w:cantSplit/>
        </w:trPr>
        <w:tc>
          <w:tcPr>
            <w:tcW w:type="dxa" w:w="2304"/>
            <w:vAlign w:val="top"/>
          </w:tcPr>
          <w:p>
            <w:pPr>
              <w:spacing w:after="40" w:before="0" w:line="259" w:lineRule="auto"/>
            </w:pPr>
            <w:r>
              <w:rPr>
                <w:rFonts w:ascii="Calibri" w:hAnsi="Calibri"/>
                <w:b/>
                <w:i w:val="0"/>
                <w:color w:val="212121"/>
                <w:sz w:val="19"/>
              </w:rPr>
              <w:t>Water</w:t>
            </w:r>
          </w:p>
        </w:tc>
        <w:tc>
          <w:tcPr>
            <w:tcW w:type="dxa" w:w="1800"/>
            <w:vAlign w:val="top"/>
          </w:tcPr>
          <w:p>
            <w:pPr>
              <w:spacing w:after="40" w:before="0" w:line="259" w:lineRule="auto"/>
            </w:pPr>
            <w:r>
              <w:rPr>
                <w:rFonts w:ascii="Calibri" w:hAnsi="Calibri"/>
                <w:b w:val="0"/>
                <w:i w:val="0"/>
                <w:color w:val="212121"/>
                <w:sz w:val="19"/>
              </w:rPr>
              <w:t>Medium</w:t>
            </w:r>
          </w:p>
        </w:tc>
        <w:tc>
          <w:tcPr>
            <w:tcW w:type="dxa" w:w="5500"/>
            <w:vAlign w:val="top"/>
          </w:tcPr>
          <w:p>
            <w:pPr>
              <w:spacing w:after="40" w:before="0" w:line="259" w:lineRule="auto"/>
            </w:pPr>
            <w:r>
              <w:rPr>
                <w:rFonts w:ascii="Calibri" w:hAnsi="Calibri"/>
                <w:b w:val="0"/>
                <w:i w:val="0"/>
                <w:color w:val="212121"/>
                <w:sz w:val="19"/>
              </w:rPr>
              <w:t>Adequate hydration supports tear volume and ocular-surface moisture; dehydration can worsen dryness and burning during screen work, though high-quality trial evidence is limited.</w:t>
            </w:r>
          </w:p>
        </w:tc>
      </w:tr>
      <w:tr>
        <w:trPr>
          <w:cantSplit/>
        </w:trPr>
        <w:tc>
          <w:tcPr>
            <w:tcW w:type="dxa" w:w="2304"/>
            <w:vAlign w:val="top"/>
          </w:tcPr>
          <w:p>
            <w:pPr>
              <w:spacing w:after="40" w:before="0" w:line="259" w:lineRule="auto"/>
            </w:pPr>
            <w:r>
              <w:rPr>
                <w:rFonts w:ascii="Calibri" w:hAnsi="Calibri"/>
                <w:b/>
                <w:i w:val="0"/>
                <w:color w:val="212121"/>
                <w:sz w:val="19"/>
              </w:rPr>
              <w:t>Caffeine</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Evidence is mixed - excess caffeine may promote mild dehydration, while some data suggest caffeine slightly increases tear secretion; the net effect on CVS is small.</w:t>
            </w:r>
          </w:p>
        </w:tc>
      </w:tr>
      <w:tr>
        <w:trPr>
          <w:cantSplit/>
        </w:trPr>
        <w:tc>
          <w:tcPr>
            <w:tcW w:type="dxa" w:w="2304"/>
            <w:vAlign w:val="top"/>
          </w:tcPr>
          <w:p>
            <w:pPr>
              <w:spacing w:after="40" w:before="0" w:line="259" w:lineRule="auto"/>
            </w:pPr>
            <w:r>
              <w:rPr>
                <w:rFonts w:ascii="Calibri" w:hAnsi="Calibri"/>
                <w:b/>
                <w:i w:val="0"/>
                <w:color w:val="212121"/>
                <w:sz w:val="19"/>
              </w:rPr>
              <w:t>Hygiene</w:t>
            </w:r>
          </w:p>
        </w:tc>
        <w:tc>
          <w:tcPr>
            <w:tcW w:type="dxa" w:w="1800"/>
            <w:vAlign w:val="top"/>
          </w:tcPr>
          <w:p>
            <w:pPr>
              <w:spacing w:after="40" w:before="0" w:line="259" w:lineRule="auto"/>
            </w:pPr>
            <w:r>
              <w:rPr>
                <w:rFonts w:ascii="Calibri" w:hAnsi="Calibri"/>
                <w:b w:val="0"/>
                <w:i w:val="0"/>
                <w:color w:val="212121"/>
                <w:sz w:val="19"/>
              </w:rPr>
              <w:t>Medium</w:t>
            </w:r>
          </w:p>
        </w:tc>
        <w:tc>
          <w:tcPr>
            <w:tcW w:type="dxa" w:w="5500"/>
            <w:vAlign w:val="top"/>
          </w:tcPr>
          <w:p>
            <w:pPr>
              <w:spacing w:after="40" w:before="0" w:line="259" w:lineRule="auto"/>
            </w:pPr>
            <w:r>
              <w:rPr>
                <w:rFonts w:ascii="Calibri" w:hAnsi="Calibri"/>
                <w:b w:val="0"/>
                <w:i w:val="0"/>
                <w:color w:val="212121"/>
                <w:sz w:val="19"/>
              </w:rPr>
              <w:t>Eyelid hygiene and treatment of blepharitis/meibomian-gland dysfunction improve tear quality and reduce dryness; keeping screens clean and glare-free also lowers visual strain.</w:t>
            </w:r>
          </w:p>
        </w:tc>
      </w:tr>
      <w:tr>
        <w:trPr>
          <w:cantSplit/>
        </w:trPr>
        <w:tc>
          <w:tcPr>
            <w:tcW w:type="dxa" w:w="2304"/>
            <w:vAlign w:val="top"/>
          </w:tcPr>
          <w:p>
            <w:pPr>
              <w:spacing w:after="40" w:before="0" w:line="259" w:lineRule="auto"/>
            </w:pPr>
            <w:r>
              <w:rPr>
                <w:rFonts w:ascii="Calibri" w:hAnsi="Calibri"/>
                <w:b/>
                <w:i w:val="0"/>
                <w:color w:val="212121"/>
                <w:sz w:val="19"/>
              </w:rPr>
              <w:t>Provoking factors</w:t>
            </w:r>
          </w:p>
        </w:tc>
        <w:tc>
          <w:tcPr>
            <w:tcW w:type="dxa" w:w="1800"/>
            <w:vAlign w:val="top"/>
          </w:tcPr>
          <w:p>
            <w:pPr>
              <w:spacing w:after="40" w:before="0" w:line="259" w:lineRule="auto"/>
            </w:pPr>
            <w:r>
              <w:rPr>
                <w:rFonts w:ascii="Calibri" w:hAnsi="Calibri"/>
                <w:b w:val="0"/>
                <w:i w:val="0"/>
                <w:color w:val="212121"/>
                <w:sz w:val="19"/>
              </w:rPr>
              <w:t>High</w:t>
            </w:r>
          </w:p>
        </w:tc>
        <w:tc>
          <w:tcPr>
            <w:tcW w:type="dxa" w:w="5500"/>
            <w:vAlign w:val="top"/>
          </w:tcPr>
          <w:p>
            <w:pPr>
              <w:spacing w:after="40" w:before="0" w:line="259" w:lineRule="auto"/>
            </w:pPr>
            <w:r>
              <w:rPr>
                <w:rFonts w:ascii="Calibri" w:hAnsi="Calibri"/>
                <w:b w:val="0"/>
                <w:i w:val="0"/>
                <w:color w:val="212121"/>
                <w:sz w:val="19"/>
              </w:rPr>
              <w:t>Prolonged continuous screen time, close viewing distance (&lt; 20 cm), glare and poor lighting, dark-room use, small fonts, low contrast and infrequent breaks are the dominant, directly modifiable drivers of digital eye strain.</w:t>
            </w:r>
          </w:p>
        </w:tc>
      </w:tr>
      <w:tr>
        <w:trPr>
          <w:cantSplit/>
        </w:trPr>
        <w:tc>
          <w:tcPr>
            <w:tcW w:type="dxa" w:w="2304"/>
            <w:vAlign w:val="top"/>
          </w:tcPr>
          <w:p>
            <w:pPr>
              <w:spacing w:after="40" w:before="0" w:line="259" w:lineRule="auto"/>
            </w:pPr>
            <w:r>
              <w:rPr>
                <w:rFonts w:ascii="Calibri" w:hAnsi="Calibri"/>
                <w:b/>
                <w:i w:val="0"/>
                <w:color w:val="212121"/>
                <w:sz w:val="19"/>
              </w:rPr>
              <w:t>Posture</w:t>
            </w:r>
          </w:p>
        </w:tc>
        <w:tc>
          <w:tcPr>
            <w:tcW w:type="dxa" w:w="1800"/>
            <w:vAlign w:val="top"/>
          </w:tcPr>
          <w:p>
            <w:pPr>
              <w:spacing w:after="40" w:before="0" w:line="259" w:lineRule="auto"/>
            </w:pPr>
            <w:r>
              <w:rPr>
                <w:rFonts w:ascii="Calibri" w:hAnsi="Calibri"/>
                <w:b w:val="0"/>
                <w:i w:val="0"/>
                <w:color w:val="212121"/>
                <w:sz w:val="19"/>
              </w:rPr>
              <w:t>High</w:t>
            </w:r>
          </w:p>
        </w:tc>
        <w:tc>
          <w:tcPr>
            <w:tcW w:type="dxa" w:w="5500"/>
            <w:vAlign w:val="top"/>
          </w:tcPr>
          <w:p>
            <w:pPr>
              <w:spacing w:after="40" w:before="0" w:line="259" w:lineRule="auto"/>
            </w:pPr>
            <w:r>
              <w:rPr>
                <w:rFonts w:ascii="Calibri" w:hAnsi="Calibri"/>
                <w:b w:val="0"/>
                <w:i w:val="0"/>
                <w:color w:val="212121"/>
                <w:sz w:val="19"/>
              </w:rPr>
              <w:t>Screen height and gaze angle, viewing distance and neck/back posture strongly influence symptoms; reclined or lying-down device use and screens above eye level worsen eye strain and musculoskeletal pain.</w:t>
            </w:r>
          </w:p>
        </w:tc>
      </w:tr>
    </w:tbl>
    <w:p>
      <w:pPr>
        <w:spacing w:before="160" w:after="120"/>
      </w:pPr>
      <w:r>
        <w:rPr>
          <w:rFonts w:ascii="Calibri" w:hAnsi="Calibri"/>
          <w:b/>
          <w:i w:val="0"/>
          <w:color w:val="212121"/>
          <w:sz w:val="22"/>
        </w:rPr>
        <w:t>LHP Metric Triggers &amp; Specifications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601"/>
        <w:gridCol w:w="1601"/>
        <w:gridCol w:w="1601"/>
        <w:gridCol w:w="1601"/>
        <w:gridCol w:w="1601"/>
        <w:gridCol w:w="1601"/>
      </w:tblGrid>
      <w:tr>
        <w:trPr>
          <w:cantSplit/>
        </w:trPr>
        <w:tc>
          <w:tcPr>
            <w:tcW w:type="dxa" w:w="1512"/>
            <w:shd w:val="clear" w:color="auto" w:fill="F2F2F2"/>
            <w:vAlign w:val="center"/>
          </w:tcPr>
          <w:p>
            <w:pPr>
              <w:spacing w:after="40" w:before="0" w:line="259" w:lineRule="auto"/>
            </w:pPr>
            <w:r>
              <w:rPr>
                <w:rFonts w:ascii="Calibri" w:hAnsi="Calibri"/>
                <w:b/>
                <w:i w:val="0"/>
                <w:color w:val="212121"/>
                <w:sz w:val="19"/>
              </w:rPr>
              <w:t>LHP</w:t>
            </w:r>
          </w:p>
        </w:tc>
        <w:tc>
          <w:tcPr>
            <w:tcW w:type="dxa" w:w="1944"/>
            <w:shd w:val="clear" w:color="auto" w:fill="F2F2F2"/>
            <w:vAlign w:val="center"/>
          </w:tcPr>
          <w:p>
            <w:pPr>
              <w:spacing w:after="40" w:before="0" w:line="259" w:lineRule="auto"/>
            </w:pPr>
            <w:r>
              <w:rPr>
                <w:rFonts w:ascii="Calibri" w:hAnsi="Calibri"/>
                <w:b/>
                <w:i w:val="0"/>
                <w:color w:val="212121"/>
                <w:sz w:val="19"/>
              </w:rPr>
              <w:t>Metric</w:t>
            </w:r>
          </w:p>
        </w:tc>
        <w:tc>
          <w:tcPr>
            <w:tcW w:type="dxa" w:w="1655"/>
            <w:shd w:val="clear" w:color="auto" w:fill="F2F2F2"/>
            <w:vAlign w:val="center"/>
          </w:tcPr>
          <w:p>
            <w:pPr>
              <w:spacing w:after="40" w:before="0" w:line="259" w:lineRule="auto"/>
            </w:pPr>
            <w:r>
              <w:rPr>
                <w:rFonts w:ascii="Calibri" w:hAnsi="Calibri"/>
                <w:b/>
                <w:i w:val="0"/>
                <w:color w:val="212121"/>
                <w:sz w:val="19"/>
              </w:rPr>
              <w:t>Profile</w:t>
            </w:r>
          </w:p>
        </w:tc>
        <w:tc>
          <w:tcPr>
            <w:tcW w:type="dxa" w:w="1512"/>
            <w:shd w:val="clear" w:color="auto" w:fill="F2F2F2"/>
            <w:vAlign w:val="center"/>
          </w:tcPr>
          <w:p>
            <w:pPr>
              <w:spacing w:after="40" w:before="0" w:line="259" w:lineRule="auto"/>
            </w:pPr>
            <w:r>
              <w:rPr>
                <w:rFonts w:ascii="Calibri" w:hAnsi="Calibri"/>
                <w:b/>
                <w:i w:val="0"/>
                <w:color w:val="212121"/>
                <w:sz w:val="19"/>
              </w:rPr>
              <w:t>Ideal Values</w:t>
            </w:r>
          </w:p>
        </w:tc>
        <w:tc>
          <w:tcPr>
            <w:tcW w:type="dxa" w:w="1512"/>
            <w:shd w:val="clear" w:color="auto" w:fill="F2F2F2"/>
            <w:vAlign w:val="center"/>
          </w:tcPr>
          <w:p>
            <w:pPr>
              <w:spacing w:after="40" w:before="0" w:line="259" w:lineRule="auto"/>
            </w:pPr>
            <w:r>
              <w:rPr>
                <w:rFonts w:ascii="Calibri" w:hAnsi="Calibri"/>
                <w:b/>
                <w:i w:val="0"/>
                <w:color w:val="212121"/>
                <w:sz w:val="19"/>
              </w:rPr>
              <w:t>Trigger Values</w:t>
            </w:r>
          </w:p>
        </w:tc>
        <w:tc>
          <w:tcPr>
            <w:tcW w:type="dxa" w:w="1468"/>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1512"/>
            <w:vMerge w:val="restart"/>
            <w:vAlign w:val="center"/>
          </w:tcPr>
          <w:p>
            <w:pPr>
              <w:spacing w:after="40"/>
            </w:pPr>
            <w:r>
              <w:rPr>
                <w:rFonts w:ascii="Calibri" w:hAnsi="Calibri"/>
                <w:b w:val="0"/>
                <w:i w:val="0"/>
                <w:color w:val="212121"/>
                <w:sz w:val="19"/>
              </w:rPr>
              <w:t>Provoking factors</w:t>
            </w:r>
          </w:p>
        </w:tc>
        <w:tc>
          <w:tcPr>
            <w:tcW w:type="dxa" w:w="1944"/>
            <w:vAlign w:val="top"/>
          </w:tcPr>
          <w:p>
            <w:pPr>
              <w:spacing w:after="40" w:before="0" w:line="259" w:lineRule="auto"/>
            </w:pPr>
            <w:r>
              <w:rPr>
                <w:rFonts w:ascii="Calibri" w:hAnsi="Calibri"/>
                <w:b w:val="0"/>
                <w:i w:val="0"/>
                <w:color w:val="212121"/>
                <w:sz w:val="19"/>
              </w:rPr>
              <w:t>Continuous screen time before a break</w:t>
            </w:r>
          </w:p>
        </w:tc>
        <w:tc>
          <w:tcPr>
            <w:tcW w:type="dxa" w:w="1655"/>
            <w:vAlign w:val="top"/>
          </w:tcPr>
          <w:p>
            <w:pPr>
              <w:spacing w:after="40" w:before="0" w:line="259" w:lineRule="auto"/>
            </w:pPr>
            <w:r>
              <w:rPr>
                <w:rFonts w:ascii="Calibri" w:hAnsi="Calibri"/>
                <w:b w:val="0"/>
                <w:i w:val="0"/>
                <w:color w:val="212121"/>
                <w:sz w:val="19"/>
              </w:rPr>
              <w:t>All screen users</w:t>
            </w:r>
          </w:p>
        </w:tc>
        <w:tc>
          <w:tcPr>
            <w:tcW w:type="dxa" w:w="1512"/>
            <w:vAlign w:val="top"/>
          </w:tcPr>
          <w:p>
            <w:pPr>
              <w:spacing w:after="40" w:before="0" w:line="259" w:lineRule="auto"/>
            </w:pPr>
            <w:r>
              <w:rPr>
                <w:rFonts w:ascii="Calibri" w:hAnsi="Calibri"/>
                <w:b w:val="0"/>
                <w:i w:val="0"/>
                <w:color w:val="212121"/>
                <w:sz w:val="19"/>
              </w:rPr>
              <w:t>&lt;= 20 min then a ~20-second distance break; a longer break every 30-60 min</w:t>
            </w:r>
          </w:p>
        </w:tc>
        <w:tc>
          <w:tcPr>
            <w:tcW w:type="dxa" w:w="1512"/>
            <w:vAlign w:val="top"/>
          </w:tcPr>
          <w:p>
            <w:pPr>
              <w:spacing w:after="40" w:before="0" w:line="259" w:lineRule="auto"/>
            </w:pPr>
            <w:r>
              <w:rPr>
                <w:rFonts w:ascii="Calibri" w:hAnsi="Calibri"/>
                <w:b w:val="0"/>
                <w:i w:val="0"/>
                <w:color w:val="212121"/>
                <w:sz w:val="19"/>
              </w:rPr>
              <w:t>&gt; 2 continuous hours without a break</w:t>
            </w:r>
          </w:p>
        </w:tc>
        <w:tc>
          <w:tcPr>
            <w:tcW w:type="dxa" w:w="1468"/>
            <w:vAlign w:val="top"/>
          </w:tcPr>
          <w:p>
            <w:pPr>
              <w:spacing w:after="60" w:line="259" w:lineRule="auto"/>
            </w:pPr>
            <w:r>
              <w:rPr>
                <w:rFonts w:ascii="Calibri" w:hAnsi="Calibri"/>
                <w:b w:val="0"/>
                <w:i w:val="0"/>
                <w:color w:val="212121"/>
                <w:sz w:val="19"/>
              </w:rPr>
              <w:t>Symptom risk rises sharply beyond ~2 h continuous use; scheduled breaks are advised, though trial evidence for the exact 20-20-20 numbers is limited</w:t>
            </w:r>
          </w:p>
          <w:p>
            <w:pPr>
              <w:spacing w:after="40" w:line="252" w:lineRule="auto"/>
            </w:pPr>
            <w:hyperlink r:id="rId14">
              <w:r>
                <w:rPr>
                  <w:rFonts w:ascii="Calibri" w:hAnsi="Calibri" w:cs="Calibri"/>
                  <w:sz w:val="18"/>
                  <w:color w:val="1155CC"/>
                  <w:u w:val="single"/>
                </w:rPr>
                <w:t xml:space="preserve">https://www.aoa.org/healthy-eyes/eye-and-vision-conditions/computer-vision-syndrome</w:t>
              </w:r>
            </w:hyperlink>
          </w:p>
        </w:tc>
      </w:tr>
      <w:tr>
        <w:trPr>
          <w:cantSplit/>
        </w:trPr>
        <w:tc>
          <w:tcPr>
            <w:tcW w:type="dxa" w:w="1512"/>
            <w:vMerge/>
            <w:vAlign w:val="top"/>
          </w:tcPr>
          <w:p>
            <w:pPr>
              <w:spacing w:after="40" w:before="0" w:line="259" w:lineRule="auto"/>
            </w:pPr>
          </w:p>
        </w:tc>
        <w:tc>
          <w:tcPr>
            <w:tcW w:type="dxa" w:w="1944"/>
            <w:vAlign w:val="top"/>
          </w:tcPr>
          <w:p>
            <w:pPr>
              <w:spacing w:after="40" w:before="0" w:line="259" w:lineRule="auto"/>
            </w:pPr>
            <w:r>
              <w:rPr>
                <w:rFonts w:ascii="Calibri" w:hAnsi="Calibri"/>
                <w:b w:val="0"/>
                <w:i w:val="0"/>
                <w:color w:val="212121"/>
                <w:sz w:val="19"/>
              </w:rPr>
              <w:t>Total daily screen exposure</w:t>
            </w:r>
          </w:p>
        </w:tc>
        <w:tc>
          <w:tcPr>
            <w:tcW w:type="dxa" w:w="1655"/>
            <w:vAlign w:val="top"/>
          </w:tcPr>
          <w:p>
            <w:pPr>
              <w:spacing w:after="40" w:before="0" w:line="259" w:lineRule="auto"/>
            </w:pPr>
            <w:r>
              <w:rPr>
                <w:rFonts w:ascii="Calibri" w:hAnsi="Calibri"/>
                <w:b w:val="0"/>
                <w:i w:val="0"/>
                <w:color w:val="212121"/>
                <w:sz w:val="19"/>
              </w:rPr>
              <w:t>Students, IT/desk workers</w:t>
            </w:r>
          </w:p>
        </w:tc>
        <w:tc>
          <w:tcPr>
            <w:tcW w:type="dxa" w:w="1512"/>
            <w:vAlign w:val="top"/>
          </w:tcPr>
          <w:p>
            <w:pPr>
              <w:spacing w:after="40" w:before="0" w:line="259" w:lineRule="auto"/>
            </w:pPr>
            <w:r>
              <w:rPr>
                <w:rFonts w:ascii="Calibri" w:hAnsi="Calibri"/>
                <w:b w:val="0"/>
                <w:i w:val="0"/>
                <w:color w:val="212121"/>
                <w:sz w:val="19"/>
              </w:rPr>
              <w:t>Minimise; recreational screen time ideally &lt;= 2 h/day</w:t>
            </w:r>
          </w:p>
        </w:tc>
        <w:tc>
          <w:tcPr>
            <w:tcW w:type="dxa" w:w="1512"/>
            <w:vAlign w:val="top"/>
          </w:tcPr>
          <w:p>
            <w:pPr>
              <w:spacing w:after="40" w:before="0" w:line="259" w:lineRule="auto"/>
            </w:pPr>
            <w:r>
              <w:rPr>
                <w:rFonts w:ascii="Calibri" w:hAnsi="Calibri"/>
                <w:b w:val="0"/>
                <w:i w:val="0"/>
                <w:color w:val="212121"/>
                <w:sz w:val="19"/>
              </w:rPr>
              <w:t>&gt; 4 h/day (heavy exposure)</w:t>
            </w:r>
          </w:p>
        </w:tc>
        <w:tc>
          <w:tcPr>
            <w:tcW w:type="dxa" w:w="1468"/>
            <w:vAlign w:val="top"/>
          </w:tcPr>
          <w:p>
            <w:pPr>
              <w:spacing w:after="60" w:line="259" w:lineRule="auto"/>
            </w:pPr>
            <w:r>
              <w:rPr>
                <w:rFonts w:ascii="Calibri" w:hAnsi="Calibri"/>
                <w:b w:val="0"/>
                <w:i w:val="0"/>
                <w:color w:val="212121"/>
                <w:sz w:val="19"/>
              </w:rPr>
              <w:t>&gt;= 4 h/day of VDT use was linked to severe dry eye disease in North India</w:t>
            </w:r>
          </w:p>
          <w:p>
            <w:pPr>
              <w:spacing w:after="40" w:line="252" w:lineRule="auto"/>
            </w:pPr>
            <w:hyperlink r:id="rId12">
              <w:r>
                <w:rPr>
                  <w:rFonts w:ascii="Calibri" w:hAnsi="Calibri" w:cs="Calibri"/>
                  <w:sz w:val="18"/>
                  <w:color w:val="1155CC"/>
                  <w:u w:val="single"/>
                </w:rPr>
                <w:t xml:space="preserve">https://pubmed.ncbi.nlm.nih.gov/29380759/</w:t>
              </w:r>
            </w:hyperlink>
          </w:p>
        </w:tc>
      </w:tr>
      <w:tr>
        <w:trPr>
          <w:cantSplit/>
        </w:trPr>
        <w:tc>
          <w:tcPr>
            <w:tcW w:type="dxa" w:w="1512"/>
            <w:vMerge w:val="restart"/>
            <w:vAlign w:val="center"/>
          </w:tcPr>
          <w:p>
            <w:pPr>
              <w:spacing w:after="40"/>
            </w:pPr>
            <w:r>
              <w:rPr>
                <w:rFonts w:ascii="Calibri" w:hAnsi="Calibri"/>
                <w:b w:val="0"/>
                <w:i w:val="0"/>
                <w:color w:val="212121"/>
                <w:sz w:val="19"/>
              </w:rPr>
              <w:t>Posture</w:t>
            </w:r>
          </w:p>
        </w:tc>
        <w:tc>
          <w:tcPr>
            <w:tcW w:type="dxa" w:w="1944"/>
            <w:vAlign w:val="top"/>
          </w:tcPr>
          <w:p>
            <w:pPr>
              <w:spacing w:after="40" w:before="0" w:line="259" w:lineRule="auto"/>
            </w:pPr>
            <w:r>
              <w:rPr>
                <w:rFonts w:ascii="Calibri" w:hAnsi="Calibri"/>
                <w:b w:val="0"/>
                <w:i w:val="0"/>
                <w:color w:val="212121"/>
                <w:sz w:val="19"/>
              </w:rPr>
              <w:t>Screen viewing distance</w:t>
            </w:r>
          </w:p>
        </w:tc>
        <w:tc>
          <w:tcPr>
            <w:tcW w:type="dxa" w:w="1655"/>
            <w:vAlign w:val="top"/>
          </w:tcPr>
          <w:p>
            <w:pPr>
              <w:spacing w:after="40" w:before="0" w:line="259" w:lineRule="auto"/>
            </w:pPr>
            <w:r>
              <w:rPr>
                <w:rFonts w:ascii="Calibri" w:hAnsi="Calibri"/>
                <w:b w:val="0"/>
                <w:i w:val="0"/>
                <w:color w:val="212121"/>
                <w:sz w:val="19"/>
              </w:rPr>
              <w:t>All screen users</w:t>
            </w:r>
          </w:p>
        </w:tc>
        <w:tc>
          <w:tcPr>
            <w:tcW w:type="dxa" w:w="1512"/>
            <w:vAlign w:val="top"/>
          </w:tcPr>
          <w:p>
            <w:pPr>
              <w:spacing w:after="40" w:before="0" w:line="259" w:lineRule="auto"/>
            </w:pPr>
            <w:r>
              <w:rPr>
                <w:rFonts w:ascii="Calibri" w:hAnsi="Calibri"/>
                <w:b w:val="0"/>
                <w:i w:val="0"/>
                <w:color w:val="212121"/>
                <w:sz w:val="19"/>
              </w:rPr>
              <w:t>50-70 cm (about 20-28 inches) from the eyes</w:t>
            </w:r>
          </w:p>
        </w:tc>
        <w:tc>
          <w:tcPr>
            <w:tcW w:type="dxa" w:w="1512"/>
            <w:vAlign w:val="top"/>
          </w:tcPr>
          <w:p>
            <w:pPr>
              <w:spacing w:after="40" w:before="0" w:line="259" w:lineRule="auto"/>
            </w:pPr>
            <w:r>
              <w:rPr>
                <w:rFonts w:ascii="Calibri" w:hAnsi="Calibri"/>
                <w:b w:val="0"/>
                <w:i w:val="0"/>
                <w:color w:val="212121"/>
                <w:sz w:val="19"/>
              </w:rPr>
              <w:t>&lt; 40 cm; distances &lt; 20 cm markedly raise risk</w:t>
            </w:r>
          </w:p>
        </w:tc>
        <w:tc>
          <w:tcPr>
            <w:tcW w:type="dxa" w:w="1468"/>
            <w:vAlign w:val="top"/>
          </w:tcPr>
          <w:p>
            <w:pPr>
              <w:spacing w:after="60" w:line="259" w:lineRule="auto"/>
            </w:pPr>
            <w:r>
              <w:rPr>
                <w:rFonts w:ascii="Calibri" w:hAnsi="Calibri"/>
                <w:b w:val="0"/>
                <w:i w:val="0"/>
                <w:color w:val="212121"/>
                <w:sz w:val="19"/>
              </w:rPr>
              <w:t>AOA recommends a 20-28 inch working distance; very close viewing predicts higher digital eye strain</w:t>
            </w:r>
          </w:p>
          <w:p>
            <w:pPr>
              <w:spacing w:after="40" w:line="252" w:lineRule="auto"/>
            </w:pPr>
            <w:hyperlink r:id="rId14">
              <w:r>
                <w:rPr>
                  <w:rFonts w:ascii="Calibri" w:hAnsi="Calibri" w:cs="Calibri"/>
                  <w:sz w:val="18"/>
                  <w:color w:val="1155CC"/>
                  <w:u w:val="single"/>
                </w:rPr>
                <w:t xml:space="preserve">https://www.aoa.org/healthy-eyes/eye-and-vision-conditions/computer-vision-syndrome</w:t>
              </w:r>
            </w:hyperlink>
          </w:p>
        </w:tc>
      </w:tr>
      <w:tr>
        <w:trPr>
          <w:cantSplit/>
        </w:trPr>
        <w:tc>
          <w:tcPr>
            <w:tcW w:type="dxa" w:w="1512"/>
            <w:vMerge/>
            <w:vAlign w:val="top"/>
          </w:tcPr>
          <w:p>
            <w:pPr>
              <w:spacing w:after="40" w:before="0" w:line="259" w:lineRule="auto"/>
            </w:pPr>
          </w:p>
        </w:tc>
        <w:tc>
          <w:tcPr>
            <w:tcW w:type="dxa" w:w="1944"/>
            <w:vAlign w:val="top"/>
          </w:tcPr>
          <w:p>
            <w:pPr>
              <w:spacing w:after="40" w:before="0" w:line="259" w:lineRule="auto"/>
            </w:pPr>
            <w:r>
              <w:rPr>
                <w:rFonts w:ascii="Calibri" w:hAnsi="Calibri"/>
                <w:b w:val="0"/>
                <w:i w:val="0"/>
                <w:color w:val="212121"/>
                <w:sz w:val="19"/>
              </w:rPr>
              <w:t>Screen height / gaze angle</w:t>
            </w:r>
          </w:p>
        </w:tc>
        <w:tc>
          <w:tcPr>
            <w:tcW w:type="dxa" w:w="1655"/>
            <w:vAlign w:val="top"/>
          </w:tcPr>
          <w:p>
            <w:pPr>
              <w:spacing w:after="40" w:before="0" w:line="259" w:lineRule="auto"/>
            </w:pPr>
            <w:r>
              <w:rPr>
                <w:rFonts w:ascii="Calibri" w:hAnsi="Calibri"/>
                <w:b w:val="0"/>
                <w:i w:val="0"/>
                <w:color w:val="212121"/>
                <w:sz w:val="19"/>
              </w:rPr>
              <w:t>All screen users</w:t>
            </w:r>
          </w:p>
        </w:tc>
        <w:tc>
          <w:tcPr>
            <w:tcW w:type="dxa" w:w="1512"/>
            <w:vAlign w:val="top"/>
          </w:tcPr>
          <w:p>
            <w:pPr>
              <w:spacing w:after="40" w:before="0" w:line="259" w:lineRule="auto"/>
            </w:pPr>
            <w:r>
              <w:rPr>
                <w:rFonts w:ascii="Calibri" w:hAnsi="Calibri"/>
                <w:b w:val="0"/>
                <w:i w:val="0"/>
                <w:color w:val="212121"/>
                <w:sz w:val="19"/>
              </w:rPr>
              <w:t>Top of screen at or just below eye level; screen centre ~15-20 deg below horizontal gaze</w:t>
            </w:r>
          </w:p>
        </w:tc>
        <w:tc>
          <w:tcPr>
            <w:tcW w:type="dxa" w:w="1512"/>
            <w:vAlign w:val="top"/>
          </w:tcPr>
          <w:p>
            <w:pPr>
              <w:spacing w:after="40" w:before="0" w:line="259" w:lineRule="auto"/>
            </w:pPr>
            <w:r>
              <w:rPr>
                <w:rFonts w:ascii="Calibri" w:hAnsi="Calibri"/>
                <w:b w:val="0"/>
                <w:i w:val="0"/>
                <w:color w:val="212121"/>
                <w:sz w:val="19"/>
              </w:rPr>
              <w:t>Screen above eye level, or reclined/lying-down use</w:t>
            </w:r>
          </w:p>
        </w:tc>
        <w:tc>
          <w:tcPr>
            <w:tcW w:type="dxa" w:w="1468"/>
            <w:vAlign w:val="top"/>
          </w:tcPr>
          <w:p>
            <w:pPr>
              <w:spacing w:after="60" w:line="259" w:lineRule="auto"/>
            </w:pPr>
            <w:r>
              <w:rPr>
                <w:rFonts w:ascii="Calibri" w:hAnsi="Calibri"/>
                <w:b w:val="0"/>
                <w:i w:val="0"/>
                <w:color w:val="212121"/>
                <w:sz w:val="19"/>
              </w:rPr>
              <w:t>Downgaze reduces corneal exposure and dryness; lying-down device use is associated with more eye strain</w:t>
            </w:r>
          </w:p>
          <w:p>
            <w:pPr>
              <w:spacing w:after="40" w:line="252" w:lineRule="auto"/>
            </w:pPr>
            <w:hyperlink r:id="rId14">
              <w:r>
                <w:rPr>
                  <w:rFonts w:ascii="Calibri" w:hAnsi="Calibri" w:cs="Calibri"/>
                  <w:sz w:val="18"/>
                  <w:color w:val="1155CC"/>
                  <w:u w:val="single"/>
                </w:rPr>
                <w:t xml:space="preserve">https://www.aoa.org/healthy-eyes/eye-and-vision-conditions/computer-vision-syndrome</w:t>
              </w:r>
            </w:hyperlink>
          </w:p>
        </w:tc>
      </w:tr>
      <w:tr>
        <w:trPr>
          <w:cantSplit/>
        </w:trPr>
        <w:tc>
          <w:tcPr>
            <w:tcW w:type="dxa" w:w="1512"/>
            <w:vMerge w:val="restart"/>
            <w:vAlign w:val="center"/>
          </w:tcPr>
          <w:p>
            <w:pPr>
              <w:spacing w:after="40"/>
            </w:pPr>
            <w:r>
              <w:rPr>
                <w:rFonts w:ascii="Calibri" w:hAnsi="Calibri"/>
                <w:b w:val="0"/>
                <w:i w:val="0"/>
                <w:color w:val="212121"/>
                <w:sz w:val="19"/>
              </w:rPr>
              <w:t>Provoking factors</w:t>
            </w:r>
          </w:p>
        </w:tc>
        <w:tc>
          <w:tcPr>
            <w:tcW w:type="dxa" w:w="1944"/>
            <w:vAlign w:val="top"/>
          </w:tcPr>
          <w:p>
            <w:pPr>
              <w:spacing w:after="40" w:before="0" w:line="259" w:lineRule="auto"/>
            </w:pPr>
            <w:r>
              <w:rPr>
                <w:rFonts w:ascii="Calibri" w:hAnsi="Calibri"/>
                <w:b w:val="0"/>
                <w:i w:val="0"/>
                <w:color w:val="212121"/>
                <w:sz w:val="19"/>
              </w:rPr>
              <w:t>Blink rate during screen use</w:t>
            </w:r>
          </w:p>
        </w:tc>
        <w:tc>
          <w:tcPr>
            <w:tcW w:type="dxa" w:w="1655"/>
            <w:vAlign w:val="top"/>
          </w:tcPr>
          <w:p>
            <w:pPr>
              <w:spacing w:after="40" w:before="0" w:line="259" w:lineRule="auto"/>
            </w:pPr>
            <w:r>
              <w:rPr>
                <w:rFonts w:ascii="Calibri" w:hAnsi="Calibri"/>
                <w:b w:val="0"/>
                <w:i w:val="0"/>
                <w:color w:val="212121"/>
                <w:sz w:val="19"/>
              </w:rPr>
              <w:t>All screen users</w:t>
            </w:r>
          </w:p>
        </w:tc>
        <w:tc>
          <w:tcPr>
            <w:tcW w:type="dxa" w:w="1512"/>
            <w:vAlign w:val="top"/>
          </w:tcPr>
          <w:p>
            <w:pPr>
              <w:spacing w:after="40" w:before="0" w:line="259" w:lineRule="auto"/>
            </w:pPr>
            <w:r>
              <w:rPr>
                <w:rFonts w:ascii="Calibri" w:hAnsi="Calibri"/>
                <w:b w:val="0"/>
                <w:i w:val="0"/>
                <w:color w:val="212121"/>
                <w:sz w:val="19"/>
              </w:rPr>
              <w:t>~15-22 complete blinks/min</w:t>
            </w:r>
          </w:p>
        </w:tc>
        <w:tc>
          <w:tcPr>
            <w:tcW w:type="dxa" w:w="1512"/>
            <w:vAlign w:val="top"/>
          </w:tcPr>
          <w:p>
            <w:pPr>
              <w:spacing w:after="40" w:before="0" w:line="259" w:lineRule="auto"/>
            </w:pPr>
            <w:r>
              <w:rPr>
                <w:rFonts w:ascii="Calibri" w:hAnsi="Calibri"/>
                <w:b w:val="0"/>
                <w:i w:val="0"/>
                <w:color w:val="212121"/>
                <w:sz w:val="19"/>
              </w:rPr>
              <w:t>&lt;= 7-10/min or frequent incomplete blinks</w:t>
            </w:r>
          </w:p>
        </w:tc>
        <w:tc>
          <w:tcPr>
            <w:tcW w:type="dxa" w:w="1468"/>
            <w:vAlign w:val="top"/>
          </w:tcPr>
          <w:p>
            <w:pPr>
              <w:spacing w:after="60" w:line="259" w:lineRule="auto"/>
            </w:pPr>
            <w:r>
              <w:rPr>
                <w:rFonts w:ascii="Calibri" w:hAnsi="Calibri"/>
                <w:b w:val="0"/>
                <w:i w:val="0"/>
                <w:color w:val="212121"/>
                <w:sz w:val="19"/>
              </w:rPr>
              <w:t>Screen concentration cuts the blink rate from ~22 to as low as 7/min, destabilising the tear film</w:t>
            </w:r>
          </w:p>
          <w:p>
            <w:pPr>
              <w:spacing w:after="40" w:line="252" w:lineRule="auto"/>
            </w:pPr>
            <w:hyperlink r:id="rId10">
              <w:r>
                <w:rPr>
                  <w:rFonts w:ascii="Calibri" w:hAnsi="Calibri" w:cs="Calibri"/>
                  <w:sz w:val="18"/>
                  <w:color w:val="1155CC"/>
                  <w:u w:val="single"/>
                </w:rPr>
                <w:t xml:space="preserve">https://bmjophth.bmj.com/content/3/1/e000146</w:t>
              </w:r>
            </w:hyperlink>
          </w:p>
        </w:tc>
      </w:tr>
      <w:tr>
        <w:trPr>
          <w:cantSplit/>
        </w:trPr>
        <w:tc>
          <w:tcPr>
            <w:tcW w:type="dxa" w:w="1512"/>
            <w:vMerge/>
            <w:vAlign w:val="top"/>
          </w:tcPr>
          <w:p>
            <w:pPr>
              <w:spacing w:after="40" w:before="0" w:line="259" w:lineRule="auto"/>
            </w:pPr>
          </w:p>
        </w:tc>
        <w:tc>
          <w:tcPr>
            <w:tcW w:type="dxa" w:w="1944"/>
            <w:vAlign w:val="top"/>
          </w:tcPr>
          <w:p>
            <w:pPr>
              <w:spacing w:after="40" w:before="0" w:line="259" w:lineRule="auto"/>
            </w:pPr>
            <w:r>
              <w:rPr>
                <w:rFonts w:ascii="Calibri" w:hAnsi="Calibri"/>
                <w:b w:val="0"/>
                <w:i w:val="0"/>
                <w:color w:val="212121"/>
                <w:sz w:val="19"/>
              </w:rPr>
              <w:t>Ambient lighting and glare</w:t>
            </w:r>
          </w:p>
        </w:tc>
        <w:tc>
          <w:tcPr>
            <w:tcW w:type="dxa" w:w="1655"/>
            <w:vAlign w:val="top"/>
          </w:tcPr>
          <w:p>
            <w:pPr>
              <w:spacing w:after="40" w:before="0" w:line="259" w:lineRule="auto"/>
            </w:pPr>
            <w:r>
              <w:rPr>
                <w:rFonts w:ascii="Calibri" w:hAnsi="Calibri"/>
                <w:b w:val="0"/>
                <w:i w:val="0"/>
                <w:color w:val="212121"/>
                <w:sz w:val="19"/>
              </w:rPr>
              <w:t>All screen users</w:t>
            </w:r>
          </w:p>
        </w:tc>
        <w:tc>
          <w:tcPr>
            <w:tcW w:type="dxa" w:w="1512"/>
            <w:vAlign w:val="top"/>
          </w:tcPr>
          <w:p>
            <w:pPr>
              <w:spacing w:after="40" w:before="0" w:line="259" w:lineRule="auto"/>
            </w:pPr>
            <w:r>
              <w:rPr>
                <w:rFonts w:ascii="Calibri" w:hAnsi="Calibri"/>
                <w:b w:val="0"/>
                <w:i w:val="0"/>
                <w:color w:val="212121"/>
                <w:sz w:val="19"/>
              </w:rPr>
              <w:t>Moderate ambient light; screen brightness matched to surroundings; no glare/reflections</w:t>
            </w:r>
          </w:p>
        </w:tc>
        <w:tc>
          <w:tcPr>
            <w:tcW w:type="dxa" w:w="1512"/>
            <w:vAlign w:val="top"/>
          </w:tcPr>
          <w:p>
            <w:pPr>
              <w:spacing w:after="40" w:before="0" w:line="259" w:lineRule="auto"/>
            </w:pPr>
            <w:r>
              <w:rPr>
                <w:rFonts w:ascii="Calibri" w:hAnsi="Calibri"/>
                <w:b w:val="0"/>
                <w:i w:val="0"/>
                <w:color w:val="212121"/>
                <w:sz w:val="19"/>
              </w:rPr>
              <w:t>Using screens in the dark; glare or reflections on the screen</w:t>
            </w:r>
          </w:p>
        </w:tc>
        <w:tc>
          <w:tcPr>
            <w:tcW w:type="dxa" w:w="1468"/>
            <w:vAlign w:val="top"/>
          </w:tcPr>
          <w:p>
            <w:pPr>
              <w:spacing w:after="60" w:line="259" w:lineRule="auto"/>
            </w:pPr>
            <w:r>
              <w:rPr>
                <w:rFonts w:ascii="Calibri" w:hAnsi="Calibri"/>
                <w:b w:val="0"/>
                <w:i w:val="0"/>
                <w:color w:val="212121"/>
                <w:sz w:val="19"/>
              </w:rPr>
              <w:t>Dark-room gadget use independently predicted higher digital eye strain scores</w:t>
            </w:r>
          </w:p>
          <w:p>
            <w:pPr>
              <w:spacing w:after="40" w:line="252" w:lineRule="auto"/>
            </w:pPr>
            <w:hyperlink r:id="rId13">
              <w:r>
                <w:rPr>
                  <w:rFonts w:ascii="Calibri" w:hAnsi="Calibri" w:cs="Calibri"/>
                  <w:sz w:val="18"/>
                  <w:color w:val="1155CC"/>
                  <w:u w:val="single"/>
                </w:rPr>
                <w:t xml:space="preserve">https://pubmed.ncbi.nlm.nih.gov/33369521/</w:t>
              </w:r>
            </w:hyperlink>
          </w:p>
        </w:tc>
      </w:tr>
      <w:tr>
        <w:trPr>
          <w:cantSplit/>
        </w:trPr>
        <w:tc>
          <w:tcPr>
            <w:tcW w:type="dxa" w:w="1512"/>
            <w:vAlign w:val="center"/>
          </w:tcPr>
          <w:p>
            <w:pPr>
              <w:spacing w:after="40"/>
            </w:pPr>
            <w:r>
              <w:rPr>
                <w:rFonts w:ascii="Calibri" w:hAnsi="Calibri"/>
                <w:b w:val="0"/>
                <w:i w:val="0"/>
                <w:color w:val="212121"/>
                <w:sz w:val="19"/>
              </w:rPr>
              <w:t>Sleep</w:t>
            </w:r>
          </w:p>
        </w:tc>
        <w:tc>
          <w:tcPr>
            <w:tcW w:type="dxa" w:w="1944"/>
            <w:vAlign w:val="top"/>
          </w:tcPr>
          <w:p>
            <w:pPr>
              <w:spacing w:after="40" w:before="0" w:line="259" w:lineRule="auto"/>
            </w:pPr>
            <w:r>
              <w:rPr>
                <w:rFonts w:ascii="Calibri" w:hAnsi="Calibri"/>
                <w:b w:val="0"/>
                <w:i w:val="0"/>
                <w:color w:val="212121"/>
                <w:sz w:val="19"/>
              </w:rPr>
              <w:t>Sleep duration &amp; pre-sleep screen use</w:t>
            </w:r>
          </w:p>
        </w:tc>
        <w:tc>
          <w:tcPr>
            <w:tcW w:type="dxa" w:w="1655"/>
            <w:vAlign w:val="top"/>
          </w:tcPr>
          <w:p>
            <w:pPr>
              <w:spacing w:after="40" w:before="0" w:line="259" w:lineRule="auto"/>
            </w:pPr>
            <w:r>
              <w:rPr>
                <w:rFonts w:ascii="Calibri" w:hAnsi="Calibri"/>
                <w:b w:val="0"/>
                <w:i w:val="0"/>
                <w:color w:val="212121"/>
                <w:sz w:val="19"/>
              </w:rPr>
              <w:t>Adults, students</w:t>
            </w:r>
          </w:p>
        </w:tc>
        <w:tc>
          <w:tcPr>
            <w:tcW w:type="dxa" w:w="1512"/>
            <w:vAlign w:val="top"/>
          </w:tcPr>
          <w:p>
            <w:pPr>
              <w:spacing w:after="40" w:before="0" w:line="259" w:lineRule="auto"/>
            </w:pPr>
            <w:r>
              <w:rPr>
                <w:rFonts w:ascii="Calibri" w:hAnsi="Calibri"/>
                <w:b w:val="0"/>
                <w:i w:val="0"/>
                <w:color w:val="212121"/>
                <w:sz w:val="19"/>
              </w:rPr>
              <w:t>7-9 h/night; no screens ~1 h before bed / use night mode</w:t>
            </w:r>
          </w:p>
        </w:tc>
        <w:tc>
          <w:tcPr>
            <w:tcW w:type="dxa" w:w="1512"/>
            <w:vAlign w:val="top"/>
          </w:tcPr>
          <w:p>
            <w:pPr>
              <w:spacing w:after="40" w:before="0" w:line="259" w:lineRule="auto"/>
            </w:pPr>
            <w:r>
              <w:rPr>
                <w:rFonts w:ascii="Calibri" w:hAnsi="Calibri"/>
                <w:b w:val="0"/>
                <w:i w:val="0"/>
                <w:color w:val="212121"/>
                <w:sz w:val="19"/>
              </w:rPr>
              <w:t>&lt; 6 h, or bright screens late at night</w:t>
            </w:r>
          </w:p>
        </w:tc>
        <w:tc>
          <w:tcPr>
            <w:tcW w:type="dxa" w:w="1468"/>
            <w:vAlign w:val="top"/>
          </w:tcPr>
          <w:p>
            <w:pPr>
              <w:spacing w:after="60" w:line="259" w:lineRule="auto"/>
            </w:pPr>
            <w:r>
              <w:rPr>
                <w:rFonts w:ascii="Calibri" w:hAnsi="Calibri"/>
                <w:b w:val="0"/>
                <w:i w:val="0"/>
                <w:color w:val="212121"/>
                <w:sz w:val="19"/>
              </w:rPr>
              <w:t>Poor sleep quality was far more common in CVS sufferers (75.5% vs 51%)</w:t>
            </w:r>
          </w:p>
          <w:p>
            <w:pPr>
              <w:spacing w:after="40" w:line="252" w:lineRule="auto"/>
            </w:pPr>
            <w:hyperlink r:id="rId16">
              <w:r>
                <w:rPr>
                  <w:rFonts w:ascii="Calibri" w:hAnsi="Calibri" w:cs="Calibri"/>
                  <w:sz w:val="18"/>
                  <w:color w:val="1155CC"/>
                  <w:u w:val="single"/>
                </w:rPr>
                <w:t xml:space="preserve">https://pubmed.ncbi.nlm.nih.gov/31879450/</w:t>
              </w:r>
            </w:hyperlink>
          </w:p>
        </w:tc>
      </w:tr>
      <w:tr>
        <w:trPr>
          <w:cantSplit/>
        </w:trPr>
        <w:tc>
          <w:tcPr>
            <w:tcW w:type="dxa" w:w="1512"/>
            <w:vAlign w:val="center"/>
          </w:tcPr>
          <w:p>
            <w:pPr>
              <w:spacing w:after="40"/>
            </w:pPr>
            <w:r>
              <w:rPr>
                <w:rFonts w:ascii="Calibri" w:hAnsi="Calibri"/>
                <w:b w:val="0"/>
                <w:i w:val="0"/>
                <w:color w:val="212121"/>
                <w:sz w:val="19"/>
              </w:rPr>
              <w:t>Food</w:t>
            </w:r>
          </w:p>
        </w:tc>
        <w:tc>
          <w:tcPr>
            <w:tcW w:type="dxa" w:w="1944"/>
            <w:vAlign w:val="top"/>
          </w:tcPr>
          <w:p>
            <w:pPr>
              <w:spacing w:after="40" w:before="0" w:line="259" w:lineRule="auto"/>
            </w:pPr>
            <w:r>
              <w:rPr>
                <w:rFonts w:ascii="Calibri" w:hAnsi="Calibri"/>
                <w:b w:val="0"/>
                <w:i w:val="0"/>
                <w:color w:val="212121"/>
                <w:sz w:val="19"/>
              </w:rPr>
              <w:t>Dietary omega-3 intake</w:t>
            </w:r>
          </w:p>
        </w:tc>
        <w:tc>
          <w:tcPr>
            <w:tcW w:type="dxa" w:w="1655"/>
            <w:vAlign w:val="top"/>
          </w:tcPr>
          <w:p>
            <w:pPr>
              <w:spacing w:after="40" w:before="0" w:line="259" w:lineRule="auto"/>
            </w:pPr>
            <w:r>
              <w:rPr>
                <w:rFonts w:ascii="Calibri" w:hAnsi="Calibri"/>
                <w:b w:val="0"/>
                <w:i w:val="0"/>
                <w:color w:val="212121"/>
                <w:sz w:val="19"/>
              </w:rPr>
              <w:t>Dry-eye-prone screen users</w:t>
            </w:r>
          </w:p>
        </w:tc>
        <w:tc>
          <w:tcPr>
            <w:tcW w:type="dxa" w:w="1512"/>
            <w:vAlign w:val="top"/>
          </w:tcPr>
          <w:p>
            <w:pPr>
              <w:spacing w:after="40" w:before="0" w:line="259" w:lineRule="auto"/>
            </w:pPr>
            <w:r>
              <w:rPr>
                <w:rFonts w:ascii="Calibri" w:hAnsi="Calibri"/>
                <w:b w:val="0"/>
                <w:i w:val="0"/>
                <w:color w:val="212121"/>
                <w:sz w:val="19"/>
              </w:rPr>
              <w:t>Regular omega-3 sources (fatty fish, flaxseed, walnuts)</w:t>
            </w:r>
          </w:p>
        </w:tc>
        <w:tc>
          <w:tcPr>
            <w:tcW w:type="dxa" w:w="1512"/>
            <w:vAlign w:val="top"/>
          </w:tcPr>
          <w:p>
            <w:pPr>
              <w:spacing w:after="40" w:before="0" w:line="259" w:lineRule="auto"/>
            </w:pPr>
            <w:r>
              <w:rPr>
                <w:rFonts w:ascii="Calibri" w:hAnsi="Calibri"/>
                <w:b w:val="0"/>
                <w:i w:val="0"/>
                <w:color w:val="212121"/>
                <w:sz w:val="19"/>
              </w:rPr>
              <w:t>Habitually low-omega-3 diet</w:t>
            </w:r>
          </w:p>
        </w:tc>
        <w:tc>
          <w:tcPr>
            <w:tcW w:type="dxa" w:w="1468"/>
            <w:vAlign w:val="top"/>
          </w:tcPr>
          <w:p>
            <w:pPr>
              <w:spacing w:after="60" w:line="259" w:lineRule="auto"/>
            </w:pPr>
            <w:r>
              <w:rPr>
                <w:rFonts w:ascii="Calibri" w:hAnsi="Calibri"/>
                <w:b w:val="0"/>
                <w:i w:val="0"/>
                <w:color w:val="212121"/>
                <w:sz w:val="19"/>
              </w:rPr>
              <w:t>Omega-3 supplementation left about 70% symptom-free at 3 months in one trial</w:t>
            </w:r>
          </w:p>
          <w:p>
            <w:pPr>
              <w:spacing w:after="40" w:line="252" w:lineRule="auto"/>
            </w:pPr>
            <w:hyperlink r:id="rId10">
              <w:r>
                <w:rPr>
                  <w:rFonts w:ascii="Calibri" w:hAnsi="Calibri" w:cs="Calibri"/>
                  <w:sz w:val="18"/>
                  <w:color w:val="1155CC"/>
                  <w:u w:val="single"/>
                </w:rPr>
                <w:t xml:space="preserve">https://bmjophth.bmj.com/content/3/1/e000146</w:t>
              </w:r>
            </w:hyperlink>
          </w:p>
        </w:tc>
      </w:tr>
      <w:tr>
        <w:trPr>
          <w:cantSplit/>
        </w:trPr>
        <w:tc>
          <w:tcPr>
            <w:tcW w:type="dxa" w:w="1512"/>
            <w:vAlign w:val="center"/>
          </w:tcPr>
          <w:p>
            <w:pPr>
              <w:spacing w:after="40"/>
            </w:pPr>
            <w:r>
              <w:rPr>
                <w:rFonts w:ascii="Calibri" w:hAnsi="Calibri"/>
                <w:b w:val="0"/>
                <w:i w:val="0"/>
                <w:color w:val="212121"/>
                <w:sz w:val="19"/>
              </w:rPr>
              <w:t>Water</w:t>
            </w:r>
          </w:p>
        </w:tc>
        <w:tc>
          <w:tcPr>
            <w:tcW w:type="dxa" w:w="1944"/>
            <w:vAlign w:val="top"/>
          </w:tcPr>
          <w:p>
            <w:pPr>
              <w:spacing w:after="40" w:before="0" w:line="259" w:lineRule="auto"/>
            </w:pPr>
            <w:r>
              <w:rPr>
                <w:rFonts w:ascii="Calibri" w:hAnsi="Calibri"/>
                <w:b w:val="0"/>
                <w:i w:val="0"/>
                <w:color w:val="212121"/>
                <w:sz w:val="19"/>
              </w:rPr>
              <w:t>Daily water intake</w:t>
            </w:r>
          </w:p>
        </w:tc>
        <w:tc>
          <w:tcPr>
            <w:tcW w:type="dxa" w:w="1655"/>
            <w:vAlign w:val="top"/>
          </w:tcPr>
          <w:p>
            <w:pPr>
              <w:spacing w:after="40" w:before="0" w:line="259" w:lineRule="auto"/>
            </w:pPr>
            <w:r>
              <w:rPr>
                <w:rFonts w:ascii="Calibri" w:hAnsi="Calibri"/>
                <w:b w:val="0"/>
                <w:i w:val="0"/>
                <w:color w:val="212121"/>
                <w:sz w:val="19"/>
              </w:rPr>
              <w:t>All screen users</w:t>
            </w:r>
          </w:p>
        </w:tc>
        <w:tc>
          <w:tcPr>
            <w:tcW w:type="dxa" w:w="1512"/>
            <w:vAlign w:val="top"/>
          </w:tcPr>
          <w:p>
            <w:pPr>
              <w:spacing w:after="40" w:before="0" w:line="259" w:lineRule="auto"/>
            </w:pPr>
            <w:r>
              <w:rPr>
                <w:rFonts w:ascii="Calibri" w:hAnsi="Calibri"/>
                <w:b w:val="0"/>
                <w:i w:val="0"/>
                <w:color w:val="212121"/>
                <w:sz w:val="19"/>
              </w:rPr>
              <w:t>Adequate hydration (~2-3 L/day, adjusted to need and climate)</w:t>
            </w:r>
          </w:p>
        </w:tc>
        <w:tc>
          <w:tcPr>
            <w:tcW w:type="dxa" w:w="1512"/>
            <w:vAlign w:val="top"/>
          </w:tcPr>
          <w:p>
            <w:pPr>
              <w:spacing w:after="40" w:before="0" w:line="259" w:lineRule="auto"/>
            </w:pPr>
            <w:r>
              <w:rPr>
                <w:rFonts w:ascii="Calibri" w:hAnsi="Calibri"/>
                <w:b w:val="0"/>
                <w:i w:val="0"/>
                <w:color w:val="212121"/>
                <w:sz w:val="19"/>
              </w:rPr>
              <w:t>Chronic under-hydration</w:t>
            </w:r>
          </w:p>
        </w:tc>
        <w:tc>
          <w:tcPr>
            <w:tcW w:type="dxa" w:w="1468"/>
            <w:vAlign w:val="top"/>
          </w:tcPr>
          <w:p>
            <w:pPr>
              <w:spacing w:after="40" w:before="0" w:line="259" w:lineRule="auto"/>
            </w:pPr>
            <w:r>
              <w:rPr>
                <w:rFonts w:ascii="Calibri" w:hAnsi="Calibri"/>
                <w:b w:val="0"/>
                <w:i w:val="0"/>
                <w:color w:val="212121"/>
                <w:sz w:val="19"/>
              </w:rPr>
              <w:t>Dehydration can reduce tear volume and worsen ocular-surface dryness</w:t>
            </w:r>
          </w:p>
        </w:tc>
      </w:tr>
      <w:tr>
        <w:trPr>
          <w:cantSplit/>
        </w:trPr>
        <w:tc>
          <w:tcPr>
            <w:tcW w:type="dxa" w:w="1512"/>
            <w:vAlign w:val="center"/>
          </w:tcPr>
          <w:p>
            <w:pPr>
              <w:spacing w:after="40"/>
            </w:pPr>
            <w:r>
              <w:rPr>
                <w:rFonts w:ascii="Calibri" w:hAnsi="Calibri"/>
                <w:b w:val="0"/>
                <w:i w:val="0"/>
                <w:color w:val="212121"/>
                <w:sz w:val="19"/>
              </w:rPr>
              <w:t>Smoking</w:t>
            </w:r>
          </w:p>
        </w:tc>
        <w:tc>
          <w:tcPr>
            <w:tcW w:type="dxa" w:w="1944"/>
            <w:vAlign w:val="top"/>
          </w:tcPr>
          <w:p>
            <w:pPr>
              <w:spacing w:after="40" w:before="0" w:line="259" w:lineRule="auto"/>
            </w:pPr>
            <w:r>
              <w:rPr>
                <w:rFonts w:ascii="Calibri" w:hAnsi="Calibri"/>
                <w:b w:val="0"/>
                <w:i w:val="0"/>
                <w:color w:val="212121"/>
                <w:sz w:val="19"/>
              </w:rPr>
              <w:t>Cigarettes per day / smoke exposure</w:t>
            </w:r>
          </w:p>
        </w:tc>
        <w:tc>
          <w:tcPr>
            <w:tcW w:type="dxa" w:w="1655"/>
            <w:vAlign w:val="top"/>
          </w:tcPr>
          <w:p>
            <w:pPr>
              <w:spacing w:after="40" w:before="0" w:line="259" w:lineRule="auto"/>
            </w:pPr>
            <w:r>
              <w:rPr>
                <w:rFonts w:ascii="Calibri" w:hAnsi="Calibri"/>
                <w:b w:val="0"/>
                <w:i w:val="0"/>
                <w:color w:val="212121"/>
                <w:sz w:val="19"/>
              </w:rPr>
              <w:t>Screen users who smoke</w:t>
            </w:r>
          </w:p>
        </w:tc>
        <w:tc>
          <w:tcPr>
            <w:tcW w:type="dxa" w:w="1512"/>
            <w:vAlign w:val="top"/>
          </w:tcPr>
          <w:p>
            <w:pPr>
              <w:spacing w:after="40" w:before="0" w:line="259" w:lineRule="auto"/>
            </w:pPr>
            <w:r>
              <w:rPr>
                <w:rFonts w:ascii="Calibri" w:hAnsi="Calibri"/>
                <w:b w:val="0"/>
                <w:i w:val="0"/>
                <w:color w:val="212121"/>
                <w:sz w:val="19"/>
              </w:rPr>
              <w:t>0 cigarettes/day; avoid passive smoke</w:t>
            </w:r>
          </w:p>
        </w:tc>
        <w:tc>
          <w:tcPr>
            <w:tcW w:type="dxa" w:w="1512"/>
            <w:vAlign w:val="top"/>
          </w:tcPr>
          <w:p>
            <w:pPr>
              <w:spacing w:after="40" w:before="0" w:line="259" w:lineRule="auto"/>
            </w:pPr>
            <w:r>
              <w:rPr>
                <w:rFonts w:ascii="Calibri" w:hAnsi="Calibri"/>
                <w:b w:val="0"/>
                <w:i w:val="0"/>
                <w:color w:val="212121"/>
                <w:sz w:val="19"/>
              </w:rPr>
              <w:t>&gt;= 1 cigarette/day or regular passive exposure</w:t>
            </w:r>
          </w:p>
        </w:tc>
        <w:tc>
          <w:tcPr>
            <w:tcW w:type="dxa" w:w="1468"/>
            <w:vAlign w:val="top"/>
          </w:tcPr>
          <w:p>
            <w:pPr>
              <w:spacing w:after="60" w:line="259" w:lineRule="auto"/>
            </w:pPr>
            <w:r>
              <w:rPr>
                <w:rFonts w:ascii="Calibri" w:hAnsi="Calibri"/>
                <w:b w:val="0"/>
                <w:i w:val="0"/>
                <w:color w:val="212121"/>
                <w:sz w:val="19"/>
              </w:rPr>
              <w:t>Smoking increased the odds of severe dry eye disease in North India</w:t>
            </w:r>
          </w:p>
          <w:p>
            <w:pPr>
              <w:spacing w:after="40" w:line="252" w:lineRule="auto"/>
            </w:pPr>
            <w:hyperlink r:id="rId12">
              <w:r>
                <w:rPr>
                  <w:rFonts w:ascii="Calibri" w:hAnsi="Calibri" w:cs="Calibri"/>
                  <w:sz w:val="18"/>
                  <w:color w:val="1155CC"/>
                  <w:u w:val="single"/>
                </w:rPr>
                <w:t xml:space="preserve">https://pubmed.ncbi.nlm.nih.gov/29380759/</w:t>
              </w:r>
            </w:hyperlink>
          </w:p>
        </w:tc>
      </w:tr>
      <w:tr>
        <w:trPr>
          <w:cantSplit/>
        </w:trPr>
        <w:tc>
          <w:tcPr>
            <w:tcW w:type="dxa" w:w="1512"/>
            <w:vAlign w:val="center"/>
          </w:tcPr>
          <w:p>
            <w:pPr>
              <w:spacing w:after="40"/>
            </w:pPr>
            <w:r>
              <w:rPr>
                <w:rFonts w:ascii="Calibri" w:hAnsi="Calibri"/>
                <w:b w:val="0"/>
                <w:i w:val="0"/>
                <w:color w:val="212121"/>
                <w:sz w:val="19"/>
              </w:rPr>
              <w:t>Physical activity</w:t>
            </w:r>
          </w:p>
        </w:tc>
        <w:tc>
          <w:tcPr>
            <w:tcW w:type="dxa" w:w="1944"/>
            <w:vAlign w:val="top"/>
          </w:tcPr>
          <w:p>
            <w:pPr>
              <w:spacing w:after="40" w:before="0" w:line="259" w:lineRule="auto"/>
            </w:pPr>
            <w:r>
              <w:rPr>
                <w:rFonts w:ascii="Calibri" w:hAnsi="Calibri"/>
                <w:b w:val="0"/>
                <w:i w:val="0"/>
                <w:color w:val="212121"/>
                <w:sz w:val="19"/>
              </w:rPr>
              <w:t>Outdoor time (children/adolescents)</w:t>
            </w:r>
          </w:p>
        </w:tc>
        <w:tc>
          <w:tcPr>
            <w:tcW w:type="dxa" w:w="1655"/>
            <w:vAlign w:val="top"/>
          </w:tcPr>
          <w:p>
            <w:pPr>
              <w:spacing w:after="40" w:before="0" w:line="259" w:lineRule="auto"/>
            </w:pPr>
            <w:r>
              <w:rPr>
                <w:rFonts w:ascii="Calibri" w:hAnsi="Calibri"/>
                <w:b w:val="0"/>
                <w:i w:val="0"/>
                <w:color w:val="212121"/>
                <w:sz w:val="19"/>
              </w:rPr>
              <w:t>School-age children</w:t>
            </w:r>
          </w:p>
        </w:tc>
        <w:tc>
          <w:tcPr>
            <w:tcW w:type="dxa" w:w="1512"/>
            <w:vAlign w:val="top"/>
          </w:tcPr>
          <w:p>
            <w:pPr>
              <w:spacing w:after="40" w:before="0" w:line="259" w:lineRule="auto"/>
            </w:pPr>
            <w:r>
              <w:rPr>
                <w:rFonts w:ascii="Calibri" w:hAnsi="Calibri"/>
                <w:b w:val="0"/>
                <w:i w:val="0"/>
                <w:color w:val="212121"/>
                <w:sz w:val="19"/>
              </w:rPr>
              <w:t>&gt;= 1-2 h/day outdoors</w:t>
            </w:r>
          </w:p>
        </w:tc>
        <w:tc>
          <w:tcPr>
            <w:tcW w:type="dxa" w:w="1512"/>
            <w:vAlign w:val="top"/>
          </w:tcPr>
          <w:p>
            <w:pPr>
              <w:spacing w:after="40" w:before="0" w:line="259" w:lineRule="auto"/>
            </w:pPr>
            <w:r>
              <w:rPr>
                <w:rFonts w:ascii="Calibri" w:hAnsi="Calibri"/>
                <w:b w:val="0"/>
                <w:i w:val="0"/>
                <w:color w:val="212121"/>
                <w:sz w:val="19"/>
              </w:rPr>
              <w:t>&lt; 1 h/day outdoors alongside high near-screen time</w:t>
            </w:r>
          </w:p>
        </w:tc>
        <w:tc>
          <w:tcPr>
            <w:tcW w:type="dxa" w:w="1468"/>
            <w:vAlign w:val="top"/>
          </w:tcPr>
          <w:p>
            <w:pPr>
              <w:spacing w:after="40" w:before="0" w:line="259" w:lineRule="auto"/>
            </w:pPr>
            <w:r>
              <w:rPr>
                <w:rFonts w:ascii="Calibri" w:hAnsi="Calibri"/>
                <w:b w:val="0"/>
                <w:i w:val="0"/>
                <w:color w:val="212121"/>
                <w:sz w:val="19"/>
              </w:rPr>
              <w:t>Outdoor time offsets near work and helps limit myopia progression in children</w:t>
            </w:r>
          </w:p>
        </w:tc>
      </w:tr>
    </w:tbl>
    <w:p>
      <w:pPr>
        <w:spacing w:before="200" w:after="120"/>
      </w:pPr>
      <w:r>
        <w:rPr>
          <w:rFonts w:ascii="Calibri" w:hAnsi="Calibri"/>
          <w:b/>
          <w:i w:val="0"/>
          <w:color w:val="212121"/>
          <w:sz w:val="25"/>
        </w:rPr>
        <w:t>Traditional Health Parameters ( THP )</w:t>
      </w:r>
    </w:p>
    <w:p>
      <w:pPr>
        <w:spacing w:before="160" w:after="120"/>
      </w:pPr>
      <w:r>
        <w:rPr>
          <w:rFonts w:ascii="Calibri" w:hAnsi="Calibri"/>
          <w:b/>
          <w:i w:val="0"/>
          <w:color w:val="212121"/>
          <w:sz w:val="22"/>
        </w:rPr>
        <w:t>Quantitative THP</w:t>
      </w:r>
    </w:p>
    <w:tbl>
      <w:tblPr>
        <w:tblW w:type="dxa" w:w="9792"/>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873"/>
        <w:gridCol w:w="873"/>
        <w:gridCol w:w="873"/>
        <w:gridCol w:w="873"/>
        <w:gridCol w:w="873"/>
        <w:gridCol w:w="873"/>
        <w:gridCol w:w="873"/>
        <w:gridCol w:w="873"/>
        <w:gridCol w:w="873"/>
        <w:gridCol w:w="873"/>
        <w:gridCol w:w="873"/>
      </w:tblGrid>
      <w:tr>
        <w:trPr>
          <w:cantSplit/>
        </w:trPr>
        <w:tc>
          <w:tcPr>
            <w:tcW w:type="dxa" w:w="892"/>
            <w:shd w:val="clear" w:color="auto" w:fill="F2F2F2"/>
            <w:vAlign w:val="center"/>
          </w:tcPr>
          <w:p>
            <w:pPr>
              <w:spacing w:after="40" w:before="0" w:line="259" w:lineRule="auto"/>
            </w:pPr>
            <w:r>
              <w:rPr>
                <w:rFonts w:ascii="Calibri" w:hAnsi="Calibri"/>
                <w:b/>
                <w:i w:val="0"/>
                <w:color w:val="212121"/>
                <w:sz w:val="16"/>
              </w:rPr>
              <w:t>Diagnostic workup</w:t>
            </w:r>
          </w:p>
        </w:tc>
        <w:tc>
          <w:tcPr>
            <w:tcW w:type="dxa" w:w="835"/>
            <w:shd w:val="clear" w:color="auto" w:fill="F2F2F2"/>
            <w:vAlign w:val="center"/>
          </w:tcPr>
          <w:p>
            <w:pPr>
              <w:spacing w:after="40" w:before="0" w:line="259" w:lineRule="auto"/>
            </w:pPr>
            <w:r>
              <w:rPr>
                <w:rFonts w:ascii="Calibri" w:hAnsi="Calibri"/>
                <w:b/>
                <w:i w:val="0"/>
                <w:color w:val="212121"/>
                <w:sz w:val="16"/>
              </w:rPr>
              <w:t>Tests</w:t>
            </w:r>
          </w:p>
        </w:tc>
        <w:tc>
          <w:tcPr>
            <w:tcW w:type="dxa" w:w="1036"/>
            <w:shd w:val="clear" w:color="auto" w:fill="F2F2F2"/>
            <w:vAlign w:val="center"/>
          </w:tcPr>
          <w:p>
            <w:pPr>
              <w:spacing w:after="40" w:before="0" w:line="259" w:lineRule="auto"/>
            </w:pPr>
            <w:r>
              <w:rPr>
                <w:rFonts w:ascii="Calibri" w:hAnsi="Calibri"/>
                <w:b/>
                <w:i w:val="0"/>
                <w:color w:val="212121"/>
                <w:sz w:val="16"/>
              </w:rPr>
              <w:t>Parameter</w:t>
            </w:r>
          </w:p>
        </w:tc>
        <w:tc>
          <w:tcPr>
            <w:tcW w:type="dxa" w:w="892"/>
            <w:shd w:val="clear" w:color="auto" w:fill="F2F2F2"/>
            <w:vAlign w:val="center"/>
          </w:tcPr>
          <w:p>
            <w:pPr>
              <w:spacing w:after="40" w:before="0" w:line="259" w:lineRule="auto"/>
            </w:pPr>
            <w:r>
              <w:rPr>
                <w:rFonts w:ascii="Calibri" w:hAnsi="Calibri"/>
                <w:b/>
                <w:i w:val="0"/>
                <w:color w:val="212121"/>
                <w:sz w:val="16"/>
              </w:rPr>
              <w:t>THP</w:t>
            </w:r>
          </w:p>
        </w:tc>
        <w:tc>
          <w:tcPr>
            <w:tcW w:type="dxa" w:w="950"/>
            <w:shd w:val="clear" w:color="auto" w:fill="F2F2F2"/>
            <w:vAlign w:val="center"/>
          </w:tcPr>
          <w:p>
            <w:pPr>
              <w:spacing w:after="40" w:before="0" w:line="259" w:lineRule="auto"/>
            </w:pPr>
            <w:r>
              <w:rPr>
                <w:rFonts w:ascii="Calibri" w:hAnsi="Calibri"/>
                <w:b/>
                <w:i w:val="0"/>
                <w:color w:val="212121"/>
                <w:sz w:val="16"/>
              </w:rPr>
              <w:t>Normal values</w:t>
            </w:r>
          </w:p>
        </w:tc>
        <w:tc>
          <w:tcPr>
            <w:tcW w:type="dxa" w:w="950"/>
            <w:shd w:val="clear" w:color="auto" w:fill="F2F2F2"/>
            <w:vAlign w:val="center"/>
          </w:tcPr>
          <w:p>
            <w:pPr>
              <w:spacing w:after="40" w:before="0" w:line="259" w:lineRule="auto"/>
            </w:pPr>
            <w:r>
              <w:rPr>
                <w:rFonts w:ascii="Calibri" w:hAnsi="Calibri"/>
                <w:b/>
                <w:i w:val="0"/>
                <w:color w:val="212121"/>
                <w:sz w:val="16"/>
              </w:rPr>
              <w:t>Abnormal values</w:t>
            </w:r>
          </w:p>
        </w:tc>
        <w:tc>
          <w:tcPr>
            <w:tcW w:type="dxa" w:w="1036"/>
            <w:shd w:val="clear" w:color="auto" w:fill="F2F2F2"/>
            <w:vAlign w:val="center"/>
          </w:tcPr>
          <w:p>
            <w:pPr>
              <w:spacing w:after="40" w:before="0" w:line="259" w:lineRule="auto"/>
            </w:pPr>
            <w:r>
              <w:rPr>
                <w:rFonts w:ascii="Calibri" w:hAnsi="Calibri"/>
                <w:b/>
                <w:i w:val="0"/>
                <w:color w:val="212121"/>
                <w:sz w:val="16"/>
              </w:rPr>
              <w:t>Interpretation</w:t>
            </w:r>
          </w:p>
        </w:tc>
        <w:tc>
          <w:tcPr>
            <w:tcW w:type="dxa" w:w="1036"/>
            <w:shd w:val="clear" w:color="auto" w:fill="F2F2F2"/>
            <w:vAlign w:val="center"/>
          </w:tcPr>
          <w:p>
            <w:pPr>
              <w:spacing w:after="40" w:before="0" w:line="259" w:lineRule="auto"/>
            </w:pPr>
            <w:r>
              <w:rPr>
                <w:rFonts w:ascii="Calibri" w:hAnsi="Calibri"/>
                <w:b/>
                <w:i w:val="0"/>
                <w:color w:val="212121"/>
                <w:sz w:val="16"/>
              </w:rPr>
              <w:t>Profiles</w:t>
            </w:r>
          </w:p>
        </w:tc>
        <w:tc>
          <w:tcPr>
            <w:tcW w:type="dxa" w:w="720"/>
            <w:shd w:val="clear" w:color="auto" w:fill="F2F2F2"/>
            <w:vAlign w:val="center"/>
          </w:tcPr>
          <w:p>
            <w:pPr>
              <w:spacing w:after="40" w:before="0" w:line="259" w:lineRule="auto"/>
            </w:pPr>
            <w:r>
              <w:rPr>
                <w:rFonts w:ascii="Calibri" w:hAnsi="Calibri"/>
                <w:b/>
                <w:i w:val="0"/>
                <w:color w:val="212121"/>
                <w:sz w:val="16"/>
              </w:rPr>
              <w:t>LHP</w:t>
            </w:r>
          </w:p>
        </w:tc>
        <w:tc>
          <w:tcPr>
            <w:tcW w:type="dxa" w:w="720"/>
            <w:shd w:val="clear" w:color="auto" w:fill="F2F2F2"/>
            <w:vAlign w:val="center"/>
          </w:tcPr>
          <w:p>
            <w:pPr>
              <w:spacing w:after="40" w:before="0" w:line="259" w:lineRule="auto"/>
            </w:pPr>
            <w:r>
              <w:rPr>
                <w:rFonts w:ascii="Calibri" w:hAnsi="Calibri"/>
                <w:b/>
                <w:i w:val="0"/>
                <w:color w:val="212121"/>
                <w:sz w:val="16"/>
              </w:rPr>
              <w:t>Importance</w:t>
            </w:r>
          </w:p>
        </w:tc>
        <w:tc>
          <w:tcPr>
            <w:tcW w:type="dxa" w:w="720"/>
            <w:shd w:val="clear" w:color="auto" w:fill="F2F2F2"/>
            <w:vAlign w:val="center"/>
          </w:tcPr>
          <w:p>
            <w:pPr>
              <w:spacing w:after="40" w:before="0" w:line="259" w:lineRule="auto"/>
            </w:pPr>
            <w:r>
              <w:rPr>
                <w:rFonts w:ascii="Calibri" w:hAnsi="Calibri"/>
                <w:b/>
                <w:i w:val="0"/>
                <w:color w:val="212121"/>
                <w:sz w:val="16"/>
              </w:rPr>
              <w:t>Note</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Ocular surface</w:t>
            </w:r>
          </w:p>
        </w:tc>
        <w:tc>
          <w:tcPr>
            <w:tcW w:type="dxa" w:w="1036"/>
            <w:vAlign w:val="top"/>
          </w:tcPr>
          <w:p>
            <w:pPr>
              <w:spacing w:after="40" w:before="0" w:line="259" w:lineRule="auto"/>
            </w:pPr>
            <w:r>
              <w:rPr>
                <w:rFonts w:ascii="Calibri" w:hAnsi="Calibri"/>
                <w:b w:val="0"/>
                <w:i w:val="0"/>
                <w:color w:val="212121"/>
                <w:sz w:val="16"/>
              </w:rPr>
              <w:t>Tear film stability</w:t>
            </w:r>
          </w:p>
        </w:tc>
        <w:tc>
          <w:tcPr>
            <w:tcW w:type="dxa" w:w="892"/>
            <w:vAlign w:val="top"/>
          </w:tcPr>
          <w:p>
            <w:pPr>
              <w:spacing w:after="40" w:before="0" w:line="259" w:lineRule="auto"/>
            </w:pPr>
            <w:r>
              <w:rPr>
                <w:rFonts w:ascii="Calibri" w:hAnsi="Calibri"/>
                <w:b w:val="0"/>
                <w:i w:val="0"/>
                <w:color w:val="212121"/>
                <w:sz w:val="16"/>
              </w:rPr>
              <w:t>Tear Break-Up Time (TBUT)</w:t>
            </w:r>
          </w:p>
        </w:tc>
        <w:tc>
          <w:tcPr>
            <w:tcW w:type="dxa" w:w="950"/>
            <w:vAlign w:val="top"/>
          </w:tcPr>
          <w:p>
            <w:pPr>
              <w:spacing w:after="40" w:before="0" w:line="259" w:lineRule="auto"/>
            </w:pPr>
            <w:r>
              <w:rPr>
                <w:rFonts w:ascii="Calibri" w:hAnsi="Calibri"/>
                <w:b w:val="0"/>
                <w:i w:val="0"/>
                <w:color w:val="212121"/>
                <w:sz w:val="16"/>
              </w:rPr>
              <w:t>&gt;= 10 seconds</w:t>
            </w:r>
          </w:p>
        </w:tc>
        <w:tc>
          <w:tcPr>
            <w:tcW w:type="dxa" w:w="950"/>
            <w:vAlign w:val="top"/>
          </w:tcPr>
          <w:p>
            <w:pPr>
              <w:spacing w:after="40" w:before="0" w:line="259" w:lineRule="auto"/>
            </w:pPr>
            <w:r>
              <w:rPr>
                <w:rFonts w:ascii="Calibri" w:hAnsi="Calibri"/>
                <w:b w:val="0"/>
                <w:i w:val="0"/>
                <w:color w:val="212121"/>
                <w:sz w:val="16"/>
              </w:rPr>
              <w:t>&lt; 10 seconds</w:t>
            </w:r>
          </w:p>
        </w:tc>
        <w:tc>
          <w:tcPr>
            <w:tcW w:type="dxa" w:w="1036"/>
            <w:vAlign w:val="top"/>
          </w:tcPr>
          <w:p>
            <w:pPr>
              <w:spacing w:after="40" w:before="0" w:line="259" w:lineRule="auto"/>
            </w:pPr>
            <w:r>
              <w:rPr>
                <w:rFonts w:ascii="Calibri" w:hAnsi="Calibri"/>
                <w:b w:val="0"/>
                <w:i w:val="0"/>
                <w:color w:val="212121"/>
                <w:sz w:val="16"/>
              </w:rPr>
              <w:t>Rapid tear break-up indicates an unstable, evaporative tear film - the ocular-surface basis of CVS dryness</w:t>
            </w:r>
          </w:p>
        </w:tc>
        <w:tc>
          <w:tcPr>
            <w:tcW w:type="dxa" w:w="1036"/>
            <w:vAlign w:val="top"/>
          </w:tcPr>
          <w:p>
            <w:pPr>
              <w:spacing w:after="40" w:before="0" w:line="259" w:lineRule="auto"/>
            </w:pPr>
            <w:r>
              <w:rPr>
                <w:rFonts w:ascii="Calibri" w:hAnsi="Calibri"/>
                <w:b w:val="0"/>
                <w:i w:val="0"/>
                <w:color w:val="212121"/>
                <w:sz w:val="16"/>
              </w:rPr>
              <w:t>Symptomatic screen users, dry-eye-prone</w:t>
            </w:r>
          </w:p>
        </w:tc>
        <w:tc>
          <w:tcPr>
            <w:tcW w:type="dxa" w:w="720"/>
            <w:vAlign w:val="top"/>
          </w:tcPr>
          <w:p>
            <w:pPr>
              <w:spacing w:after="40" w:before="0" w:line="259" w:lineRule="auto"/>
            </w:pPr>
            <w:r>
              <w:rPr>
                <w:rFonts w:ascii="Calibri" w:hAnsi="Calibri"/>
                <w:b w:val="0"/>
                <w:i w:val="0"/>
                <w:color w:val="212121"/>
                <w:sz w:val="16"/>
              </w:rPr>
              <w:t>Provoking factors; Hygiene</w:t>
            </w:r>
          </w:p>
        </w:tc>
        <w:tc>
          <w:tcPr>
            <w:tcW w:type="dxa" w:w="720"/>
            <w:vAlign w:val="top"/>
          </w:tcPr>
          <w:p>
            <w:pPr>
              <w:spacing w:after="40" w:before="0" w:line="259" w:lineRule="auto"/>
            </w:pPr>
            <w:r>
              <w:rPr>
                <w:rFonts w:ascii="Calibri" w:hAnsi="Calibri"/>
                <w:b w:val="0"/>
                <w:i w:val="0"/>
                <w:color w:val="212121"/>
                <w:sz w:val="16"/>
              </w:rPr>
              <w:t>Diagnostic</w:t>
            </w:r>
          </w:p>
        </w:tc>
        <w:tc>
          <w:tcPr>
            <w:tcW w:type="dxa" w:w="720"/>
            <w:vAlign w:val="top"/>
          </w:tcPr>
          <w:p>
            <w:pPr>
              <w:spacing w:after="40" w:before="0" w:line="259" w:lineRule="auto"/>
            </w:pPr>
            <w:r>
              <w:rPr>
                <w:rFonts w:ascii="Calibri" w:hAnsi="Calibri"/>
                <w:b w:val="0"/>
                <w:i w:val="0"/>
                <w:color w:val="212121"/>
                <w:sz w:val="16"/>
              </w:rPr>
              <w:t>Shortened by the reduced blink rate during screen use</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Ocular surface</w:t>
            </w:r>
          </w:p>
        </w:tc>
        <w:tc>
          <w:tcPr>
            <w:tcW w:type="dxa" w:w="1036"/>
            <w:vAlign w:val="top"/>
          </w:tcPr>
          <w:p>
            <w:pPr>
              <w:spacing w:after="40" w:before="0" w:line="259" w:lineRule="auto"/>
            </w:pPr>
            <w:r>
              <w:rPr>
                <w:rFonts w:ascii="Calibri" w:hAnsi="Calibri"/>
                <w:b w:val="0"/>
                <w:i w:val="0"/>
                <w:color w:val="212121"/>
                <w:sz w:val="16"/>
              </w:rPr>
              <w:t>Aqueous tear production</w:t>
            </w:r>
          </w:p>
        </w:tc>
        <w:tc>
          <w:tcPr>
            <w:tcW w:type="dxa" w:w="892"/>
            <w:vAlign w:val="top"/>
          </w:tcPr>
          <w:p>
            <w:pPr>
              <w:spacing w:after="40" w:before="0" w:line="259" w:lineRule="auto"/>
            </w:pPr>
            <w:r>
              <w:rPr>
                <w:rFonts w:ascii="Calibri" w:hAnsi="Calibri"/>
                <w:b w:val="0"/>
                <w:i w:val="0"/>
                <w:color w:val="212121"/>
                <w:sz w:val="16"/>
              </w:rPr>
              <w:t>Schirmer's test</w:t>
            </w:r>
          </w:p>
        </w:tc>
        <w:tc>
          <w:tcPr>
            <w:tcW w:type="dxa" w:w="950"/>
            <w:vAlign w:val="top"/>
          </w:tcPr>
          <w:p>
            <w:pPr>
              <w:spacing w:after="40" w:before="0" w:line="259" w:lineRule="auto"/>
            </w:pPr>
            <w:r>
              <w:rPr>
                <w:rFonts w:ascii="Calibri" w:hAnsi="Calibri"/>
                <w:b w:val="0"/>
                <w:i w:val="0"/>
                <w:color w:val="212121"/>
                <w:sz w:val="16"/>
              </w:rPr>
              <w:t>&gt;= 10-15 mm wetting / 5 min</w:t>
            </w:r>
          </w:p>
        </w:tc>
        <w:tc>
          <w:tcPr>
            <w:tcW w:type="dxa" w:w="950"/>
            <w:vAlign w:val="top"/>
          </w:tcPr>
          <w:p>
            <w:pPr>
              <w:spacing w:after="40" w:before="0" w:line="259" w:lineRule="auto"/>
            </w:pPr>
            <w:r>
              <w:rPr>
                <w:rFonts w:ascii="Calibri" w:hAnsi="Calibri"/>
                <w:b w:val="0"/>
                <w:i w:val="0"/>
                <w:color w:val="212121"/>
                <w:sz w:val="16"/>
              </w:rPr>
              <w:t>&lt; 10 mm / 5 min</w:t>
            </w:r>
          </w:p>
        </w:tc>
        <w:tc>
          <w:tcPr>
            <w:tcW w:type="dxa" w:w="1036"/>
            <w:vAlign w:val="top"/>
          </w:tcPr>
          <w:p>
            <w:pPr>
              <w:spacing w:after="40" w:before="0" w:line="259" w:lineRule="auto"/>
            </w:pPr>
            <w:r>
              <w:rPr>
                <w:rFonts w:ascii="Calibri" w:hAnsi="Calibri"/>
                <w:b w:val="0"/>
                <w:i w:val="0"/>
                <w:color w:val="212121"/>
                <w:sz w:val="16"/>
              </w:rPr>
              <w:t>Low wetting suggests an aqueous-deficient dry-eye component contributing to symptoms</w:t>
            </w:r>
          </w:p>
        </w:tc>
        <w:tc>
          <w:tcPr>
            <w:tcW w:type="dxa" w:w="1036"/>
            <w:vAlign w:val="top"/>
          </w:tcPr>
          <w:p>
            <w:pPr>
              <w:spacing w:after="40" w:before="0" w:line="259" w:lineRule="auto"/>
            </w:pPr>
            <w:r>
              <w:rPr>
                <w:rFonts w:ascii="Calibri" w:hAnsi="Calibri"/>
                <w:b w:val="0"/>
                <w:i w:val="0"/>
                <w:color w:val="212121"/>
                <w:sz w:val="16"/>
              </w:rPr>
              <w:t>Dry-eye-prone, contact lens wearers, older adults</w:t>
            </w:r>
          </w:p>
        </w:tc>
        <w:tc>
          <w:tcPr>
            <w:tcW w:type="dxa" w:w="720"/>
            <w:vAlign w:val="top"/>
          </w:tcPr>
          <w:p>
            <w:pPr>
              <w:spacing w:after="40" w:before="0" w:line="259" w:lineRule="auto"/>
            </w:pPr>
            <w:r>
              <w:rPr>
                <w:rFonts w:ascii="Calibri" w:hAnsi="Calibri"/>
                <w:b w:val="0"/>
                <w:i w:val="0"/>
                <w:color w:val="212121"/>
                <w:sz w:val="16"/>
              </w:rPr>
              <w:t>Water; Smoking</w:t>
            </w:r>
          </w:p>
        </w:tc>
        <w:tc>
          <w:tcPr>
            <w:tcW w:type="dxa" w:w="720"/>
            <w:vAlign w:val="top"/>
          </w:tcPr>
          <w:p>
            <w:pPr>
              <w:spacing w:after="40" w:before="0" w:line="259" w:lineRule="auto"/>
            </w:pPr>
            <w:r>
              <w:rPr>
                <w:rFonts w:ascii="Calibri" w:hAnsi="Calibri"/>
                <w:b w:val="0"/>
                <w:i w:val="0"/>
                <w:color w:val="212121"/>
                <w:sz w:val="16"/>
              </w:rPr>
              <w:t>Supportive</w:t>
            </w:r>
          </w:p>
        </w:tc>
        <w:tc>
          <w:tcPr>
            <w:tcW w:type="dxa" w:w="720"/>
            <w:vAlign w:val="top"/>
          </w:tcPr>
          <w:p>
            <w:pPr>
              <w:spacing w:after="40" w:before="0" w:line="259" w:lineRule="auto"/>
            </w:pPr>
            <w:r>
              <w:rPr>
                <w:rFonts w:ascii="Calibri" w:hAnsi="Calibri"/>
                <w:b w:val="0"/>
                <w:i w:val="0"/>
                <w:color w:val="212121"/>
                <w:sz w:val="16"/>
              </w:rPr>
              <w:t>Complements TBUT; results are variable</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Ocular surface staining</w:t>
            </w:r>
          </w:p>
        </w:tc>
        <w:tc>
          <w:tcPr>
            <w:tcW w:type="dxa" w:w="1036"/>
            <w:vAlign w:val="top"/>
          </w:tcPr>
          <w:p>
            <w:pPr>
              <w:spacing w:after="40" w:before="0" w:line="259" w:lineRule="auto"/>
            </w:pPr>
            <w:r>
              <w:rPr>
                <w:rFonts w:ascii="Calibri" w:hAnsi="Calibri"/>
                <w:b w:val="0"/>
                <w:i w:val="0"/>
                <w:color w:val="212121"/>
                <w:sz w:val="16"/>
              </w:rPr>
              <w:t>Corneal/conjunctival epithelial damage</w:t>
            </w:r>
          </w:p>
        </w:tc>
        <w:tc>
          <w:tcPr>
            <w:tcW w:type="dxa" w:w="892"/>
            <w:vAlign w:val="top"/>
          </w:tcPr>
          <w:p>
            <w:pPr>
              <w:spacing w:after="40" w:before="0" w:line="259" w:lineRule="auto"/>
            </w:pPr>
            <w:r>
              <w:rPr>
                <w:rFonts w:ascii="Calibri" w:hAnsi="Calibri"/>
                <w:b w:val="0"/>
                <w:i w:val="0"/>
                <w:color w:val="212121"/>
                <w:sz w:val="16"/>
              </w:rPr>
              <w:t>Fluorescein / lissamine green staining</w:t>
            </w:r>
          </w:p>
        </w:tc>
        <w:tc>
          <w:tcPr>
            <w:tcW w:type="dxa" w:w="950"/>
            <w:vAlign w:val="top"/>
          </w:tcPr>
          <w:p>
            <w:pPr>
              <w:spacing w:after="40" w:before="0" w:line="259" w:lineRule="auto"/>
            </w:pPr>
            <w:r>
              <w:rPr>
                <w:rFonts w:ascii="Calibri" w:hAnsi="Calibri"/>
                <w:b w:val="0"/>
                <w:i w:val="0"/>
                <w:color w:val="212121"/>
                <w:sz w:val="16"/>
              </w:rPr>
              <w:t>No significant staining</w:t>
            </w:r>
          </w:p>
        </w:tc>
        <w:tc>
          <w:tcPr>
            <w:tcW w:type="dxa" w:w="950"/>
            <w:vAlign w:val="top"/>
          </w:tcPr>
          <w:p>
            <w:pPr>
              <w:spacing w:after="40" w:before="0" w:line="259" w:lineRule="auto"/>
            </w:pPr>
            <w:r>
              <w:rPr>
                <w:rFonts w:ascii="Calibri" w:hAnsi="Calibri"/>
                <w:b w:val="0"/>
                <w:i w:val="0"/>
                <w:color w:val="212121"/>
                <w:sz w:val="16"/>
              </w:rPr>
              <w:t>Punctate epithelial staining</w:t>
            </w:r>
          </w:p>
        </w:tc>
        <w:tc>
          <w:tcPr>
            <w:tcW w:type="dxa" w:w="1036"/>
            <w:vAlign w:val="top"/>
          </w:tcPr>
          <w:p>
            <w:pPr>
              <w:spacing w:after="40" w:before="0" w:line="259" w:lineRule="auto"/>
            </w:pPr>
            <w:r>
              <w:rPr>
                <w:rFonts w:ascii="Calibri" w:hAnsi="Calibri"/>
                <w:b w:val="0"/>
                <w:i w:val="0"/>
                <w:color w:val="212121"/>
                <w:sz w:val="16"/>
              </w:rPr>
              <w:t>Confirms ocular-surface damage from tear-film instability in chronic or severe cases</w:t>
            </w:r>
          </w:p>
        </w:tc>
        <w:tc>
          <w:tcPr>
            <w:tcW w:type="dxa" w:w="1036"/>
            <w:vAlign w:val="top"/>
          </w:tcPr>
          <w:p>
            <w:pPr>
              <w:spacing w:after="40" w:before="0" w:line="259" w:lineRule="auto"/>
            </w:pPr>
            <w:r>
              <w:rPr>
                <w:rFonts w:ascii="Calibri" w:hAnsi="Calibri"/>
                <w:b w:val="0"/>
                <w:i w:val="0"/>
                <w:color w:val="212121"/>
                <w:sz w:val="16"/>
              </w:rPr>
              <w:t>Severe/chronic CVS, dry eye disease</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Supportive</w:t>
            </w:r>
          </w:p>
        </w:tc>
        <w:tc>
          <w:tcPr>
            <w:tcW w:type="dxa" w:w="720"/>
            <w:vAlign w:val="top"/>
          </w:tcPr>
          <w:p>
            <w:pPr>
              <w:spacing w:after="40" w:before="0" w:line="259" w:lineRule="auto"/>
            </w:pPr>
            <w:r>
              <w:rPr>
                <w:rFonts w:ascii="Calibri" w:hAnsi="Calibri"/>
                <w:b w:val="0"/>
                <w:i w:val="0"/>
                <w:color w:val="212121"/>
                <w:sz w:val="16"/>
              </w:rPr>
              <w:t>Usually absent in mild CVS</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Symptom questionnaire</w:t>
            </w:r>
          </w:p>
        </w:tc>
        <w:tc>
          <w:tcPr>
            <w:tcW w:type="dxa" w:w="1036"/>
            <w:vAlign w:val="top"/>
          </w:tcPr>
          <w:p>
            <w:pPr>
              <w:spacing w:after="40" w:before="0" w:line="259" w:lineRule="auto"/>
            </w:pPr>
            <w:r>
              <w:rPr>
                <w:rFonts w:ascii="Calibri" w:hAnsi="Calibri"/>
                <w:b w:val="0"/>
                <w:i w:val="0"/>
                <w:color w:val="212121"/>
                <w:sz w:val="16"/>
              </w:rPr>
              <w:t>Ocular-surface symptom severity</w:t>
            </w:r>
          </w:p>
        </w:tc>
        <w:tc>
          <w:tcPr>
            <w:tcW w:type="dxa" w:w="892"/>
            <w:vAlign w:val="top"/>
          </w:tcPr>
          <w:p>
            <w:pPr>
              <w:spacing w:after="40" w:before="0" w:line="259" w:lineRule="auto"/>
            </w:pPr>
            <w:r>
              <w:rPr>
                <w:rFonts w:ascii="Calibri" w:hAnsi="Calibri"/>
                <w:b w:val="0"/>
                <w:i w:val="0"/>
                <w:color w:val="212121"/>
                <w:sz w:val="16"/>
              </w:rPr>
              <w:t>Ocular Surface Disease Index (OSDI)</w:t>
            </w:r>
          </w:p>
        </w:tc>
        <w:tc>
          <w:tcPr>
            <w:tcW w:type="dxa" w:w="950"/>
            <w:vAlign w:val="top"/>
          </w:tcPr>
          <w:p>
            <w:pPr>
              <w:spacing w:after="40" w:before="0" w:line="259" w:lineRule="auto"/>
            </w:pPr>
            <w:r>
              <w:rPr>
                <w:rFonts w:ascii="Calibri" w:hAnsi="Calibri"/>
                <w:b w:val="0"/>
                <w:i w:val="0"/>
                <w:color w:val="212121"/>
                <w:sz w:val="16"/>
              </w:rPr>
              <w:t>0-12 (normal)</w:t>
            </w:r>
          </w:p>
        </w:tc>
        <w:tc>
          <w:tcPr>
            <w:tcW w:type="dxa" w:w="950"/>
            <w:vAlign w:val="top"/>
          </w:tcPr>
          <w:p>
            <w:pPr>
              <w:spacing w:after="40" w:before="0" w:line="259" w:lineRule="auto"/>
            </w:pPr>
            <w:r>
              <w:rPr>
                <w:rFonts w:ascii="Calibri" w:hAnsi="Calibri"/>
                <w:b w:val="0"/>
                <w:i w:val="0"/>
                <w:color w:val="212121"/>
                <w:sz w:val="16"/>
              </w:rPr>
              <w:t>&gt;= 13 (mild &gt;=13, moderate &gt;=23, severe &gt;=33)</w:t>
            </w:r>
          </w:p>
        </w:tc>
        <w:tc>
          <w:tcPr>
            <w:tcW w:type="dxa" w:w="1036"/>
            <w:vAlign w:val="top"/>
          </w:tcPr>
          <w:p>
            <w:pPr>
              <w:spacing w:after="40" w:before="0" w:line="259" w:lineRule="auto"/>
            </w:pPr>
            <w:r>
              <w:rPr>
                <w:rFonts w:ascii="Calibri" w:hAnsi="Calibri"/>
                <w:b w:val="0"/>
                <w:i w:val="0"/>
                <w:color w:val="212121"/>
                <w:sz w:val="16"/>
              </w:rPr>
              <w:t>Grades ocular-surface symptom severity and monitors response to treatment</w:t>
            </w:r>
          </w:p>
        </w:tc>
        <w:tc>
          <w:tcPr>
            <w:tcW w:type="dxa" w:w="1036"/>
            <w:vAlign w:val="top"/>
          </w:tcPr>
          <w:p>
            <w:pPr>
              <w:spacing w:after="40" w:before="0" w:line="259" w:lineRule="auto"/>
            </w:pPr>
            <w:r>
              <w:rPr>
                <w:rFonts w:ascii="Calibri" w:hAnsi="Calibri"/>
                <w:b w:val="0"/>
                <w:i w:val="0"/>
                <w:color w:val="212121"/>
                <w:sz w:val="16"/>
              </w:rPr>
              <w:t>All symptomatic screen users</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Diagnostic / monitoring</w:t>
            </w:r>
          </w:p>
        </w:tc>
        <w:tc>
          <w:tcPr>
            <w:tcW w:type="dxa" w:w="720"/>
            <w:vAlign w:val="top"/>
          </w:tcPr>
          <w:p>
            <w:pPr>
              <w:spacing w:after="40" w:before="0" w:line="259" w:lineRule="auto"/>
            </w:pPr>
            <w:r>
              <w:rPr>
                <w:rFonts w:ascii="Calibri" w:hAnsi="Calibri"/>
                <w:b w:val="0"/>
                <w:i w:val="0"/>
                <w:color w:val="212121"/>
                <w:sz w:val="16"/>
              </w:rPr>
              <w:t>OSDI was used to define dry eye disease (32% prevalence) in an Indian hospital study</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Symptom questionnaire</w:t>
            </w:r>
          </w:p>
        </w:tc>
        <w:tc>
          <w:tcPr>
            <w:tcW w:type="dxa" w:w="1036"/>
            <w:vAlign w:val="top"/>
          </w:tcPr>
          <w:p>
            <w:pPr>
              <w:spacing w:after="40" w:before="0" w:line="259" w:lineRule="auto"/>
            </w:pPr>
            <w:r>
              <w:rPr>
                <w:rFonts w:ascii="Calibri" w:hAnsi="Calibri"/>
                <w:b w:val="0"/>
                <w:i w:val="0"/>
                <w:color w:val="212121"/>
                <w:sz w:val="16"/>
              </w:rPr>
              <w:t>Digital eye strain severity</w:t>
            </w:r>
          </w:p>
        </w:tc>
        <w:tc>
          <w:tcPr>
            <w:tcW w:type="dxa" w:w="892"/>
            <w:vAlign w:val="top"/>
          </w:tcPr>
          <w:p>
            <w:pPr>
              <w:spacing w:after="40" w:before="0" w:line="259" w:lineRule="auto"/>
            </w:pPr>
            <w:r>
              <w:rPr>
                <w:rFonts w:ascii="Calibri" w:hAnsi="Calibri"/>
                <w:b w:val="0"/>
                <w:i w:val="0"/>
                <w:color w:val="212121"/>
                <w:sz w:val="16"/>
              </w:rPr>
              <w:t>Computer Vision Syndrome Questionnaire (CVS-Q)</w:t>
            </w:r>
          </w:p>
        </w:tc>
        <w:tc>
          <w:tcPr>
            <w:tcW w:type="dxa" w:w="950"/>
            <w:vAlign w:val="top"/>
          </w:tcPr>
          <w:p>
            <w:pPr>
              <w:spacing w:after="40" w:before="0" w:line="259" w:lineRule="auto"/>
            </w:pPr>
            <w:r>
              <w:rPr>
                <w:rFonts w:ascii="Calibri" w:hAnsi="Calibri"/>
                <w:b w:val="0"/>
                <w:i w:val="0"/>
                <w:color w:val="212121"/>
                <w:sz w:val="16"/>
              </w:rPr>
              <w:t>Below threshold</w:t>
            </w:r>
          </w:p>
        </w:tc>
        <w:tc>
          <w:tcPr>
            <w:tcW w:type="dxa" w:w="950"/>
            <w:vAlign w:val="top"/>
          </w:tcPr>
          <w:p>
            <w:pPr>
              <w:spacing w:after="40" w:before="0" w:line="259" w:lineRule="auto"/>
            </w:pPr>
            <w:r>
              <w:rPr>
                <w:rFonts w:ascii="Calibri" w:hAnsi="Calibri"/>
                <w:b w:val="0"/>
                <w:i w:val="0"/>
                <w:color w:val="212121"/>
                <w:sz w:val="16"/>
              </w:rPr>
              <w:t>&gt;= 6 (CVS present)</w:t>
            </w:r>
          </w:p>
        </w:tc>
        <w:tc>
          <w:tcPr>
            <w:tcW w:type="dxa" w:w="1036"/>
            <w:vAlign w:val="top"/>
          </w:tcPr>
          <w:p>
            <w:pPr>
              <w:spacing w:after="40" w:before="0" w:line="259" w:lineRule="auto"/>
            </w:pPr>
            <w:r>
              <w:rPr>
                <w:rFonts w:ascii="Calibri" w:hAnsi="Calibri"/>
                <w:b w:val="0"/>
                <w:i w:val="0"/>
                <w:color w:val="212121"/>
                <w:sz w:val="16"/>
              </w:rPr>
              <w:t>Validated tool to diagnose and grade digital eye strain</w:t>
            </w:r>
          </w:p>
        </w:tc>
        <w:tc>
          <w:tcPr>
            <w:tcW w:type="dxa" w:w="1036"/>
            <w:vAlign w:val="top"/>
          </w:tcPr>
          <w:p>
            <w:pPr>
              <w:spacing w:after="40" w:before="0" w:line="259" w:lineRule="auto"/>
            </w:pPr>
            <w:r>
              <w:rPr>
                <w:rFonts w:ascii="Calibri" w:hAnsi="Calibri"/>
                <w:b w:val="0"/>
                <w:i w:val="0"/>
                <w:color w:val="212121"/>
                <w:sz w:val="16"/>
              </w:rPr>
              <w:t>Screen-exposed students and workers</w:t>
            </w:r>
          </w:p>
        </w:tc>
        <w:tc>
          <w:tcPr>
            <w:tcW w:type="dxa" w:w="720"/>
            <w:vAlign w:val="top"/>
          </w:tcPr>
          <w:p>
            <w:pPr>
              <w:spacing w:after="40" w:before="0" w:line="259" w:lineRule="auto"/>
            </w:pPr>
            <w:r>
              <w:rPr>
                <w:rFonts w:ascii="Calibri" w:hAnsi="Calibri"/>
                <w:b w:val="0"/>
                <w:i w:val="0"/>
                <w:color w:val="212121"/>
                <w:sz w:val="16"/>
              </w:rPr>
              <w:t>Provoking factors; Posture</w:t>
            </w:r>
          </w:p>
        </w:tc>
        <w:tc>
          <w:tcPr>
            <w:tcW w:type="dxa" w:w="720"/>
            <w:vAlign w:val="top"/>
          </w:tcPr>
          <w:p>
            <w:pPr>
              <w:spacing w:after="40" w:before="0" w:line="259" w:lineRule="auto"/>
            </w:pPr>
            <w:r>
              <w:rPr>
                <w:rFonts w:ascii="Calibri" w:hAnsi="Calibri"/>
                <w:b w:val="0"/>
                <w:i w:val="0"/>
                <w:color w:val="212121"/>
                <w:sz w:val="16"/>
              </w:rPr>
              <w:t>Diagnostic</w:t>
            </w:r>
          </w:p>
        </w:tc>
        <w:tc>
          <w:tcPr>
            <w:tcW w:type="dxa" w:w="720"/>
            <w:vAlign w:val="top"/>
          </w:tcPr>
          <w:p>
            <w:pPr>
              <w:spacing w:after="40" w:before="0" w:line="259" w:lineRule="auto"/>
            </w:pPr>
            <w:r>
              <w:rPr>
                <w:rFonts w:ascii="Calibri" w:hAnsi="Calibri"/>
                <w:b w:val="0"/>
                <w:i w:val="0"/>
                <w:color w:val="212121"/>
                <w:sz w:val="16"/>
              </w:rPr>
              <w:t>Used in Indian university studies to quantify DES</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Refraction</w:t>
            </w:r>
          </w:p>
        </w:tc>
        <w:tc>
          <w:tcPr>
            <w:tcW w:type="dxa" w:w="1036"/>
            <w:vAlign w:val="top"/>
          </w:tcPr>
          <w:p>
            <w:pPr>
              <w:spacing w:after="40" w:before="0" w:line="259" w:lineRule="auto"/>
            </w:pPr>
            <w:r>
              <w:rPr>
                <w:rFonts w:ascii="Calibri" w:hAnsi="Calibri"/>
                <w:b w:val="0"/>
                <w:i w:val="0"/>
                <w:color w:val="212121"/>
                <w:sz w:val="16"/>
              </w:rPr>
              <w:t>Uncorrected refractive error / visual acuity</w:t>
            </w:r>
          </w:p>
        </w:tc>
        <w:tc>
          <w:tcPr>
            <w:tcW w:type="dxa" w:w="892"/>
            <w:vAlign w:val="top"/>
          </w:tcPr>
          <w:p>
            <w:pPr>
              <w:spacing w:after="40" w:before="0" w:line="259" w:lineRule="auto"/>
            </w:pPr>
            <w:r>
              <w:rPr>
                <w:rFonts w:ascii="Calibri" w:hAnsi="Calibri"/>
                <w:b w:val="0"/>
                <w:i w:val="0"/>
                <w:color w:val="212121"/>
                <w:sz w:val="16"/>
              </w:rPr>
              <w:t>Visual acuity &amp; (cycloplegic) refraction</w:t>
            </w:r>
          </w:p>
        </w:tc>
        <w:tc>
          <w:tcPr>
            <w:tcW w:type="dxa" w:w="950"/>
            <w:vAlign w:val="top"/>
          </w:tcPr>
          <w:p>
            <w:pPr>
              <w:spacing w:after="40" w:before="0" w:line="259" w:lineRule="auto"/>
            </w:pPr>
            <w:r>
              <w:rPr>
                <w:rFonts w:ascii="Calibri" w:hAnsi="Calibri"/>
                <w:b w:val="0"/>
                <w:i w:val="0"/>
                <w:color w:val="212121"/>
                <w:sz w:val="16"/>
              </w:rPr>
              <w:t>Emmetropia or fully corrected</w:t>
            </w:r>
          </w:p>
        </w:tc>
        <w:tc>
          <w:tcPr>
            <w:tcW w:type="dxa" w:w="950"/>
            <w:vAlign w:val="top"/>
          </w:tcPr>
          <w:p>
            <w:pPr>
              <w:spacing w:after="40" w:before="0" w:line="259" w:lineRule="auto"/>
            </w:pPr>
            <w:r>
              <w:rPr>
                <w:rFonts w:ascii="Calibri" w:hAnsi="Calibri"/>
                <w:b w:val="0"/>
                <w:i w:val="0"/>
                <w:color w:val="212121"/>
                <w:sz w:val="16"/>
              </w:rPr>
              <w:t>Uncorrected myopia, hypermetropia, astigmatism or presbyopia</w:t>
            </w:r>
          </w:p>
        </w:tc>
        <w:tc>
          <w:tcPr>
            <w:tcW w:type="dxa" w:w="1036"/>
            <w:vAlign w:val="top"/>
          </w:tcPr>
          <w:p>
            <w:pPr>
              <w:spacing w:after="40" w:before="0" w:line="259" w:lineRule="auto"/>
            </w:pPr>
            <w:r>
              <w:rPr>
                <w:rFonts w:ascii="Calibri" w:hAnsi="Calibri"/>
                <w:b w:val="0"/>
                <w:i w:val="0"/>
                <w:color w:val="212121"/>
                <w:sz w:val="16"/>
              </w:rPr>
              <w:t>Detects and corrects refractive causes that precipitate CVS</w:t>
            </w:r>
          </w:p>
        </w:tc>
        <w:tc>
          <w:tcPr>
            <w:tcW w:type="dxa" w:w="1036"/>
            <w:vAlign w:val="top"/>
          </w:tcPr>
          <w:p>
            <w:pPr>
              <w:spacing w:after="40" w:before="0" w:line="259" w:lineRule="auto"/>
            </w:pPr>
            <w:r>
              <w:rPr>
                <w:rFonts w:ascii="Calibri" w:hAnsi="Calibri"/>
                <w:b w:val="0"/>
                <w:i w:val="0"/>
                <w:color w:val="212121"/>
                <w:sz w:val="16"/>
              </w:rPr>
              <w:t>All CVS, children, presbyopes</w:t>
            </w:r>
          </w:p>
        </w:tc>
        <w:tc>
          <w:tcPr>
            <w:tcW w:type="dxa" w:w="720"/>
            <w:vAlign w:val="top"/>
          </w:tcPr>
          <w:p>
            <w:pPr>
              <w:spacing w:after="40" w:before="0" w:line="259" w:lineRule="auto"/>
            </w:pPr>
            <w:r>
              <w:rPr>
                <w:rFonts w:ascii="Calibri" w:hAnsi="Calibri"/>
                <w:b w:val="0"/>
                <w:i w:val="0"/>
                <w:color w:val="212121"/>
                <w:sz w:val="16"/>
              </w:rPr>
              <w:t>NA</w:t>
            </w:r>
          </w:p>
        </w:tc>
        <w:tc>
          <w:tcPr>
            <w:tcW w:type="dxa" w:w="720"/>
            <w:vAlign w:val="top"/>
          </w:tcPr>
          <w:p>
            <w:pPr>
              <w:spacing w:after="40" w:before="0" w:line="259" w:lineRule="auto"/>
            </w:pPr>
            <w:r>
              <w:rPr>
                <w:rFonts w:ascii="Calibri" w:hAnsi="Calibri"/>
                <w:b w:val="0"/>
                <w:i w:val="0"/>
                <w:color w:val="212121"/>
                <w:sz w:val="16"/>
              </w:rPr>
              <w:t>Essential (correctable cause)</w:t>
            </w:r>
          </w:p>
        </w:tc>
        <w:tc>
          <w:tcPr>
            <w:tcW w:type="dxa" w:w="720"/>
            <w:vAlign w:val="top"/>
          </w:tcPr>
          <w:p>
            <w:pPr>
              <w:spacing w:after="40" w:before="0" w:line="259" w:lineRule="auto"/>
            </w:pPr>
            <w:r>
              <w:rPr>
                <w:rFonts w:ascii="Calibri" w:hAnsi="Calibri"/>
                <w:b w:val="0"/>
                <w:i w:val="0"/>
                <w:color w:val="212121"/>
                <w:sz w:val="16"/>
              </w:rPr>
              <w:t>Even small errors can trigger symptoms</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Binocular vision</w:t>
            </w:r>
          </w:p>
        </w:tc>
        <w:tc>
          <w:tcPr>
            <w:tcW w:type="dxa" w:w="1036"/>
            <w:vAlign w:val="top"/>
          </w:tcPr>
          <w:p>
            <w:pPr>
              <w:spacing w:after="40" w:before="0" w:line="259" w:lineRule="auto"/>
            </w:pPr>
            <w:r>
              <w:rPr>
                <w:rFonts w:ascii="Calibri" w:hAnsi="Calibri"/>
                <w:b w:val="0"/>
                <w:i w:val="0"/>
                <w:color w:val="212121"/>
                <w:sz w:val="16"/>
              </w:rPr>
              <w:t>Convergence &amp; accommodation</w:t>
            </w:r>
          </w:p>
        </w:tc>
        <w:tc>
          <w:tcPr>
            <w:tcW w:type="dxa" w:w="892"/>
            <w:vAlign w:val="top"/>
          </w:tcPr>
          <w:p>
            <w:pPr>
              <w:spacing w:after="40" w:before="0" w:line="259" w:lineRule="auto"/>
            </w:pPr>
            <w:r>
              <w:rPr>
                <w:rFonts w:ascii="Calibri" w:hAnsi="Calibri"/>
                <w:b w:val="0"/>
                <w:i w:val="0"/>
                <w:color w:val="212121"/>
                <w:sz w:val="16"/>
              </w:rPr>
              <w:t>Near point of convergence (NPC), accommodative amplitude &amp; cover test</w:t>
            </w:r>
          </w:p>
        </w:tc>
        <w:tc>
          <w:tcPr>
            <w:tcW w:type="dxa" w:w="950"/>
            <w:vAlign w:val="top"/>
          </w:tcPr>
          <w:p>
            <w:pPr>
              <w:spacing w:after="40" w:before="0" w:line="259" w:lineRule="auto"/>
            </w:pPr>
            <w:r>
              <w:rPr>
                <w:rFonts w:ascii="Calibri" w:hAnsi="Calibri"/>
                <w:b w:val="0"/>
                <w:i w:val="0"/>
                <w:color w:val="212121"/>
                <w:sz w:val="16"/>
              </w:rPr>
              <w:t>NPC &lt; 8-10 cm; age-appropriate accommodation</w:t>
            </w:r>
          </w:p>
        </w:tc>
        <w:tc>
          <w:tcPr>
            <w:tcW w:type="dxa" w:w="950"/>
            <w:vAlign w:val="top"/>
          </w:tcPr>
          <w:p>
            <w:pPr>
              <w:spacing w:after="40" w:before="0" w:line="259" w:lineRule="auto"/>
            </w:pPr>
            <w:r>
              <w:rPr>
                <w:rFonts w:ascii="Calibri" w:hAnsi="Calibri"/>
                <w:b w:val="0"/>
                <w:i w:val="0"/>
                <w:color w:val="212121"/>
                <w:sz w:val="16"/>
              </w:rPr>
              <w:t>Receded NPC (convergence insufficiency); reduced accommodation</w:t>
            </w:r>
          </w:p>
        </w:tc>
        <w:tc>
          <w:tcPr>
            <w:tcW w:type="dxa" w:w="1036"/>
            <w:vAlign w:val="top"/>
          </w:tcPr>
          <w:p>
            <w:pPr>
              <w:spacing w:after="40" w:before="0" w:line="259" w:lineRule="auto"/>
            </w:pPr>
            <w:r>
              <w:rPr>
                <w:rFonts w:ascii="Calibri" w:hAnsi="Calibri"/>
                <w:b w:val="0"/>
                <w:i w:val="0"/>
                <w:color w:val="212121"/>
                <w:sz w:val="16"/>
              </w:rPr>
              <w:t>Identifies binocular/accommodative dysfunction amplifying asthenopia</w:t>
            </w:r>
          </w:p>
        </w:tc>
        <w:tc>
          <w:tcPr>
            <w:tcW w:type="dxa" w:w="1036"/>
            <w:vAlign w:val="top"/>
          </w:tcPr>
          <w:p>
            <w:pPr>
              <w:spacing w:after="40" w:before="0" w:line="259" w:lineRule="auto"/>
            </w:pPr>
            <w:r>
              <w:rPr>
                <w:rFonts w:ascii="Calibri" w:hAnsi="Calibri"/>
                <w:b w:val="0"/>
                <w:i w:val="0"/>
                <w:color w:val="212121"/>
                <w:sz w:val="16"/>
              </w:rPr>
              <w:t>Young adults and students with eye strain or diplopia</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Diagnostic</w:t>
            </w:r>
          </w:p>
        </w:tc>
        <w:tc>
          <w:tcPr>
            <w:tcW w:type="dxa" w:w="720"/>
            <w:vAlign w:val="top"/>
          </w:tcPr>
          <w:p>
            <w:pPr>
              <w:spacing w:after="40" w:before="0" w:line="259" w:lineRule="auto"/>
            </w:pPr>
            <w:r>
              <w:rPr>
                <w:rFonts w:ascii="Calibri" w:hAnsi="Calibri"/>
                <w:b w:val="0"/>
                <w:i w:val="0"/>
                <w:color w:val="212121"/>
                <w:sz w:val="16"/>
              </w:rPr>
              <w:t>Amenable to vision therapy</w:t>
            </w:r>
          </w:p>
        </w:tc>
      </w:tr>
    </w:tbl>
    <w:p>
      <w:pPr>
        <w:spacing w:before="160" w:after="120"/>
      </w:pPr>
      <w:r>
        <w:rPr>
          <w:rFonts w:ascii="Calibri" w:hAnsi="Calibri"/>
          <w:b/>
          <w:i w:val="0"/>
          <w:color w:val="212121"/>
          <w:sz w:val="22"/>
        </w:rPr>
        <w:t>Qualitative THP</w:t>
      </w:r>
    </w:p>
    <w:tbl>
      <w:tblPr>
        <w:tblW w:type="dxa" w:w="9792"/>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873"/>
        <w:gridCol w:w="873"/>
        <w:gridCol w:w="873"/>
        <w:gridCol w:w="873"/>
        <w:gridCol w:w="873"/>
        <w:gridCol w:w="873"/>
        <w:gridCol w:w="873"/>
        <w:gridCol w:w="873"/>
        <w:gridCol w:w="873"/>
        <w:gridCol w:w="873"/>
        <w:gridCol w:w="873"/>
      </w:tblGrid>
      <w:tr>
        <w:trPr>
          <w:cantSplit/>
        </w:trPr>
        <w:tc>
          <w:tcPr>
            <w:tcW w:type="dxa" w:w="892"/>
            <w:shd w:val="clear" w:color="auto" w:fill="F2F2F2"/>
            <w:vAlign w:val="center"/>
          </w:tcPr>
          <w:p>
            <w:pPr>
              <w:spacing w:after="40" w:before="0" w:line="259" w:lineRule="auto"/>
            </w:pPr>
            <w:r>
              <w:rPr>
                <w:rFonts w:ascii="Calibri" w:hAnsi="Calibri"/>
                <w:b/>
                <w:i w:val="0"/>
                <w:color w:val="212121"/>
                <w:sz w:val="16"/>
              </w:rPr>
              <w:t>Diagnostic Workup</w:t>
            </w:r>
          </w:p>
        </w:tc>
        <w:tc>
          <w:tcPr>
            <w:tcW w:type="dxa" w:w="835"/>
            <w:shd w:val="clear" w:color="auto" w:fill="F2F2F2"/>
            <w:vAlign w:val="center"/>
          </w:tcPr>
          <w:p>
            <w:pPr>
              <w:spacing w:after="40" w:before="0" w:line="259" w:lineRule="auto"/>
            </w:pPr>
            <w:r>
              <w:rPr>
                <w:rFonts w:ascii="Calibri" w:hAnsi="Calibri"/>
                <w:b/>
                <w:i w:val="0"/>
                <w:color w:val="212121"/>
                <w:sz w:val="16"/>
              </w:rPr>
              <w:t>Tests</w:t>
            </w:r>
          </w:p>
        </w:tc>
        <w:tc>
          <w:tcPr>
            <w:tcW w:type="dxa" w:w="950"/>
            <w:shd w:val="clear" w:color="auto" w:fill="F2F2F2"/>
            <w:vAlign w:val="center"/>
          </w:tcPr>
          <w:p>
            <w:pPr>
              <w:spacing w:after="40" w:before="0" w:line="259" w:lineRule="auto"/>
            </w:pPr>
            <w:r>
              <w:rPr>
                <w:rFonts w:ascii="Calibri" w:hAnsi="Calibri"/>
                <w:b/>
                <w:i w:val="0"/>
                <w:color w:val="212121"/>
                <w:sz w:val="16"/>
              </w:rPr>
              <w:t>THP</w:t>
            </w:r>
          </w:p>
        </w:tc>
        <w:tc>
          <w:tcPr>
            <w:tcW w:type="dxa" w:w="979"/>
            <w:shd w:val="clear" w:color="auto" w:fill="F2F2F2"/>
            <w:vAlign w:val="center"/>
          </w:tcPr>
          <w:p>
            <w:pPr>
              <w:spacing w:after="40" w:before="0" w:line="259" w:lineRule="auto"/>
            </w:pPr>
            <w:r>
              <w:rPr>
                <w:rFonts w:ascii="Calibri" w:hAnsi="Calibri"/>
                <w:b/>
                <w:i w:val="0"/>
                <w:color w:val="212121"/>
                <w:sz w:val="16"/>
              </w:rPr>
              <w:t>Parameter</w:t>
            </w:r>
          </w:p>
        </w:tc>
        <w:tc>
          <w:tcPr>
            <w:tcW w:type="dxa" w:w="950"/>
            <w:shd w:val="clear" w:color="auto" w:fill="F2F2F2"/>
            <w:vAlign w:val="center"/>
          </w:tcPr>
          <w:p>
            <w:pPr>
              <w:spacing w:after="40" w:before="0" w:line="259" w:lineRule="auto"/>
            </w:pPr>
            <w:r>
              <w:rPr>
                <w:rFonts w:ascii="Calibri" w:hAnsi="Calibri"/>
                <w:b/>
                <w:i w:val="0"/>
                <w:color w:val="212121"/>
                <w:sz w:val="16"/>
              </w:rPr>
              <w:t>Normal findings</w:t>
            </w:r>
          </w:p>
        </w:tc>
        <w:tc>
          <w:tcPr>
            <w:tcW w:type="dxa" w:w="950"/>
            <w:shd w:val="clear" w:color="auto" w:fill="F2F2F2"/>
            <w:vAlign w:val="center"/>
          </w:tcPr>
          <w:p>
            <w:pPr>
              <w:spacing w:after="40" w:before="0" w:line="259" w:lineRule="auto"/>
            </w:pPr>
            <w:r>
              <w:rPr>
                <w:rFonts w:ascii="Calibri" w:hAnsi="Calibri"/>
                <w:b/>
                <w:i w:val="0"/>
                <w:color w:val="212121"/>
                <w:sz w:val="16"/>
              </w:rPr>
              <w:t>Abnormal findings</w:t>
            </w:r>
          </w:p>
        </w:tc>
        <w:tc>
          <w:tcPr>
            <w:tcW w:type="dxa" w:w="1036"/>
            <w:shd w:val="clear" w:color="auto" w:fill="F2F2F2"/>
            <w:vAlign w:val="center"/>
          </w:tcPr>
          <w:p>
            <w:pPr>
              <w:spacing w:after="40" w:before="0" w:line="259" w:lineRule="auto"/>
            </w:pPr>
            <w:r>
              <w:rPr>
                <w:rFonts w:ascii="Calibri" w:hAnsi="Calibri"/>
                <w:b/>
                <w:i w:val="0"/>
                <w:color w:val="212121"/>
                <w:sz w:val="16"/>
              </w:rPr>
              <w:t>Interpretation</w:t>
            </w:r>
          </w:p>
        </w:tc>
        <w:tc>
          <w:tcPr>
            <w:tcW w:type="dxa" w:w="1036"/>
            <w:shd w:val="clear" w:color="auto" w:fill="F2F2F2"/>
            <w:vAlign w:val="center"/>
          </w:tcPr>
          <w:p>
            <w:pPr>
              <w:spacing w:after="40" w:before="0" w:line="259" w:lineRule="auto"/>
            </w:pPr>
            <w:r>
              <w:rPr>
                <w:rFonts w:ascii="Calibri" w:hAnsi="Calibri"/>
                <w:b/>
                <w:i w:val="0"/>
                <w:color w:val="212121"/>
                <w:sz w:val="16"/>
              </w:rPr>
              <w:t>Profiles</w:t>
            </w:r>
          </w:p>
        </w:tc>
        <w:tc>
          <w:tcPr>
            <w:tcW w:type="dxa" w:w="720"/>
            <w:shd w:val="clear" w:color="auto" w:fill="F2F2F2"/>
            <w:vAlign w:val="center"/>
          </w:tcPr>
          <w:p>
            <w:pPr>
              <w:spacing w:after="40" w:before="0" w:line="259" w:lineRule="auto"/>
            </w:pPr>
            <w:r>
              <w:rPr>
                <w:rFonts w:ascii="Calibri" w:hAnsi="Calibri"/>
                <w:b/>
                <w:i w:val="0"/>
                <w:color w:val="212121"/>
                <w:sz w:val="16"/>
              </w:rPr>
              <w:t>LHP</w:t>
            </w:r>
          </w:p>
        </w:tc>
        <w:tc>
          <w:tcPr>
            <w:tcW w:type="dxa" w:w="720"/>
            <w:shd w:val="clear" w:color="auto" w:fill="F2F2F2"/>
            <w:vAlign w:val="center"/>
          </w:tcPr>
          <w:p>
            <w:pPr>
              <w:spacing w:after="40" w:before="0" w:line="259" w:lineRule="auto"/>
            </w:pPr>
            <w:r>
              <w:rPr>
                <w:rFonts w:ascii="Calibri" w:hAnsi="Calibri"/>
                <w:b/>
                <w:i w:val="0"/>
                <w:color w:val="212121"/>
                <w:sz w:val="16"/>
              </w:rPr>
              <w:t>Importance</w:t>
            </w:r>
          </w:p>
        </w:tc>
        <w:tc>
          <w:tcPr>
            <w:tcW w:type="dxa" w:w="720"/>
            <w:shd w:val="clear" w:color="auto" w:fill="F2F2F2"/>
            <w:vAlign w:val="center"/>
          </w:tcPr>
          <w:p>
            <w:pPr>
              <w:spacing w:after="40" w:before="0" w:line="259" w:lineRule="auto"/>
            </w:pPr>
            <w:r>
              <w:rPr>
                <w:rFonts w:ascii="Calibri" w:hAnsi="Calibri"/>
                <w:b/>
                <w:i w:val="0"/>
                <w:color w:val="212121"/>
                <w:sz w:val="16"/>
              </w:rPr>
              <w:t>Note</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History</w:t>
            </w:r>
          </w:p>
        </w:tc>
        <w:tc>
          <w:tcPr>
            <w:tcW w:type="dxa" w:w="950"/>
            <w:vAlign w:val="top"/>
          </w:tcPr>
          <w:p>
            <w:pPr>
              <w:spacing w:after="40" w:before="0" w:line="259" w:lineRule="auto"/>
            </w:pPr>
            <w:r>
              <w:rPr>
                <w:rFonts w:ascii="Calibri" w:hAnsi="Calibri"/>
                <w:b w:val="0"/>
                <w:i w:val="0"/>
                <w:color w:val="212121"/>
                <w:sz w:val="16"/>
              </w:rPr>
              <w:t>Screen-use pattern</w:t>
            </w:r>
          </w:p>
        </w:tc>
        <w:tc>
          <w:tcPr>
            <w:tcW w:type="dxa" w:w="979"/>
            <w:vAlign w:val="top"/>
          </w:tcPr>
          <w:p>
            <w:pPr>
              <w:spacing w:after="40" w:before="0" w:line="259" w:lineRule="auto"/>
            </w:pPr>
            <w:r>
              <w:rPr>
                <w:rFonts w:ascii="Calibri" w:hAnsi="Calibri"/>
                <w:b w:val="0"/>
                <w:i w:val="0"/>
                <w:color w:val="212121"/>
                <w:sz w:val="16"/>
              </w:rPr>
              <w:t>Hours/day, continuous duration, number of devices, breaks</w:t>
            </w:r>
          </w:p>
        </w:tc>
        <w:tc>
          <w:tcPr>
            <w:tcW w:type="dxa" w:w="950"/>
            <w:vAlign w:val="top"/>
          </w:tcPr>
          <w:p>
            <w:pPr>
              <w:spacing w:after="40" w:before="0" w:line="259" w:lineRule="auto"/>
            </w:pPr>
            <w:r>
              <w:rPr>
                <w:rFonts w:ascii="Calibri" w:hAnsi="Calibri"/>
                <w:b w:val="0"/>
                <w:i w:val="0"/>
                <w:color w:val="212121"/>
                <w:sz w:val="16"/>
              </w:rPr>
              <w:t>Limited, broken screen use</w:t>
            </w:r>
          </w:p>
        </w:tc>
        <w:tc>
          <w:tcPr>
            <w:tcW w:type="dxa" w:w="950"/>
            <w:vAlign w:val="top"/>
          </w:tcPr>
          <w:p>
            <w:pPr>
              <w:spacing w:after="40" w:before="0" w:line="259" w:lineRule="auto"/>
            </w:pPr>
            <w:r>
              <w:rPr>
                <w:rFonts w:ascii="Calibri" w:hAnsi="Calibri"/>
                <w:b w:val="0"/>
                <w:i w:val="0"/>
                <w:color w:val="212121"/>
                <w:sz w:val="16"/>
              </w:rPr>
              <w:t>&gt; 4 h/day or &gt; 2 h continuous; multi-device use; no breaks</w:t>
            </w:r>
          </w:p>
        </w:tc>
        <w:tc>
          <w:tcPr>
            <w:tcW w:type="dxa" w:w="1036"/>
            <w:vAlign w:val="top"/>
          </w:tcPr>
          <w:p>
            <w:pPr>
              <w:spacing w:after="40" w:before="0" w:line="259" w:lineRule="auto"/>
            </w:pPr>
            <w:r>
              <w:rPr>
                <w:rFonts w:ascii="Calibri" w:hAnsi="Calibri"/>
                <w:b w:val="0"/>
                <w:i w:val="0"/>
                <w:color w:val="212121"/>
                <w:sz w:val="16"/>
              </w:rPr>
              <w:t>Quantifies exposure - the primary driver of CVS</w:t>
            </w:r>
          </w:p>
        </w:tc>
        <w:tc>
          <w:tcPr>
            <w:tcW w:type="dxa" w:w="1036"/>
            <w:vAlign w:val="top"/>
          </w:tcPr>
          <w:p>
            <w:pPr>
              <w:spacing w:after="40" w:before="0" w:line="259" w:lineRule="auto"/>
            </w:pPr>
            <w:r>
              <w:rPr>
                <w:rFonts w:ascii="Calibri" w:hAnsi="Calibri"/>
                <w:b w:val="0"/>
                <w:i w:val="0"/>
                <w:color w:val="212121"/>
                <w:sz w:val="16"/>
              </w:rPr>
              <w:t>Students, IT/desk workers, WFH staff</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Screening / diagnostic</w:t>
            </w:r>
          </w:p>
        </w:tc>
        <w:tc>
          <w:tcPr>
            <w:tcW w:type="dxa" w:w="720"/>
            <w:vAlign w:val="top"/>
          </w:tcPr>
          <w:p>
            <w:pPr>
              <w:spacing w:after="40" w:before="0" w:line="259" w:lineRule="auto"/>
            </w:pPr>
            <w:r>
              <w:rPr>
                <w:rFonts w:ascii="Calibri" w:hAnsi="Calibri"/>
                <w:b w:val="0"/>
                <w:i w:val="0"/>
                <w:color w:val="212121"/>
                <w:sz w:val="16"/>
              </w:rPr>
              <w:t>Ask specifically about online classes and after-hours device use</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History</w:t>
            </w:r>
          </w:p>
        </w:tc>
        <w:tc>
          <w:tcPr>
            <w:tcW w:type="dxa" w:w="950"/>
            <w:vAlign w:val="top"/>
          </w:tcPr>
          <w:p>
            <w:pPr>
              <w:spacing w:after="40" w:before="0" w:line="259" w:lineRule="auto"/>
            </w:pPr>
            <w:r>
              <w:rPr>
                <w:rFonts w:ascii="Calibri" w:hAnsi="Calibri"/>
                <w:b w:val="0"/>
                <w:i w:val="0"/>
                <w:color w:val="212121"/>
                <w:sz w:val="16"/>
              </w:rPr>
              <w:t>Symptom profile &amp; timing</w:t>
            </w:r>
          </w:p>
        </w:tc>
        <w:tc>
          <w:tcPr>
            <w:tcW w:type="dxa" w:w="979"/>
            <w:vAlign w:val="top"/>
          </w:tcPr>
          <w:p>
            <w:pPr>
              <w:spacing w:after="40" w:before="0" w:line="259" w:lineRule="auto"/>
            </w:pPr>
            <w:r>
              <w:rPr>
                <w:rFonts w:ascii="Calibri" w:hAnsi="Calibri"/>
                <w:b w:val="0"/>
                <w:i w:val="0"/>
                <w:color w:val="212121"/>
                <w:sz w:val="16"/>
              </w:rPr>
              <w:t>Eye strain, dryness, burning, watering, blurred vision, headache; relation to screens</w:t>
            </w:r>
          </w:p>
        </w:tc>
        <w:tc>
          <w:tcPr>
            <w:tcW w:type="dxa" w:w="950"/>
            <w:vAlign w:val="top"/>
          </w:tcPr>
          <w:p>
            <w:pPr>
              <w:spacing w:after="40" w:before="0" w:line="259" w:lineRule="auto"/>
            </w:pPr>
            <w:r>
              <w:rPr>
                <w:rFonts w:ascii="Calibri" w:hAnsi="Calibri"/>
                <w:b w:val="0"/>
                <w:i w:val="0"/>
                <w:color w:val="212121"/>
                <w:sz w:val="16"/>
              </w:rPr>
              <w:t>No screen-related symptoms</w:t>
            </w:r>
          </w:p>
        </w:tc>
        <w:tc>
          <w:tcPr>
            <w:tcW w:type="dxa" w:w="950"/>
            <w:vAlign w:val="top"/>
          </w:tcPr>
          <w:p>
            <w:pPr>
              <w:spacing w:after="40" w:before="0" w:line="259" w:lineRule="auto"/>
            </w:pPr>
            <w:r>
              <w:rPr>
                <w:rFonts w:ascii="Calibri" w:hAnsi="Calibri"/>
                <w:b w:val="0"/>
                <w:i w:val="0"/>
                <w:color w:val="212121"/>
                <w:sz w:val="16"/>
              </w:rPr>
              <w:t>&gt;= 2 symptoms during/after screen use, relieved by rest</w:t>
            </w:r>
          </w:p>
        </w:tc>
        <w:tc>
          <w:tcPr>
            <w:tcW w:type="dxa" w:w="1036"/>
            <w:vAlign w:val="top"/>
          </w:tcPr>
          <w:p>
            <w:pPr>
              <w:spacing w:after="40" w:before="0" w:line="259" w:lineRule="auto"/>
            </w:pPr>
            <w:r>
              <w:rPr>
                <w:rFonts w:ascii="Calibri" w:hAnsi="Calibri"/>
                <w:b w:val="0"/>
                <w:i w:val="0"/>
                <w:color w:val="212121"/>
                <w:sz w:val="16"/>
              </w:rPr>
              <w:t>Establishes the clinical, symptom-based diagnosis of CVS</w:t>
            </w:r>
          </w:p>
        </w:tc>
        <w:tc>
          <w:tcPr>
            <w:tcW w:type="dxa" w:w="1036"/>
            <w:vAlign w:val="top"/>
          </w:tcPr>
          <w:p>
            <w:pPr>
              <w:spacing w:after="40" w:before="0" w:line="259" w:lineRule="auto"/>
            </w:pPr>
            <w:r>
              <w:rPr>
                <w:rFonts w:ascii="Calibri" w:hAnsi="Calibri"/>
                <w:b w:val="0"/>
                <w:i w:val="0"/>
                <w:color w:val="212121"/>
                <w:sz w:val="16"/>
              </w:rPr>
              <w:t>All suspected CVS</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Diagnostic</w:t>
            </w:r>
          </w:p>
        </w:tc>
        <w:tc>
          <w:tcPr>
            <w:tcW w:type="dxa" w:w="720"/>
            <w:vAlign w:val="top"/>
          </w:tcPr>
          <w:p>
            <w:pPr>
              <w:spacing w:after="40" w:before="0" w:line="259" w:lineRule="auto"/>
            </w:pPr>
            <w:r>
              <w:rPr>
                <w:rFonts w:ascii="Calibri" w:hAnsi="Calibri"/>
                <w:b w:val="0"/>
                <w:i w:val="0"/>
                <w:color w:val="212121"/>
                <w:sz w:val="16"/>
              </w:rPr>
              <w:t>A temporal link to screen use is key</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History</w:t>
            </w:r>
          </w:p>
        </w:tc>
        <w:tc>
          <w:tcPr>
            <w:tcW w:type="dxa" w:w="950"/>
            <w:vAlign w:val="top"/>
          </w:tcPr>
          <w:p>
            <w:pPr>
              <w:spacing w:after="40" w:before="0" w:line="259" w:lineRule="auto"/>
            </w:pPr>
            <w:r>
              <w:rPr>
                <w:rFonts w:ascii="Calibri" w:hAnsi="Calibri"/>
                <w:b w:val="0"/>
                <w:i w:val="0"/>
                <w:color w:val="212121"/>
                <w:sz w:val="16"/>
              </w:rPr>
              <w:t>Ergonomics &amp; environment</w:t>
            </w:r>
          </w:p>
        </w:tc>
        <w:tc>
          <w:tcPr>
            <w:tcW w:type="dxa" w:w="979"/>
            <w:vAlign w:val="top"/>
          </w:tcPr>
          <w:p>
            <w:pPr>
              <w:spacing w:after="40" w:before="0" w:line="259" w:lineRule="auto"/>
            </w:pPr>
            <w:r>
              <w:rPr>
                <w:rFonts w:ascii="Calibri" w:hAnsi="Calibri"/>
                <w:b w:val="0"/>
                <w:i w:val="0"/>
                <w:color w:val="212121"/>
                <w:sz w:val="16"/>
              </w:rPr>
              <w:t>Viewing distance/angle, screen height, lighting, glare, air-conditioning</w:t>
            </w:r>
          </w:p>
        </w:tc>
        <w:tc>
          <w:tcPr>
            <w:tcW w:type="dxa" w:w="950"/>
            <w:vAlign w:val="top"/>
          </w:tcPr>
          <w:p>
            <w:pPr>
              <w:spacing w:after="40" w:before="0" w:line="259" w:lineRule="auto"/>
            </w:pPr>
            <w:r>
              <w:rPr>
                <w:rFonts w:ascii="Calibri" w:hAnsi="Calibri"/>
                <w:b w:val="0"/>
                <w:i w:val="0"/>
                <w:color w:val="212121"/>
                <w:sz w:val="16"/>
              </w:rPr>
              <w:t>Ergonomic setup</w:t>
            </w:r>
          </w:p>
        </w:tc>
        <w:tc>
          <w:tcPr>
            <w:tcW w:type="dxa" w:w="950"/>
            <w:vAlign w:val="top"/>
          </w:tcPr>
          <w:p>
            <w:pPr>
              <w:spacing w:after="40" w:before="0" w:line="259" w:lineRule="auto"/>
            </w:pPr>
            <w:r>
              <w:rPr>
                <w:rFonts w:ascii="Calibri" w:hAnsi="Calibri"/>
                <w:b w:val="0"/>
                <w:i w:val="0"/>
                <w:color w:val="212121"/>
                <w:sz w:val="16"/>
              </w:rPr>
              <w:t>Close/high screen, glare, dark-room use, dry AC air</w:t>
            </w:r>
          </w:p>
        </w:tc>
        <w:tc>
          <w:tcPr>
            <w:tcW w:type="dxa" w:w="1036"/>
            <w:vAlign w:val="top"/>
          </w:tcPr>
          <w:p>
            <w:pPr>
              <w:spacing w:after="40" w:before="0" w:line="259" w:lineRule="auto"/>
            </w:pPr>
            <w:r>
              <w:rPr>
                <w:rFonts w:ascii="Calibri" w:hAnsi="Calibri"/>
                <w:b w:val="0"/>
                <w:i w:val="0"/>
                <w:color w:val="212121"/>
                <w:sz w:val="16"/>
              </w:rPr>
              <w:t>Identifies modifiable ergonomic and environmental provokers</w:t>
            </w:r>
          </w:p>
        </w:tc>
        <w:tc>
          <w:tcPr>
            <w:tcW w:type="dxa" w:w="1036"/>
            <w:vAlign w:val="top"/>
          </w:tcPr>
          <w:p>
            <w:pPr>
              <w:spacing w:after="40" w:before="0" w:line="259" w:lineRule="auto"/>
            </w:pPr>
            <w:r>
              <w:rPr>
                <w:rFonts w:ascii="Calibri" w:hAnsi="Calibri"/>
                <w:b w:val="0"/>
                <w:i w:val="0"/>
                <w:color w:val="212121"/>
                <w:sz w:val="16"/>
              </w:rPr>
              <w:t>Office, WFH and student users</w:t>
            </w:r>
          </w:p>
        </w:tc>
        <w:tc>
          <w:tcPr>
            <w:tcW w:type="dxa" w:w="720"/>
            <w:vAlign w:val="top"/>
          </w:tcPr>
          <w:p>
            <w:pPr>
              <w:spacing w:after="40" w:before="0" w:line="259" w:lineRule="auto"/>
            </w:pPr>
            <w:r>
              <w:rPr>
                <w:rFonts w:ascii="Calibri" w:hAnsi="Calibri"/>
                <w:b w:val="0"/>
                <w:i w:val="0"/>
                <w:color w:val="212121"/>
                <w:sz w:val="16"/>
              </w:rPr>
              <w:t>Posture; Provoking factors</w:t>
            </w:r>
          </w:p>
        </w:tc>
        <w:tc>
          <w:tcPr>
            <w:tcW w:type="dxa" w:w="720"/>
            <w:vAlign w:val="top"/>
          </w:tcPr>
          <w:p>
            <w:pPr>
              <w:spacing w:after="40" w:before="0" w:line="259" w:lineRule="auto"/>
            </w:pPr>
            <w:r>
              <w:rPr>
                <w:rFonts w:ascii="Calibri" w:hAnsi="Calibri"/>
                <w:b w:val="0"/>
                <w:i w:val="0"/>
                <w:color w:val="212121"/>
                <w:sz w:val="16"/>
              </w:rPr>
              <w:t>Diagnostic / therapeutic</w:t>
            </w:r>
          </w:p>
        </w:tc>
        <w:tc>
          <w:tcPr>
            <w:tcW w:type="dxa" w:w="720"/>
            <w:vAlign w:val="top"/>
          </w:tcPr>
          <w:p>
            <w:pPr>
              <w:spacing w:after="40" w:before="0" w:line="259" w:lineRule="auto"/>
            </w:pPr>
            <w:r>
              <w:rPr>
                <w:rFonts w:ascii="Calibri" w:hAnsi="Calibri"/>
                <w:b w:val="0"/>
                <w:i w:val="0"/>
                <w:color w:val="212121"/>
                <w:sz w:val="16"/>
              </w:rPr>
              <w:t>Guides workstation correction</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History</w:t>
            </w:r>
          </w:p>
        </w:tc>
        <w:tc>
          <w:tcPr>
            <w:tcW w:type="dxa" w:w="950"/>
            <w:vAlign w:val="top"/>
          </w:tcPr>
          <w:p>
            <w:pPr>
              <w:spacing w:after="40" w:before="0" w:line="259" w:lineRule="auto"/>
            </w:pPr>
            <w:r>
              <w:rPr>
                <w:rFonts w:ascii="Calibri" w:hAnsi="Calibri"/>
                <w:b w:val="0"/>
                <w:i w:val="0"/>
                <w:color w:val="212121"/>
                <w:sz w:val="16"/>
              </w:rPr>
              <w:t>Refractive &amp; spectacle history</w:t>
            </w:r>
          </w:p>
        </w:tc>
        <w:tc>
          <w:tcPr>
            <w:tcW w:type="dxa" w:w="979"/>
            <w:vAlign w:val="top"/>
          </w:tcPr>
          <w:p>
            <w:pPr>
              <w:spacing w:after="40" w:before="0" w:line="259" w:lineRule="auto"/>
            </w:pPr>
            <w:r>
              <w:rPr>
                <w:rFonts w:ascii="Calibri" w:hAnsi="Calibri"/>
                <w:b w:val="0"/>
                <w:i w:val="0"/>
                <w:color w:val="212121"/>
                <w:sz w:val="16"/>
              </w:rPr>
              <w:t>Existing correction, presbyopia, last eye test, contact lens wear</w:t>
            </w:r>
          </w:p>
        </w:tc>
        <w:tc>
          <w:tcPr>
            <w:tcW w:type="dxa" w:w="950"/>
            <w:vAlign w:val="top"/>
          </w:tcPr>
          <w:p>
            <w:pPr>
              <w:spacing w:after="40" w:before="0" w:line="259" w:lineRule="auto"/>
            </w:pPr>
            <w:r>
              <w:rPr>
                <w:rFonts w:ascii="Calibri" w:hAnsi="Calibri"/>
                <w:b w:val="0"/>
                <w:i w:val="0"/>
                <w:color w:val="212121"/>
                <w:sz w:val="16"/>
              </w:rPr>
              <w:t>Up-to-date correction</w:t>
            </w:r>
          </w:p>
        </w:tc>
        <w:tc>
          <w:tcPr>
            <w:tcW w:type="dxa" w:w="950"/>
            <w:vAlign w:val="top"/>
          </w:tcPr>
          <w:p>
            <w:pPr>
              <w:spacing w:after="40" w:before="0" w:line="259" w:lineRule="auto"/>
            </w:pPr>
            <w:r>
              <w:rPr>
                <w:rFonts w:ascii="Calibri" w:hAnsi="Calibri"/>
                <w:b w:val="0"/>
                <w:i w:val="0"/>
                <w:color w:val="212121"/>
                <w:sz w:val="16"/>
              </w:rPr>
              <w:t>Uncorrected error, overdue check, lens overwear</w:t>
            </w:r>
          </w:p>
        </w:tc>
        <w:tc>
          <w:tcPr>
            <w:tcW w:type="dxa" w:w="1036"/>
            <w:vAlign w:val="top"/>
          </w:tcPr>
          <w:p>
            <w:pPr>
              <w:spacing w:after="40" w:before="0" w:line="259" w:lineRule="auto"/>
            </w:pPr>
            <w:r>
              <w:rPr>
                <w:rFonts w:ascii="Calibri" w:hAnsi="Calibri"/>
                <w:b w:val="0"/>
                <w:i w:val="0"/>
                <w:color w:val="212121"/>
                <w:sz w:val="16"/>
              </w:rPr>
              <w:t>Flags correctable refractive contributors</w:t>
            </w:r>
          </w:p>
        </w:tc>
        <w:tc>
          <w:tcPr>
            <w:tcW w:type="dxa" w:w="1036"/>
            <w:vAlign w:val="top"/>
          </w:tcPr>
          <w:p>
            <w:pPr>
              <w:spacing w:after="40" w:before="0" w:line="259" w:lineRule="auto"/>
            </w:pPr>
            <w:r>
              <w:rPr>
                <w:rFonts w:ascii="Calibri" w:hAnsi="Calibri"/>
                <w:b w:val="0"/>
                <w:i w:val="0"/>
                <w:color w:val="212121"/>
                <w:sz w:val="16"/>
              </w:rPr>
              <w:t>All CVS, presbyopes, contact lens wearers</w:t>
            </w:r>
          </w:p>
        </w:tc>
        <w:tc>
          <w:tcPr>
            <w:tcW w:type="dxa" w:w="720"/>
            <w:vAlign w:val="top"/>
          </w:tcPr>
          <w:p>
            <w:pPr>
              <w:spacing w:after="40" w:before="0" w:line="259" w:lineRule="auto"/>
            </w:pPr>
            <w:r>
              <w:rPr>
                <w:rFonts w:ascii="Calibri" w:hAnsi="Calibri"/>
                <w:b w:val="0"/>
                <w:i w:val="0"/>
                <w:color w:val="212121"/>
                <w:sz w:val="16"/>
              </w:rPr>
              <w:t>NA</w:t>
            </w:r>
          </w:p>
        </w:tc>
        <w:tc>
          <w:tcPr>
            <w:tcW w:type="dxa" w:w="720"/>
            <w:vAlign w:val="top"/>
          </w:tcPr>
          <w:p>
            <w:pPr>
              <w:spacing w:after="40" w:before="0" w:line="259" w:lineRule="auto"/>
            </w:pPr>
            <w:r>
              <w:rPr>
                <w:rFonts w:ascii="Calibri" w:hAnsi="Calibri"/>
                <w:b w:val="0"/>
                <w:i w:val="0"/>
                <w:color w:val="212121"/>
                <w:sz w:val="16"/>
              </w:rPr>
              <w:t>Diagnostic</w:t>
            </w:r>
          </w:p>
        </w:tc>
        <w:tc>
          <w:tcPr>
            <w:tcW w:type="dxa" w:w="720"/>
            <w:vAlign w:val="top"/>
          </w:tcPr>
          <w:p>
            <w:pPr>
              <w:spacing w:after="40" w:before="0" w:line="259" w:lineRule="auto"/>
            </w:pPr>
            <w:r>
              <w:rPr>
                <w:rFonts w:ascii="Calibri" w:hAnsi="Calibri"/>
                <w:b w:val="0"/>
                <w:i w:val="0"/>
                <w:color w:val="212121"/>
                <w:sz w:val="16"/>
              </w:rPr>
              <w:t>Small uncorrected errors are easily missed</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Examination</w:t>
            </w:r>
          </w:p>
        </w:tc>
        <w:tc>
          <w:tcPr>
            <w:tcW w:type="dxa" w:w="950"/>
            <w:vAlign w:val="top"/>
          </w:tcPr>
          <w:p>
            <w:pPr>
              <w:spacing w:after="40" w:before="0" w:line="259" w:lineRule="auto"/>
            </w:pPr>
            <w:r>
              <w:rPr>
                <w:rFonts w:ascii="Calibri" w:hAnsi="Calibri"/>
                <w:b w:val="0"/>
                <w:i w:val="0"/>
                <w:color w:val="212121"/>
                <w:sz w:val="16"/>
              </w:rPr>
              <w:t>Anterior segment / lid margin</w:t>
            </w:r>
          </w:p>
        </w:tc>
        <w:tc>
          <w:tcPr>
            <w:tcW w:type="dxa" w:w="979"/>
            <w:vAlign w:val="top"/>
          </w:tcPr>
          <w:p>
            <w:pPr>
              <w:spacing w:after="40" w:before="0" w:line="259" w:lineRule="auto"/>
            </w:pPr>
            <w:r>
              <w:rPr>
                <w:rFonts w:ascii="Calibri" w:hAnsi="Calibri"/>
                <w:b w:val="0"/>
                <w:i w:val="0"/>
                <w:color w:val="212121"/>
                <w:sz w:val="16"/>
              </w:rPr>
              <w:t>Slit-lamp: conjunctival redness, lid margin, meibomian glands, tear meniscus</w:t>
            </w:r>
          </w:p>
        </w:tc>
        <w:tc>
          <w:tcPr>
            <w:tcW w:type="dxa" w:w="950"/>
            <w:vAlign w:val="top"/>
          </w:tcPr>
          <w:p>
            <w:pPr>
              <w:spacing w:after="40" w:before="0" w:line="259" w:lineRule="auto"/>
            </w:pPr>
            <w:r>
              <w:rPr>
                <w:rFonts w:ascii="Calibri" w:hAnsi="Calibri"/>
                <w:b w:val="0"/>
                <w:i w:val="0"/>
                <w:color w:val="212121"/>
                <w:sz w:val="16"/>
              </w:rPr>
              <w:t>Healthy ocular surface</w:t>
            </w:r>
          </w:p>
        </w:tc>
        <w:tc>
          <w:tcPr>
            <w:tcW w:type="dxa" w:w="950"/>
            <w:vAlign w:val="top"/>
          </w:tcPr>
          <w:p>
            <w:pPr>
              <w:spacing w:after="40" w:before="0" w:line="259" w:lineRule="auto"/>
            </w:pPr>
            <w:r>
              <w:rPr>
                <w:rFonts w:ascii="Calibri" w:hAnsi="Calibri"/>
                <w:b w:val="0"/>
                <w:i w:val="0"/>
                <w:color w:val="212121"/>
                <w:sz w:val="16"/>
              </w:rPr>
              <w:t>Hyperaemia, blepharitis/MGD, low tear meniscus</w:t>
            </w:r>
          </w:p>
        </w:tc>
        <w:tc>
          <w:tcPr>
            <w:tcW w:type="dxa" w:w="1036"/>
            <w:vAlign w:val="top"/>
          </w:tcPr>
          <w:p>
            <w:pPr>
              <w:spacing w:after="40" w:before="0" w:line="259" w:lineRule="auto"/>
            </w:pPr>
            <w:r>
              <w:rPr>
                <w:rFonts w:ascii="Calibri" w:hAnsi="Calibri"/>
                <w:b w:val="0"/>
                <w:i w:val="0"/>
                <w:color w:val="212121"/>
                <w:sz w:val="16"/>
              </w:rPr>
              <w:t>Detects the ocular-surface / dry-eye component</w:t>
            </w:r>
          </w:p>
        </w:tc>
        <w:tc>
          <w:tcPr>
            <w:tcW w:type="dxa" w:w="1036"/>
            <w:vAlign w:val="top"/>
          </w:tcPr>
          <w:p>
            <w:pPr>
              <w:spacing w:after="40" w:before="0" w:line="259" w:lineRule="auto"/>
            </w:pPr>
            <w:r>
              <w:rPr>
                <w:rFonts w:ascii="Calibri" w:hAnsi="Calibri"/>
                <w:b w:val="0"/>
                <w:i w:val="0"/>
                <w:color w:val="212121"/>
                <w:sz w:val="16"/>
              </w:rPr>
              <w:t>Symptomatic screen users</w:t>
            </w:r>
          </w:p>
        </w:tc>
        <w:tc>
          <w:tcPr>
            <w:tcW w:type="dxa" w:w="720"/>
            <w:vAlign w:val="top"/>
          </w:tcPr>
          <w:p>
            <w:pPr>
              <w:spacing w:after="40" w:before="0" w:line="259" w:lineRule="auto"/>
            </w:pPr>
            <w:r>
              <w:rPr>
                <w:rFonts w:ascii="Calibri" w:hAnsi="Calibri"/>
                <w:b w:val="0"/>
                <w:i w:val="0"/>
                <w:color w:val="212121"/>
                <w:sz w:val="16"/>
              </w:rPr>
              <w:t>Hygiene</w:t>
            </w:r>
          </w:p>
        </w:tc>
        <w:tc>
          <w:tcPr>
            <w:tcW w:type="dxa" w:w="720"/>
            <w:vAlign w:val="top"/>
          </w:tcPr>
          <w:p>
            <w:pPr>
              <w:spacing w:after="40" w:before="0" w:line="259" w:lineRule="auto"/>
            </w:pPr>
            <w:r>
              <w:rPr>
                <w:rFonts w:ascii="Calibri" w:hAnsi="Calibri"/>
                <w:b w:val="0"/>
                <w:i w:val="0"/>
                <w:color w:val="212121"/>
                <w:sz w:val="16"/>
              </w:rPr>
              <w:t>Diagnostic</w:t>
            </w:r>
          </w:p>
        </w:tc>
        <w:tc>
          <w:tcPr>
            <w:tcW w:type="dxa" w:w="720"/>
            <w:vAlign w:val="top"/>
          </w:tcPr>
          <w:p>
            <w:pPr>
              <w:spacing w:after="40" w:before="0" w:line="259" w:lineRule="auto"/>
            </w:pPr>
            <w:r>
              <w:rPr>
                <w:rFonts w:ascii="Calibri" w:hAnsi="Calibri"/>
                <w:b w:val="0"/>
                <w:i w:val="0"/>
                <w:color w:val="212121"/>
                <w:sz w:val="16"/>
              </w:rPr>
              <w:t>Often normal in mild CVS</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Examination</w:t>
            </w:r>
          </w:p>
        </w:tc>
        <w:tc>
          <w:tcPr>
            <w:tcW w:type="dxa" w:w="950"/>
            <w:vAlign w:val="top"/>
          </w:tcPr>
          <w:p>
            <w:pPr>
              <w:spacing w:after="40" w:before="0" w:line="259" w:lineRule="auto"/>
            </w:pPr>
            <w:r>
              <w:rPr>
                <w:rFonts w:ascii="Calibri" w:hAnsi="Calibri"/>
                <w:b w:val="0"/>
                <w:i w:val="0"/>
                <w:color w:val="212121"/>
                <w:sz w:val="16"/>
              </w:rPr>
              <w:t>Blink assessment</w:t>
            </w:r>
          </w:p>
        </w:tc>
        <w:tc>
          <w:tcPr>
            <w:tcW w:type="dxa" w:w="979"/>
            <w:vAlign w:val="top"/>
          </w:tcPr>
          <w:p>
            <w:pPr>
              <w:spacing w:after="40" w:before="0" w:line="259" w:lineRule="auto"/>
            </w:pPr>
            <w:r>
              <w:rPr>
                <w:rFonts w:ascii="Calibri" w:hAnsi="Calibri"/>
                <w:b w:val="0"/>
                <w:i w:val="0"/>
                <w:color w:val="212121"/>
                <w:sz w:val="16"/>
              </w:rPr>
              <w:t>Blink rate and completeness during a near task</w:t>
            </w:r>
          </w:p>
        </w:tc>
        <w:tc>
          <w:tcPr>
            <w:tcW w:type="dxa" w:w="950"/>
            <w:vAlign w:val="top"/>
          </w:tcPr>
          <w:p>
            <w:pPr>
              <w:spacing w:after="40" w:before="0" w:line="259" w:lineRule="auto"/>
            </w:pPr>
            <w:r>
              <w:rPr>
                <w:rFonts w:ascii="Calibri" w:hAnsi="Calibri"/>
                <w:b w:val="0"/>
                <w:i w:val="0"/>
                <w:color w:val="212121"/>
                <w:sz w:val="16"/>
              </w:rPr>
              <w:t>~15-22/min, complete blinks</w:t>
            </w:r>
          </w:p>
        </w:tc>
        <w:tc>
          <w:tcPr>
            <w:tcW w:type="dxa" w:w="950"/>
            <w:vAlign w:val="top"/>
          </w:tcPr>
          <w:p>
            <w:pPr>
              <w:spacing w:after="40" w:before="0" w:line="259" w:lineRule="auto"/>
            </w:pPr>
            <w:r>
              <w:rPr>
                <w:rFonts w:ascii="Calibri" w:hAnsi="Calibri"/>
                <w:b w:val="0"/>
                <w:i w:val="0"/>
                <w:color w:val="212121"/>
                <w:sz w:val="16"/>
              </w:rPr>
              <w:t>Reduced rate / incomplete blinks</w:t>
            </w:r>
          </w:p>
        </w:tc>
        <w:tc>
          <w:tcPr>
            <w:tcW w:type="dxa" w:w="1036"/>
            <w:vAlign w:val="top"/>
          </w:tcPr>
          <w:p>
            <w:pPr>
              <w:spacing w:after="40" w:before="0" w:line="259" w:lineRule="auto"/>
            </w:pPr>
            <w:r>
              <w:rPr>
                <w:rFonts w:ascii="Calibri" w:hAnsi="Calibri"/>
                <w:b w:val="0"/>
                <w:i w:val="0"/>
                <w:color w:val="212121"/>
                <w:sz w:val="16"/>
              </w:rPr>
              <w:t>Reduced and incomplete blinking underlies evaporative dryness</w:t>
            </w:r>
          </w:p>
        </w:tc>
        <w:tc>
          <w:tcPr>
            <w:tcW w:type="dxa" w:w="1036"/>
            <w:vAlign w:val="top"/>
          </w:tcPr>
          <w:p>
            <w:pPr>
              <w:spacing w:after="40" w:before="0" w:line="259" w:lineRule="auto"/>
            </w:pPr>
            <w:r>
              <w:rPr>
                <w:rFonts w:ascii="Calibri" w:hAnsi="Calibri"/>
                <w:b w:val="0"/>
                <w:i w:val="0"/>
                <w:color w:val="212121"/>
                <w:sz w:val="16"/>
              </w:rPr>
              <w:t>Heavy screen users</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Supportive</w:t>
            </w:r>
          </w:p>
        </w:tc>
        <w:tc>
          <w:tcPr>
            <w:tcW w:type="dxa" w:w="720"/>
            <w:vAlign w:val="top"/>
          </w:tcPr>
          <w:p>
            <w:pPr>
              <w:spacing w:after="40" w:before="0" w:line="259" w:lineRule="auto"/>
            </w:pPr>
            <w:r>
              <w:rPr>
                <w:rFonts w:ascii="Calibri" w:hAnsi="Calibri"/>
                <w:b w:val="0"/>
                <w:i w:val="0"/>
                <w:color w:val="212121"/>
                <w:sz w:val="16"/>
              </w:rPr>
              <w:t>Observed clinically during the consultation</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History</w:t>
            </w:r>
          </w:p>
        </w:tc>
        <w:tc>
          <w:tcPr>
            <w:tcW w:type="dxa" w:w="950"/>
            <w:vAlign w:val="top"/>
          </w:tcPr>
          <w:p>
            <w:pPr>
              <w:spacing w:after="40" w:before="0" w:line="259" w:lineRule="auto"/>
            </w:pPr>
            <w:r>
              <w:rPr>
                <w:rFonts w:ascii="Calibri" w:hAnsi="Calibri"/>
                <w:b w:val="0"/>
                <w:i w:val="0"/>
                <w:color w:val="212121"/>
                <w:sz w:val="16"/>
              </w:rPr>
              <w:t>Extraocular symptoms</w:t>
            </w:r>
          </w:p>
        </w:tc>
        <w:tc>
          <w:tcPr>
            <w:tcW w:type="dxa" w:w="979"/>
            <w:vAlign w:val="top"/>
          </w:tcPr>
          <w:p>
            <w:pPr>
              <w:spacing w:after="40" w:before="0" w:line="259" w:lineRule="auto"/>
            </w:pPr>
            <w:r>
              <w:rPr>
                <w:rFonts w:ascii="Calibri" w:hAnsi="Calibri"/>
                <w:b w:val="0"/>
                <w:i w:val="0"/>
                <w:color w:val="212121"/>
                <w:sz w:val="16"/>
              </w:rPr>
              <w:t>Headache, neck, shoulder and back pain; photophobia</w:t>
            </w:r>
          </w:p>
        </w:tc>
        <w:tc>
          <w:tcPr>
            <w:tcW w:type="dxa" w:w="950"/>
            <w:vAlign w:val="top"/>
          </w:tcPr>
          <w:p>
            <w:pPr>
              <w:spacing w:after="40" w:before="0" w:line="259" w:lineRule="auto"/>
            </w:pPr>
            <w:r>
              <w:rPr>
                <w:rFonts w:ascii="Calibri" w:hAnsi="Calibri"/>
                <w:b w:val="0"/>
                <w:i w:val="0"/>
                <w:color w:val="212121"/>
                <w:sz w:val="16"/>
              </w:rPr>
              <w:t>None</w:t>
            </w:r>
          </w:p>
        </w:tc>
        <w:tc>
          <w:tcPr>
            <w:tcW w:type="dxa" w:w="950"/>
            <w:vAlign w:val="top"/>
          </w:tcPr>
          <w:p>
            <w:pPr>
              <w:spacing w:after="40" w:before="0" w:line="259" w:lineRule="auto"/>
            </w:pPr>
            <w:r>
              <w:rPr>
                <w:rFonts w:ascii="Calibri" w:hAnsi="Calibri"/>
                <w:b w:val="0"/>
                <w:i w:val="0"/>
                <w:color w:val="212121"/>
                <w:sz w:val="16"/>
              </w:rPr>
              <w:t>Present after screen work</w:t>
            </w:r>
          </w:p>
        </w:tc>
        <w:tc>
          <w:tcPr>
            <w:tcW w:type="dxa" w:w="1036"/>
            <w:vAlign w:val="top"/>
          </w:tcPr>
          <w:p>
            <w:pPr>
              <w:spacing w:after="40" w:before="0" w:line="259" w:lineRule="auto"/>
            </w:pPr>
            <w:r>
              <w:rPr>
                <w:rFonts w:ascii="Calibri" w:hAnsi="Calibri"/>
                <w:b w:val="0"/>
                <w:i w:val="0"/>
                <w:color w:val="212121"/>
                <w:sz w:val="16"/>
              </w:rPr>
              <w:t>Captures the musculoskeletal and asthenopic burden of CVS</w:t>
            </w:r>
          </w:p>
        </w:tc>
        <w:tc>
          <w:tcPr>
            <w:tcW w:type="dxa" w:w="1036"/>
            <w:vAlign w:val="top"/>
          </w:tcPr>
          <w:p>
            <w:pPr>
              <w:spacing w:after="40" w:before="0" w:line="259" w:lineRule="auto"/>
            </w:pPr>
            <w:r>
              <w:rPr>
                <w:rFonts w:ascii="Calibri" w:hAnsi="Calibri"/>
                <w:b w:val="0"/>
                <w:i w:val="0"/>
                <w:color w:val="212121"/>
                <w:sz w:val="16"/>
              </w:rPr>
              <w:t>Desk/screen workers, students</w:t>
            </w:r>
          </w:p>
        </w:tc>
        <w:tc>
          <w:tcPr>
            <w:tcW w:type="dxa" w:w="720"/>
            <w:vAlign w:val="top"/>
          </w:tcPr>
          <w:p>
            <w:pPr>
              <w:spacing w:after="40" w:before="0" w:line="259" w:lineRule="auto"/>
            </w:pPr>
            <w:r>
              <w:rPr>
                <w:rFonts w:ascii="Calibri" w:hAnsi="Calibri"/>
                <w:b w:val="0"/>
                <w:i w:val="0"/>
                <w:color w:val="212121"/>
                <w:sz w:val="16"/>
              </w:rPr>
              <w:t>Posture; Mental health</w:t>
            </w:r>
          </w:p>
        </w:tc>
        <w:tc>
          <w:tcPr>
            <w:tcW w:type="dxa" w:w="720"/>
            <w:vAlign w:val="top"/>
          </w:tcPr>
          <w:p>
            <w:pPr>
              <w:spacing w:after="40" w:before="0" w:line="259" w:lineRule="auto"/>
            </w:pPr>
            <w:r>
              <w:rPr>
                <w:rFonts w:ascii="Calibri" w:hAnsi="Calibri"/>
                <w:b w:val="0"/>
                <w:i w:val="0"/>
                <w:color w:val="212121"/>
                <w:sz w:val="16"/>
              </w:rPr>
              <w:t>Screening</w:t>
            </w:r>
          </w:p>
        </w:tc>
        <w:tc>
          <w:tcPr>
            <w:tcW w:type="dxa" w:w="720"/>
            <w:vAlign w:val="top"/>
          </w:tcPr>
          <w:p>
            <w:pPr>
              <w:spacing w:after="40" w:before="0" w:line="259" w:lineRule="auto"/>
            </w:pPr>
            <w:r>
              <w:rPr>
                <w:rFonts w:ascii="Calibri" w:hAnsi="Calibri"/>
                <w:b w:val="0"/>
                <w:i w:val="0"/>
                <w:color w:val="212121"/>
                <w:sz w:val="16"/>
              </w:rPr>
              <w:t>Headache ~70% and neck pain ~65% in Indian students in one survey</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History</w:t>
            </w:r>
          </w:p>
        </w:tc>
        <w:tc>
          <w:tcPr>
            <w:tcW w:type="dxa" w:w="950"/>
            <w:vAlign w:val="top"/>
          </w:tcPr>
          <w:p>
            <w:pPr>
              <w:spacing w:after="40" w:before="0" w:line="259" w:lineRule="auto"/>
            </w:pPr>
            <w:r>
              <w:rPr>
                <w:rFonts w:ascii="Calibri" w:hAnsi="Calibri"/>
                <w:b w:val="0"/>
                <w:i w:val="0"/>
                <w:color w:val="212121"/>
                <w:sz w:val="16"/>
              </w:rPr>
              <w:t>Sleep &amp; psychosocial</w:t>
            </w:r>
          </w:p>
        </w:tc>
        <w:tc>
          <w:tcPr>
            <w:tcW w:type="dxa" w:w="979"/>
            <w:vAlign w:val="top"/>
          </w:tcPr>
          <w:p>
            <w:pPr>
              <w:spacing w:after="40" w:before="0" w:line="259" w:lineRule="auto"/>
            </w:pPr>
            <w:r>
              <w:rPr>
                <w:rFonts w:ascii="Calibri" w:hAnsi="Calibri"/>
                <w:b w:val="0"/>
                <w:i w:val="0"/>
                <w:color w:val="212121"/>
                <w:sz w:val="16"/>
              </w:rPr>
              <w:t>Sleep quality, evening screen use, stress and mood</w:t>
            </w:r>
          </w:p>
        </w:tc>
        <w:tc>
          <w:tcPr>
            <w:tcW w:type="dxa" w:w="950"/>
            <w:vAlign w:val="top"/>
          </w:tcPr>
          <w:p>
            <w:pPr>
              <w:spacing w:after="40" w:before="0" w:line="259" w:lineRule="auto"/>
            </w:pPr>
            <w:r>
              <w:rPr>
                <w:rFonts w:ascii="Calibri" w:hAnsi="Calibri"/>
                <w:b w:val="0"/>
                <w:i w:val="0"/>
                <w:color w:val="212121"/>
                <w:sz w:val="16"/>
              </w:rPr>
              <w:t>Good sleep, low stress</w:t>
            </w:r>
          </w:p>
        </w:tc>
        <w:tc>
          <w:tcPr>
            <w:tcW w:type="dxa" w:w="950"/>
            <w:vAlign w:val="top"/>
          </w:tcPr>
          <w:p>
            <w:pPr>
              <w:spacing w:after="40" w:before="0" w:line="259" w:lineRule="auto"/>
            </w:pPr>
            <w:r>
              <w:rPr>
                <w:rFonts w:ascii="Calibri" w:hAnsi="Calibri"/>
                <w:b w:val="0"/>
                <w:i w:val="0"/>
                <w:color w:val="212121"/>
                <w:sz w:val="16"/>
              </w:rPr>
              <w:t>Poor sleep, night screen use, high stress</w:t>
            </w:r>
          </w:p>
        </w:tc>
        <w:tc>
          <w:tcPr>
            <w:tcW w:type="dxa" w:w="1036"/>
            <w:vAlign w:val="top"/>
          </w:tcPr>
          <w:p>
            <w:pPr>
              <w:spacing w:after="40" w:before="0" w:line="259" w:lineRule="auto"/>
            </w:pPr>
            <w:r>
              <w:rPr>
                <w:rFonts w:ascii="Calibri" w:hAnsi="Calibri"/>
                <w:b w:val="0"/>
                <w:i w:val="0"/>
                <w:color w:val="212121"/>
                <w:sz w:val="16"/>
              </w:rPr>
              <w:t>Identifies the sleep and mental-health interaction with CVS</w:t>
            </w:r>
          </w:p>
        </w:tc>
        <w:tc>
          <w:tcPr>
            <w:tcW w:type="dxa" w:w="1036"/>
            <w:vAlign w:val="top"/>
          </w:tcPr>
          <w:p>
            <w:pPr>
              <w:spacing w:after="40" w:before="0" w:line="259" w:lineRule="auto"/>
            </w:pPr>
            <w:r>
              <w:rPr>
                <w:rFonts w:ascii="Calibri" w:hAnsi="Calibri"/>
                <w:b w:val="0"/>
                <w:i w:val="0"/>
                <w:color w:val="212121"/>
                <w:sz w:val="16"/>
              </w:rPr>
              <w:t>Students and professionals</w:t>
            </w:r>
          </w:p>
        </w:tc>
        <w:tc>
          <w:tcPr>
            <w:tcW w:type="dxa" w:w="720"/>
            <w:vAlign w:val="top"/>
          </w:tcPr>
          <w:p>
            <w:pPr>
              <w:spacing w:after="40" w:before="0" w:line="259" w:lineRule="auto"/>
            </w:pPr>
            <w:r>
              <w:rPr>
                <w:rFonts w:ascii="Calibri" w:hAnsi="Calibri"/>
                <w:b w:val="0"/>
                <w:i w:val="0"/>
                <w:color w:val="212121"/>
                <w:sz w:val="16"/>
              </w:rPr>
              <w:t>Sleep; Mental health</w:t>
            </w:r>
          </w:p>
        </w:tc>
        <w:tc>
          <w:tcPr>
            <w:tcW w:type="dxa" w:w="720"/>
            <w:vAlign w:val="top"/>
          </w:tcPr>
          <w:p>
            <w:pPr>
              <w:spacing w:after="40" w:before="0" w:line="259" w:lineRule="auto"/>
            </w:pPr>
            <w:r>
              <w:rPr>
                <w:rFonts w:ascii="Calibri" w:hAnsi="Calibri"/>
                <w:b w:val="0"/>
                <w:i w:val="0"/>
                <w:color w:val="212121"/>
                <w:sz w:val="16"/>
              </w:rPr>
              <w:t>Supportive</w:t>
            </w:r>
          </w:p>
        </w:tc>
        <w:tc>
          <w:tcPr>
            <w:tcW w:type="dxa" w:w="720"/>
            <w:vAlign w:val="top"/>
          </w:tcPr>
          <w:p>
            <w:pPr>
              <w:spacing w:after="40" w:before="0" w:line="259" w:lineRule="auto"/>
            </w:pPr>
            <w:r>
              <w:rPr>
                <w:rFonts w:ascii="Calibri" w:hAnsi="Calibri"/>
                <w:b w:val="0"/>
                <w:i w:val="0"/>
                <w:color w:val="212121"/>
                <w:sz w:val="16"/>
              </w:rPr>
              <w:t>Poor sleep quality in about 75% of CVS sufferers in one study</w:t>
            </w:r>
          </w:p>
        </w:tc>
      </w:tr>
    </w:tbl>
    <w:p>
      <w:pPr>
        <w:spacing w:before="200" w:after="120"/>
      </w:pPr>
      <w:r>
        <w:rPr>
          <w:rFonts w:ascii="Calibri" w:hAnsi="Calibri"/>
          <w:b/>
          <w:i w:val="0"/>
          <w:color w:val="212121"/>
          <w:sz w:val="25"/>
        </w:rPr>
        <w:t>Clinical features</w:t>
      </w:r>
    </w:p>
    <w:p>
      <w:pPr>
        <w:spacing w:before="160" w:after="120"/>
      </w:pPr>
      <w:r>
        <w:rPr>
          <w:rFonts w:ascii="Calibri" w:hAnsi="Calibri"/>
          <w:b/>
          <w:i w:val="0"/>
          <w:color w:val="212121"/>
          <w:sz w:val="22"/>
        </w:rPr>
        <w:t>Symptoms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2304"/>
            <w:shd w:val="clear" w:color="auto" w:fill="F2F2F2"/>
            <w:vAlign w:val="center"/>
          </w:tcPr>
          <w:p>
            <w:pPr>
              <w:spacing w:after="40" w:before="0" w:line="259" w:lineRule="auto"/>
            </w:pPr>
            <w:r>
              <w:rPr>
                <w:rFonts w:ascii="Calibri" w:hAnsi="Calibri"/>
                <w:b/>
                <w:i w:val="0"/>
                <w:color w:val="212121"/>
                <w:sz w:val="19"/>
              </w:rPr>
              <w:t>Symptom</w:t>
            </w:r>
          </w:p>
        </w:tc>
        <w:tc>
          <w:tcPr>
            <w:tcW w:type="dxa" w:w="1584"/>
            <w:shd w:val="clear" w:color="auto" w:fill="F2F2F2"/>
            <w:vAlign w:val="center"/>
          </w:tcPr>
          <w:p>
            <w:pPr>
              <w:spacing w:after="40" w:before="0" w:line="259" w:lineRule="auto"/>
            </w:pPr>
            <w:r>
              <w:rPr>
                <w:rFonts w:ascii="Calibri" w:hAnsi="Calibri"/>
                <w:b/>
                <w:i w:val="0"/>
                <w:color w:val="212121"/>
                <w:sz w:val="19"/>
              </w:rPr>
              <w:t>Type</w:t>
            </w:r>
          </w:p>
        </w:tc>
        <w:tc>
          <w:tcPr>
            <w:tcW w:type="dxa" w:w="5716"/>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2304"/>
            <w:vAlign w:val="top"/>
          </w:tcPr>
          <w:p>
            <w:pPr>
              <w:spacing w:after="40" w:before="0" w:line="259" w:lineRule="auto"/>
            </w:pPr>
            <w:r>
              <w:rPr>
                <w:rFonts w:ascii="Calibri" w:hAnsi="Calibri"/>
                <w:b/>
                <w:i w:val="0"/>
                <w:color w:val="212121"/>
                <w:sz w:val="19"/>
              </w:rPr>
              <w:t>Eye strain / tired eyes</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The hallmark symptom: ocular fatigue, ache or heaviness during and after prolonged screen use, from sustained accommodation-convergence effort.</w:t>
            </w:r>
          </w:p>
        </w:tc>
      </w:tr>
      <w:tr>
        <w:trPr>
          <w:cantSplit/>
        </w:trPr>
        <w:tc>
          <w:tcPr>
            <w:tcW w:type="dxa" w:w="2304"/>
            <w:vAlign w:val="top"/>
          </w:tcPr>
          <w:p>
            <w:pPr>
              <w:spacing w:after="40" w:before="0" w:line="259" w:lineRule="auto"/>
            </w:pPr>
            <w:r>
              <w:rPr>
                <w:rFonts w:ascii="Calibri" w:hAnsi="Calibri"/>
                <w:b/>
                <w:i w:val="0"/>
                <w:color w:val="212121"/>
                <w:sz w:val="19"/>
              </w:rPr>
              <w:t>Dry eyes / grittiness</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Reduced and incomplete blinking increases tear evaporation, causing dryness and a sandy, foreign-body sensation.</w:t>
            </w:r>
          </w:p>
        </w:tc>
      </w:tr>
      <w:tr>
        <w:trPr>
          <w:cantSplit/>
        </w:trPr>
        <w:tc>
          <w:tcPr>
            <w:tcW w:type="dxa" w:w="2304"/>
            <w:vAlign w:val="top"/>
          </w:tcPr>
          <w:p>
            <w:pPr>
              <w:spacing w:after="40" w:before="0" w:line="259" w:lineRule="auto"/>
            </w:pPr>
            <w:r>
              <w:rPr>
                <w:rFonts w:ascii="Calibri" w:hAnsi="Calibri"/>
                <w:b/>
                <w:i w:val="0"/>
                <w:color w:val="212121"/>
                <w:sz w:val="19"/>
              </w:rPr>
              <w:t>Burning / irritation</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Ocular-surface irritation from tear-film instability; a burning sensation was reported by about 40% of students in one Indian survey.</w:t>
            </w:r>
          </w:p>
        </w:tc>
      </w:tr>
      <w:tr>
        <w:trPr>
          <w:cantSplit/>
        </w:trPr>
        <w:tc>
          <w:tcPr>
            <w:tcW w:type="dxa" w:w="2304"/>
            <w:vAlign w:val="top"/>
          </w:tcPr>
          <w:p>
            <w:pPr>
              <w:spacing w:after="40" w:before="0" w:line="259" w:lineRule="auto"/>
            </w:pPr>
            <w:r>
              <w:rPr>
                <w:rFonts w:ascii="Calibri" w:hAnsi="Calibri"/>
                <w:b/>
                <w:i w:val="0"/>
                <w:color w:val="212121"/>
                <w:sz w:val="19"/>
              </w:rPr>
              <w:t>Reflex watering / tearing</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Paradoxical watering as the eye reflexively responds to a dry, irritated surface; tearing was reported by about 45% of students in one Indian survey.</w:t>
            </w:r>
          </w:p>
        </w:tc>
      </w:tr>
      <w:tr>
        <w:trPr>
          <w:cantSplit/>
        </w:trPr>
        <w:tc>
          <w:tcPr>
            <w:tcW w:type="dxa" w:w="2304"/>
            <w:vAlign w:val="top"/>
          </w:tcPr>
          <w:p>
            <w:pPr>
              <w:spacing w:after="40" w:before="0" w:line="259" w:lineRule="auto"/>
            </w:pPr>
            <w:r>
              <w:rPr>
                <w:rFonts w:ascii="Calibri" w:hAnsi="Calibri"/>
                <w:b/>
                <w:i w:val="0"/>
                <w:color w:val="212121"/>
                <w:sz w:val="19"/>
              </w:rPr>
              <w:t>Blurred vision (near)</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Transient blurring of near vision from accommodative fatigue and an unstable tear film, typically clearing with rest.</w:t>
            </w:r>
          </w:p>
        </w:tc>
      </w:tr>
      <w:tr>
        <w:trPr>
          <w:cantSplit/>
        </w:trPr>
        <w:tc>
          <w:tcPr>
            <w:tcW w:type="dxa" w:w="2304"/>
            <w:vAlign w:val="top"/>
          </w:tcPr>
          <w:p>
            <w:pPr>
              <w:spacing w:after="40" w:before="0" w:line="259" w:lineRule="auto"/>
            </w:pPr>
            <w:r>
              <w:rPr>
                <w:rFonts w:ascii="Calibri" w:hAnsi="Calibri"/>
                <w:b/>
                <w:i w:val="0"/>
                <w:color w:val="212121"/>
                <w:sz w:val="19"/>
              </w:rPr>
              <w:t>Headache</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Frontal, temporal or brow-ache headache from sustained near effort and uncorrected refractive error; the single most common symptom (~70%) in some Indian student surveys.</w:t>
            </w:r>
          </w:p>
        </w:tc>
      </w:tr>
      <w:tr>
        <w:trPr>
          <w:cantSplit/>
        </w:trPr>
        <w:tc>
          <w:tcPr>
            <w:tcW w:type="dxa" w:w="2304"/>
            <w:vAlign w:val="top"/>
          </w:tcPr>
          <w:p>
            <w:pPr>
              <w:spacing w:after="40" w:before="0" w:line="259" w:lineRule="auto"/>
            </w:pPr>
            <w:r>
              <w:rPr>
                <w:rFonts w:ascii="Calibri" w:hAnsi="Calibri"/>
                <w:b/>
                <w:i w:val="0"/>
                <w:color w:val="212121"/>
                <w:sz w:val="19"/>
              </w:rPr>
              <w:t>Difficulty refocusing / delayed distance focus</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Slow or effortful shift of focus from screen to distance after prolonged near work (accommodative lag).</w:t>
            </w:r>
          </w:p>
        </w:tc>
      </w:tr>
      <w:tr>
        <w:trPr>
          <w:cantSplit/>
        </w:trPr>
        <w:tc>
          <w:tcPr>
            <w:tcW w:type="dxa" w:w="2304"/>
            <w:vAlign w:val="top"/>
          </w:tcPr>
          <w:p>
            <w:pPr>
              <w:spacing w:after="40" w:before="0" w:line="259" w:lineRule="auto"/>
            </w:pPr>
            <w:r>
              <w:rPr>
                <w:rFonts w:ascii="Calibri" w:hAnsi="Calibri"/>
                <w:b/>
                <w:i w:val="0"/>
                <w:color w:val="212121"/>
                <w:sz w:val="19"/>
              </w:rPr>
              <w:t>Neck, shoulder and back pain</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Ergonomic and postural strain from screen height, forward-head posture and prolonged sitting; neck pain reported by about 65% of students in one Indian survey.</w:t>
            </w:r>
          </w:p>
        </w:tc>
      </w:tr>
      <w:tr>
        <w:trPr>
          <w:cantSplit/>
        </w:trPr>
        <w:tc>
          <w:tcPr>
            <w:tcW w:type="dxa" w:w="2304"/>
            <w:vAlign w:val="top"/>
          </w:tcPr>
          <w:p>
            <w:pPr>
              <w:spacing w:after="40" w:before="0" w:line="259" w:lineRule="auto"/>
            </w:pPr>
            <w:r>
              <w:rPr>
                <w:rFonts w:ascii="Calibri" w:hAnsi="Calibri"/>
                <w:b/>
                <w:i w:val="0"/>
                <w:color w:val="212121"/>
                <w:sz w:val="19"/>
              </w:rPr>
              <w:t>Eye redness</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Conjunctival hyperaemia from ocular-surface dryness and irritation; reported by about 69% of surveyed Indian schoolchildren.</w:t>
            </w:r>
          </w:p>
        </w:tc>
      </w:tr>
      <w:tr>
        <w:trPr>
          <w:cantSplit/>
        </w:trPr>
        <w:tc>
          <w:tcPr>
            <w:tcW w:type="dxa" w:w="2304"/>
            <w:vAlign w:val="top"/>
          </w:tcPr>
          <w:p>
            <w:pPr>
              <w:spacing w:after="40" w:before="0" w:line="259" w:lineRule="auto"/>
            </w:pPr>
            <w:r>
              <w:rPr>
                <w:rFonts w:ascii="Calibri" w:hAnsi="Calibri"/>
                <w:b/>
                <w:i w:val="0"/>
                <w:color w:val="212121"/>
                <w:sz w:val="19"/>
              </w:rPr>
              <w:t>Heaviness of the eyelids</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A sense of heavy, tired lids after screen work; the most prevalent symptom (79.7%) in a survey of Indian schoolchildren.</w:t>
            </w:r>
          </w:p>
        </w:tc>
      </w:tr>
      <w:tr>
        <w:trPr>
          <w:cantSplit/>
        </w:trPr>
        <w:tc>
          <w:tcPr>
            <w:tcW w:type="dxa" w:w="2304"/>
            <w:vAlign w:val="top"/>
          </w:tcPr>
          <w:p>
            <w:pPr>
              <w:spacing w:after="40" w:before="0" w:line="259" w:lineRule="auto"/>
            </w:pPr>
            <w:r>
              <w:rPr>
                <w:rFonts w:ascii="Calibri" w:hAnsi="Calibri"/>
                <w:b/>
                <w:i w:val="0"/>
                <w:color w:val="212121"/>
                <w:sz w:val="19"/>
              </w:rPr>
              <w:t>Photophobia (light sensitivity)</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Increased sensitivity to light, often accompanying eye strain and headache.</w:t>
            </w:r>
          </w:p>
        </w:tc>
      </w:tr>
      <w:tr>
        <w:trPr>
          <w:cantSplit/>
        </w:trPr>
        <w:tc>
          <w:tcPr>
            <w:tcW w:type="dxa" w:w="2304"/>
            <w:vAlign w:val="top"/>
          </w:tcPr>
          <w:p>
            <w:pPr>
              <w:spacing w:after="40" w:before="0" w:line="259" w:lineRule="auto"/>
            </w:pPr>
            <w:r>
              <w:rPr>
                <w:rFonts w:ascii="Calibri" w:hAnsi="Calibri"/>
                <w:b/>
                <w:i w:val="0"/>
                <w:color w:val="212121"/>
                <w:sz w:val="19"/>
              </w:rPr>
              <w:t>Double vision (diplopia)</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Intermittent doubling from decompensating convergence or accommodation during sustained near tasks.</w:t>
            </w:r>
          </w:p>
        </w:tc>
      </w:tr>
      <w:tr>
        <w:trPr>
          <w:cantSplit/>
        </w:trPr>
        <w:tc>
          <w:tcPr>
            <w:tcW w:type="dxa" w:w="2304"/>
            <w:vAlign w:val="top"/>
          </w:tcPr>
          <w:p>
            <w:pPr>
              <w:spacing w:after="40" w:before="0" w:line="259" w:lineRule="auto"/>
            </w:pPr>
            <w:r>
              <w:rPr>
                <w:rFonts w:ascii="Calibri" w:hAnsi="Calibri"/>
                <w:b/>
                <w:i w:val="0"/>
                <w:color w:val="212121"/>
                <w:sz w:val="19"/>
              </w:rPr>
              <w:t>Persistent after-image blur / fluctuating distance vision</w:t>
            </w:r>
          </w:p>
        </w:tc>
        <w:tc>
          <w:tcPr>
            <w:tcW w:type="dxa" w:w="1584"/>
            <w:vAlign w:val="top"/>
          </w:tcPr>
          <w:p>
            <w:pPr>
              <w:spacing w:after="40" w:before="0" w:line="259" w:lineRule="auto"/>
            </w:pPr>
            <w:r>
              <w:rPr>
                <w:rFonts w:ascii="Calibri" w:hAnsi="Calibri"/>
                <w:b w:val="0"/>
                <w:i w:val="0"/>
                <w:color w:val="212121"/>
                <w:sz w:val="19"/>
              </w:rPr>
              <w:t>Rare</w:t>
            </w:r>
          </w:p>
        </w:tc>
        <w:tc>
          <w:tcPr>
            <w:tcW w:type="dxa" w:w="5716"/>
            <w:vAlign w:val="top"/>
          </w:tcPr>
          <w:p>
            <w:pPr>
              <w:spacing w:after="40" w:before="0" w:line="259" w:lineRule="auto"/>
            </w:pPr>
            <w:r>
              <w:rPr>
                <w:rFonts w:ascii="Calibri" w:hAnsi="Calibri"/>
                <w:b w:val="0"/>
                <w:i w:val="0"/>
                <w:color w:val="212121"/>
                <w:sz w:val="19"/>
              </w:rPr>
              <w:t>Occasional persistence of blur or fluctuating distance vision after very prolonged screen use; usually transient.</w:t>
            </w:r>
          </w:p>
        </w:tc>
      </w:tr>
    </w:tbl>
    <w:p>
      <w:pPr>
        <w:spacing w:before="160" w:after="120"/>
      </w:pPr>
      <w:r>
        <w:rPr>
          <w:rFonts w:ascii="Calibri" w:hAnsi="Calibri"/>
          <w:b/>
          <w:i w:val="0"/>
          <w:color w:val="212121"/>
          <w:sz w:val="22"/>
        </w:rPr>
        <w:t>Signs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3456"/>
            <w:shd w:val="clear" w:color="auto" w:fill="F2F2F2"/>
            <w:vAlign w:val="center"/>
          </w:tcPr>
          <w:p>
            <w:pPr>
              <w:spacing w:after="40" w:before="0" w:line="259" w:lineRule="auto"/>
            </w:pPr>
            <w:r>
              <w:rPr>
                <w:rFonts w:ascii="Calibri" w:hAnsi="Calibri"/>
                <w:b/>
                <w:i w:val="0"/>
                <w:color w:val="212121"/>
                <w:sz w:val="19"/>
              </w:rPr>
              <w:t>Sign</w:t>
            </w:r>
          </w:p>
        </w:tc>
        <w:tc>
          <w:tcPr>
            <w:tcW w:type="dxa" w:w="1728"/>
            <w:shd w:val="clear" w:color="auto" w:fill="F2F2F2"/>
            <w:vAlign w:val="center"/>
          </w:tcPr>
          <w:p>
            <w:pPr>
              <w:spacing w:after="40" w:before="0" w:line="259" w:lineRule="auto"/>
            </w:pPr>
            <w:r>
              <w:rPr>
                <w:rFonts w:ascii="Calibri" w:hAnsi="Calibri"/>
                <w:b/>
                <w:i w:val="0"/>
                <w:color w:val="212121"/>
                <w:sz w:val="19"/>
              </w:rPr>
              <w:t>Type</w:t>
            </w:r>
          </w:p>
        </w:tc>
        <w:tc>
          <w:tcPr>
            <w:tcW w:type="dxa" w:w="4420"/>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3456"/>
            <w:vAlign w:val="top"/>
          </w:tcPr>
          <w:p>
            <w:pPr>
              <w:spacing w:after="40" w:before="0" w:line="259" w:lineRule="auto"/>
            </w:pPr>
            <w:r>
              <w:rPr>
                <w:rFonts w:ascii="Calibri" w:hAnsi="Calibri"/>
                <w:b/>
                <w:i w:val="0"/>
                <w:color w:val="212121"/>
                <w:sz w:val="19"/>
              </w:rPr>
              <w:t>Reduced / incomplete blink rate</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Objectively fewer and less complete blinks during near screen tasks, dropping from about 22 to as low as 7 per minute.</w:t>
            </w:r>
          </w:p>
        </w:tc>
      </w:tr>
      <w:tr>
        <w:trPr>
          <w:cantSplit/>
        </w:trPr>
        <w:tc>
          <w:tcPr>
            <w:tcW w:type="dxa" w:w="3456"/>
            <w:vAlign w:val="top"/>
          </w:tcPr>
          <w:p>
            <w:pPr>
              <w:spacing w:after="40" w:before="0" w:line="259" w:lineRule="auto"/>
            </w:pPr>
            <w:r>
              <w:rPr>
                <w:rFonts w:ascii="Calibri" w:hAnsi="Calibri"/>
                <w:b/>
                <w:i w:val="0"/>
                <w:color w:val="212121"/>
                <w:sz w:val="19"/>
              </w:rPr>
              <w:t>Reduced tear break-up time (TBUT)</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Tear film breaks up in under 10 seconds on fluorescein, indicating instability.</w:t>
            </w:r>
          </w:p>
        </w:tc>
      </w:tr>
      <w:tr>
        <w:trPr>
          <w:cantSplit/>
        </w:trPr>
        <w:tc>
          <w:tcPr>
            <w:tcW w:type="dxa" w:w="3456"/>
            <w:vAlign w:val="top"/>
          </w:tcPr>
          <w:p>
            <w:pPr>
              <w:spacing w:after="40" w:before="0" w:line="259" w:lineRule="auto"/>
            </w:pPr>
            <w:r>
              <w:rPr>
                <w:rFonts w:ascii="Calibri" w:hAnsi="Calibri"/>
                <w:b/>
                <w:i w:val="0"/>
                <w:color w:val="212121"/>
                <w:sz w:val="19"/>
              </w:rPr>
              <w:t>Conjunctival hyperaemia (redness)</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Diffuse ocular-surface redness from dryness and irritation.</w:t>
            </w:r>
          </w:p>
        </w:tc>
      </w:tr>
      <w:tr>
        <w:trPr>
          <w:cantSplit/>
        </w:trPr>
        <w:tc>
          <w:tcPr>
            <w:tcW w:type="dxa" w:w="3456"/>
            <w:vAlign w:val="top"/>
          </w:tcPr>
          <w:p>
            <w:pPr>
              <w:spacing w:after="40" w:before="0" w:line="259" w:lineRule="auto"/>
            </w:pPr>
            <w:r>
              <w:rPr>
                <w:rFonts w:ascii="Calibri" w:hAnsi="Calibri"/>
                <w:b/>
                <w:i w:val="0"/>
                <w:color w:val="212121"/>
                <w:sz w:val="19"/>
              </w:rPr>
              <w:t>Punctate corneal / conjunctival staining</w:t>
            </w:r>
          </w:p>
        </w:tc>
        <w:tc>
          <w:tcPr>
            <w:tcW w:type="dxa" w:w="1728"/>
            <w:vAlign w:val="top"/>
          </w:tcPr>
          <w:p>
            <w:pPr>
              <w:spacing w:after="40" w:before="0" w:line="259" w:lineRule="auto"/>
            </w:pPr>
            <w:r>
              <w:rPr>
                <w:rFonts w:ascii="Calibri" w:hAnsi="Calibri"/>
                <w:b w:val="0"/>
                <w:i w:val="0"/>
                <w:color w:val="212121"/>
                <w:sz w:val="19"/>
              </w:rPr>
              <w:t>Less common</w:t>
            </w:r>
          </w:p>
        </w:tc>
        <w:tc>
          <w:tcPr>
            <w:tcW w:type="dxa" w:w="4420"/>
            <w:vAlign w:val="top"/>
          </w:tcPr>
          <w:p>
            <w:pPr>
              <w:spacing w:after="40" w:before="0" w:line="259" w:lineRule="auto"/>
            </w:pPr>
            <w:r>
              <w:rPr>
                <w:rFonts w:ascii="Calibri" w:hAnsi="Calibri"/>
                <w:b w:val="0"/>
                <w:i w:val="0"/>
                <w:color w:val="212121"/>
                <w:sz w:val="19"/>
              </w:rPr>
              <w:t>Fluorescein or lissamine-green punctate staining in more chronic or severe cases.</w:t>
            </w:r>
          </w:p>
        </w:tc>
      </w:tr>
      <w:tr>
        <w:trPr>
          <w:cantSplit/>
        </w:trPr>
        <w:tc>
          <w:tcPr>
            <w:tcW w:type="dxa" w:w="3456"/>
            <w:vAlign w:val="top"/>
          </w:tcPr>
          <w:p>
            <w:pPr>
              <w:spacing w:after="40" w:before="0" w:line="259" w:lineRule="auto"/>
            </w:pPr>
            <w:r>
              <w:rPr>
                <w:rFonts w:ascii="Calibri" w:hAnsi="Calibri"/>
                <w:b/>
                <w:i w:val="0"/>
                <w:color w:val="212121"/>
                <w:sz w:val="19"/>
              </w:rPr>
              <w:t>Lid-margin disease / meibomian gland dysfunction</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Blepharitis, capped or blocked meibomian glands and frothy tears contributing to evaporative dry eye.</w:t>
            </w:r>
          </w:p>
        </w:tc>
      </w:tr>
      <w:tr>
        <w:trPr>
          <w:cantSplit/>
        </w:trPr>
        <w:tc>
          <w:tcPr>
            <w:tcW w:type="dxa" w:w="3456"/>
            <w:vAlign w:val="top"/>
          </w:tcPr>
          <w:p>
            <w:pPr>
              <w:spacing w:after="40" w:before="0" w:line="259" w:lineRule="auto"/>
            </w:pPr>
            <w:r>
              <w:rPr>
                <w:rFonts w:ascii="Calibri" w:hAnsi="Calibri"/>
                <w:b/>
                <w:i w:val="0"/>
                <w:color w:val="212121"/>
                <w:sz w:val="19"/>
              </w:rPr>
              <w:t>Reduced Schirmer's wetting</w:t>
            </w:r>
          </w:p>
        </w:tc>
        <w:tc>
          <w:tcPr>
            <w:tcW w:type="dxa" w:w="1728"/>
            <w:vAlign w:val="top"/>
          </w:tcPr>
          <w:p>
            <w:pPr>
              <w:spacing w:after="40" w:before="0" w:line="259" w:lineRule="auto"/>
            </w:pPr>
            <w:r>
              <w:rPr>
                <w:rFonts w:ascii="Calibri" w:hAnsi="Calibri"/>
                <w:b w:val="0"/>
                <w:i w:val="0"/>
                <w:color w:val="212121"/>
                <w:sz w:val="19"/>
              </w:rPr>
              <w:t>Less common</w:t>
            </w:r>
          </w:p>
        </w:tc>
        <w:tc>
          <w:tcPr>
            <w:tcW w:type="dxa" w:w="4420"/>
            <w:vAlign w:val="top"/>
          </w:tcPr>
          <w:p>
            <w:pPr>
              <w:spacing w:after="40" w:before="0" w:line="259" w:lineRule="auto"/>
            </w:pPr>
            <w:r>
              <w:rPr>
                <w:rFonts w:ascii="Calibri" w:hAnsi="Calibri"/>
                <w:b w:val="0"/>
                <w:i w:val="0"/>
                <w:color w:val="212121"/>
                <w:sz w:val="19"/>
              </w:rPr>
              <w:t>Low tear production (&lt; 10 mm/5 min) in the aqueous-deficient subset.</w:t>
            </w:r>
          </w:p>
        </w:tc>
      </w:tr>
      <w:tr>
        <w:trPr>
          <w:cantSplit/>
        </w:trPr>
        <w:tc>
          <w:tcPr>
            <w:tcW w:type="dxa" w:w="3456"/>
            <w:vAlign w:val="top"/>
          </w:tcPr>
          <w:p>
            <w:pPr>
              <w:spacing w:after="40" w:before="0" w:line="259" w:lineRule="auto"/>
            </w:pPr>
            <w:r>
              <w:rPr>
                <w:rFonts w:ascii="Calibri" w:hAnsi="Calibri"/>
                <w:b/>
                <w:i w:val="0"/>
                <w:color w:val="212121"/>
                <w:sz w:val="19"/>
              </w:rPr>
              <w:t>Receded near point of convergence</w:t>
            </w:r>
          </w:p>
        </w:tc>
        <w:tc>
          <w:tcPr>
            <w:tcW w:type="dxa" w:w="1728"/>
            <w:vAlign w:val="top"/>
          </w:tcPr>
          <w:p>
            <w:pPr>
              <w:spacing w:after="40" w:before="0" w:line="259" w:lineRule="auto"/>
            </w:pPr>
            <w:r>
              <w:rPr>
                <w:rFonts w:ascii="Calibri" w:hAnsi="Calibri"/>
                <w:b w:val="0"/>
                <w:i w:val="0"/>
                <w:color w:val="212121"/>
                <w:sz w:val="19"/>
              </w:rPr>
              <w:t>Less common</w:t>
            </w:r>
          </w:p>
        </w:tc>
        <w:tc>
          <w:tcPr>
            <w:tcW w:type="dxa" w:w="4420"/>
            <w:vAlign w:val="top"/>
          </w:tcPr>
          <w:p>
            <w:pPr>
              <w:spacing w:after="40" w:before="0" w:line="259" w:lineRule="auto"/>
            </w:pPr>
            <w:r>
              <w:rPr>
                <w:rFonts w:ascii="Calibri" w:hAnsi="Calibri"/>
                <w:b w:val="0"/>
                <w:i w:val="0"/>
                <w:color w:val="212121"/>
                <w:sz w:val="19"/>
              </w:rPr>
              <w:t>Convergence insufficiency demonstrated on NPC testing, reproducing asthenopia.</w:t>
            </w:r>
          </w:p>
        </w:tc>
      </w:tr>
      <w:tr>
        <w:trPr>
          <w:cantSplit/>
        </w:trPr>
        <w:tc>
          <w:tcPr>
            <w:tcW w:type="dxa" w:w="3456"/>
            <w:vAlign w:val="top"/>
          </w:tcPr>
          <w:p>
            <w:pPr>
              <w:spacing w:after="40" w:before="0" w:line="259" w:lineRule="auto"/>
            </w:pPr>
            <w:r>
              <w:rPr>
                <w:rFonts w:ascii="Calibri" w:hAnsi="Calibri"/>
                <w:b/>
                <w:i w:val="0"/>
                <w:color w:val="212121"/>
                <w:sz w:val="19"/>
              </w:rPr>
              <w:t>Uncorrected refractive error on refraction</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Hypermetropia, astigmatism or presbyopia found on refraction and correctable.</w:t>
            </w:r>
          </w:p>
        </w:tc>
      </w:tr>
      <w:tr>
        <w:trPr>
          <w:cantSplit/>
        </w:trPr>
        <w:tc>
          <w:tcPr>
            <w:tcW w:type="dxa" w:w="3456"/>
            <w:vAlign w:val="top"/>
          </w:tcPr>
          <w:p>
            <w:pPr>
              <w:spacing w:after="40" w:before="0" w:line="259" w:lineRule="auto"/>
            </w:pPr>
            <w:r>
              <w:rPr>
                <w:rFonts w:ascii="Calibri" w:hAnsi="Calibri"/>
                <w:b/>
                <w:i w:val="0"/>
                <w:color w:val="212121"/>
                <w:sz w:val="19"/>
              </w:rPr>
              <w:t>Normal anterior segment despite symptoms</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In mild CVS the eye examination is frequently unremarkable, underscoring its symptom-based diagnosis.</w:t>
            </w:r>
          </w:p>
        </w:tc>
      </w:tr>
      <w:tr>
        <w:trPr>
          <w:cantSplit/>
        </w:trPr>
        <w:tc>
          <w:tcPr>
            <w:tcW w:type="dxa" w:w="3456"/>
            <w:vAlign w:val="top"/>
          </w:tcPr>
          <w:p>
            <w:pPr>
              <w:spacing w:after="40" w:before="0" w:line="259" w:lineRule="auto"/>
            </w:pPr>
            <w:r>
              <w:rPr>
                <w:rFonts w:ascii="Calibri" w:hAnsi="Calibri"/>
                <w:b/>
                <w:i w:val="0"/>
                <w:color w:val="212121"/>
                <w:sz w:val="19"/>
              </w:rPr>
              <w:t>Forward-head / non-ergonomic workstation posture</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Observed poor posture, and a high or close screen with neck flexion, at the workstation.</w:t>
            </w:r>
          </w:p>
        </w:tc>
      </w:tr>
    </w:tbl>
    <w:p>
      <w:pPr>
        <w:spacing w:before="200" w:after="120"/>
      </w:pPr>
      <w:r>
        <w:rPr>
          <w:rFonts w:ascii="Calibri" w:hAnsi="Calibri"/>
          <w:b/>
          <w:i w:val="0"/>
          <w:color w:val="212121"/>
          <w:sz w:val="25"/>
        </w:rPr>
        <w:t>Concomitant conditions</w:t>
      </w:r>
    </w:p>
    <w:p>
      <w:pPr>
        <w:spacing w:before="160" w:after="120"/>
      </w:pPr>
      <w:r>
        <w:rPr>
          <w:rFonts w:ascii="Calibri" w:hAnsi="Calibri"/>
          <w:b/>
          <w:i w:val="0"/>
          <w:color w:val="212121"/>
          <w:sz w:val="22"/>
        </w:rPr>
        <w:t>Relationship Types (classification key)</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4802"/>
        <w:gridCol w:w="4802"/>
      </w:tblGrid>
      <w:tr>
        <w:trPr>
          <w:cantSplit/>
        </w:trPr>
        <w:tc>
          <w:tcPr>
            <w:tcW w:type="dxa" w:w="2808"/>
            <w:shd w:val="clear" w:color="auto" w:fill="F2F2F2"/>
            <w:vAlign w:val="center"/>
          </w:tcPr>
          <w:p>
            <w:pPr>
              <w:spacing w:after="40" w:before="0" w:line="259" w:lineRule="auto"/>
            </w:pPr>
            <w:r>
              <w:rPr>
                <w:rFonts w:ascii="Calibri" w:hAnsi="Calibri"/>
                <w:b/>
                <w:i w:val="0"/>
                <w:color w:val="212121"/>
                <w:sz w:val="19"/>
              </w:rPr>
              <w:t>Relationship type</w:t>
            </w:r>
          </w:p>
        </w:tc>
        <w:tc>
          <w:tcPr>
            <w:tcW w:type="dxa" w:w="6796"/>
            <w:shd w:val="clear" w:color="auto" w:fill="F2F2F2"/>
            <w:vAlign w:val="center"/>
          </w:tcPr>
          <w:p>
            <w:pPr>
              <w:spacing w:after="40" w:before="0" w:line="259" w:lineRule="auto"/>
            </w:pPr>
            <w:r>
              <w:rPr>
                <w:rFonts w:ascii="Calibri" w:hAnsi="Calibri"/>
                <w:b/>
                <w:i w:val="0"/>
                <w:color w:val="212121"/>
                <w:sz w:val="19"/>
              </w:rPr>
              <w:t>Definition</w:t>
            </w:r>
          </w:p>
        </w:tc>
      </w:tr>
      <w:tr>
        <w:trPr>
          <w:cantSplit/>
        </w:trPr>
        <w:tc>
          <w:tcPr>
            <w:tcW w:type="dxa" w:w="2808"/>
            <w:vAlign w:val="top"/>
          </w:tcPr>
          <w:p>
            <w:pPr>
              <w:spacing w:after="40" w:before="0" w:line="259" w:lineRule="auto"/>
            </w:pPr>
            <w:r>
              <w:rPr>
                <w:rFonts w:ascii="Calibri" w:hAnsi="Calibri"/>
                <w:b/>
                <w:i w:val="0"/>
                <w:color w:val="212121"/>
                <w:sz w:val="19"/>
              </w:rPr>
              <w:t>Predisposes To</w:t>
            </w:r>
          </w:p>
        </w:tc>
        <w:tc>
          <w:tcPr>
            <w:tcW w:type="dxa" w:w="6796"/>
            <w:vAlign w:val="top"/>
          </w:tcPr>
          <w:p>
            <w:pPr>
              <w:spacing w:after="40" w:before="0" w:line="259" w:lineRule="auto"/>
            </w:pPr>
            <w:r>
              <w:rPr>
                <w:rFonts w:ascii="Calibri" w:hAnsi="Calibri"/>
                <w:b w:val="0"/>
                <w:i w:val="0"/>
                <w:color w:val="212121"/>
                <w:sz w:val="19"/>
              </w:rPr>
              <w:t>One condition increases the likelihood of developing another.</w:t>
            </w:r>
          </w:p>
        </w:tc>
      </w:tr>
      <w:tr>
        <w:trPr>
          <w:cantSplit/>
        </w:trPr>
        <w:tc>
          <w:tcPr>
            <w:tcW w:type="dxa" w:w="2808"/>
            <w:vAlign w:val="top"/>
          </w:tcPr>
          <w:p>
            <w:pPr>
              <w:spacing w:after="40" w:before="0" w:line="259" w:lineRule="auto"/>
            </w:pPr>
            <w:r>
              <w:rPr>
                <w:rFonts w:ascii="Calibri" w:hAnsi="Calibri"/>
                <w:b/>
                <w:i w:val="0"/>
                <w:color w:val="212121"/>
                <w:sz w:val="19"/>
              </w:rPr>
              <w:t>Bidirectional Association</w:t>
            </w:r>
          </w:p>
        </w:tc>
        <w:tc>
          <w:tcPr>
            <w:tcW w:type="dxa" w:w="6796"/>
            <w:vAlign w:val="top"/>
          </w:tcPr>
          <w:p>
            <w:pPr>
              <w:spacing w:after="40" w:before="0" w:line="259" w:lineRule="auto"/>
            </w:pPr>
            <w:r>
              <w:rPr>
                <w:rFonts w:ascii="Calibri" w:hAnsi="Calibri"/>
                <w:b w:val="0"/>
                <w:i w:val="0"/>
                <w:color w:val="212121"/>
                <w:sz w:val="19"/>
              </w:rPr>
              <w:t>Both conditions influence each other.</w:t>
            </w:r>
          </w:p>
        </w:tc>
      </w:tr>
      <w:tr>
        <w:trPr>
          <w:cantSplit/>
        </w:trPr>
        <w:tc>
          <w:tcPr>
            <w:tcW w:type="dxa" w:w="2808"/>
            <w:vAlign w:val="top"/>
          </w:tcPr>
          <w:p>
            <w:pPr>
              <w:spacing w:after="40" w:before="0" w:line="259" w:lineRule="auto"/>
            </w:pPr>
            <w:r>
              <w:rPr>
                <w:rFonts w:ascii="Calibri" w:hAnsi="Calibri"/>
                <w:b/>
                <w:i w:val="0"/>
                <w:color w:val="212121"/>
                <w:sz w:val="19"/>
              </w:rPr>
              <w:t>Shared Pathophysiology</w:t>
            </w:r>
          </w:p>
        </w:tc>
        <w:tc>
          <w:tcPr>
            <w:tcW w:type="dxa" w:w="6796"/>
            <w:vAlign w:val="top"/>
          </w:tcPr>
          <w:p>
            <w:pPr>
              <w:spacing w:after="40" w:before="0" w:line="259" w:lineRule="auto"/>
            </w:pPr>
            <w:r>
              <w:rPr>
                <w:rFonts w:ascii="Calibri" w:hAnsi="Calibri"/>
                <w:b w:val="0"/>
                <w:i w:val="0"/>
                <w:color w:val="212121"/>
                <w:sz w:val="19"/>
              </w:rPr>
              <w:t>Common biological mechanisms and shared etiologies.</w:t>
            </w:r>
          </w:p>
        </w:tc>
      </w:tr>
      <w:tr>
        <w:trPr>
          <w:cantSplit/>
        </w:trPr>
        <w:tc>
          <w:tcPr>
            <w:tcW w:type="dxa" w:w="2808"/>
            <w:vAlign w:val="top"/>
          </w:tcPr>
          <w:p>
            <w:pPr>
              <w:spacing w:after="40" w:before="0" w:line="259" w:lineRule="auto"/>
            </w:pPr>
            <w:r>
              <w:rPr>
                <w:rFonts w:ascii="Calibri" w:hAnsi="Calibri"/>
                <w:b/>
                <w:i w:val="0"/>
                <w:color w:val="212121"/>
                <w:sz w:val="19"/>
              </w:rPr>
              <w:t>Complication Of</w:t>
            </w:r>
          </w:p>
        </w:tc>
        <w:tc>
          <w:tcPr>
            <w:tcW w:type="dxa" w:w="6796"/>
            <w:vAlign w:val="top"/>
          </w:tcPr>
          <w:p>
            <w:pPr>
              <w:spacing w:after="40" w:before="0" w:line="259" w:lineRule="auto"/>
            </w:pPr>
            <w:r>
              <w:rPr>
                <w:rFonts w:ascii="Calibri" w:hAnsi="Calibri"/>
                <w:b w:val="0"/>
                <w:i w:val="0"/>
                <w:color w:val="212121"/>
                <w:sz w:val="19"/>
              </w:rPr>
              <w:t>One condition develops as a consequence of the other.</w:t>
            </w:r>
          </w:p>
        </w:tc>
      </w:tr>
      <w:tr>
        <w:trPr>
          <w:cantSplit/>
        </w:trPr>
        <w:tc>
          <w:tcPr>
            <w:tcW w:type="dxa" w:w="2808"/>
            <w:vAlign w:val="top"/>
          </w:tcPr>
          <w:p>
            <w:pPr>
              <w:spacing w:after="40" w:before="0" w:line="259" w:lineRule="auto"/>
            </w:pPr>
            <w:r>
              <w:rPr>
                <w:rFonts w:ascii="Calibri" w:hAnsi="Calibri"/>
                <w:b/>
                <w:i w:val="0"/>
                <w:color w:val="212121"/>
                <w:sz w:val="19"/>
              </w:rPr>
              <w:t>Treatment Interaction</w:t>
            </w:r>
          </w:p>
        </w:tc>
        <w:tc>
          <w:tcPr>
            <w:tcW w:type="dxa" w:w="6796"/>
            <w:vAlign w:val="top"/>
          </w:tcPr>
          <w:p>
            <w:pPr>
              <w:spacing w:after="40" w:before="0" w:line="259" w:lineRule="auto"/>
            </w:pPr>
            <w:r>
              <w:rPr>
                <w:rFonts w:ascii="Calibri" w:hAnsi="Calibri"/>
                <w:b w:val="0"/>
                <w:i w:val="0"/>
                <w:color w:val="212121"/>
                <w:sz w:val="19"/>
              </w:rPr>
              <w:t>Treatment of one condition affects the other.</w:t>
            </w:r>
          </w:p>
        </w:tc>
      </w:tr>
      <w:tr>
        <w:trPr>
          <w:cantSplit/>
        </w:trPr>
        <w:tc>
          <w:tcPr>
            <w:tcW w:type="dxa" w:w="2808"/>
            <w:vAlign w:val="top"/>
          </w:tcPr>
          <w:p>
            <w:pPr>
              <w:spacing w:after="40" w:before="0" w:line="259" w:lineRule="auto"/>
            </w:pPr>
            <w:r>
              <w:rPr>
                <w:rFonts w:ascii="Calibri" w:hAnsi="Calibri"/>
                <w:b/>
                <w:i w:val="0"/>
                <w:color w:val="212121"/>
                <w:sz w:val="19"/>
              </w:rPr>
              <w:t>Clinical Management Impact</w:t>
            </w:r>
          </w:p>
        </w:tc>
        <w:tc>
          <w:tcPr>
            <w:tcW w:type="dxa" w:w="6796"/>
            <w:vAlign w:val="top"/>
          </w:tcPr>
          <w:p>
            <w:pPr>
              <w:spacing w:after="40" w:before="0" w:line="259" w:lineRule="auto"/>
            </w:pPr>
            <w:r>
              <w:rPr>
                <w:rFonts w:ascii="Calibri" w:hAnsi="Calibri"/>
                <w:b w:val="0"/>
                <w:i w:val="0"/>
                <w:color w:val="212121"/>
                <w:sz w:val="19"/>
              </w:rPr>
              <w:t>Coexistence alters diagnosis, monitoring, prognosis, or treatment planning.</w:t>
            </w:r>
          </w:p>
        </w:tc>
      </w:tr>
    </w:tbl>
    <w:p>
      <w:pPr>
        <w:spacing w:before="160" w:after="120"/>
      </w:pPr>
      <w:r>
        <w:rPr>
          <w:rFonts w:ascii="Calibri" w:hAnsi="Calibri"/>
          <w:b/>
          <w:i w:val="0"/>
          <w:color w:val="212121"/>
          <w:sz w:val="22"/>
        </w:rPr>
        <w:t>Complications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1728"/>
            <w:shd w:val="clear" w:color="auto" w:fill="F2F2F2"/>
            <w:vAlign w:val="center"/>
          </w:tcPr>
          <w:p>
            <w:pPr>
              <w:spacing w:after="40" w:before="0" w:line="259" w:lineRule="auto"/>
            </w:pPr>
            <w:r>
              <w:rPr>
                <w:rFonts w:ascii="Calibri" w:hAnsi="Calibri"/>
                <w:b/>
                <w:i w:val="0"/>
                <w:color w:val="212121"/>
                <w:sz w:val="19"/>
              </w:rPr>
              <w:t>Type</w:t>
            </w:r>
          </w:p>
        </w:tc>
        <w:tc>
          <w:tcPr>
            <w:tcW w:type="dxa" w:w="4896"/>
            <w:shd w:val="clear" w:color="auto" w:fill="F2F2F2"/>
            <w:vAlign w:val="center"/>
          </w:tcPr>
          <w:p>
            <w:pPr>
              <w:spacing w:after="40" w:before="0" w:line="259" w:lineRule="auto"/>
            </w:pPr>
            <w:r>
              <w:rPr>
                <w:rFonts w:ascii="Calibri" w:hAnsi="Calibri"/>
                <w:b/>
                <w:i w:val="0"/>
                <w:color w:val="212121"/>
                <w:sz w:val="19"/>
              </w:rPr>
              <w:t>Complications</w:t>
            </w:r>
          </w:p>
        </w:tc>
        <w:tc>
          <w:tcPr>
            <w:tcW w:type="dxa" w:w="2980"/>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1728"/>
            <w:vAlign w:val="top"/>
          </w:tcPr>
          <w:p>
            <w:pPr>
              <w:spacing w:after="40" w:before="0" w:line="259" w:lineRule="auto"/>
            </w:pPr>
            <w:r>
              <w:rPr>
                <w:rFonts w:ascii="Calibri" w:hAnsi="Calibri"/>
                <w:b/>
                <w:i w:val="0"/>
                <w:color w:val="212121"/>
                <w:sz w:val="19"/>
              </w:rPr>
              <w:t>Primary</w:t>
            </w:r>
          </w:p>
        </w:tc>
        <w:tc>
          <w:tcPr>
            <w:tcW w:type="dxa" w:w="489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Recurrent asthenopia (eye strain and fatigue)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Screen-related dry-eye symptoms (dryness, burning, reflex watering)</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Tension-type / eye-strain headache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Transient blurred and fluctuating vision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Reduced academic and occupational productivity</w:t>
            </w:r>
          </w:p>
        </w:tc>
        <w:tc>
          <w:tcPr>
            <w:tcW w:type="dxa" w:w="2980"/>
            <w:vAlign w:val="top"/>
          </w:tcPr>
          <w:p>
            <w:pPr>
              <w:spacing w:after="40" w:before="0" w:line="259" w:lineRule="auto"/>
            </w:pPr>
            <w:r>
              <w:rPr>
                <w:rFonts w:ascii="Calibri" w:hAnsi="Calibri"/>
                <w:b w:val="0"/>
                <w:i w:val="0"/>
                <w:color w:val="212121"/>
                <w:sz w:val="19"/>
              </w:rPr>
              <w:t>Immediate, usually reversible effects of prolonged, uninterrupted screen use</w:t>
            </w:r>
          </w:p>
        </w:tc>
      </w:tr>
      <w:tr>
        <w:trPr>
          <w:cantSplit/>
        </w:trPr>
        <w:tc>
          <w:tcPr>
            <w:tcW w:type="dxa" w:w="1728"/>
            <w:vAlign w:val="top"/>
          </w:tcPr>
          <w:p>
            <w:pPr>
              <w:spacing w:after="40" w:before="0" w:line="259" w:lineRule="auto"/>
            </w:pPr>
            <w:r>
              <w:rPr>
                <w:rFonts w:ascii="Calibri" w:hAnsi="Calibri"/>
                <w:b/>
                <w:i w:val="0"/>
                <w:color w:val="212121"/>
                <w:sz w:val="19"/>
              </w:rPr>
              <w:t>Secondary</w:t>
            </w:r>
          </w:p>
        </w:tc>
        <w:tc>
          <w:tcPr>
            <w:tcW w:type="dxa" w:w="489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Chronic evaporative dry eye disease and meibomian gland dysfunction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Punctate keratopathy from tear-film instability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Decompensated convergence insufficiency / accommodative dysfunction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Chronic neck, shoulder and back musculoskeletal pain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Sleep disturbance from evening blue-light exposure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Progression of myopia in children with high near-screen time</w:t>
            </w:r>
          </w:p>
        </w:tc>
        <w:tc>
          <w:tcPr>
            <w:tcW w:type="dxa" w:w="2980"/>
            <w:vAlign w:val="top"/>
          </w:tcPr>
          <w:p>
            <w:pPr>
              <w:spacing w:after="40" w:before="0" w:line="259" w:lineRule="auto"/>
            </w:pPr>
            <w:r>
              <w:rPr>
                <w:rFonts w:ascii="Calibri" w:hAnsi="Calibri"/>
                <w:b w:val="0"/>
                <w:i w:val="0"/>
                <w:color w:val="212121"/>
                <w:sz w:val="19"/>
              </w:rPr>
              <w:t>Result from sustained, repeated screen exposure and untreated contributing factors</w:t>
            </w:r>
          </w:p>
        </w:tc>
      </w:tr>
      <w:tr>
        <w:trPr>
          <w:cantSplit/>
        </w:trPr>
        <w:tc>
          <w:tcPr>
            <w:tcW w:type="dxa" w:w="1728"/>
            <w:vAlign w:val="top"/>
          </w:tcPr>
          <w:p>
            <w:pPr>
              <w:spacing w:after="40" w:before="0" w:line="259" w:lineRule="auto"/>
            </w:pPr>
            <w:r>
              <w:rPr>
                <w:rFonts w:ascii="Calibri" w:hAnsi="Calibri"/>
                <w:b/>
                <w:i w:val="0"/>
                <w:color w:val="212121"/>
                <w:sz w:val="19"/>
              </w:rPr>
              <w:t>Tertiary</w:t>
            </w:r>
          </w:p>
        </w:tc>
        <w:tc>
          <w:tcPr>
            <w:tcW w:type="dxa" w:w="489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Severe chronic dry eye with corneal epithelial damage / filamentary keratitis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Persistent binocular-vision dysfunction requiring vision therapy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Chronic daily headache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Significant, sustained loss of productivity and quality of life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Higher myopia in children with its associated long-term ocular risks</w:t>
            </w:r>
          </w:p>
        </w:tc>
        <w:tc>
          <w:tcPr>
            <w:tcW w:type="dxa" w:w="2980"/>
            <w:vAlign w:val="top"/>
          </w:tcPr>
          <w:p>
            <w:pPr>
              <w:spacing w:after="40" w:before="0" w:line="259" w:lineRule="auto"/>
            </w:pPr>
            <w:r>
              <w:rPr>
                <w:rFonts w:ascii="Calibri" w:hAnsi="Calibri"/>
                <w:b w:val="0"/>
                <w:i w:val="0"/>
                <w:color w:val="212121"/>
                <w:sz w:val="19"/>
              </w:rPr>
              <w:t>Uncommon, longer-term outcomes of severe or neglected disease; CVS itself is largely reversible with correction and screen hygiene</w:t>
            </w:r>
          </w:p>
        </w:tc>
      </w:tr>
    </w:tbl>
    <w:p>
      <w:pPr>
        <w:spacing w:before="160" w:after="120"/>
      </w:pPr>
      <w:r>
        <w:rPr>
          <w:rFonts w:ascii="Calibri" w:hAnsi="Calibri"/>
          <w:b/>
          <w:i w:val="0"/>
          <w:color w:val="212121"/>
          <w:sz w:val="22"/>
        </w:rPr>
        <w:t>Associated Medical Conditions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2232"/>
            <w:shd w:val="clear" w:color="auto" w:fill="F2F2F2"/>
            <w:vAlign w:val="center"/>
          </w:tcPr>
          <w:p>
            <w:pPr>
              <w:spacing w:after="40" w:before="0" w:line="259" w:lineRule="auto"/>
            </w:pPr>
            <w:r>
              <w:rPr>
                <w:rFonts w:ascii="Calibri" w:hAnsi="Calibri"/>
                <w:b/>
                <w:i w:val="0"/>
                <w:color w:val="212121"/>
                <w:sz w:val="19"/>
              </w:rPr>
              <w:t>AMC</w:t>
            </w:r>
          </w:p>
        </w:tc>
        <w:tc>
          <w:tcPr>
            <w:tcW w:type="dxa" w:w="2520"/>
            <w:shd w:val="clear" w:color="auto" w:fill="F2F2F2"/>
            <w:vAlign w:val="center"/>
          </w:tcPr>
          <w:p>
            <w:pPr>
              <w:spacing w:after="40" w:before="0" w:line="259" w:lineRule="auto"/>
            </w:pPr>
            <w:r>
              <w:rPr>
                <w:rFonts w:ascii="Calibri" w:hAnsi="Calibri"/>
                <w:b/>
                <w:i w:val="0"/>
                <w:color w:val="212121"/>
                <w:sz w:val="19"/>
              </w:rPr>
              <w:t>Relationship</w:t>
            </w:r>
          </w:p>
        </w:tc>
        <w:tc>
          <w:tcPr>
            <w:tcW w:type="dxa" w:w="4852"/>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2232"/>
            <w:vAlign w:val="top"/>
          </w:tcPr>
          <w:p>
            <w:pPr>
              <w:spacing w:after="40" w:before="0" w:line="259" w:lineRule="auto"/>
            </w:pPr>
            <w:r>
              <w:rPr>
                <w:rFonts w:ascii="Calibri" w:hAnsi="Calibri"/>
                <w:b/>
                <w:i w:val="0"/>
                <w:color w:val="212121"/>
                <w:sz w:val="19"/>
              </w:rPr>
              <w:t>Dry eye disease</w:t>
            </w:r>
          </w:p>
        </w:tc>
        <w:tc>
          <w:tcPr>
            <w:tcW w:type="dxa" w:w="2520"/>
            <w:vAlign w:val="top"/>
          </w:tcPr>
          <w:p>
            <w:pPr>
              <w:spacing w:after="40" w:before="0" w:line="259" w:lineRule="auto"/>
            </w:pPr>
            <w:r>
              <w:rPr>
                <w:rFonts w:ascii="Calibri" w:hAnsi="Calibri"/>
                <w:b w:val="0"/>
                <w:i w:val="0"/>
                <w:color w:val="212121"/>
                <w:sz w:val="18"/>
              </w:rPr>
              <w:t>Bidirectional Association</w:t>
            </w:r>
          </w:p>
        </w:tc>
        <w:tc>
          <w:tcPr>
            <w:tcW w:type="dxa" w:w="4852"/>
            <w:vAlign w:val="top"/>
          </w:tcPr>
          <w:p>
            <w:pPr>
              <w:spacing w:after="40" w:before="0" w:line="259" w:lineRule="auto"/>
            </w:pPr>
            <w:r>
              <w:rPr>
                <w:rFonts w:ascii="Calibri" w:hAnsi="Calibri"/>
                <w:b w:val="0"/>
                <w:i w:val="0"/>
                <w:color w:val="212121"/>
                <w:sz w:val="19"/>
              </w:rPr>
              <w:t>Overlapping and mutually reinforcing; screen use both unmasks and worsens dry eye, and dry eye lowers the threshold for CVS.</w:t>
            </w:r>
          </w:p>
          <w:p>
            <w:pPr>
              <w:spacing w:after="40" w:before="0" w:line="259" w:lineRule="auto"/>
            </w:pPr>
            <w:r>
              <w:rPr>
                <w:rFonts w:ascii="Calibri" w:hAnsi="Calibri"/>
                <w:b/>
                <w:i w:val="0"/>
                <w:color w:val="212121"/>
                <w:sz w:val="19"/>
              </w:rPr>
              <w:t>~32% (dry eye) in a hospital population; up to ~90% severe dry eye with &gt;= 4 h/day screen use</w:t>
            </w:r>
          </w:p>
        </w:tc>
      </w:tr>
      <w:tr>
        <w:trPr>
          <w:cantSplit/>
        </w:trPr>
        <w:tc>
          <w:tcPr>
            <w:tcW w:type="dxa" w:w="2232"/>
            <w:vAlign w:val="top"/>
          </w:tcPr>
          <w:p>
            <w:pPr>
              <w:spacing w:after="40" w:before="0" w:line="259" w:lineRule="auto"/>
            </w:pPr>
            <w:r>
              <w:rPr>
                <w:rFonts w:ascii="Calibri" w:hAnsi="Calibri"/>
                <w:b/>
                <w:i w:val="0"/>
                <w:color w:val="212121"/>
                <w:sz w:val="19"/>
              </w:rPr>
              <w:t>Tension-type / eye-strain headache</w:t>
            </w:r>
          </w:p>
        </w:tc>
        <w:tc>
          <w:tcPr>
            <w:tcW w:type="dxa" w:w="2520"/>
            <w:vAlign w:val="top"/>
          </w:tcPr>
          <w:p>
            <w:pPr>
              <w:spacing w:after="40" w:before="0" w:line="259" w:lineRule="auto"/>
            </w:pPr>
            <w:r>
              <w:rPr>
                <w:rFonts w:ascii="Calibri" w:hAnsi="Calibri"/>
                <w:b w:val="0"/>
                <w:i w:val="0"/>
                <w:color w:val="212121"/>
                <w:sz w:val="18"/>
              </w:rPr>
              <w:t>Clinical Management Impact</w:t>
            </w:r>
          </w:p>
        </w:tc>
        <w:tc>
          <w:tcPr>
            <w:tcW w:type="dxa" w:w="4852"/>
            <w:vAlign w:val="top"/>
          </w:tcPr>
          <w:p>
            <w:pPr>
              <w:spacing w:after="40" w:before="0" w:line="259" w:lineRule="auto"/>
            </w:pPr>
            <w:r>
              <w:rPr>
                <w:rFonts w:ascii="Calibri" w:hAnsi="Calibri"/>
                <w:b w:val="0"/>
                <w:i w:val="0"/>
                <w:color w:val="212121"/>
                <w:sz w:val="19"/>
              </w:rPr>
              <w:t>Commonly co-reported; sustained near effort and eye strain trigger headache.</w:t>
            </w:r>
          </w:p>
          <w:p>
            <w:pPr>
              <w:spacing w:after="40" w:before="0" w:line="259" w:lineRule="auto"/>
            </w:pPr>
            <w:r>
              <w:rPr>
                <w:rFonts w:ascii="Calibri" w:hAnsi="Calibri"/>
                <w:b/>
                <w:i w:val="0"/>
                <w:color w:val="212121"/>
                <w:sz w:val="19"/>
              </w:rPr>
              <w:t>~70% report headache (student survey)</w:t>
            </w:r>
          </w:p>
        </w:tc>
      </w:tr>
      <w:tr>
        <w:trPr>
          <w:cantSplit/>
        </w:trPr>
        <w:tc>
          <w:tcPr>
            <w:tcW w:type="dxa" w:w="2232"/>
            <w:vAlign w:val="top"/>
          </w:tcPr>
          <w:p>
            <w:pPr>
              <w:spacing w:after="40" w:before="0" w:line="259" w:lineRule="auto"/>
            </w:pPr>
            <w:r>
              <w:rPr>
                <w:rFonts w:ascii="Calibri" w:hAnsi="Calibri"/>
                <w:b/>
                <w:i w:val="0"/>
                <w:color w:val="212121"/>
                <w:sz w:val="19"/>
              </w:rPr>
              <w:t>Neck / shoulder musculoskeletal pain</w:t>
            </w:r>
          </w:p>
        </w:tc>
        <w:tc>
          <w:tcPr>
            <w:tcW w:type="dxa" w:w="2520"/>
            <w:vAlign w:val="top"/>
          </w:tcPr>
          <w:p>
            <w:pPr>
              <w:spacing w:after="40" w:before="0" w:line="259" w:lineRule="auto"/>
            </w:pPr>
            <w:r>
              <w:rPr>
                <w:rFonts w:ascii="Calibri" w:hAnsi="Calibri"/>
                <w:b w:val="0"/>
                <w:i w:val="0"/>
                <w:color w:val="212121"/>
                <w:sz w:val="18"/>
              </w:rPr>
              <w:t>Clinical Management Impact</w:t>
            </w:r>
          </w:p>
        </w:tc>
        <w:tc>
          <w:tcPr>
            <w:tcW w:type="dxa" w:w="4852"/>
            <w:vAlign w:val="top"/>
          </w:tcPr>
          <w:p>
            <w:pPr>
              <w:spacing w:after="40" w:before="0" w:line="259" w:lineRule="auto"/>
            </w:pPr>
            <w:r>
              <w:rPr>
                <w:rFonts w:ascii="Calibri" w:hAnsi="Calibri"/>
                <w:b w:val="0"/>
                <w:i w:val="0"/>
                <w:color w:val="212121"/>
                <w:sz w:val="19"/>
              </w:rPr>
              <w:t>An ergonomic comorbidity of desk and screen work.</w:t>
            </w:r>
          </w:p>
          <w:p>
            <w:pPr>
              <w:spacing w:after="40" w:before="0" w:line="259" w:lineRule="auto"/>
            </w:pPr>
            <w:r>
              <w:rPr>
                <w:rFonts w:ascii="Calibri" w:hAnsi="Calibri"/>
                <w:b/>
                <w:i w:val="0"/>
                <w:color w:val="212121"/>
                <w:sz w:val="19"/>
              </w:rPr>
              <w:t>~65% report neck pain (student survey)</w:t>
            </w:r>
          </w:p>
        </w:tc>
      </w:tr>
      <w:tr>
        <w:trPr>
          <w:cantSplit/>
        </w:trPr>
        <w:tc>
          <w:tcPr>
            <w:tcW w:type="dxa" w:w="2232"/>
            <w:vAlign w:val="top"/>
          </w:tcPr>
          <w:p>
            <w:pPr>
              <w:spacing w:after="40" w:before="0" w:line="259" w:lineRule="auto"/>
            </w:pPr>
            <w:r>
              <w:rPr>
                <w:rFonts w:ascii="Calibri" w:hAnsi="Calibri"/>
                <w:b/>
                <w:i w:val="0"/>
                <w:color w:val="212121"/>
                <w:sz w:val="19"/>
              </w:rPr>
              <w:t>Poor sleep quality</w:t>
            </w:r>
          </w:p>
        </w:tc>
        <w:tc>
          <w:tcPr>
            <w:tcW w:type="dxa" w:w="2520"/>
            <w:vAlign w:val="top"/>
          </w:tcPr>
          <w:p>
            <w:pPr>
              <w:spacing w:after="40" w:before="0" w:line="259" w:lineRule="auto"/>
            </w:pPr>
            <w:r>
              <w:rPr>
                <w:rFonts w:ascii="Calibri" w:hAnsi="Calibri"/>
                <w:b w:val="0"/>
                <w:i w:val="0"/>
                <w:color w:val="212121"/>
                <w:sz w:val="18"/>
              </w:rPr>
              <w:t>Bidirectional Association</w:t>
            </w:r>
          </w:p>
        </w:tc>
        <w:tc>
          <w:tcPr>
            <w:tcW w:type="dxa" w:w="4852"/>
            <w:vAlign w:val="top"/>
          </w:tcPr>
          <w:p>
            <w:pPr>
              <w:spacing w:after="40" w:before="0" w:line="259" w:lineRule="auto"/>
            </w:pPr>
            <w:r>
              <w:rPr>
                <w:rFonts w:ascii="Calibri" w:hAnsi="Calibri"/>
                <w:b w:val="0"/>
                <w:i w:val="0"/>
                <w:color w:val="212121"/>
                <w:sz w:val="19"/>
              </w:rPr>
              <w:t>Bidirectional; evening blue-light exposure and CVS associate with disturbed sleep.</w:t>
            </w:r>
          </w:p>
          <w:p>
            <w:pPr>
              <w:spacing w:after="40" w:before="0" w:line="259" w:lineRule="auto"/>
            </w:pPr>
            <w:r>
              <w:rPr>
                <w:rFonts w:ascii="Calibri" w:hAnsi="Calibri"/>
                <w:b/>
                <w:i w:val="0"/>
                <w:color w:val="212121"/>
                <w:sz w:val="19"/>
              </w:rPr>
              <w:t>~75% of CVS sufferers had poor sleep</w:t>
            </w:r>
          </w:p>
        </w:tc>
      </w:tr>
      <w:tr>
        <w:trPr>
          <w:cantSplit/>
        </w:trPr>
        <w:tc>
          <w:tcPr>
            <w:tcW w:type="dxa" w:w="2232"/>
            <w:vAlign w:val="top"/>
          </w:tcPr>
          <w:p>
            <w:pPr>
              <w:spacing w:after="40" w:before="0" w:line="259" w:lineRule="auto"/>
            </w:pPr>
            <w:r>
              <w:rPr>
                <w:rFonts w:ascii="Calibri" w:hAnsi="Calibri"/>
                <w:b/>
                <w:i w:val="0"/>
                <w:color w:val="212121"/>
                <w:sz w:val="19"/>
              </w:rPr>
              <w:t>Uncorrected refractive error</w:t>
            </w:r>
          </w:p>
        </w:tc>
        <w:tc>
          <w:tcPr>
            <w:tcW w:type="dxa" w:w="2520"/>
            <w:vAlign w:val="top"/>
          </w:tcPr>
          <w:p>
            <w:pPr>
              <w:spacing w:after="40" w:before="0" w:line="259" w:lineRule="auto"/>
            </w:pPr>
            <w:r>
              <w:rPr>
                <w:rFonts w:ascii="Calibri" w:hAnsi="Calibri"/>
                <w:b w:val="0"/>
                <w:i w:val="0"/>
                <w:color w:val="212121"/>
                <w:sz w:val="18"/>
              </w:rPr>
              <w:t>Clinical Management Impact</w:t>
            </w:r>
          </w:p>
        </w:tc>
        <w:tc>
          <w:tcPr>
            <w:tcW w:type="dxa" w:w="4852"/>
            <w:vAlign w:val="top"/>
          </w:tcPr>
          <w:p>
            <w:pPr>
              <w:spacing w:after="40" w:before="0" w:line="259" w:lineRule="auto"/>
            </w:pPr>
            <w:r>
              <w:rPr>
                <w:rFonts w:ascii="Calibri" w:hAnsi="Calibri"/>
                <w:b w:val="0"/>
                <w:i w:val="0"/>
                <w:color w:val="212121"/>
                <w:sz w:val="19"/>
              </w:rPr>
              <w:t>A frequent, correctable contributor that precipitates eye strain, blur and headache.</w:t>
            </w:r>
          </w:p>
        </w:tc>
      </w:tr>
      <w:tr>
        <w:trPr>
          <w:cantSplit/>
        </w:trPr>
        <w:tc>
          <w:tcPr>
            <w:tcW w:type="dxa" w:w="2232"/>
            <w:vAlign w:val="top"/>
          </w:tcPr>
          <w:p>
            <w:pPr>
              <w:spacing w:after="40" w:before="0" w:line="259" w:lineRule="auto"/>
            </w:pPr>
            <w:r>
              <w:rPr>
                <w:rFonts w:ascii="Calibri" w:hAnsi="Calibri"/>
                <w:b/>
                <w:i w:val="0"/>
                <w:color w:val="212121"/>
                <w:sz w:val="19"/>
              </w:rPr>
              <w:t>Convergence insufficiency / accommodative dysfunction</w:t>
            </w:r>
          </w:p>
        </w:tc>
        <w:tc>
          <w:tcPr>
            <w:tcW w:type="dxa" w:w="2520"/>
            <w:vAlign w:val="top"/>
          </w:tcPr>
          <w:p>
            <w:pPr>
              <w:spacing w:after="40" w:before="0" w:line="259" w:lineRule="auto"/>
            </w:pPr>
            <w:r>
              <w:rPr>
                <w:rFonts w:ascii="Calibri" w:hAnsi="Calibri"/>
                <w:b w:val="0"/>
                <w:i w:val="0"/>
                <w:color w:val="212121"/>
                <w:sz w:val="18"/>
              </w:rPr>
              <w:t>Clinical Management Impact</w:t>
            </w:r>
          </w:p>
        </w:tc>
        <w:tc>
          <w:tcPr>
            <w:tcW w:type="dxa" w:w="4852"/>
            <w:vAlign w:val="top"/>
          </w:tcPr>
          <w:p>
            <w:pPr>
              <w:spacing w:after="40" w:before="0" w:line="259" w:lineRule="auto"/>
            </w:pPr>
            <w:r>
              <w:rPr>
                <w:rFonts w:ascii="Calibri" w:hAnsi="Calibri"/>
                <w:b w:val="0"/>
                <w:i w:val="0"/>
                <w:color w:val="212121"/>
                <w:sz w:val="19"/>
              </w:rPr>
              <w:t>Binocular-vision disorders that amplify near-work asthenopia and can cause intermittent diplopia.</w:t>
            </w:r>
          </w:p>
        </w:tc>
      </w:tr>
      <w:tr>
        <w:trPr>
          <w:cantSplit/>
        </w:trPr>
        <w:tc>
          <w:tcPr>
            <w:tcW w:type="dxa" w:w="2232"/>
            <w:vAlign w:val="top"/>
          </w:tcPr>
          <w:p>
            <w:pPr>
              <w:spacing w:after="40" w:before="0" w:line="259" w:lineRule="auto"/>
            </w:pPr>
            <w:r>
              <w:rPr>
                <w:rFonts w:ascii="Calibri" w:hAnsi="Calibri"/>
                <w:b/>
                <w:i w:val="0"/>
                <w:color w:val="212121"/>
                <w:sz w:val="19"/>
              </w:rPr>
              <w:t>Myopia (especially in children)</w:t>
            </w:r>
          </w:p>
        </w:tc>
        <w:tc>
          <w:tcPr>
            <w:tcW w:type="dxa" w:w="2520"/>
            <w:vAlign w:val="top"/>
          </w:tcPr>
          <w:p>
            <w:pPr>
              <w:spacing w:after="40" w:before="0" w:line="259" w:lineRule="auto"/>
            </w:pPr>
            <w:r>
              <w:rPr>
                <w:rFonts w:ascii="Calibri" w:hAnsi="Calibri"/>
                <w:b w:val="0"/>
                <w:i w:val="0"/>
                <w:color w:val="212121"/>
                <w:sz w:val="18"/>
              </w:rPr>
              <w:t>Clinical Management Impact</w:t>
            </w:r>
          </w:p>
        </w:tc>
        <w:tc>
          <w:tcPr>
            <w:tcW w:type="dxa" w:w="4852"/>
            <w:vAlign w:val="top"/>
          </w:tcPr>
          <w:p>
            <w:pPr>
              <w:spacing w:after="40" w:before="0" w:line="259" w:lineRule="auto"/>
            </w:pPr>
            <w:r>
              <w:rPr>
                <w:rFonts w:ascii="Calibri" w:hAnsi="Calibri"/>
                <w:b w:val="0"/>
                <w:i w:val="0"/>
                <w:color w:val="212121"/>
                <w:sz w:val="19"/>
              </w:rPr>
              <w:t>High near and screen work is associated with myopia onset and faster progression in children.</w:t>
            </w:r>
          </w:p>
        </w:tc>
      </w:tr>
      <w:tr>
        <w:trPr>
          <w:cantSplit/>
        </w:trPr>
        <w:tc>
          <w:tcPr>
            <w:tcW w:type="dxa" w:w="2232"/>
            <w:vAlign w:val="top"/>
          </w:tcPr>
          <w:p>
            <w:pPr>
              <w:spacing w:after="40" w:before="0" w:line="259" w:lineRule="auto"/>
            </w:pPr>
            <w:r>
              <w:rPr>
                <w:rFonts w:ascii="Calibri" w:hAnsi="Calibri"/>
                <w:b/>
                <w:i w:val="0"/>
                <w:color w:val="212121"/>
                <w:sz w:val="19"/>
              </w:rPr>
              <w:t>Meibomian gland dysfunction / blepharitis</w:t>
            </w:r>
          </w:p>
        </w:tc>
        <w:tc>
          <w:tcPr>
            <w:tcW w:type="dxa" w:w="2520"/>
            <w:vAlign w:val="top"/>
          </w:tcPr>
          <w:p>
            <w:pPr>
              <w:spacing w:after="40" w:before="0" w:line="259" w:lineRule="auto"/>
            </w:pPr>
            <w:r>
              <w:rPr>
                <w:rFonts w:ascii="Calibri" w:hAnsi="Calibri"/>
                <w:b w:val="0"/>
                <w:i w:val="0"/>
                <w:color w:val="212121"/>
                <w:sz w:val="18"/>
              </w:rPr>
              <w:t>Clinical Management Impact</w:t>
            </w:r>
          </w:p>
        </w:tc>
        <w:tc>
          <w:tcPr>
            <w:tcW w:type="dxa" w:w="4852"/>
            <w:vAlign w:val="top"/>
          </w:tcPr>
          <w:p>
            <w:pPr>
              <w:spacing w:after="40" w:before="0" w:line="259" w:lineRule="auto"/>
            </w:pPr>
            <w:r>
              <w:rPr>
                <w:rFonts w:ascii="Calibri" w:hAnsi="Calibri"/>
                <w:b w:val="0"/>
                <w:i w:val="0"/>
                <w:color w:val="212121"/>
                <w:sz w:val="19"/>
              </w:rPr>
              <w:t>A common ocular-surface comorbidity that worsens evaporative dryness during screen use.</w:t>
            </w:r>
          </w:p>
        </w:tc>
      </w:tr>
    </w:tbl>
    <w:p>
      <w:pPr>
        <w:spacing w:before="200" w:after="120"/>
      </w:pPr>
      <w:r>
        <w:rPr>
          <w:rFonts w:ascii="Calibri" w:hAnsi="Calibri"/>
          <w:b/>
          <w:i w:val="0"/>
          <w:color w:val="212121"/>
          <w:sz w:val="25"/>
        </w:rPr>
        <w:t>Suggestions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921"/>
        <w:gridCol w:w="1921"/>
        <w:gridCol w:w="1921"/>
        <w:gridCol w:w="1921"/>
        <w:gridCol w:w="1921"/>
      </w:tblGrid>
      <w:tr>
        <w:trPr>
          <w:cantSplit/>
        </w:trPr>
        <w:tc>
          <w:tcPr>
            <w:tcW w:type="dxa" w:w="1224"/>
            <w:shd w:val="clear" w:color="auto" w:fill="F2F2F2"/>
            <w:vAlign w:val="center"/>
          </w:tcPr>
          <w:p>
            <w:pPr>
              <w:spacing w:after="40" w:before="0" w:line="259" w:lineRule="auto"/>
            </w:pPr>
            <w:r>
              <w:rPr>
                <w:rFonts w:ascii="Calibri" w:hAnsi="Calibri"/>
                <w:b/>
                <w:i w:val="0"/>
                <w:color w:val="212121"/>
                <w:sz w:val="19"/>
              </w:rPr>
              <w:t>LHP</w:t>
            </w:r>
          </w:p>
        </w:tc>
        <w:tc>
          <w:tcPr>
            <w:tcW w:type="dxa" w:w="1224"/>
            <w:shd w:val="clear" w:color="auto" w:fill="F2F2F2"/>
            <w:vAlign w:val="center"/>
          </w:tcPr>
          <w:p>
            <w:pPr>
              <w:spacing w:after="40" w:before="0" w:line="259" w:lineRule="auto"/>
            </w:pPr>
            <w:r>
              <w:rPr>
                <w:rFonts w:ascii="Calibri" w:hAnsi="Calibri"/>
                <w:b/>
                <w:i w:val="0"/>
                <w:color w:val="212121"/>
                <w:sz w:val="19"/>
              </w:rPr>
              <w:t>Type</w:t>
            </w:r>
          </w:p>
        </w:tc>
        <w:tc>
          <w:tcPr>
            <w:tcW w:type="dxa" w:w="4176"/>
            <w:shd w:val="clear" w:color="auto" w:fill="F2F2F2"/>
            <w:vAlign w:val="center"/>
          </w:tcPr>
          <w:p>
            <w:pPr>
              <w:spacing w:after="40" w:before="0" w:line="259" w:lineRule="auto"/>
            </w:pPr>
            <w:r>
              <w:rPr>
                <w:rFonts w:ascii="Calibri" w:hAnsi="Calibri"/>
                <w:b/>
                <w:i w:val="0"/>
                <w:color w:val="212121"/>
                <w:sz w:val="19"/>
              </w:rPr>
              <w:t>Suggestion</w:t>
            </w:r>
          </w:p>
        </w:tc>
        <w:tc>
          <w:tcPr>
            <w:tcW w:type="dxa" w:w="1944"/>
            <w:shd w:val="clear" w:color="auto" w:fill="F2F2F2"/>
            <w:vAlign w:val="center"/>
          </w:tcPr>
          <w:p>
            <w:pPr>
              <w:spacing w:after="40" w:before="0" w:line="259" w:lineRule="auto"/>
            </w:pPr>
            <w:r>
              <w:rPr>
                <w:rFonts w:ascii="Calibri" w:hAnsi="Calibri"/>
                <w:b/>
                <w:i w:val="0"/>
                <w:color w:val="212121"/>
                <w:sz w:val="19"/>
              </w:rPr>
              <w:t>Profile</w:t>
            </w:r>
          </w:p>
        </w:tc>
        <w:tc>
          <w:tcPr>
            <w:tcW w:type="dxa" w:w="1036"/>
            <w:shd w:val="clear" w:color="auto" w:fill="F2F2F2"/>
            <w:vAlign w:val="center"/>
          </w:tcPr>
          <w:p>
            <w:pPr>
              <w:spacing w:after="40" w:before="0" w:line="259" w:lineRule="auto"/>
            </w:pPr>
            <w:r>
              <w:rPr>
                <w:rFonts w:ascii="Calibri" w:hAnsi="Calibri"/>
                <w:b/>
                <w:i w:val="0"/>
                <w:color w:val="212121"/>
                <w:sz w:val="19"/>
              </w:rPr>
              <w:t>Importance</w:t>
            </w:r>
          </w:p>
        </w:tc>
      </w:tr>
      <w:tr>
        <w:trPr>
          <w:cantSplit/>
        </w:trPr>
        <w:tc>
          <w:tcPr>
            <w:tcW w:type="dxa" w:w="1224"/>
            <w:vAlign w:val="center"/>
          </w:tcPr>
          <w:p>
            <w:pPr>
              <w:spacing w:after="40"/>
            </w:pPr>
            <w:r>
              <w:rPr>
                <w:rFonts w:ascii="Calibri" w:hAnsi="Calibri"/>
                <w:b w:val="0"/>
                <w:i w:val="0"/>
                <w:color w:val="212121"/>
                <w:sz w:val="19"/>
              </w:rPr>
              <w:t>Education</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Follow the 20-20-20 habit - about every 20 minutes look at something ~20 feet (6 m) away for ~20 seconds - and take a longer screen break every 30-60 minutes (this eases strain in practice, though trial evidence for the exact numbers is limited).</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Blink fully and consciously during screen work to refresh the tear film, since concentration reduces blinking.</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Position the screen 50-70 cm (20-28 inches) away with the top of the screen at or just below eye level and the gaze angled ~15-20 degrees downward.</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Avoid using devices in the dark; keep moderate ambient lighting, reduce glare and reflections, and match screen brightness to the surroundings.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Limit continuous and total daily screen time, especially recreational use, and avoid multi-device multitasking.</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Get a comprehensive eye examination and keep spectacles/contact lenses up to date; even small uncorrected errors cause symptoms.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Recognise that most symptoms are reversible with screen hygiene, but seek review if blur, pain or redness persist.</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Students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IT and desk professionals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Work-from-home employees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School children and parents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Contact lens wearers</w:t>
            </w:r>
          </w:p>
        </w:tc>
        <w:tc>
          <w:tcPr>
            <w:tcW w:type="dxa" w:w="1036"/>
            <w:vAlign w:val="top"/>
          </w:tcPr>
          <w:p>
            <w:pPr>
              <w:spacing w:after="40" w:before="0" w:line="259" w:lineRule="auto"/>
            </w:pPr>
            <w:r>
              <w:rPr>
                <w:rFonts w:ascii="Calibri" w:hAnsi="Calibri"/>
                <w:b w:val="0"/>
                <w:i w:val="0"/>
                <w:color w:val="212121"/>
                <w:sz w:val="19"/>
              </w:rPr>
              <w:t>High</w:t>
            </w:r>
          </w:p>
        </w:tc>
      </w:tr>
      <w:tr>
        <w:trPr>
          <w:cantSplit/>
        </w:trPr>
        <w:tc>
          <w:tcPr>
            <w:tcW w:type="dxa" w:w="1224"/>
            <w:vAlign w:val="center"/>
          </w:tcPr>
          <w:p>
            <w:pPr>
              <w:spacing w:after="40"/>
            </w:pPr>
            <w:r>
              <w:rPr>
                <w:rFonts w:ascii="Calibri" w:hAnsi="Calibri"/>
                <w:b w:val="0"/>
                <w:i w:val="0"/>
                <w:color w:val="212121"/>
                <w:sz w:val="19"/>
              </w:rPr>
              <w:t>Physical Activity</w:t>
            </w:r>
          </w:p>
        </w:tc>
        <w:tc>
          <w:tcPr>
            <w:tcW w:type="dxa" w:w="1224"/>
            <w:vAlign w:val="top"/>
          </w:tcPr>
          <w:p>
            <w:pPr>
              <w:spacing w:after="40" w:before="0" w:line="259" w:lineRule="auto"/>
            </w:pPr>
            <w:r>
              <w:rPr>
                <w:rFonts w:ascii="Calibri" w:hAnsi="Calibri"/>
                <w:b w:val="0"/>
                <w:i w:val="0"/>
                <w:color w:val="212121"/>
                <w:sz w:val="19"/>
              </w:rPr>
              <w:t>Therapeutic</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Take regular micro-breaks to stand, stretch and look into the distance, relaxing accommodation and vergence.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Do simple blink exercises and gentle neck and shoulder stretches during long screen sessions.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Encourage children and adolescents to spend at least 1-2 hours a day outdoors to offset near work and help limit myopia progression.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Break screen tasks into shorter blocks to reduce continuous sedentary exposure.</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Established CVS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Children with high screen time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Sedentary desk/IT workers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Students</w:t>
            </w:r>
          </w:p>
        </w:tc>
        <w:tc>
          <w:tcPr>
            <w:tcW w:type="dxa" w:w="1036"/>
            <w:vAlign w:val="top"/>
          </w:tcPr>
          <w:p>
            <w:pPr>
              <w:spacing w:after="40" w:before="0" w:line="259" w:lineRule="auto"/>
            </w:pPr>
            <w:r>
              <w:rPr>
                <w:rFonts w:ascii="Calibri" w:hAnsi="Calibri"/>
                <w:b w:val="0"/>
                <w:i w:val="0"/>
                <w:color w:val="212121"/>
                <w:sz w:val="19"/>
              </w:rPr>
              <w:t>Medium</w:t>
            </w:r>
          </w:p>
        </w:tc>
      </w:tr>
      <w:tr>
        <w:trPr>
          <w:cantSplit/>
        </w:trPr>
        <w:tc>
          <w:tcPr>
            <w:tcW w:type="dxa" w:w="1224"/>
            <w:vAlign w:val="center"/>
          </w:tcPr>
          <w:p>
            <w:pPr>
              <w:spacing w:after="40"/>
            </w:pPr>
            <w:r>
              <w:rPr>
                <w:rFonts w:ascii="Calibri" w:hAnsi="Calibri"/>
                <w:b w:val="0"/>
                <w:i w:val="0"/>
                <w:color w:val="212121"/>
                <w:sz w:val="19"/>
              </w:rPr>
              <w:t>Food</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Include omega-3-rich foods (fatty fish, flaxseed, walnuts) to support meibomian-gland and tear-film quality.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Eat vitamin-A- and antioxidant-rich foods (green leafy vegetables, carrots, lutein sources) for ocular-surface health.</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Maintain adequate hydration through the day to support tear volume.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Limit excess caffeine and sugary or processed snacking during long screen sessions.</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Dry-eye-prone screen users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All heavy screen users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Contact lens wearers</w:t>
            </w:r>
          </w:p>
        </w:tc>
        <w:tc>
          <w:tcPr>
            <w:tcW w:type="dxa" w:w="1036"/>
            <w:vAlign w:val="top"/>
          </w:tcPr>
          <w:p>
            <w:pPr>
              <w:spacing w:after="40" w:before="0" w:line="259" w:lineRule="auto"/>
            </w:pPr>
            <w:r>
              <w:rPr>
                <w:rFonts w:ascii="Calibri" w:hAnsi="Calibri"/>
                <w:b w:val="0"/>
                <w:i w:val="0"/>
                <w:color w:val="212121"/>
                <w:sz w:val="19"/>
              </w:rPr>
              <w:t>Medium</w:t>
            </w:r>
          </w:p>
        </w:tc>
      </w:tr>
      <w:tr>
        <w:trPr>
          <w:cantSplit/>
        </w:trPr>
        <w:tc>
          <w:tcPr>
            <w:tcW w:type="dxa" w:w="1224"/>
            <w:vAlign w:val="center"/>
          </w:tcPr>
          <w:p>
            <w:pPr>
              <w:spacing w:after="40"/>
            </w:pPr>
            <w:r>
              <w:rPr>
                <w:rFonts w:ascii="Calibri" w:hAnsi="Calibri"/>
                <w:b w:val="0"/>
                <w:i w:val="0"/>
                <w:color w:val="212121"/>
                <w:sz w:val="19"/>
              </w:rPr>
              <w:t>Sleep</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Aim for 7-9 hours of good-quality sleep each night.</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Stop screen use about 1 hour before bed, or use night / blue-light-reduction mode in the evening.</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Keep the bedroom screen-free and avoid using bright devices in the dark.</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Students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Professionals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Anyone with poor sleep and CVS</w:t>
            </w:r>
          </w:p>
        </w:tc>
        <w:tc>
          <w:tcPr>
            <w:tcW w:type="dxa" w:w="1036"/>
            <w:vAlign w:val="top"/>
          </w:tcPr>
          <w:p>
            <w:pPr>
              <w:spacing w:after="40" w:before="0" w:line="259" w:lineRule="auto"/>
            </w:pPr>
            <w:r>
              <w:rPr>
                <w:rFonts w:ascii="Calibri" w:hAnsi="Calibri"/>
                <w:b w:val="0"/>
                <w:i w:val="0"/>
                <w:color w:val="212121"/>
                <w:sz w:val="19"/>
              </w:rPr>
              <w:t>High</w:t>
            </w:r>
          </w:p>
        </w:tc>
      </w:tr>
      <w:tr>
        <w:trPr>
          <w:cantSplit/>
        </w:trPr>
        <w:tc>
          <w:tcPr>
            <w:tcW w:type="dxa" w:w="1224"/>
            <w:vAlign w:val="center"/>
          </w:tcPr>
          <w:p>
            <w:pPr>
              <w:spacing w:after="40"/>
            </w:pPr>
            <w:r>
              <w:rPr>
                <w:rFonts w:ascii="Calibri" w:hAnsi="Calibri"/>
                <w:b w:val="0"/>
                <w:i w:val="0"/>
                <w:color w:val="212121"/>
                <w:sz w:val="19"/>
              </w:rPr>
              <w:t>Smoking</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Avoid active smoking, which destabilises the tear film and worsens dry eye.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Avoid passive/second-hand smoke and smoky, polluted environments.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Seek tobacco-cessation support if needed.</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Screen users who smoke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Those with dry eye or CVS</w:t>
            </w:r>
          </w:p>
        </w:tc>
        <w:tc>
          <w:tcPr>
            <w:tcW w:type="dxa" w:w="1036"/>
            <w:vAlign w:val="top"/>
          </w:tcPr>
          <w:p>
            <w:pPr>
              <w:spacing w:after="40" w:before="0" w:line="259" w:lineRule="auto"/>
            </w:pPr>
            <w:r>
              <w:rPr>
                <w:rFonts w:ascii="Calibri" w:hAnsi="Calibri"/>
                <w:b w:val="0"/>
                <w:i w:val="0"/>
                <w:color w:val="212121"/>
                <w:sz w:val="19"/>
              </w:rPr>
              <w:t>Medium</w:t>
            </w:r>
          </w:p>
        </w:tc>
      </w:tr>
      <w:tr>
        <w:trPr>
          <w:cantSplit/>
        </w:trPr>
        <w:tc>
          <w:tcPr>
            <w:tcW w:type="dxa" w:w="1224"/>
            <w:vAlign w:val="center"/>
          </w:tcPr>
          <w:p>
            <w:pPr>
              <w:spacing w:after="40"/>
            </w:pPr>
            <w:r>
              <w:rPr>
                <w:rFonts w:ascii="Calibri" w:hAnsi="Calibri"/>
                <w:b w:val="0"/>
                <w:i w:val="0"/>
                <w:color w:val="212121"/>
                <w:sz w:val="19"/>
              </w:rPr>
              <w:t>Alcohol</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Keep alcohol within moderate limits to avoid dehydration and tear-film disruption.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Rehydrate with water when consuming alcohol.</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Regular or heavy drinkers with dry-eye symptoms</w:t>
            </w:r>
          </w:p>
        </w:tc>
        <w:tc>
          <w:tcPr>
            <w:tcW w:type="dxa" w:w="1036"/>
            <w:vAlign w:val="top"/>
          </w:tcPr>
          <w:p>
            <w:pPr>
              <w:spacing w:after="40" w:before="0" w:line="259" w:lineRule="auto"/>
            </w:pPr>
            <w:r>
              <w:rPr>
                <w:rFonts w:ascii="Calibri" w:hAnsi="Calibri"/>
                <w:b w:val="0"/>
                <w:i w:val="0"/>
                <w:color w:val="212121"/>
                <w:sz w:val="19"/>
              </w:rPr>
              <w:t>Low</w:t>
            </w:r>
          </w:p>
        </w:tc>
      </w:tr>
      <w:tr>
        <w:trPr>
          <w:cantSplit/>
        </w:trPr>
        <w:tc>
          <w:tcPr>
            <w:tcW w:type="dxa" w:w="1224"/>
            <w:vAlign w:val="center"/>
          </w:tcPr>
          <w:p>
            <w:pPr>
              <w:spacing w:after="40"/>
            </w:pPr>
            <w:r>
              <w:rPr>
                <w:rFonts w:ascii="Calibri" w:hAnsi="Calibri"/>
                <w:b w:val="0"/>
                <w:i w:val="0"/>
                <w:color w:val="212121"/>
                <w:sz w:val="19"/>
              </w:rPr>
              <w:t>Mental health</w:t>
            </w:r>
          </w:p>
        </w:tc>
        <w:tc>
          <w:tcPr>
            <w:tcW w:type="dxa" w:w="1224"/>
            <w:vAlign w:val="top"/>
          </w:tcPr>
          <w:p>
            <w:pPr>
              <w:spacing w:after="40" w:before="0" w:line="259" w:lineRule="auto"/>
            </w:pPr>
            <w:r>
              <w:rPr>
                <w:rFonts w:ascii="Calibri" w:hAnsi="Calibri"/>
                <w:b w:val="0"/>
                <w:i w:val="0"/>
                <w:color w:val="212121"/>
                <w:sz w:val="19"/>
              </w:rPr>
              <w:t>Therapeutic</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Pace screen workload and schedule regular breaks to reduce digital fatigue and stress.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Address screen-related stress, anxiety and poor sleep, which lower symptom tolerance.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Set boundaries on after-hours and recreational screen use.</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Students under exam/study load</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IT and knowledge workers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WFH employees</w:t>
            </w:r>
          </w:p>
        </w:tc>
        <w:tc>
          <w:tcPr>
            <w:tcW w:type="dxa" w:w="1036"/>
            <w:vAlign w:val="top"/>
          </w:tcPr>
          <w:p>
            <w:pPr>
              <w:spacing w:after="40" w:before="0" w:line="259" w:lineRule="auto"/>
            </w:pPr>
            <w:r>
              <w:rPr>
                <w:rFonts w:ascii="Calibri" w:hAnsi="Calibri"/>
                <w:b w:val="0"/>
                <w:i w:val="0"/>
                <w:color w:val="212121"/>
                <w:sz w:val="19"/>
              </w:rPr>
              <w:t>Medium</w:t>
            </w:r>
          </w:p>
        </w:tc>
      </w:tr>
      <w:tr>
        <w:trPr>
          <w:cantSplit/>
        </w:trPr>
        <w:tc>
          <w:tcPr>
            <w:tcW w:type="dxa" w:w="1224"/>
            <w:vAlign w:val="center"/>
          </w:tcPr>
          <w:p>
            <w:pPr>
              <w:spacing w:after="40"/>
            </w:pPr>
            <w:r>
              <w:rPr>
                <w:rFonts w:ascii="Calibri" w:hAnsi="Calibri"/>
                <w:b w:val="0"/>
                <w:i w:val="0"/>
                <w:color w:val="212121"/>
                <w:sz w:val="19"/>
              </w:rPr>
              <w:t>Education</w:t>
            </w:r>
          </w:p>
        </w:tc>
        <w:tc>
          <w:tcPr>
            <w:tcW w:type="dxa" w:w="1224"/>
            <w:vAlign w:val="top"/>
          </w:tcPr>
          <w:p>
            <w:pPr>
              <w:spacing w:after="40" w:before="0" w:line="259" w:lineRule="auto"/>
            </w:pPr>
            <w:r>
              <w:rPr>
                <w:rFonts w:ascii="Calibri" w:hAnsi="Calibri"/>
                <w:b w:val="0"/>
                <w:i w:val="0"/>
                <w:color w:val="212121"/>
                <w:sz w:val="19"/>
              </w:rPr>
              <w:t>Therapeutic</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Correct refractive error and presbyopia, using dedicated computer/occupational spectacles or appropriate progressive lenses where needed.</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Treat the dry-eye component with preservative-free lubricating drops, and warm compresses with lid hygiene for meibomian gland dysfunction.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Refer for vision therapy or prism where convergence insufficiency or accommodative dysfunction is found.</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Optimise workstation ergonomics (screen distance and height, chair, lighting, anti-glare) and humidify dry air-conditioned rooms.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Consider omega-3 supplementation for persistent evaporative dry-eye symptoms.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Review and step up management if symptoms persist despite good screen hygiene.</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Established or moderate-to-severe CVS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Dry eye disease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Convergence insufficiency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Presbyopic screen users</w:t>
            </w:r>
          </w:p>
        </w:tc>
        <w:tc>
          <w:tcPr>
            <w:tcW w:type="dxa" w:w="1036"/>
            <w:vAlign w:val="top"/>
          </w:tcPr>
          <w:p>
            <w:pPr>
              <w:spacing w:after="40" w:before="0" w:line="259" w:lineRule="auto"/>
            </w:pPr>
            <w:r>
              <w:rPr>
                <w:rFonts w:ascii="Calibri" w:hAnsi="Calibri"/>
                <w:b w:val="0"/>
                <w:i w:val="0"/>
                <w:color w:val="212121"/>
                <w:sz w:val="19"/>
              </w:rPr>
              <w:t>High</w:t>
            </w:r>
          </w:p>
        </w:tc>
      </w:tr>
    </w:tbl>
    <w:sectPr w:rsidR="00FC693F" w:rsidRPr="0006063C" w:rsidSect="00034616">
      <w:pgSz w:w="11909" w:h="16834"/>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before="0" w:line="269" w:lineRule="auto"/>
    </w:pPr>
    <w:rPr>
      <w:rFonts w:ascii="Calibri" w:hAnsi="Calibri" w:cs="Calibri"/>
      <w:color w:val="21212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pubmed.ncbi.nlm.nih.gov/24761234/" TargetMode="External"/><Relationship Id="rId10" Type="http://schemas.openxmlformats.org/officeDocument/2006/relationships/hyperlink" Target="https://bmjophth.bmj.com/content/3/1/e000146" TargetMode="External"/><Relationship Id="rId11" Type="http://schemas.openxmlformats.org/officeDocument/2006/relationships/hyperlink" Target="https://pubmed.ncbi.nlm.nih.gov/30866885/" TargetMode="External"/><Relationship Id="rId12" Type="http://schemas.openxmlformats.org/officeDocument/2006/relationships/hyperlink" Target="https://pubmed.ncbi.nlm.nih.gov/29380759/" TargetMode="External"/><Relationship Id="rId13" Type="http://schemas.openxmlformats.org/officeDocument/2006/relationships/hyperlink" Target="https://pubmed.ncbi.nlm.nih.gov/33369521/" TargetMode="External"/><Relationship Id="rId14" Type="http://schemas.openxmlformats.org/officeDocument/2006/relationships/hyperlink" Target="https://www.aoa.org/healthy-eyes/eye-and-vision-conditions/computer-vision-syndrome" TargetMode="External"/><Relationship Id="rId15" Type="http://schemas.openxmlformats.org/officeDocument/2006/relationships/hyperlink" Target="https://pubmed.ncbi.nlm.nih.gov/21480937/" TargetMode="External"/><Relationship Id="rId16" Type="http://schemas.openxmlformats.org/officeDocument/2006/relationships/hyperlink" Target="https://pubmed.ncbi.nlm.nih.gov/3187945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