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Strabismus / Squint</w:t>
      </w:r>
    </w:p>
    <w:p>
      <w:pPr>
        <w:spacing w:before="0" w:after="160"/>
      </w:pPr>
      <w:r>
        <w:rPr>
          <w:rFonts w:ascii="Calibri" w:hAnsi="Calibri"/>
          <w:b/>
          <w:i w:val="0"/>
          <w:color w:val="212121"/>
          <w:sz w:val="22"/>
        </w:rPr>
        <w:t xml:space="preserve">AKA </w:t>
      </w:r>
      <w:r>
        <w:rPr>
          <w:rFonts w:ascii="Calibri" w:hAnsi="Calibri"/>
          <w:b w:val="0"/>
          <w:i w:val="0"/>
          <w:color w:val="212121"/>
          <w:sz w:val="22"/>
        </w:rPr>
        <w:t>i.e., Squint, Crossed eyes, Wall eye, Heterotropia, Ocular misalignment, 'Bhengapan/Kaani aankh' (lay Hindi)</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Strabismus is a disorder of binocular alignment in which the visual axes of the two eyes fail to meet at the same fixation point, resulting from an imbalance in the extraocular muscles or their neural control. The deviating eye may turn inward (esotropia), outward (exotropia), upward (hypertropia) or downward (hypotropia); the deviation may be constant or intermittent and comitant (equal in all gaze positions) or incomitant/paralytic. When it develops before visual maturity it commonly causes amblyopia (lazy eye) and permanent loss of stereopsis, whereas new-onset (acquired) strabismus in older children and adults typically produces troublesome double vision.</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Strabismus affects roughly 2-4% of children worldwide. Population-based Indian data place overall prevalence near 0.9-1%, with a distinct regional pattern: exotropia predominates in South India (Southeast India exotropia ~0.64% vs esotropia ~0.27%) while esotropia is relatively more common in the Northwest. In Indian hospital-based paediatric series esotropia still forms the majority of presenting cases (about 64%), and amblyopia coexists in roughly one quarter to one third of children with strabismus. Uncorrected refractive error, delayed presentation and limited access to paediatric eye care make late, amblyogenic squint an important cause of avoidable monocular visual impairment in India.</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Strabismus is a clinical diagnosis based on orthoptic examination that confirms manifest ocular misalignment, quantifies its angle and characterises its type; supportive tests establish the sensory status and search for an underlying cause. Core elements include: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Corneal light reflex test (Hirschberg / Krimsky): asymmetric position of the reflected light on the two corneas indicates a manifest deviation and gives an approximate angle;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Cover-uncover test: movement of the covered/uncovered eye to take up fixation distinguishes a manifest tropia from a latent phoria and identifies the deviating eye;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Alternate prism cover test: measures the total (manifest + latent) angle of deviation in prism dioptres for distance and near, in primary and cardinal gazes;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Ocular motility (versions and ductions): limitation identifies incomitant/paralytic or restrictive strabismus (cranial nerve palsy, thyroid eye disease, Duane syndrome);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Cycloplegic refraction: uncovers hypermetropia driving accommodative esotropia and myopia associated with exotropia;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Sensory testing: stereoacuity (Titmus/TNO), Worth four-dot and, where relevant, suppression/anomalous retinal correspondence assessment;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Visual acuity (age-appropriate): a two-line or greater interocular difference suggests strabismic amblyopia;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Dilated fundus examination to exclude an organic (sensory) cause such as cataract, retinoblastoma, optic nerve or macular disease, and neuroimaging (MRI/CT) for incomitant, paralytic or acute acquired deviations.</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Strabismus is described along several complementary axes; a full clinical label combines direction, latency, comitance, constancy, onset and underlying mechanism.</w:t>
      </w:r>
    </w:p>
    <w:p>
      <w:pPr>
        <w:spacing w:before="0" w:after="80"/>
      </w:pPr>
      <w:r>
        <w:rPr>
          <w:rFonts w:ascii="Calibri" w:hAnsi="Calibri"/>
          <w:b w:val="0"/>
          <w:i w:val="0"/>
          <w:color w:val="212121"/>
          <w:sz w:val="21"/>
        </w:rPr>
        <w:t>(1) By direction of deviation: esotropia (inward), exotropia (outward), hypertropia (upward) and hypotropia (downward), with A- and V-patterns describing gaze-dependent variation;</w:t>
      </w:r>
    </w:p>
    <w:p>
      <w:pPr>
        <w:spacing w:before="0" w:after="80"/>
      </w:pPr>
      <w:r>
        <w:rPr>
          <w:rFonts w:ascii="Calibri" w:hAnsi="Calibri"/>
          <w:b w:val="0"/>
          <w:i w:val="0"/>
          <w:color w:val="212121"/>
          <w:sz w:val="21"/>
        </w:rPr>
        <w:t>(2) By latency: heterophoria (latent, controlled by fusion and revealed only on cover testing) versus heterotropia (manifest, present under binocular viewing);</w:t>
      </w:r>
    </w:p>
    <w:p>
      <w:pPr>
        <w:spacing w:before="0" w:after="80"/>
      </w:pPr>
      <w:r>
        <w:rPr>
          <w:rFonts w:ascii="Calibri" w:hAnsi="Calibri"/>
          <w:b w:val="0"/>
          <w:i w:val="0"/>
          <w:color w:val="212121"/>
          <w:sz w:val="21"/>
        </w:rPr>
        <w:t>(3) By comitance: comitant strabismus, in which the angle is the same in all directions of gaze (typical of childhood-onset squint), versus incomitant/paralytic or restrictive strabismus, in which the angle varies with gaze (cranial nerve palsy, thyroid eye disease, blow-out fracture, Duane retraction syndrome);</w:t>
      </w:r>
    </w:p>
    <w:p>
      <w:pPr>
        <w:spacing w:before="0" w:after="80"/>
      </w:pPr>
      <w:r>
        <w:rPr>
          <w:rFonts w:ascii="Calibri" w:hAnsi="Calibri"/>
          <w:b w:val="0"/>
          <w:i w:val="0"/>
          <w:color w:val="212121"/>
          <w:sz w:val="21"/>
        </w:rPr>
        <w:t>(4) By constancy: constant versus intermittent (as in the common intermittent exotropia of childhood);</w:t>
      </w:r>
    </w:p>
    <w:p>
      <w:pPr>
        <w:spacing w:before="0" w:after="80"/>
      </w:pPr>
      <w:r>
        <w:rPr>
          <w:rFonts w:ascii="Calibri" w:hAnsi="Calibri"/>
          <w:b w:val="0"/>
          <w:i w:val="0"/>
          <w:color w:val="212121"/>
          <w:sz w:val="21"/>
        </w:rPr>
        <w:t>(5) By onset: congenital/infantile (presenting before 6 months, e.g. infantile esotropia) versus acquired (later childhood or adult);</w:t>
      </w:r>
    </w:p>
    <w:p>
      <w:pPr>
        <w:spacing w:before="0" w:after="80"/>
      </w:pPr>
      <w:r>
        <w:rPr>
          <w:rFonts w:ascii="Calibri" w:hAnsi="Calibri"/>
          <w:b w:val="0"/>
          <w:i w:val="0"/>
          <w:color w:val="212121"/>
          <w:sz w:val="21"/>
        </w:rPr>
        <w:t>(6) By mechanism: refractive/accommodative esotropia (driven by uncorrected hypermetropia), sensory strabismus (secondary to unilateral vision loss from cataract, corneal opacity or retinoblastoma), paralytic (third, fourth or sixth cranial nerve palsy), restrictive, and syndromic/congenital cranial dysinnervation disorders.</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Uncorrected refractive error: High hypermetropia forces excessive accommodative convergence and is the classic driver of accommodative esotropia; myopia and anisometropia are linked to exotropia and to sensory strabismus.</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Genetic predisposition: Strabismus clusters strongly in families and twins, implicating polygenic inheritance and specific loci (e.g. WRB, TSPAN10) as well as monogenic congenital cranial dysinnervation disorders.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Perinatal/neurological insult: Prematurity, low birth weight, retinopathy of prematurity, cerebral palsy, hydrocephalus and perinatal hypoxia disrupt the developing fusional and oculomotor pathways.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Sensory deprivation: Any process degrading the image in one eye during the critical period, congenital cataract, corneal opacity (including vitamin A deficiency scarring), ptosis or retinoblastoma, breaks fusion and causes sensory strabismus.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Extraocular muscle / cranial nerve dysfunction: Palsy of cranial nerves III, IV or VI (from microvascular disease, raised intracranial pressure, trauma or tumour), thyroid eye disease and myasthenia gravis produce incomitant deviations.</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Syndromic and structural anomalies: Down syndrome, craniofacial syndromes, Duane retraction syndrome and congenital fibrosis of the extraocular muscles are associated with characteristic squints.</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Provoking/decompensating factors: Sustained near work and intensive digital-device use (acute acquired esotropia), fatigue, systemic illness and head trauma can precipitate or decompensate a latent deviation.</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Infants and young children</w:t>
            </w:r>
          </w:p>
        </w:tc>
        <w:tc>
          <w:tcPr>
            <w:tcW w:type="dxa" w:w="4276"/>
            <w:vAlign w:val="top"/>
          </w:tcPr>
          <w:p>
            <w:pPr>
              <w:spacing w:after="60" w:line="259" w:lineRule="auto"/>
            </w:pPr>
            <w:r>
              <w:rPr>
                <w:rFonts w:ascii="Calibri" w:hAnsi="Calibri"/>
                <w:b w:val="0"/>
                <w:i w:val="0"/>
                <w:color w:val="212121"/>
                <w:sz w:val="19"/>
              </w:rPr>
              <w:t>The neural circuitry for binocular fusion matures in the first years of life; misalignment during this critical period both arises most easily and, if unrecognised, rapidly produces amblyopia and permanent loss of stereopsis. Most childhood squint (infantile esotropia, accommodative esotropia, intermittent exotropia) presents in this window.</w:t>
            </w:r>
          </w:p>
          <w:p>
            <w:pPr>
              <w:spacing w:after="40" w:before="60" w:line="259" w:lineRule="auto"/>
            </w:pPr>
            <w:r>
              <w:rPr>
                <w:rFonts w:ascii="Calibri" w:hAnsi="Calibri"/>
                <w:b w:val="0"/>
                <w:i w:val="0"/>
                <w:color w:val="212121"/>
                <w:sz w:val="19"/>
              </w:rPr>
              <w:t>Strabismus affects approximately 2-4% of children, and in Indian hospital series two-thirds of cases present in the 0-9 year age group.</w:t>
            </w:r>
          </w:p>
          <w:p>
            <w:pPr>
              <w:spacing w:after="40" w:line="252" w:lineRule="auto"/>
            </w:pPr>
            <w:hyperlink r:id="rId9">
              <w:r>
                <w:rPr>
                  <w:rFonts w:ascii="Calibri" w:hAnsi="Calibri" w:cs="Calibri"/>
                  <w:sz w:val="18"/>
                  <w:color w:val="1155CC"/>
                  <w:u w:val="single"/>
                </w:rPr>
                <w:t xml:space="preserve">frontiersin.org — Genetics of strabismus</w:t>
              </w:r>
            </w:hyperlink>
          </w:p>
          <w:p>
            <w:pPr>
              <w:spacing w:before="60" w:after="40"/>
            </w:pPr>
            <w:r>
              <w:rPr>
                <w:rFonts w:ascii="Calibri" w:hAnsi="Calibri"/>
                <w:b w:val="0"/>
                <w:i w:val="0"/>
                <w:color w:val="5A5A5A"/>
                <w:sz w:val="18"/>
              </w:rPr>
              <w:t>#strabismus  #amblyopia  #criticalperiod  #pediatriceye  #earlyscreening</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Adults</w:t>
            </w:r>
          </w:p>
        </w:tc>
        <w:tc>
          <w:tcPr>
            <w:tcW w:type="dxa" w:w="4276"/>
            <w:vAlign w:val="top"/>
          </w:tcPr>
          <w:p>
            <w:pPr>
              <w:spacing w:after="60" w:line="259" w:lineRule="auto"/>
            </w:pPr>
            <w:r>
              <w:rPr>
                <w:rFonts w:ascii="Calibri" w:hAnsi="Calibri"/>
                <w:b w:val="0"/>
                <w:i w:val="0"/>
                <w:color w:val="212121"/>
                <w:sz w:val="19"/>
              </w:rPr>
              <w:t>Adult strabismus is either childhood squint that has recurred/decompensated or new acquired deviation from microvascular cranial nerve palsy, thyroid eye disease, stroke or trauma. Because the adult visual system cannot suppress, new misalignment characteristically causes disabling diplopia.</w:t>
            </w:r>
          </w:p>
          <w:p>
            <w:pPr>
              <w:spacing w:after="40" w:before="60" w:line="259" w:lineRule="auto"/>
            </w:pPr>
            <w:r>
              <w:rPr>
                <w:rFonts w:ascii="Calibri" w:hAnsi="Calibri"/>
                <w:b w:val="0"/>
                <w:i w:val="0"/>
                <w:color w:val="212121"/>
                <w:sz w:val="19"/>
              </w:rPr>
              <w:t>About 4% of adults experience strabismus during their lifetime, most commonly presenting with double vision.</w:t>
            </w:r>
          </w:p>
          <w:p>
            <w:pPr>
              <w:spacing w:after="40" w:line="252" w:lineRule="auto"/>
            </w:pPr>
            <w:hyperlink r:id="rId10">
              <w:r>
                <w:rPr>
                  <w:rFonts w:ascii="Calibri" w:hAnsi="Calibri" w:cs="Calibri"/>
                  <w:sz w:val="18"/>
                  <w:color w:val="1155CC"/>
                  <w:u w:val="single"/>
                </w:rPr>
                <w:t xml:space="preserve">yalemedicine.org — Adult strabismus</w:t>
              </w:r>
            </w:hyperlink>
          </w:p>
          <w:p>
            <w:pPr>
              <w:spacing w:before="60" w:after="40"/>
            </w:pPr>
            <w:r>
              <w:rPr>
                <w:rFonts w:ascii="Calibri" w:hAnsi="Calibri"/>
                <w:b w:val="0"/>
                <w:i w:val="0"/>
                <w:color w:val="5A5A5A"/>
                <w:sz w:val="18"/>
              </w:rPr>
              <w:t>#adultstrabismus  #diplopia  #cranialnervepalsy  #decompensation  #thyroideye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Females</w:t>
            </w:r>
          </w:p>
        </w:tc>
        <w:tc>
          <w:tcPr>
            <w:tcW w:type="dxa" w:w="4276"/>
            <w:vAlign w:val="top"/>
          </w:tcPr>
          <w:p>
            <w:pPr>
              <w:spacing w:after="60" w:line="259" w:lineRule="auto"/>
            </w:pPr>
            <w:r>
              <w:rPr>
                <w:rFonts w:ascii="Calibri" w:hAnsi="Calibri"/>
                <w:b w:val="0"/>
                <w:i w:val="0"/>
                <w:color w:val="212121"/>
                <w:sz w:val="19"/>
              </w:rPr>
              <w:t>Intermittent exotropia, the commonest exodeviation in Asian children, shows a consistent slight female predominance; hormonal or connective-tissue influences on extraocular muscle tone have been postulated. Psychosocial burden of visible squint is also reported to fall disproportionately on girls and women in India.</w:t>
            </w:r>
          </w:p>
          <w:p>
            <w:pPr>
              <w:spacing w:after="40" w:before="60" w:line="259" w:lineRule="auto"/>
            </w:pPr>
            <w:r>
              <w:rPr>
                <w:rFonts w:ascii="Calibri" w:hAnsi="Calibri"/>
                <w:b w:val="0"/>
                <w:i w:val="0"/>
                <w:color w:val="212121"/>
                <w:sz w:val="19"/>
              </w:rPr>
              <w:t>Across large series roughly 54-60% of intermittent exotropia patients are female.</w:t>
            </w:r>
          </w:p>
          <w:p>
            <w:pPr>
              <w:spacing w:after="40" w:line="252" w:lineRule="auto"/>
            </w:pPr>
            <w:hyperlink r:id="rId11">
              <w:r>
                <w:rPr>
                  <w:rFonts w:ascii="Calibri" w:hAnsi="Calibri" w:cs="Calibri"/>
                  <w:sz w:val="18"/>
                  <w:color w:val="1155CC"/>
                  <w:u w:val="single"/>
                </w:rPr>
                <w:t xml:space="preserve">ncbi.nlm.nih.gov — Intermittent Exotropia (StatPearls)</w:t>
              </w:r>
            </w:hyperlink>
          </w:p>
          <w:p>
            <w:pPr>
              <w:spacing w:before="60" w:after="40"/>
            </w:pPr>
            <w:r>
              <w:rPr>
                <w:rFonts w:ascii="Calibri" w:hAnsi="Calibri"/>
                <w:b w:val="0"/>
                <w:i w:val="0"/>
                <w:color w:val="5A5A5A"/>
                <w:sz w:val="18"/>
              </w:rPr>
              <w:t>#intermittentexotropia  #female  #exotropia  #psychosocial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and rural families</w:t>
            </w:r>
          </w:p>
        </w:tc>
        <w:tc>
          <w:tcPr>
            <w:tcW w:type="dxa" w:w="4276"/>
            <w:vAlign w:val="top"/>
          </w:tcPr>
          <w:p>
            <w:pPr>
              <w:spacing w:after="60" w:line="259" w:lineRule="auto"/>
            </w:pPr>
            <w:r>
              <w:rPr>
                <w:rFonts w:ascii="Calibri" w:hAnsi="Calibri"/>
                <w:b w:val="0"/>
                <w:i w:val="0"/>
                <w:color w:val="212121"/>
                <w:sz w:val="19"/>
              </w:rPr>
              <w:t>Limited awareness, cost and distance to paediatric eye services delay presentation well beyond the amblyopia-treatable age, and uncorrected refractive error goes unaddressed. Squint is often dismissed as merely cosmetic, so children present late with established amblyopia.</w:t>
            </w:r>
          </w:p>
          <w:p>
            <w:pPr>
              <w:spacing w:after="40" w:before="60" w:line="259" w:lineRule="auto"/>
            </w:pPr>
            <w:r>
              <w:rPr>
                <w:rFonts w:ascii="Calibri" w:hAnsi="Calibri"/>
                <w:b w:val="0"/>
                <w:i w:val="0"/>
                <w:color w:val="212121"/>
                <w:sz w:val="19"/>
              </w:rPr>
              <w:t>Delayed presentation and uncorrected refractive error make late amblyogenic squint an important cause of avoidable monocular visual impairment in India.</w:t>
            </w:r>
          </w:p>
          <w:p>
            <w:pPr>
              <w:spacing w:before="60" w:after="40"/>
            </w:pPr>
            <w:r>
              <w:rPr>
                <w:rFonts w:ascii="Calibri" w:hAnsi="Calibri"/>
                <w:b w:val="0"/>
                <w:i w:val="0"/>
                <w:color w:val="5A5A5A"/>
                <w:sz w:val="18"/>
              </w:rPr>
              <w:t>#ruralhealth  #accesstocare  #latepresentation  #avoidableblindness  #refractiveerror</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Merge w:val="restart"/>
            <w:vAlign w:val="center"/>
          </w:tcPr>
          <w:p>
            <w:pPr>
              <w:spacing w:after="40"/>
            </w:pPr>
            <w:r>
              <w:rPr>
                <w:rFonts w:ascii="Calibri" w:hAnsi="Calibri"/>
                <w:b w:val="0"/>
                <w:i w:val="0"/>
                <w:color w:val="212121"/>
                <w:sz w:val="19"/>
              </w:rPr>
              <w:t>Ethnicity</w:t>
            </w:r>
          </w:p>
        </w:tc>
        <w:tc>
          <w:tcPr>
            <w:tcW w:type="dxa" w:w="2160"/>
            <w:vAlign w:val="top"/>
          </w:tcPr>
          <w:p>
            <w:pPr>
              <w:spacing w:after="40" w:before="0" w:line="259" w:lineRule="auto"/>
            </w:pPr>
            <w:r>
              <w:rPr>
                <w:rFonts w:ascii="Calibri" w:hAnsi="Calibri"/>
                <w:b w:val="0"/>
                <w:i w:val="0"/>
                <w:color w:val="212121"/>
                <w:sz w:val="19"/>
              </w:rPr>
              <w:t>South Indian (Dravidian) populations</w:t>
            </w:r>
          </w:p>
        </w:tc>
        <w:tc>
          <w:tcPr>
            <w:tcW w:type="dxa" w:w="4276"/>
            <w:vAlign w:val="top"/>
          </w:tcPr>
          <w:p>
            <w:pPr>
              <w:spacing w:after="60" w:line="259" w:lineRule="auto"/>
            </w:pPr>
            <w:r>
              <w:rPr>
                <w:rFonts w:ascii="Calibri" w:hAnsi="Calibri"/>
                <w:b w:val="0"/>
                <w:i w:val="0"/>
                <w:color w:val="212121"/>
                <w:sz w:val="19"/>
              </w:rPr>
              <w:t>Consistent with an Asian pattern, exotropia predominates over esotropia in southern India, mirroring the exodeviation excess seen across East and South Asian populations rather than the esotropia excess of Europeans.</w:t>
            </w:r>
          </w:p>
          <w:p>
            <w:pPr>
              <w:spacing w:after="40" w:before="60" w:line="259" w:lineRule="auto"/>
            </w:pPr>
            <w:r>
              <w:rPr>
                <w:rFonts w:ascii="Calibri" w:hAnsi="Calibri"/>
                <w:b w:val="0"/>
                <w:i w:val="0"/>
                <w:color w:val="212121"/>
                <w:sz w:val="19"/>
              </w:rPr>
              <w:t>In Southeast India exotropia prevalence (~0.64%) exceeds esotropia (~0.27%), an ET/XT ratio of about 0.42.</w:t>
            </w:r>
          </w:p>
          <w:p>
            <w:pPr>
              <w:spacing w:after="40" w:line="252" w:lineRule="auto"/>
            </w:pPr>
            <w:hyperlink r:id="rId12">
              <w:r>
                <w:rPr>
                  <w:rFonts w:ascii="Calibri" w:hAnsi="Calibri" w:cs="Calibri"/>
                  <w:sz w:val="18"/>
                  <w:color w:val="1155CC"/>
                  <w:u w:val="single"/>
                </w:rPr>
                <w:t xml:space="preserve">medrxiv.org — Global prevalence of horizontal strabismus</w:t>
              </w:r>
            </w:hyperlink>
          </w:p>
          <w:p>
            <w:pPr>
              <w:spacing w:before="60" w:after="40"/>
            </w:pPr>
            <w:r>
              <w:rPr>
                <w:rFonts w:ascii="Calibri" w:hAnsi="Calibri"/>
                <w:b w:val="0"/>
                <w:i w:val="0"/>
                <w:color w:val="5A5A5A"/>
                <w:sz w:val="18"/>
              </w:rPr>
              <w:t>#exotropia  #southindia  #ethnicity  #Asianpattern</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North / Northwest Indian populations</w:t>
            </w:r>
          </w:p>
        </w:tc>
        <w:tc>
          <w:tcPr>
            <w:tcW w:type="dxa" w:w="4276"/>
            <w:vAlign w:val="top"/>
          </w:tcPr>
          <w:p>
            <w:pPr>
              <w:spacing w:after="60" w:line="259" w:lineRule="auto"/>
            </w:pPr>
            <w:r>
              <w:rPr>
                <w:rFonts w:ascii="Calibri" w:hAnsi="Calibri"/>
                <w:b w:val="0"/>
                <w:i w:val="0"/>
                <w:color w:val="212121"/>
                <w:sz w:val="19"/>
              </w:rPr>
              <w:t>Northwestern South Asian populations show a relatively higher share of esotropia than the south, giving a more balanced esotropia-to-exotropia ratio and underlining that squint type varies with ancestry within India.</w:t>
            </w:r>
          </w:p>
          <w:p>
            <w:pPr>
              <w:spacing w:after="40" w:before="60" w:line="259" w:lineRule="auto"/>
            </w:pPr>
            <w:r>
              <w:rPr>
                <w:rFonts w:ascii="Calibri" w:hAnsi="Calibri"/>
                <w:b w:val="0"/>
                <w:i w:val="0"/>
                <w:color w:val="212121"/>
                <w:sz w:val="19"/>
              </w:rPr>
              <w:t>Northwest South Asia: esotropia ~0.58% vs exotropia ~0.46% (ET/XT ratio ~1.26).</w:t>
            </w:r>
          </w:p>
          <w:p>
            <w:pPr>
              <w:spacing w:after="40" w:line="252" w:lineRule="auto"/>
            </w:pPr>
            <w:hyperlink r:id="rId12">
              <w:r>
                <w:rPr>
                  <w:rFonts w:ascii="Calibri" w:hAnsi="Calibri" w:cs="Calibri"/>
                  <w:sz w:val="18"/>
                  <w:color w:val="1155CC"/>
                  <w:u w:val="single"/>
                </w:rPr>
                <w:t xml:space="preserve">medrxiv.org — Global prevalence of horizontal strabismus</w:t>
              </w:r>
            </w:hyperlink>
          </w:p>
          <w:p>
            <w:pPr>
              <w:spacing w:before="60" w:after="40"/>
            </w:pPr>
            <w:r>
              <w:rPr>
                <w:rFonts w:ascii="Calibri" w:hAnsi="Calibri"/>
                <w:b w:val="0"/>
                <w:i w:val="0"/>
                <w:color w:val="5A5A5A"/>
                <w:sz w:val="18"/>
              </w:rPr>
              <w:t>#esotropia  #northindia  #ethnicity  #regionalvariation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w:t>
            </w:r>
          </w:p>
        </w:tc>
        <w:tc>
          <w:tcPr>
            <w:tcW w:type="dxa" w:w="2160"/>
            <w:vAlign w:val="top"/>
          </w:tcPr>
          <w:p>
            <w:pPr>
              <w:spacing w:after="40" w:before="0" w:line="259" w:lineRule="auto"/>
            </w:pPr>
            <w:r>
              <w:rPr>
                <w:rFonts w:ascii="Calibri" w:hAnsi="Calibri"/>
                <w:b w:val="0"/>
                <w:i w:val="0"/>
                <w:color w:val="212121"/>
                <w:sz w:val="19"/>
              </w:rPr>
              <w:t>East Asian populations (comparative)</w:t>
            </w:r>
          </w:p>
        </w:tc>
        <w:tc>
          <w:tcPr>
            <w:tcW w:type="dxa" w:w="4276"/>
            <w:vAlign w:val="top"/>
          </w:tcPr>
          <w:p>
            <w:pPr>
              <w:spacing w:after="60" w:line="259" w:lineRule="auto"/>
            </w:pPr>
            <w:r>
              <w:rPr>
                <w:rFonts w:ascii="Calibri" w:hAnsi="Calibri"/>
                <w:b w:val="0"/>
                <w:i w:val="0"/>
                <w:color w:val="212121"/>
                <w:sz w:val="19"/>
              </w:rPr>
              <w:t>East Asian groups show a strong exotropia predominance and a documented recent rise in exotropia, providing context for the exodeviation-heavy pattern also seen in South India and relevant to Indian populations of East Asian descent.</w:t>
            </w:r>
          </w:p>
          <w:p>
            <w:pPr>
              <w:spacing w:after="40" w:before="60" w:line="259" w:lineRule="auto"/>
            </w:pPr>
            <w:r>
              <w:rPr>
                <w:rFonts w:ascii="Calibri" w:hAnsi="Calibri"/>
                <w:b w:val="0"/>
                <w:i w:val="0"/>
                <w:color w:val="212121"/>
                <w:sz w:val="19"/>
              </w:rPr>
              <w:t>In East Asians exotropia (~1.14%) far exceeds esotropia (~0.31%), an ET/XT ratio of about 0.27.</w:t>
            </w:r>
          </w:p>
          <w:p>
            <w:pPr>
              <w:spacing w:after="40" w:line="252" w:lineRule="auto"/>
            </w:pPr>
            <w:hyperlink r:id="rId12">
              <w:r>
                <w:rPr>
                  <w:rFonts w:ascii="Calibri" w:hAnsi="Calibri" w:cs="Calibri"/>
                  <w:sz w:val="18"/>
                  <w:color w:val="1155CC"/>
                  <w:u w:val="single"/>
                </w:rPr>
                <w:t xml:space="preserve">medrxiv.org — Global prevalence of horizontal strabismus</w:t>
              </w:r>
            </w:hyperlink>
          </w:p>
          <w:p>
            <w:pPr>
              <w:spacing w:before="60" w:after="40"/>
            </w:pPr>
            <w:r>
              <w:rPr>
                <w:rFonts w:ascii="Calibri" w:hAnsi="Calibri"/>
                <w:b w:val="0"/>
                <w:i w:val="0"/>
                <w:color w:val="5A5A5A"/>
                <w:sz w:val="18"/>
              </w:rPr>
              <w:t>#exotropia  #eastasian  #ethnicvariation  #globalburden</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Screen time / near work</w:t>
            </w:r>
          </w:p>
        </w:tc>
        <w:tc>
          <w:tcPr>
            <w:tcW w:type="dxa" w:w="2160"/>
            <w:vAlign w:val="top"/>
          </w:tcPr>
          <w:p>
            <w:pPr>
              <w:spacing w:after="40" w:before="0" w:line="259" w:lineRule="auto"/>
            </w:pPr>
            <w:r>
              <w:rPr>
                <w:rFonts w:ascii="Calibri" w:hAnsi="Calibri"/>
                <w:b w:val="0"/>
                <w:i w:val="0"/>
                <w:color w:val="212121"/>
                <w:sz w:val="19"/>
              </w:rPr>
              <w:t>Children and young adults with heavy digital-device use</w:t>
            </w:r>
          </w:p>
        </w:tc>
        <w:tc>
          <w:tcPr>
            <w:tcW w:type="dxa" w:w="4276"/>
            <w:vAlign w:val="top"/>
          </w:tcPr>
          <w:p>
            <w:pPr>
              <w:spacing w:after="60" w:line="259" w:lineRule="auto"/>
            </w:pPr>
            <w:r>
              <w:rPr>
                <w:rFonts w:ascii="Calibri" w:hAnsi="Calibri"/>
                <w:b w:val="0"/>
                <w:i w:val="0"/>
                <w:color w:val="212121"/>
                <w:sz w:val="19"/>
              </w:rPr>
              <w:t>Prolonged, close, sustained accommodation and convergence during smartphone and tablet use is linked to acute acquired comitant esotropia in previously aligned children and young adults, and excessive near work is associated with the myopia that predisposes to exotropia.</w:t>
            </w:r>
          </w:p>
          <w:p>
            <w:pPr>
              <w:spacing w:after="40" w:before="60" w:line="259" w:lineRule="auto"/>
            </w:pPr>
            <w:r>
              <w:rPr>
                <w:rFonts w:ascii="Calibri" w:hAnsi="Calibri"/>
                <w:b w:val="0"/>
                <w:i w:val="0"/>
                <w:color w:val="212121"/>
                <w:sz w:val="19"/>
              </w:rPr>
              <w:t>In a multicentre series of acquired comitant esotropia, affected young adults reported roughly 4-5 hours of daily device use, and reducing screen time is a first-line recommendation.</w:t>
            </w:r>
          </w:p>
          <w:p>
            <w:pPr>
              <w:spacing w:after="40" w:line="252" w:lineRule="auto"/>
            </w:pPr>
            <w:hyperlink r:id="rId13">
              <w:r>
                <w:rPr>
                  <w:rFonts w:ascii="Calibri" w:hAnsi="Calibri" w:cs="Calibri"/>
                  <w:sz w:val="18"/>
                  <w:color w:val="1155CC"/>
                  <w:u w:val="single"/>
                </w:rPr>
                <w:t xml:space="preserve">link.springer.com — Acquired comitant esotropia &amp; digital devices</w:t>
              </w:r>
            </w:hyperlink>
          </w:p>
          <w:p>
            <w:pPr>
              <w:spacing w:before="60" w:after="40"/>
            </w:pPr>
            <w:r>
              <w:rPr>
                <w:rFonts w:ascii="Calibri" w:hAnsi="Calibri"/>
                <w:b w:val="0"/>
                <w:i w:val="0"/>
                <w:color w:val="5A5A5A"/>
                <w:sz w:val="18"/>
              </w:rPr>
              <w:t>#screentime  #acuteacquiredesotropia  #smartphone  #nearwork  #digitaleyestrain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Limited outdoor time</w:t>
            </w:r>
          </w:p>
        </w:tc>
        <w:tc>
          <w:tcPr>
            <w:tcW w:type="dxa" w:w="2160"/>
            <w:vAlign w:val="top"/>
          </w:tcPr>
          <w:p>
            <w:pPr>
              <w:spacing w:after="40" w:before="0" w:line="259" w:lineRule="auto"/>
            </w:pPr>
            <w:r>
              <w:rPr>
                <w:rFonts w:ascii="Calibri" w:hAnsi="Calibri"/>
                <w:b w:val="0"/>
                <w:i w:val="0"/>
                <w:color w:val="212121"/>
                <w:sz w:val="19"/>
              </w:rPr>
              <w:t>Indoor, low outdoor-activity children</w:t>
            </w:r>
          </w:p>
        </w:tc>
        <w:tc>
          <w:tcPr>
            <w:tcW w:type="dxa" w:w="4276"/>
            <w:vAlign w:val="top"/>
          </w:tcPr>
          <w:p>
            <w:pPr>
              <w:spacing w:after="60" w:line="259" w:lineRule="auto"/>
            </w:pPr>
            <w:r>
              <w:rPr>
                <w:rFonts w:ascii="Calibri" w:hAnsi="Calibri"/>
                <w:b w:val="0"/>
                <w:i w:val="0"/>
                <w:color w:val="212121"/>
                <w:sz w:val="19"/>
              </w:rPr>
              <w:t>Reduced outdoor time accelerates myopia development; myopes exert less accommodative convergence for near tasks, which unmasks and worsens exodeviation and contributes to intermittent exotropia becoming manifest.</w:t>
            </w:r>
          </w:p>
          <w:p>
            <w:pPr>
              <w:spacing w:after="40" w:before="60" w:line="259" w:lineRule="auto"/>
            </w:pPr>
            <w:r>
              <w:rPr>
                <w:rFonts w:ascii="Calibri" w:hAnsi="Calibri"/>
                <w:b w:val="0"/>
                <w:i w:val="0"/>
                <w:color w:val="212121"/>
                <w:sz w:val="19"/>
              </w:rPr>
              <w:t>Uncorrected myopia reduces accommodative convergence and increases exodeviation risk.</w:t>
            </w:r>
          </w:p>
          <w:p>
            <w:pPr>
              <w:spacing w:after="40" w:line="252" w:lineRule="auto"/>
            </w:pPr>
            <w:hyperlink r:id="rId11">
              <w:r>
                <w:rPr>
                  <w:rFonts w:ascii="Calibri" w:hAnsi="Calibri" w:cs="Calibri"/>
                  <w:sz w:val="18"/>
                  <w:color w:val="1155CC"/>
                  <w:u w:val="single"/>
                </w:rPr>
                <w:t xml:space="preserve">ncbi.nlm.nih.gov — Intermittent Exotropia (StatPearls)</w:t>
              </w:r>
            </w:hyperlink>
          </w:p>
          <w:p>
            <w:pPr>
              <w:spacing w:before="60" w:after="40"/>
            </w:pPr>
            <w:r>
              <w:rPr>
                <w:rFonts w:ascii="Calibri" w:hAnsi="Calibri"/>
                <w:b w:val="0"/>
                <w:i w:val="0"/>
                <w:color w:val="5A5A5A"/>
                <w:sz w:val="18"/>
              </w:rPr>
              <w:t>#myopia  #outdoortime  #exophoria  #nearwork  #lifestyle</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Micronutrient deficiency</w:t>
            </w:r>
          </w:p>
        </w:tc>
        <w:tc>
          <w:tcPr>
            <w:tcW w:type="dxa" w:w="2160"/>
            <w:vAlign w:val="top"/>
          </w:tcPr>
          <w:p>
            <w:pPr>
              <w:spacing w:after="40" w:before="0" w:line="259" w:lineRule="auto"/>
            </w:pPr>
            <w:r>
              <w:rPr>
                <w:rFonts w:ascii="Calibri" w:hAnsi="Calibri"/>
                <w:b w:val="0"/>
                <w:i w:val="0"/>
                <w:color w:val="212121"/>
                <w:sz w:val="19"/>
              </w:rPr>
              <w:t>Vitamin A-deficient / malnourished children</w:t>
            </w:r>
          </w:p>
        </w:tc>
        <w:tc>
          <w:tcPr>
            <w:tcW w:type="dxa" w:w="4276"/>
            <w:vAlign w:val="top"/>
          </w:tcPr>
          <w:p>
            <w:pPr>
              <w:spacing w:after="60" w:line="259" w:lineRule="auto"/>
            </w:pPr>
            <w:r>
              <w:rPr>
                <w:rFonts w:ascii="Calibri" w:hAnsi="Calibri"/>
                <w:b w:val="0"/>
                <w:i w:val="0"/>
                <w:color w:val="212121"/>
                <w:sz w:val="19"/>
              </w:rPr>
              <w:t>Vitamin A deficiency and severe childhood malnutrition cause corneal xerosis, keratomalacia and scarring; unilateral corneal opacity degrades the retinal image and precipitates sensory strabismus and amblyopia. This remains a preventable pathway to squint in undernourished Indian children.</w:t>
            </w:r>
          </w:p>
          <w:p>
            <w:pPr>
              <w:spacing w:after="40" w:before="60" w:line="259" w:lineRule="auto"/>
            </w:pPr>
            <w:r>
              <w:rPr>
                <w:rFonts w:ascii="Calibri" w:hAnsi="Calibri"/>
                <w:b w:val="0"/>
                <w:i w:val="0"/>
                <w:color w:val="212121"/>
                <w:sz w:val="19"/>
              </w:rPr>
              <w:t>Any early monocular image degradation (corneal opacity, cataract) breaks fusion and can cause sensory strabismus.</w:t>
            </w:r>
          </w:p>
          <w:p>
            <w:pPr>
              <w:spacing w:after="40" w:line="252" w:lineRule="auto"/>
            </w:pPr>
            <w:hyperlink r:id="rId14">
              <w:r>
                <w:rPr>
                  <w:rFonts w:ascii="Calibri" w:hAnsi="Calibri" w:cs="Calibri"/>
                  <w:sz w:val="18"/>
                  <w:color w:val="1155CC"/>
                  <w:u w:val="single"/>
                </w:rPr>
                <w:t xml:space="preserve">ncbi.nlm.nih.gov — Exotropia (StatPearls)</w:t>
              </w:r>
            </w:hyperlink>
          </w:p>
          <w:p>
            <w:pPr>
              <w:spacing w:before="60" w:after="40"/>
            </w:pPr>
            <w:r>
              <w:rPr>
                <w:rFonts w:ascii="Calibri" w:hAnsi="Calibri"/>
                <w:b w:val="0"/>
                <w:i w:val="0"/>
                <w:color w:val="5A5A5A"/>
                <w:sz w:val="18"/>
              </w:rPr>
              <w:t>#vitaminA  #malnutrition  #sensorystrabismus  #cornealscarring  #preventable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Maternal / antenatal nutrition</w:t>
            </w:r>
          </w:p>
        </w:tc>
        <w:tc>
          <w:tcPr>
            <w:tcW w:type="dxa" w:w="2160"/>
            <w:vAlign w:val="top"/>
          </w:tcPr>
          <w:p>
            <w:pPr>
              <w:spacing w:after="40" w:before="0" w:line="259" w:lineRule="auto"/>
            </w:pPr>
            <w:r>
              <w:rPr>
                <w:rFonts w:ascii="Calibri" w:hAnsi="Calibri"/>
                <w:b w:val="0"/>
                <w:i w:val="0"/>
                <w:color w:val="212121"/>
                <w:sz w:val="19"/>
              </w:rPr>
              <w:t>Preterm and low-birth-weight infants</w:t>
            </w:r>
          </w:p>
        </w:tc>
        <w:tc>
          <w:tcPr>
            <w:tcW w:type="dxa" w:w="4276"/>
            <w:vAlign w:val="top"/>
          </w:tcPr>
          <w:p>
            <w:pPr>
              <w:spacing w:after="60" w:line="259" w:lineRule="auto"/>
            </w:pPr>
            <w:r>
              <w:rPr>
                <w:rFonts w:ascii="Calibri" w:hAnsi="Calibri"/>
                <w:b w:val="0"/>
                <w:i w:val="0"/>
                <w:color w:val="212121"/>
                <w:sz w:val="19"/>
              </w:rPr>
              <w:t>Poor maternal nutrition and antenatal care raise rates of prematurity and low birth weight, which are independent risk factors for strabismus through immature oculomotor development and associated retinopathy of prematurity.</w:t>
            </w:r>
          </w:p>
          <w:p>
            <w:pPr>
              <w:spacing w:after="40" w:before="60" w:line="259" w:lineRule="auto"/>
            </w:pPr>
            <w:r>
              <w:rPr>
                <w:rFonts w:ascii="Calibri" w:hAnsi="Calibri"/>
                <w:b w:val="0"/>
                <w:i w:val="0"/>
                <w:color w:val="212121"/>
                <w:sz w:val="19"/>
              </w:rPr>
              <w:t>Risk of strabismus rises about 8% with each week of birth before 40 weeks of gestation.</w:t>
            </w:r>
          </w:p>
          <w:p>
            <w:pPr>
              <w:spacing w:after="40" w:line="252" w:lineRule="auto"/>
            </w:pPr>
            <w:hyperlink r:id="rId15">
              <w:r>
                <w:rPr>
                  <w:rFonts w:ascii="Calibri" w:hAnsi="Calibri" w:cs="Calibri"/>
                  <w:sz w:val="18"/>
                  <w:color w:val="1155CC"/>
                  <w:u w:val="single"/>
                </w:rPr>
                <w:t xml:space="preserve">reviewofoptometry.com — Prematurity and strabismus</w:t>
              </w:r>
            </w:hyperlink>
          </w:p>
          <w:p>
            <w:pPr>
              <w:spacing w:before="60" w:after="40"/>
            </w:pPr>
            <w:r>
              <w:rPr>
                <w:rFonts w:ascii="Calibri" w:hAnsi="Calibri"/>
                <w:b w:val="0"/>
                <w:i w:val="0"/>
                <w:color w:val="5A5A5A"/>
                <w:sz w:val="18"/>
              </w:rPr>
              <w:t>#antenatalcare  #prematurity  #lowbirthweight  #maternalnutrition</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relatives of strabismus patients</w:t>
            </w:r>
          </w:p>
        </w:tc>
        <w:tc>
          <w:tcPr>
            <w:tcW w:type="dxa" w:w="4276"/>
            <w:vAlign w:val="top"/>
          </w:tcPr>
          <w:p>
            <w:pPr>
              <w:spacing w:after="60" w:line="259" w:lineRule="auto"/>
            </w:pPr>
            <w:r>
              <w:rPr>
                <w:rFonts w:ascii="Calibri" w:hAnsi="Calibri"/>
                <w:b w:val="0"/>
                <w:i w:val="0"/>
                <w:color w:val="212121"/>
                <w:sz w:val="19"/>
              </w:rPr>
              <w:t>Inherited susceptibility strongly increases risk. Twin and family studies show high heritability, especially for esodeviations, with first-degree relatives carrying a several-fold higher risk than the general population.</w:t>
            </w:r>
          </w:p>
          <w:p>
            <w:pPr>
              <w:spacing w:after="40" w:before="60" w:line="259" w:lineRule="auto"/>
            </w:pPr>
            <w:r>
              <w:rPr>
                <w:rFonts w:ascii="Calibri" w:hAnsi="Calibri"/>
                <w:b w:val="0"/>
                <w:i w:val="0"/>
                <w:color w:val="212121"/>
                <w:sz w:val="19"/>
              </w:rPr>
              <w:t>Around 30% of patients have an affected close relative; monozygotic-twin concordance is 54-82% versus 14-47% in dizygotic twins, and first-degree relatives carry an estimated 3-5x increased risk.</w:t>
            </w:r>
          </w:p>
          <w:p>
            <w:pPr>
              <w:spacing w:after="40" w:line="252" w:lineRule="auto"/>
            </w:pPr>
            <w:hyperlink r:id="rId9">
              <w:r>
                <w:rPr>
                  <w:rFonts w:ascii="Calibri" w:hAnsi="Calibri" w:cs="Calibri"/>
                  <w:sz w:val="18"/>
                  <w:color w:val="1155CC"/>
                  <w:u w:val="single"/>
                </w:rPr>
                <w:t xml:space="preserve">frontiersin.org — Genetics of strabismus</w:t>
              </w:r>
            </w:hyperlink>
          </w:p>
          <w:p>
            <w:pPr>
              <w:spacing w:before="60" w:after="40"/>
            </w:pPr>
            <w:r>
              <w:rPr>
                <w:rFonts w:ascii="Calibri" w:hAnsi="Calibri"/>
                <w:b w:val="0"/>
                <w:i w:val="0"/>
                <w:color w:val="5A5A5A"/>
                <w:sz w:val="18"/>
              </w:rPr>
              <w:t>#familyhistory  #heritability  #twinstudies  #genetics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Syndromic / chromosomal</w:t>
            </w:r>
          </w:p>
        </w:tc>
        <w:tc>
          <w:tcPr>
            <w:tcW w:type="dxa" w:w="2160"/>
            <w:vAlign w:val="top"/>
          </w:tcPr>
          <w:p>
            <w:pPr>
              <w:spacing w:after="40" w:before="0" w:line="259" w:lineRule="auto"/>
            </w:pPr>
            <w:r>
              <w:rPr>
                <w:rFonts w:ascii="Calibri" w:hAnsi="Calibri"/>
                <w:b w:val="0"/>
                <w:i w:val="0"/>
                <w:color w:val="212121"/>
                <w:sz w:val="19"/>
              </w:rPr>
              <w:t>Down syndrome and congenital cranial dysinnervation disorders</w:t>
            </w:r>
          </w:p>
        </w:tc>
        <w:tc>
          <w:tcPr>
            <w:tcW w:type="dxa" w:w="4276"/>
            <w:vAlign w:val="top"/>
          </w:tcPr>
          <w:p>
            <w:pPr>
              <w:spacing w:after="60" w:line="259" w:lineRule="auto"/>
            </w:pPr>
            <w:r>
              <w:rPr>
                <w:rFonts w:ascii="Calibri" w:hAnsi="Calibri"/>
                <w:b w:val="0"/>
                <w:i w:val="0"/>
                <w:color w:val="212121"/>
                <w:sz w:val="19"/>
              </w:rPr>
              <w:t>Chromosomal and congenital neuromuscular syndromes carry markedly elevated strabismus rates. Down syndrome, Duane retraction syndrome and congenital fibrosis of the extraocular muscles (KIF21A, TUBB3, CHN1, ROBO3) produce characteristic, often incomitant, deviations.</w:t>
            </w:r>
          </w:p>
          <w:p>
            <w:pPr>
              <w:spacing w:after="40" w:before="60" w:line="259" w:lineRule="auto"/>
            </w:pPr>
            <w:r>
              <w:rPr>
                <w:rFonts w:ascii="Calibri" w:hAnsi="Calibri"/>
                <w:b w:val="0"/>
                <w:i w:val="0"/>
                <w:color w:val="212121"/>
                <w:sz w:val="19"/>
              </w:rPr>
              <w:t>Strabismus occurs in about 33% of children with Down syndrome; intellectual disability of any cause carries an odds ratio of ~5.46.</w:t>
            </w:r>
          </w:p>
          <w:p>
            <w:pPr>
              <w:spacing w:after="40" w:line="252" w:lineRule="auto"/>
            </w:pPr>
            <w:hyperlink r:id="rId9">
              <w:r>
                <w:rPr>
                  <w:rFonts w:ascii="Calibri" w:hAnsi="Calibri" w:cs="Calibri"/>
                  <w:sz w:val="18"/>
                  <w:color w:val="1155CC"/>
                  <w:u w:val="single"/>
                </w:rPr>
                <w:t xml:space="preserve">frontiersin.org — Genetics of strabismus</w:t>
              </w:r>
            </w:hyperlink>
          </w:p>
          <w:p>
            <w:pPr>
              <w:spacing w:before="60" w:after="40"/>
            </w:pPr>
            <w:r>
              <w:rPr>
                <w:rFonts w:ascii="Calibri" w:hAnsi="Calibri"/>
                <w:b w:val="0"/>
                <w:i w:val="0"/>
                <w:color w:val="5A5A5A"/>
                <w:sz w:val="18"/>
              </w:rPr>
              <w:t>#downsyndrome  #Duane  #CFEOM  #syndromic  #CCDD</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Prematurity &amp; retinopathy of prematurity</w:t>
            </w:r>
          </w:p>
        </w:tc>
        <w:tc>
          <w:tcPr>
            <w:tcW w:type="dxa" w:w="2160"/>
            <w:vAlign w:val="top"/>
          </w:tcPr>
          <w:p>
            <w:pPr>
              <w:spacing w:after="40" w:before="0" w:line="259" w:lineRule="auto"/>
            </w:pPr>
            <w:r>
              <w:rPr>
                <w:rFonts w:ascii="Calibri" w:hAnsi="Calibri"/>
                <w:b w:val="0"/>
                <w:i w:val="0"/>
                <w:color w:val="212121"/>
                <w:sz w:val="19"/>
              </w:rPr>
              <w:t>Preterm / very-low-birth-weight infants</w:t>
            </w:r>
          </w:p>
        </w:tc>
        <w:tc>
          <w:tcPr>
            <w:tcW w:type="dxa" w:w="4276"/>
            <w:vAlign w:val="top"/>
          </w:tcPr>
          <w:p>
            <w:pPr>
              <w:spacing w:after="60" w:line="259" w:lineRule="auto"/>
            </w:pPr>
            <w:r>
              <w:rPr>
                <w:rFonts w:ascii="Calibri" w:hAnsi="Calibri"/>
                <w:b w:val="0"/>
                <w:i w:val="0"/>
                <w:color w:val="212121"/>
                <w:sz w:val="19"/>
              </w:rPr>
              <w:t>Neonatal immaturity and retinopathy of prematurity disrupt macular and fusional development. Macular ectopia and treated ROP dramatically raise strabismus risk, independent of birth-weight percentile.</w:t>
            </w:r>
          </w:p>
          <w:p>
            <w:pPr>
              <w:spacing w:after="40" w:before="60" w:line="259" w:lineRule="auto"/>
            </w:pPr>
            <w:r>
              <w:rPr>
                <w:rFonts w:ascii="Calibri" w:hAnsi="Calibri"/>
                <w:b w:val="0"/>
                <w:i w:val="0"/>
                <w:color w:val="212121"/>
                <w:sz w:val="19"/>
              </w:rPr>
              <w:t>Strabismus affects ~6% of full-term but ~23% of infants born at or before 28 weeks, rising to ~68% among preterm infants with treated ROP.</w:t>
            </w:r>
          </w:p>
          <w:p>
            <w:pPr>
              <w:spacing w:after="40" w:line="252" w:lineRule="auto"/>
            </w:pPr>
            <w:hyperlink r:id="rId15">
              <w:r>
                <w:rPr>
                  <w:rFonts w:ascii="Calibri" w:hAnsi="Calibri" w:cs="Calibri"/>
                  <w:sz w:val="18"/>
                  <w:color w:val="1155CC"/>
                  <w:u w:val="single"/>
                </w:rPr>
                <w:t xml:space="preserve">reviewofoptometry.com — Prematurity and strabismus</w:t>
              </w:r>
            </w:hyperlink>
          </w:p>
          <w:p>
            <w:pPr>
              <w:spacing w:before="60" w:after="40"/>
            </w:pPr>
            <w:r>
              <w:rPr>
                <w:rFonts w:ascii="Calibri" w:hAnsi="Calibri"/>
                <w:b w:val="0"/>
                <w:i w:val="0"/>
                <w:color w:val="5A5A5A"/>
                <w:sz w:val="18"/>
              </w:rPr>
              <w:t>#prematurity  #ROP  #VLBW  #macularectopia  #NICU</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Cerebral palsy / neurodevelopmental disorders</w:t>
            </w:r>
          </w:p>
        </w:tc>
        <w:tc>
          <w:tcPr>
            <w:tcW w:type="dxa" w:w="2160"/>
            <w:vAlign w:val="top"/>
          </w:tcPr>
          <w:p>
            <w:pPr>
              <w:spacing w:after="40" w:before="0" w:line="259" w:lineRule="auto"/>
            </w:pPr>
            <w:r>
              <w:rPr>
                <w:rFonts w:ascii="Calibri" w:hAnsi="Calibri"/>
                <w:b w:val="0"/>
                <w:i w:val="0"/>
                <w:color w:val="212121"/>
                <w:sz w:val="19"/>
              </w:rPr>
              <w:t>Children with cerebral palsy or autism spectrum disorder</w:t>
            </w:r>
          </w:p>
        </w:tc>
        <w:tc>
          <w:tcPr>
            <w:tcW w:type="dxa" w:w="4276"/>
            <w:vAlign w:val="top"/>
          </w:tcPr>
          <w:p>
            <w:pPr>
              <w:spacing w:after="60" w:line="259" w:lineRule="auto"/>
            </w:pPr>
            <w:r>
              <w:rPr>
                <w:rFonts w:ascii="Calibri" w:hAnsi="Calibri"/>
                <w:b w:val="0"/>
                <w:i w:val="0"/>
                <w:color w:val="212121"/>
                <w:sz w:val="19"/>
              </w:rPr>
              <w:t>Disorders of central motor and sensory processing impair conjugate eye control and fusion, so strabismus is far more frequent than in typically developing children and often coexists with refractive error and amblyopia.</w:t>
            </w:r>
          </w:p>
          <w:p>
            <w:pPr>
              <w:spacing w:after="40" w:before="60" w:line="259" w:lineRule="auto"/>
            </w:pPr>
            <w:r>
              <w:rPr>
                <w:rFonts w:ascii="Calibri" w:hAnsi="Calibri"/>
                <w:b w:val="0"/>
                <w:i w:val="0"/>
                <w:color w:val="212121"/>
                <w:sz w:val="19"/>
              </w:rPr>
              <w:t>Strabismus is reported in roughly 8-22% of children with autism spectrum disorder and is common in cerebral palsy.</w:t>
            </w:r>
          </w:p>
          <w:p>
            <w:pPr>
              <w:spacing w:after="40" w:line="252" w:lineRule="auto"/>
            </w:pPr>
            <w:hyperlink r:id="rId9">
              <w:r>
                <w:rPr>
                  <w:rFonts w:ascii="Calibri" w:hAnsi="Calibri" w:cs="Calibri"/>
                  <w:sz w:val="18"/>
                  <w:color w:val="1155CC"/>
                  <w:u w:val="single"/>
                </w:rPr>
                <w:t xml:space="preserve">frontiersin.org — Genetics of strabismus</w:t>
              </w:r>
            </w:hyperlink>
          </w:p>
          <w:p>
            <w:pPr>
              <w:spacing w:before="60" w:after="40"/>
            </w:pPr>
            <w:r>
              <w:rPr>
                <w:rFonts w:ascii="Calibri" w:hAnsi="Calibri"/>
                <w:b w:val="0"/>
                <w:i w:val="0"/>
                <w:color w:val="5A5A5A"/>
                <w:sz w:val="18"/>
              </w:rPr>
              <w:t>#cerebralpalsy  #autism  #neurodevelopmental  #binocularity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Uncorrected refractive error / amblyopia</w:t>
            </w:r>
          </w:p>
        </w:tc>
        <w:tc>
          <w:tcPr>
            <w:tcW w:type="dxa" w:w="2160"/>
            <w:vAlign w:val="top"/>
          </w:tcPr>
          <w:p>
            <w:pPr>
              <w:spacing w:after="40" w:before="0" w:line="259" w:lineRule="auto"/>
            </w:pPr>
            <w:r>
              <w:rPr>
                <w:rFonts w:ascii="Calibri" w:hAnsi="Calibri"/>
                <w:b w:val="0"/>
                <w:i w:val="0"/>
                <w:color w:val="212121"/>
                <w:sz w:val="19"/>
              </w:rPr>
              <w:t>Hypermetropic children with accommodative esotropia</w:t>
            </w:r>
          </w:p>
        </w:tc>
        <w:tc>
          <w:tcPr>
            <w:tcW w:type="dxa" w:w="4276"/>
            <w:vAlign w:val="top"/>
          </w:tcPr>
          <w:p>
            <w:pPr>
              <w:spacing w:after="60" w:line="259" w:lineRule="auto"/>
            </w:pPr>
            <w:r>
              <w:rPr>
                <w:rFonts w:ascii="Calibri" w:hAnsi="Calibri"/>
                <w:b w:val="0"/>
                <w:i w:val="0"/>
                <w:color w:val="212121"/>
                <w:sz w:val="19"/>
              </w:rPr>
              <w:t>Uncorrected hypermetropia drives excessive accommodative convergence and accommodative esotropia; the resulting constant deviation causes strabismic amblyopia. Simply prescribing the full hypermetropic correction can eliminate or reduce the deviation.</w:t>
            </w:r>
          </w:p>
          <w:p>
            <w:pPr>
              <w:spacing w:after="40" w:before="60" w:line="259" w:lineRule="auto"/>
            </w:pPr>
            <w:r>
              <w:rPr>
                <w:rFonts w:ascii="Calibri" w:hAnsi="Calibri"/>
                <w:b w:val="0"/>
                <w:i w:val="0"/>
                <w:color w:val="212121"/>
                <w:sz w:val="19"/>
              </w:rPr>
              <w:t>In an Indian strabismus series 64% of children were hypermetropic and 28% had amblyopia.</w:t>
            </w:r>
          </w:p>
          <w:p>
            <w:pPr>
              <w:spacing w:after="40" w:line="252" w:lineRule="auto"/>
            </w:pPr>
            <w:hyperlink r:id="rId16">
              <w:r>
                <w:rPr>
                  <w:rFonts w:ascii="Calibri" w:hAnsi="Calibri" w:cs="Calibri"/>
                  <w:sz w:val="18"/>
                  <w:color w:val="1155CC"/>
                  <w:u w:val="single"/>
                </w:rPr>
                <w:t xml:space="preserve">ijceo.org — Evaluation of strabismus 0-18 years (India)</w:t>
              </w:r>
            </w:hyperlink>
          </w:p>
          <w:p>
            <w:pPr>
              <w:spacing w:before="60" w:after="40"/>
            </w:pPr>
            <w:r>
              <w:rPr>
                <w:rFonts w:ascii="Calibri" w:hAnsi="Calibri"/>
                <w:b w:val="0"/>
                <w:i w:val="0"/>
                <w:color w:val="5A5A5A"/>
                <w:sz w:val="18"/>
              </w:rPr>
              <w:t>#hypermetropia  #accommodativeesotropia  #amblyopia  #refractivecorrection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Thyroid eye disease &amp; microvascular cranial nerve palsy</w:t>
            </w:r>
          </w:p>
        </w:tc>
        <w:tc>
          <w:tcPr>
            <w:tcW w:type="dxa" w:w="2160"/>
            <w:vAlign w:val="top"/>
          </w:tcPr>
          <w:p>
            <w:pPr>
              <w:spacing w:after="40" w:before="0" w:line="259" w:lineRule="auto"/>
            </w:pPr>
            <w:r>
              <w:rPr>
                <w:rFonts w:ascii="Calibri" w:hAnsi="Calibri"/>
                <w:b w:val="0"/>
                <w:i w:val="0"/>
                <w:color w:val="212121"/>
                <w:sz w:val="19"/>
              </w:rPr>
              <w:t>Adults with Graves disease, diabetes or stroke</w:t>
            </w:r>
          </w:p>
        </w:tc>
        <w:tc>
          <w:tcPr>
            <w:tcW w:type="dxa" w:w="4276"/>
            <w:vAlign w:val="top"/>
          </w:tcPr>
          <w:p>
            <w:pPr>
              <w:spacing w:after="60" w:line="259" w:lineRule="auto"/>
            </w:pPr>
            <w:r>
              <w:rPr>
                <w:rFonts w:ascii="Calibri" w:hAnsi="Calibri"/>
                <w:b w:val="0"/>
                <w:i w:val="0"/>
                <w:color w:val="212121"/>
                <w:sz w:val="19"/>
              </w:rPr>
              <w:t>Thyroid eye disease produces restrictive strabismus through fibrosis of extraocular muscles, while diabetes, hypertension and stroke cause ischaemic third, fourth or sixth nerve palsies. These are leading causes of acquired, incomitant, diplopia-producing squint in adults.</w:t>
            </w:r>
          </w:p>
          <w:p>
            <w:pPr>
              <w:spacing w:after="40" w:before="60" w:line="259" w:lineRule="auto"/>
            </w:pPr>
            <w:r>
              <w:rPr>
                <w:rFonts w:ascii="Calibri" w:hAnsi="Calibri"/>
                <w:b w:val="0"/>
                <w:i w:val="0"/>
                <w:color w:val="212121"/>
                <w:sz w:val="19"/>
              </w:rPr>
              <w:t>Thyroid disease, diabetes/mini-strokes and cranial nerve damage are established causes of adult-onset strabismus with diplopia.</w:t>
            </w:r>
          </w:p>
          <w:p>
            <w:pPr>
              <w:spacing w:after="40" w:line="252" w:lineRule="auto"/>
            </w:pPr>
            <w:hyperlink r:id="rId10">
              <w:r>
                <w:rPr>
                  <w:rFonts w:ascii="Calibri" w:hAnsi="Calibri" w:cs="Calibri"/>
                  <w:sz w:val="18"/>
                  <w:color w:val="1155CC"/>
                  <w:u w:val="single"/>
                </w:rPr>
                <w:t xml:space="preserve">yalemedicine.org — Adult strabismus</w:t>
              </w:r>
            </w:hyperlink>
          </w:p>
          <w:p>
            <w:pPr>
              <w:spacing w:before="60" w:after="40"/>
            </w:pPr>
            <w:r>
              <w:rPr>
                <w:rFonts w:ascii="Calibri" w:hAnsi="Calibri"/>
                <w:b w:val="0"/>
                <w:i w:val="0"/>
                <w:color w:val="5A5A5A"/>
                <w:sz w:val="18"/>
              </w:rPr>
              <w:t>#thyroideyedisease  #diabetes  #cranialnervepalsy  #restrictive  #diplopia</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General physical activity has little direct effect on ocular alignment, but greater outdoor time slows myopia progression, and myopia (through reduced accommodative convergence) is linked to exodeviation; near-work-heavy, indoor lifestyles are therefore weakly associated with exotropia.</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Diet does not cause primary strabismus, but vitamin A deficiency and severe childhood malnutrition cause corneal scarring and sensory strabismus, and poor maternal nutrition increases prematurity/low birth weight, a recognised strabismus risk factor.</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Fatigue and sleep deprivation transiently reduce fusional control and can make a latent phoria or an intermittent exotropia manifest, but sleep has no established role in causing structural strabismus.</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Maternal smoking during pregnancy is associated with increased strabismus in the offspring, and active smoking is a strong, dose-related risk factor for the progression and severity of thyroid (Graves) eye disease, a cause of restrictive adult strabismus.</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Alcohol has no direct role in common childhood squint, but heavy maternal alcohol use (foetal alcohol spectrum disorder) is associated with strabismus, and acute intoxication can transiently decompensate a phoria into diplopia.</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The relationship is bidirectional: visible squint and diplopia cause social anxiety, low self-esteem and depression, and these psychosocial effects intensify with age, with a large majority of Indian adults reporting impaired relationships and opportunities.</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Hygiene does not influence alignment directly, but good peri-operative and contact-lens/occlusion-patch hygiene reduces infection risk during strabismus surgery and amblyopia therapy.</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Sustained near work and intensive digital-device use can precipitate acute acquired comitant esotropia; uncorrected refractive error, systemic illness, fatigue and head trauma can decompensate a controlled deviation into a manifest, symptomatic squint.</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An abnormal compensatory head posture (face turn, head tilt or chin elevation/depression) adopted to maintain single vision or place the eyes in the field of least deviation is a key clinical sign of incomitant/paralytic strabismus, especially fourth nerve palsy and Duane syndrome.</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Daily near/digital screen time (hours)</w:t>
            </w:r>
          </w:p>
        </w:tc>
        <w:tc>
          <w:tcPr>
            <w:tcW w:type="dxa" w:w="1655"/>
            <w:vAlign w:val="top"/>
          </w:tcPr>
          <w:p>
            <w:pPr>
              <w:spacing w:after="40" w:before="0" w:line="259" w:lineRule="auto"/>
            </w:pPr>
            <w:r>
              <w:rPr>
                <w:rFonts w:ascii="Calibri" w:hAnsi="Calibri"/>
                <w:b w:val="0"/>
                <w:i w:val="0"/>
                <w:color w:val="212121"/>
                <w:sz w:val="19"/>
              </w:rPr>
              <w:t>Children, adolescents, young adults</w:t>
            </w:r>
          </w:p>
        </w:tc>
        <w:tc>
          <w:tcPr>
            <w:tcW w:type="dxa" w:w="1512"/>
            <w:vAlign w:val="top"/>
          </w:tcPr>
          <w:p>
            <w:pPr>
              <w:spacing w:after="40" w:before="0" w:line="259" w:lineRule="auto"/>
            </w:pPr>
            <w:r>
              <w:rPr>
                <w:rFonts w:ascii="Calibri" w:hAnsi="Calibri"/>
                <w:b w:val="0"/>
                <w:i w:val="0"/>
                <w:color w:val="212121"/>
                <w:sz w:val="19"/>
              </w:rPr>
              <w:t>&lt; 2 h/day recreational; with 20-20-20 breaks</w:t>
            </w:r>
          </w:p>
        </w:tc>
        <w:tc>
          <w:tcPr>
            <w:tcW w:type="dxa" w:w="1512"/>
            <w:vAlign w:val="top"/>
          </w:tcPr>
          <w:p>
            <w:pPr>
              <w:spacing w:after="40" w:before="0" w:line="259" w:lineRule="auto"/>
            </w:pPr>
            <w:r>
              <w:rPr>
                <w:rFonts w:ascii="Calibri" w:hAnsi="Calibri"/>
                <w:b w:val="0"/>
                <w:i w:val="0"/>
                <w:color w:val="212121"/>
                <w:sz w:val="19"/>
              </w:rPr>
              <w:t>&gt; 4 h/day sustained close use</w:t>
            </w:r>
          </w:p>
        </w:tc>
        <w:tc>
          <w:tcPr>
            <w:tcW w:type="dxa" w:w="1468"/>
            <w:vAlign w:val="top"/>
          </w:tcPr>
          <w:p>
            <w:pPr>
              <w:spacing w:after="60" w:line="259" w:lineRule="auto"/>
            </w:pPr>
            <w:r>
              <w:rPr>
                <w:rFonts w:ascii="Calibri" w:hAnsi="Calibri"/>
                <w:b w:val="0"/>
                <w:i w:val="0"/>
                <w:color w:val="212121"/>
                <w:sz w:val="19"/>
              </w:rPr>
              <w:t>Excessive near device use is linked to acute acquired comitant esotropia</w:t>
            </w:r>
          </w:p>
          <w:p>
            <w:pPr>
              <w:spacing w:after="40" w:line="252" w:lineRule="auto"/>
            </w:pPr>
            <w:hyperlink r:id="rId13">
              <w:r>
                <w:rPr>
                  <w:rFonts w:ascii="Calibri" w:hAnsi="Calibri" w:cs="Calibri"/>
                  <w:sz w:val="18"/>
                  <w:color w:val="1155CC"/>
                  <w:u w:val="single"/>
                </w:rPr>
                <w:t xml:space="preserve">https://link.springer.com/article/10.1007/s10384-023-01023-5</w:t>
              </w:r>
            </w:hyperlink>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Outdoor time (hours/day)</w:t>
            </w:r>
          </w:p>
        </w:tc>
        <w:tc>
          <w:tcPr>
            <w:tcW w:type="dxa" w:w="1655"/>
            <w:vAlign w:val="top"/>
          </w:tcPr>
          <w:p>
            <w:pPr>
              <w:spacing w:after="40" w:before="0" w:line="259" w:lineRule="auto"/>
            </w:pPr>
            <w:r>
              <w:rPr>
                <w:rFonts w:ascii="Calibri" w:hAnsi="Calibri"/>
                <w:b w:val="0"/>
                <w:i w:val="0"/>
                <w:color w:val="212121"/>
                <w:sz w:val="19"/>
              </w:rPr>
              <w:t>School-age children</w:t>
            </w:r>
          </w:p>
        </w:tc>
        <w:tc>
          <w:tcPr>
            <w:tcW w:type="dxa" w:w="1512"/>
            <w:vAlign w:val="top"/>
          </w:tcPr>
          <w:p>
            <w:pPr>
              <w:spacing w:after="40" w:before="0" w:line="259" w:lineRule="auto"/>
            </w:pPr>
            <w:r>
              <w:rPr>
                <w:rFonts w:ascii="Calibri" w:hAnsi="Calibri"/>
                <w:b w:val="0"/>
                <w:i w:val="0"/>
                <w:color w:val="212121"/>
                <w:sz w:val="19"/>
              </w:rPr>
              <w:t>≥ 2 h/day outdoors</w:t>
            </w:r>
          </w:p>
        </w:tc>
        <w:tc>
          <w:tcPr>
            <w:tcW w:type="dxa" w:w="1512"/>
            <w:vAlign w:val="top"/>
          </w:tcPr>
          <w:p>
            <w:pPr>
              <w:spacing w:after="40" w:before="0" w:line="259" w:lineRule="auto"/>
            </w:pPr>
            <w:r>
              <w:rPr>
                <w:rFonts w:ascii="Calibri" w:hAnsi="Calibri"/>
                <w:b w:val="0"/>
                <w:i w:val="0"/>
                <w:color w:val="212121"/>
                <w:sz w:val="19"/>
              </w:rPr>
              <w:t>&lt; 1 h/day outdoors</w:t>
            </w:r>
          </w:p>
        </w:tc>
        <w:tc>
          <w:tcPr>
            <w:tcW w:type="dxa" w:w="1468"/>
            <w:vAlign w:val="top"/>
          </w:tcPr>
          <w:p>
            <w:pPr>
              <w:spacing w:after="60" w:line="259" w:lineRule="auto"/>
            </w:pPr>
            <w:r>
              <w:rPr>
                <w:rFonts w:ascii="Calibri" w:hAnsi="Calibri"/>
                <w:b w:val="0"/>
                <w:i w:val="0"/>
                <w:color w:val="212121"/>
                <w:sz w:val="19"/>
              </w:rPr>
              <w:t>Low outdoor time accelerates myopia, which is associated with exodeviation</w:t>
            </w:r>
          </w:p>
          <w:p>
            <w:pPr>
              <w:spacing w:after="40" w:line="252" w:lineRule="auto"/>
            </w:pPr>
            <w:hyperlink r:id="rId11">
              <w:r>
                <w:rPr>
                  <w:rFonts w:ascii="Calibri" w:hAnsi="Calibri" w:cs="Calibri"/>
                  <w:sz w:val="18"/>
                  <w:color w:val="1155CC"/>
                  <w:u w:val="single"/>
                </w:rPr>
                <w:t xml:space="preserve">https://www.ncbi.nlm.nih.gov/books/NBK574514/</w:t>
              </w:r>
            </w:hyperlink>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Cycloplegic refraction (hypermetropia, dioptres)</w:t>
            </w:r>
          </w:p>
        </w:tc>
        <w:tc>
          <w:tcPr>
            <w:tcW w:type="dxa" w:w="1655"/>
            <w:vAlign w:val="top"/>
          </w:tcPr>
          <w:p>
            <w:pPr>
              <w:spacing w:after="40" w:before="0" w:line="259" w:lineRule="auto"/>
            </w:pPr>
            <w:r>
              <w:rPr>
                <w:rFonts w:ascii="Calibri" w:hAnsi="Calibri"/>
                <w:b w:val="0"/>
                <w:i w:val="0"/>
                <w:color w:val="212121"/>
                <w:sz w:val="19"/>
              </w:rPr>
              <w:t>Children with esotropia</w:t>
            </w:r>
          </w:p>
        </w:tc>
        <w:tc>
          <w:tcPr>
            <w:tcW w:type="dxa" w:w="1512"/>
            <w:vAlign w:val="top"/>
          </w:tcPr>
          <w:p>
            <w:pPr>
              <w:spacing w:after="40" w:before="0" w:line="259" w:lineRule="auto"/>
            </w:pPr>
            <w:r>
              <w:rPr>
                <w:rFonts w:ascii="Calibri" w:hAnsi="Calibri"/>
                <w:b w:val="0"/>
                <w:i w:val="0"/>
                <w:color w:val="212121"/>
                <w:sz w:val="19"/>
              </w:rPr>
              <w:t>Age-appropriate low hypermetropia; fully corrected</w:t>
            </w:r>
          </w:p>
        </w:tc>
        <w:tc>
          <w:tcPr>
            <w:tcW w:type="dxa" w:w="1512"/>
            <w:vAlign w:val="top"/>
          </w:tcPr>
          <w:p>
            <w:pPr>
              <w:spacing w:after="40" w:before="0" w:line="259" w:lineRule="auto"/>
            </w:pPr>
            <w:r>
              <w:rPr>
                <w:rFonts w:ascii="Calibri" w:hAnsi="Calibri"/>
                <w:b w:val="0"/>
                <w:i w:val="0"/>
                <w:color w:val="212121"/>
                <w:sz w:val="19"/>
              </w:rPr>
              <w:t>Uncorrected moderate-high hypermetropia (≥ +2.00 D)</w:t>
            </w:r>
          </w:p>
        </w:tc>
        <w:tc>
          <w:tcPr>
            <w:tcW w:type="dxa" w:w="1468"/>
            <w:vAlign w:val="top"/>
          </w:tcPr>
          <w:p>
            <w:pPr>
              <w:spacing w:after="60" w:line="259" w:lineRule="auto"/>
            </w:pPr>
            <w:r>
              <w:rPr>
                <w:rFonts w:ascii="Calibri" w:hAnsi="Calibri"/>
                <w:b w:val="0"/>
                <w:i w:val="0"/>
                <w:color w:val="212121"/>
                <w:sz w:val="19"/>
              </w:rPr>
              <w:t>Uncorrected hypermetropia drives accommodative esotropia; full correction is therapeutic</w:t>
            </w:r>
          </w:p>
          <w:p>
            <w:pPr>
              <w:spacing w:after="40" w:line="252" w:lineRule="auto"/>
            </w:pPr>
            <w:hyperlink r:id="rId16">
              <w:r>
                <w:rPr>
                  <w:rFonts w:ascii="Calibri" w:hAnsi="Calibri" w:cs="Calibri"/>
                  <w:sz w:val="18"/>
                  <w:color w:val="1155CC"/>
                  <w:u w:val="single"/>
                </w:rPr>
                <w:t xml:space="preserve">https://ijceo.org/archive/volume/7/issue/2/article/21245</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Angle of deviation (prism dioptres)</w:t>
            </w:r>
          </w:p>
        </w:tc>
        <w:tc>
          <w:tcPr>
            <w:tcW w:type="dxa" w:w="1655"/>
            <w:vAlign w:val="top"/>
          </w:tcPr>
          <w:p>
            <w:pPr>
              <w:spacing w:after="40" w:before="0" w:line="259" w:lineRule="auto"/>
            </w:pPr>
            <w:r>
              <w:rPr>
                <w:rFonts w:ascii="Calibri" w:hAnsi="Calibri"/>
                <w:b w:val="0"/>
                <w:i w:val="0"/>
                <w:color w:val="212121"/>
                <w:sz w:val="19"/>
              </w:rPr>
              <w:t>All strabismus patients</w:t>
            </w:r>
          </w:p>
        </w:tc>
        <w:tc>
          <w:tcPr>
            <w:tcW w:type="dxa" w:w="1512"/>
            <w:vAlign w:val="top"/>
          </w:tcPr>
          <w:p>
            <w:pPr>
              <w:spacing w:after="40" w:before="0" w:line="259" w:lineRule="auto"/>
            </w:pPr>
            <w:r>
              <w:rPr>
                <w:rFonts w:ascii="Calibri" w:hAnsi="Calibri"/>
                <w:b w:val="0"/>
                <w:i w:val="0"/>
                <w:color w:val="212121"/>
                <w:sz w:val="19"/>
              </w:rPr>
              <w:t>0 PD (orthotropia); ≤ 8 PD phoria well-controlled</w:t>
            </w:r>
          </w:p>
        </w:tc>
        <w:tc>
          <w:tcPr>
            <w:tcW w:type="dxa" w:w="1512"/>
            <w:vAlign w:val="top"/>
          </w:tcPr>
          <w:p>
            <w:pPr>
              <w:spacing w:after="40" w:before="0" w:line="259" w:lineRule="auto"/>
            </w:pPr>
            <w:r>
              <w:rPr>
                <w:rFonts w:ascii="Calibri" w:hAnsi="Calibri"/>
                <w:b w:val="0"/>
                <w:i w:val="0"/>
                <w:color w:val="212121"/>
                <w:sz w:val="19"/>
              </w:rPr>
              <w:t>Manifest tropia; enlarging or constant deviation</w:t>
            </w:r>
          </w:p>
        </w:tc>
        <w:tc>
          <w:tcPr>
            <w:tcW w:type="dxa" w:w="1468"/>
            <w:vAlign w:val="top"/>
          </w:tcPr>
          <w:p>
            <w:pPr>
              <w:spacing w:after="60" w:line="259" w:lineRule="auto"/>
            </w:pPr>
            <w:r>
              <w:rPr>
                <w:rFonts w:ascii="Calibri" w:hAnsi="Calibri"/>
                <w:b w:val="0"/>
                <w:i w:val="0"/>
                <w:color w:val="212121"/>
                <w:sz w:val="19"/>
              </w:rPr>
              <w:t>Measured by alternate prism cover test to plan and follow treatment</w:t>
            </w:r>
          </w:p>
          <w:p>
            <w:pPr>
              <w:spacing w:after="40" w:line="252" w:lineRule="auto"/>
            </w:pPr>
            <w:hyperlink r:id="rId16">
              <w:r>
                <w:rPr>
                  <w:rFonts w:ascii="Calibri" w:hAnsi="Calibri" w:cs="Calibri"/>
                  <w:sz w:val="18"/>
                  <w:color w:val="1155CC"/>
                  <w:u w:val="single"/>
                </w:rPr>
                <w:t xml:space="preserve">https://ijceo.org/archive/volume/7/issue/2/article/21245</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Stereoacuity (arc seconds)</w:t>
            </w:r>
          </w:p>
        </w:tc>
        <w:tc>
          <w:tcPr>
            <w:tcW w:type="dxa" w:w="1655"/>
            <w:vAlign w:val="top"/>
          </w:tcPr>
          <w:p>
            <w:pPr>
              <w:spacing w:after="40" w:before="0" w:line="259" w:lineRule="auto"/>
            </w:pPr>
            <w:r>
              <w:rPr>
                <w:rFonts w:ascii="Calibri" w:hAnsi="Calibri"/>
                <w:b w:val="0"/>
                <w:i w:val="0"/>
                <w:color w:val="212121"/>
                <w:sz w:val="19"/>
              </w:rPr>
              <w:t>Children and adults</w:t>
            </w:r>
          </w:p>
        </w:tc>
        <w:tc>
          <w:tcPr>
            <w:tcW w:type="dxa" w:w="1512"/>
            <w:vAlign w:val="top"/>
          </w:tcPr>
          <w:p>
            <w:pPr>
              <w:spacing w:after="40" w:before="0" w:line="259" w:lineRule="auto"/>
            </w:pPr>
            <w:r>
              <w:rPr>
                <w:rFonts w:ascii="Calibri" w:hAnsi="Calibri"/>
                <w:b w:val="0"/>
                <w:i w:val="0"/>
                <w:color w:val="212121"/>
                <w:sz w:val="19"/>
              </w:rPr>
              <w:t>≤ 40 arc sec (fine stereopsis)</w:t>
            </w:r>
          </w:p>
        </w:tc>
        <w:tc>
          <w:tcPr>
            <w:tcW w:type="dxa" w:w="1512"/>
            <w:vAlign w:val="top"/>
          </w:tcPr>
          <w:p>
            <w:pPr>
              <w:spacing w:after="40" w:before="0" w:line="259" w:lineRule="auto"/>
            </w:pPr>
            <w:r>
              <w:rPr>
                <w:rFonts w:ascii="Calibri" w:hAnsi="Calibri"/>
                <w:b w:val="0"/>
                <w:i w:val="0"/>
                <w:color w:val="212121"/>
                <w:sz w:val="19"/>
              </w:rPr>
              <w:t>&gt; 400 arc sec or nil stereopsis</w:t>
            </w:r>
          </w:p>
        </w:tc>
        <w:tc>
          <w:tcPr>
            <w:tcW w:type="dxa" w:w="1468"/>
            <w:vAlign w:val="top"/>
          </w:tcPr>
          <w:p>
            <w:pPr>
              <w:spacing w:after="60" w:line="259" w:lineRule="auto"/>
            </w:pPr>
            <w:r>
              <w:rPr>
                <w:rFonts w:ascii="Calibri" w:hAnsi="Calibri"/>
                <w:b w:val="0"/>
                <w:i w:val="0"/>
                <w:color w:val="212121"/>
                <w:sz w:val="19"/>
              </w:rPr>
              <w:t>Deteriorating stereoacuity signals loss of binocular function needing intervention</w:t>
            </w:r>
          </w:p>
          <w:p>
            <w:pPr>
              <w:spacing w:after="40" w:line="252" w:lineRule="auto"/>
            </w:pPr>
            <w:hyperlink r:id="rId11">
              <w:r>
                <w:rPr>
                  <w:rFonts w:ascii="Calibri" w:hAnsi="Calibri" w:cs="Calibri"/>
                  <w:sz w:val="18"/>
                  <w:color w:val="1155CC"/>
                  <w:u w:val="single"/>
                </w:rPr>
                <w:t xml:space="preserve">https://www.ncbi.nlm.nih.gov/books/NBK574514/</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Interocular visual acuity difference (amblyopia)</w:t>
            </w:r>
          </w:p>
        </w:tc>
        <w:tc>
          <w:tcPr>
            <w:tcW w:type="dxa" w:w="1655"/>
            <w:vAlign w:val="top"/>
          </w:tcPr>
          <w:p>
            <w:pPr>
              <w:spacing w:after="40" w:before="0" w:line="259" w:lineRule="auto"/>
            </w:pPr>
            <w:r>
              <w:rPr>
                <w:rFonts w:ascii="Calibri" w:hAnsi="Calibri"/>
                <w:b w:val="0"/>
                <w:i w:val="0"/>
                <w:color w:val="212121"/>
                <w:sz w:val="19"/>
              </w:rPr>
              <w:t>Children in the amblyogenic period</w:t>
            </w:r>
          </w:p>
        </w:tc>
        <w:tc>
          <w:tcPr>
            <w:tcW w:type="dxa" w:w="1512"/>
            <w:vAlign w:val="top"/>
          </w:tcPr>
          <w:p>
            <w:pPr>
              <w:spacing w:after="40" w:before="0" w:line="259" w:lineRule="auto"/>
            </w:pPr>
            <w:r>
              <w:rPr>
                <w:rFonts w:ascii="Calibri" w:hAnsi="Calibri"/>
                <w:b w:val="0"/>
                <w:i w:val="0"/>
                <w:color w:val="212121"/>
                <w:sz w:val="19"/>
              </w:rPr>
              <w:t>No interocular difference</w:t>
            </w:r>
          </w:p>
        </w:tc>
        <w:tc>
          <w:tcPr>
            <w:tcW w:type="dxa" w:w="1512"/>
            <w:vAlign w:val="top"/>
          </w:tcPr>
          <w:p>
            <w:pPr>
              <w:spacing w:after="40" w:before="0" w:line="259" w:lineRule="auto"/>
            </w:pPr>
            <w:r>
              <w:rPr>
                <w:rFonts w:ascii="Calibri" w:hAnsi="Calibri"/>
                <w:b w:val="0"/>
                <w:i w:val="0"/>
                <w:color w:val="212121"/>
                <w:sz w:val="19"/>
              </w:rPr>
              <w:t>≥ 2 Snellen lines difference</w:t>
            </w:r>
          </w:p>
        </w:tc>
        <w:tc>
          <w:tcPr>
            <w:tcW w:type="dxa" w:w="1468"/>
            <w:vAlign w:val="top"/>
          </w:tcPr>
          <w:p>
            <w:pPr>
              <w:spacing w:after="60" w:line="259" w:lineRule="auto"/>
            </w:pPr>
            <w:r>
              <w:rPr>
                <w:rFonts w:ascii="Calibri" w:hAnsi="Calibri"/>
                <w:b w:val="0"/>
                <w:i w:val="0"/>
                <w:color w:val="212121"/>
                <w:sz w:val="19"/>
              </w:rPr>
              <w:t>Marks strabismic amblyopia; treat before ~7-8 years for best recovery</w:t>
            </w:r>
          </w:p>
          <w:p>
            <w:pPr>
              <w:spacing w:after="40" w:line="252" w:lineRule="auto"/>
            </w:pPr>
            <w:hyperlink r:id="rId16">
              <w:r>
                <w:rPr>
                  <w:rFonts w:ascii="Calibri" w:hAnsi="Calibri" w:cs="Calibri"/>
                  <w:sz w:val="18"/>
                  <w:color w:val="1155CC"/>
                  <w:u w:val="single"/>
                </w:rPr>
                <w:t xml:space="preserve">https://ijceo.org/archive/volume/7/issue/2/article/21245</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Gestational age at birth (weeks)</w:t>
            </w:r>
          </w:p>
        </w:tc>
        <w:tc>
          <w:tcPr>
            <w:tcW w:type="dxa" w:w="1655"/>
            <w:vAlign w:val="top"/>
          </w:tcPr>
          <w:p>
            <w:pPr>
              <w:spacing w:after="40" w:before="0" w:line="259" w:lineRule="auto"/>
            </w:pPr>
            <w:r>
              <w:rPr>
                <w:rFonts w:ascii="Calibri" w:hAnsi="Calibri"/>
                <w:b w:val="0"/>
                <w:i w:val="0"/>
                <w:color w:val="212121"/>
                <w:sz w:val="19"/>
              </w:rPr>
              <w:t>Infants</w:t>
            </w:r>
          </w:p>
        </w:tc>
        <w:tc>
          <w:tcPr>
            <w:tcW w:type="dxa" w:w="1512"/>
            <w:vAlign w:val="top"/>
          </w:tcPr>
          <w:p>
            <w:pPr>
              <w:spacing w:after="40" w:before="0" w:line="259" w:lineRule="auto"/>
            </w:pPr>
            <w:r>
              <w:rPr>
                <w:rFonts w:ascii="Calibri" w:hAnsi="Calibri"/>
                <w:b w:val="0"/>
                <w:i w:val="0"/>
                <w:color w:val="212121"/>
                <w:sz w:val="19"/>
              </w:rPr>
              <w:t>Term (≥ 37 weeks)</w:t>
            </w:r>
          </w:p>
        </w:tc>
        <w:tc>
          <w:tcPr>
            <w:tcW w:type="dxa" w:w="1512"/>
            <w:vAlign w:val="top"/>
          </w:tcPr>
          <w:p>
            <w:pPr>
              <w:spacing w:after="40" w:before="0" w:line="259" w:lineRule="auto"/>
            </w:pPr>
            <w:r>
              <w:rPr>
                <w:rFonts w:ascii="Calibri" w:hAnsi="Calibri"/>
                <w:b w:val="0"/>
                <w:i w:val="0"/>
                <w:color w:val="212121"/>
                <w:sz w:val="19"/>
              </w:rPr>
              <w:t>&lt; 32 weeks / very low birth weight / treated ROP</w:t>
            </w:r>
          </w:p>
        </w:tc>
        <w:tc>
          <w:tcPr>
            <w:tcW w:type="dxa" w:w="1468"/>
            <w:vAlign w:val="top"/>
          </w:tcPr>
          <w:p>
            <w:pPr>
              <w:spacing w:after="60" w:line="259" w:lineRule="auto"/>
            </w:pPr>
            <w:r>
              <w:rPr>
                <w:rFonts w:ascii="Calibri" w:hAnsi="Calibri"/>
                <w:b w:val="0"/>
                <w:i w:val="0"/>
                <w:color w:val="212121"/>
                <w:sz w:val="19"/>
              </w:rPr>
              <w:t>Strabismus risk rises ~8% per week of prematurity below 40 weeks</w:t>
            </w:r>
          </w:p>
          <w:p>
            <w:pPr>
              <w:spacing w:after="40" w:line="252" w:lineRule="auto"/>
            </w:pPr>
            <w:hyperlink r:id="rId15">
              <w:r>
                <w:rPr>
                  <w:rFonts w:ascii="Calibri" w:hAnsi="Calibri" w:cs="Calibri"/>
                  <w:sz w:val="18"/>
                  <w:color w:val="1155CC"/>
                  <w:u w:val="single"/>
                </w:rPr>
                <w:t xml:space="preserve">https://www.reviewofoptometry.com/article/prematurity-plays-role-in-strabismus-rop-status-linked-to-higher-rates</w:t>
              </w:r>
            </w:hyperlink>
          </w:p>
        </w:tc>
      </w:tr>
      <w:tr>
        <w:trPr>
          <w:cantSplit/>
        </w:trPr>
        <w:tc>
          <w:tcPr>
            <w:tcW w:type="dxa" w:w="1512"/>
            <w:vAlign w:val="center"/>
          </w:tcPr>
          <w:p>
            <w:pPr>
              <w:spacing w:after="40"/>
            </w:pPr>
            <w:r>
              <w:rPr>
                <w:rFonts w:ascii="Calibri" w:hAnsi="Calibri"/>
                <w:b w:val="0"/>
                <w:i w:val="0"/>
                <w:color w:val="212121"/>
                <w:sz w:val="19"/>
              </w:rPr>
              <w:t>Posture</w:t>
            </w:r>
          </w:p>
        </w:tc>
        <w:tc>
          <w:tcPr>
            <w:tcW w:type="dxa" w:w="1944"/>
            <w:vAlign w:val="top"/>
          </w:tcPr>
          <w:p>
            <w:pPr>
              <w:spacing w:after="40" w:before="0" w:line="259" w:lineRule="auto"/>
            </w:pPr>
            <w:r>
              <w:rPr>
                <w:rFonts w:ascii="Calibri" w:hAnsi="Calibri"/>
                <w:b w:val="0"/>
                <w:i w:val="0"/>
                <w:color w:val="212121"/>
                <w:sz w:val="19"/>
              </w:rPr>
              <w:t>Compensatory head posture</w:t>
            </w:r>
          </w:p>
        </w:tc>
        <w:tc>
          <w:tcPr>
            <w:tcW w:type="dxa" w:w="1655"/>
            <w:vAlign w:val="top"/>
          </w:tcPr>
          <w:p>
            <w:pPr>
              <w:spacing w:after="40" w:before="0" w:line="259" w:lineRule="auto"/>
            </w:pPr>
            <w:r>
              <w:rPr>
                <w:rFonts w:ascii="Calibri" w:hAnsi="Calibri"/>
                <w:b w:val="0"/>
                <w:i w:val="0"/>
                <w:color w:val="212121"/>
                <w:sz w:val="19"/>
              </w:rPr>
              <w:t>Incomitant / paralytic strabismus</w:t>
            </w:r>
          </w:p>
        </w:tc>
        <w:tc>
          <w:tcPr>
            <w:tcW w:type="dxa" w:w="1512"/>
            <w:vAlign w:val="top"/>
          </w:tcPr>
          <w:p>
            <w:pPr>
              <w:spacing w:after="40" w:before="0" w:line="259" w:lineRule="auto"/>
            </w:pPr>
            <w:r>
              <w:rPr>
                <w:rFonts w:ascii="Calibri" w:hAnsi="Calibri"/>
                <w:b w:val="0"/>
                <w:i w:val="0"/>
                <w:color w:val="212121"/>
                <w:sz w:val="19"/>
              </w:rPr>
              <w:t>Straight head, no face turn or tilt</w:t>
            </w:r>
          </w:p>
        </w:tc>
        <w:tc>
          <w:tcPr>
            <w:tcW w:type="dxa" w:w="1512"/>
            <w:vAlign w:val="top"/>
          </w:tcPr>
          <w:p>
            <w:pPr>
              <w:spacing w:after="40" w:before="0" w:line="259" w:lineRule="auto"/>
            </w:pPr>
            <w:r>
              <w:rPr>
                <w:rFonts w:ascii="Calibri" w:hAnsi="Calibri"/>
                <w:b w:val="0"/>
                <w:i w:val="0"/>
                <w:color w:val="212121"/>
                <w:sz w:val="19"/>
              </w:rPr>
              <w:t>Persistent face turn, head tilt or chin up/down</w:t>
            </w:r>
          </w:p>
        </w:tc>
        <w:tc>
          <w:tcPr>
            <w:tcW w:type="dxa" w:w="1468"/>
            <w:vAlign w:val="top"/>
          </w:tcPr>
          <w:p>
            <w:pPr>
              <w:spacing w:after="60" w:line="259" w:lineRule="auto"/>
            </w:pPr>
            <w:r>
              <w:rPr>
                <w:rFonts w:ascii="Calibri" w:hAnsi="Calibri"/>
                <w:b w:val="0"/>
                <w:i w:val="0"/>
                <w:color w:val="212121"/>
                <w:sz w:val="19"/>
              </w:rPr>
              <w:t>Compensates for a paralytic squint (e.g. IV nerve palsy) to preserve single vision</w:t>
            </w:r>
          </w:p>
          <w:p>
            <w:pPr>
              <w:spacing w:after="40" w:line="252" w:lineRule="auto"/>
            </w:pPr>
            <w:hyperlink r:id="rId10">
              <w:r>
                <w:rPr>
                  <w:rFonts w:ascii="Calibri" w:hAnsi="Calibri" w:cs="Calibri"/>
                  <w:sz w:val="18"/>
                  <w:color w:val="1155CC"/>
                  <w:u w:val="single"/>
                </w:rPr>
                <w:t xml:space="preserve">https://www.yalemedicine.org/conditions/adult-strabismus</w:t>
              </w:r>
            </w:hyperlink>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Maternal antenatal smoking / active smoking</w:t>
            </w:r>
          </w:p>
        </w:tc>
        <w:tc>
          <w:tcPr>
            <w:tcW w:type="dxa" w:w="1655"/>
            <w:vAlign w:val="top"/>
          </w:tcPr>
          <w:p>
            <w:pPr>
              <w:spacing w:after="40" w:before="0" w:line="259" w:lineRule="auto"/>
            </w:pPr>
            <w:r>
              <w:rPr>
                <w:rFonts w:ascii="Calibri" w:hAnsi="Calibri"/>
                <w:b w:val="0"/>
                <w:i w:val="0"/>
                <w:color w:val="212121"/>
                <w:sz w:val="19"/>
              </w:rPr>
              <w:t>Pregnant women; thyroid eye disease patients</w:t>
            </w:r>
          </w:p>
        </w:tc>
        <w:tc>
          <w:tcPr>
            <w:tcW w:type="dxa" w:w="1512"/>
            <w:vAlign w:val="top"/>
          </w:tcPr>
          <w:p>
            <w:pPr>
              <w:spacing w:after="40" w:before="0" w:line="259" w:lineRule="auto"/>
            </w:pPr>
            <w:r>
              <w:rPr>
                <w:rFonts w:ascii="Calibri" w:hAnsi="Calibri"/>
                <w:b w:val="0"/>
                <w:i w:val="0"/>
                <w:color w:val="212121"/>
                <w:sz w:val="19"/>
              </w:rPr>
              <w:t>No tobacco exposure</w:t>
            </w:r>
          </w:p>
        </w:tc>
        <w:tc>
          <w:tcPr>
            <w:tcW w:type="dxa" w:w="1512"/>
            <w:vAlign w:val="top"/>
          </w:tcPr>
          <w:p>
            <w:pPr>
              <w:spacing w:after="40" w:before="0" w:line="259" w:lineRule="auto"/>
            </w:pPr>
            <w:r>
              <w:rPr>
                <w:rFonts w:ascii="Calibri" w:hAnsi="Calibri"/>
                <w:b w:val="0"/>
                <w:i w:val="0"/>
                <w:color w:val="212121"/>
                <w:sz w:val="19"/>
              </w:rPr>
              <w:t>Any smoking in pregnancy or with Graves orbitopathy</w:t>
            </w:r>
          </w:p>
        </w:tc>
        <w:tc>
          <w:tcPr>
            <w:tcW w:type="dxa" w:w="1468"/>
            <w:vAlign w:val="top"/>
          </w:tcPr>
          <w:p>
            <w:pPr>
              <w:spacing w:after="60" w:line="259" w:lineRule="auto"/>
            </w:pPr>
            <w:r>
              <w:rPr>
                <w:rFonts w:ascii="Calibri" w:hAnsi="Calibri"/>
                <w:b w:val="0"/>
                <w:i w:val="0"/>
                <w:color w:val="212121"/>
                <w:sz w:val="19"/>
              </w:rPr>
              <w:t>Raises offspring strabismus risk and worsens thyroid eye disease severity</w:t>
            </w:r>
          </w:p>
          <w:p>
            <w:pPr>
              <w:spacing w:after="40" w:line="252" w:lineRule="auto"/>
            </w:pPr>
            <w:hyperlink r:id="rId9">
              <w:r>
                <w:rPr>
                  <w:rFonts w:ascii="Calibri" w:hAnsi="Calibri" w:cs="Calibri"/>
                  <w:sz w:val="18"/>
                  <w:color w:val="1155CC"/>
                  <w:u w:val="single"/>
                </w:rPr>
                <w:t xml:space="preserve">https://www.frontiersin.org/journals/ophthalmology/articles/10.3389/fopht.2023.1233866/full</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Orthoptic measurement</w:t>
            </w:r>
          </w:p>
        </w:tc>
        <w:tc>
          <w:tcPr>
            <w:tcW w:type="dxa" w:w="1036"/>
            <w:vAlign w:val="top"/>
          </w:tcPr>
          <w:p>
            <w:pPr>
              <w:spacing w:after="40" w:before="0" w:line="259" w:lineRule="auto"/>
            </w:pPr>
            <w:r>
              <w:rPr>
                <w:rFonts w:ascii="Calibri" w:hAnsi="Calibri"/>
                <w:b w:val="0"/>
                <w:i w:val="0"/>
                <w:color w:val="212121"/>
                <w:sz w:val="16"/>
              </w:rPr>
              <w:t>Angle of deviation</w:t>
            </w:r>
          </w:p>
        </w:tc>
        <w:tc>
          <w:tcPr>
            <w:tcW w:type="dxa" w:w="892"/>
            <w:vAlign w:val="top"/>
          </w:tcPr>
          <w:p>
            <w:pPr>
              <w:spacing w:after="40" w:before="0" w:line="259" w:lineRule="auto"/>
            </w:pPr>
            <w:r>
              <w:rPr>
                <w:rFonts w:ascii="Calibri" w:hAnsi="Calibri"/>
                <w:b w:val="0"/>
                <w:i w:val="0"/>
                <w:color w:val="212121"/>
                <w:sz w:val="16"/>
              </w:rPr>
              <w:t>Alternate prism cover test</w:t>
            </w:r>
          </w:p>
        </w:tc>
        <w:tc>
          <w:tcPr>
            <w:tcW w:type="dxa" w:w="950"/>
            <w:vAlign w:val="top"/>
          </w:tcPr>
          <w:p>
            <w:pPr>
              <w:spacing w:after="40" w:before="0" w:line="259" w:lineRule="auto"/>
            </w:pPr>
            <w:r>
              <w:rPr>
                <w:rFonts w:ascii="Calibri" w:hAnsi="Calibri"/>
                <w:b w:val="0"/>
                <w:i w:val="0"/>
                <w:color w:val="212121"/>
                <w:sz w:val="16"/>
              </w:rPr>
              <w:t>Orthotropia (0 PD) for distance and near</w:t>
            </w:r>
          </w:p>
        </w:tc>
        <w:tc>
          <w:tcPr>
            <w:tcW w:type="dxa" w:w="950"/>
            <w:vAlign w:val="top"/>
          </w:tcPr>
          <w:p>
            <w:pPr>
              <w:spacing w:after="40" w:before="0" w:line="259" w:lineRule="auto"/>
            </w:pPr>
            <w:r>
              <w:rPr>
                <w:rFonts w:ascii="Calibri" w:hAnsi="Calibri"/>
                <w:b w:val="0"/>
                <w:i w:val="0"/>
                <w:color w:val="212121"/>
                <w:sz w:val="16"/>
              </w:rPr>
              <w:t>Measurable manifest deviation (esotropia/exotropia/vertical)</w:t>
            </w:r>
          </w:p>
        </w:tc>
        <w:tc>
          <w:tcPr>
            <w:tcW w:type="dxa" w:w="1036"/>
            <w:vAlign w:val="top"/>
          </w:tcPr>
          <w:p>
            <w:pPr>
              <w:spacing w:after="40" w:before="0" w:line="259" w:lineRule="auto"/>
            </w:pPr>
            <w:r>
              <w:rPr>
                <w:rFonts w:ascii="Calibri" w:hAnsi="Calibri"/>
                <w:b w:val="0"/>
                <w:i w:val="0"/>
                <w:color w:val="212121"/>
                <w:sz w:val="16"/>
              </w:rPr>
              <w:t>Quantifies and characterises the squint; guides prism or surgical dosing</w:t>
            </w:r>
          </w:p>
        </w:tc>
        <w:tc>
          <w:tcPr>
            <w:tcW w:type="dxa" w:w="1036"/>
            <w:vAlign w:val="top"/>
          </w:tcPr>
          <w:p>
            <w:pPr>
              <w:spacing w:after="40" w:before="0" w:line="259" w:lineRule="auto"/>
            </w:pPr>
            <w:r>
              <w:rPr>
                <w:rFonts w:ascii="Calibri" w:hAnsi="Calibri"/>
                <w:b w:val="0"/>
                <w:i w:val="0"/>
                <w:color w:val="212121"/>
                <w:sz w:val="16"/>
              </w:rPr>
              <w:t>All strabismus patients</w:t>
            </w:r>
          </w:p>
        </w:tc>
        <w:tc>
          <w:tcPr>
            <w:tcW w:type="dxa" w:w="720"/>
            <w:vAlign w:val="top"/>
          </w:tcPr>
          <w:p>
            <w:pPr>
              <w:spacing w:after="40" w:before="0" w:line="259" w:lineRule="auto"/>
            </w:pPr>
            <w:r>
              <w:rPr>
                <w:rFonts w:ascii="Calibri" w:hAnsi="Calibri"/>
                <w:b w:val="0"/>
                <w:i w:val="0"/>
                <w:color w:val="212121"/>
                <w:sz w:val="16"/>
              </w:rPr>
              <w:t>Provoking factors; Posture</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Measured in primary and cardinal gazes, distance and near</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Refraction</w:t>
            </w:r>
          </w:p>
        </w:tc>
        <w:tc>
          <w:tcPr>
            <w:tcW w:type="dxa" w:w="1036"/>
            <w:vAlign w:val="top"/>
          </w:tcPr>
          <w:p>
            <w:pPr>
              <w:spacing w:after="40" w:before="0" w:line="259" w:lineRule="auto"/>
            </w:pPr>
            <w:r>
              <w:rPr>
                <w:rFonts w:ascii="Calibri" w:hAnsi="Calibri"/>
                <w:b w:val="0"/>
                <w:i w:val="0"/>
                <w:color w:val="212121"/>
                <w:sz w:val="16"/>
              </w:rPr>
              <w:t>Cycloplegic refractive error</w:t>
            </w:r>
          </w:p>
        </w:tc>
        <w:tc>
          <w:tcPr>
            <w:tcW w:type="dxa" w:w="892"/>
            <w:vAlign w:val="top"/>
          </w:tcPr>
          <w:p>
            <w:pPr>
              <w:spacing w:after="40" w:before="0" w:line="259" w:lineRule="auto"/>
            </w:pPr>
            <w:r>
              <w:rPr>
                <w:rFonts w:ascii="Calibri" w:hAnsi="Calibri"/>
                <w:b w:val="0"/>
                <w:i w:val="0"/>
                <w:color w:val="212121"/>
                <w:sz w:val="16"/>
              </w:rPr>
              <w:t>Cycloplegic retinoscopy / autorefraction</w:t>
            </w:r>
          </w:p>
        </w:tc>
        <w:tc>
          <w:tcPr>
            <w:tcW w:type="dxa" w:w="950"/>
            <w:vAlign w:val="top"/>
          </w:tcPr>
          <w:p>
            <w:pPr>
              <w:spacing w:after="40" w:before="0" w:line="259" w:lineRule="auto"/>
            </w:pPr>
            <w:r>
              <w:rPr>
                <w:rFonts w:ascii="Calibri" w:hAnsi="Calibri"/>
                <w:b w:val="0"/>
                <w:i w:val="0"/>
                <w:color w:val="212121"/>
                <w:sz w:val="16"/>
              </w:rPr>
              <w:t>Age-appropriate low hypermetropia</w:t>
            </w:r>
          </w:p>
        </w:tc>
        <w:tc>
          <w:tcPr>
            <w:tcW w:type="dxa" w:w="950"/>
            <w:vAlign w:val="top"/>
          </w:tcPr>
          <w:p>
            <w:pPr>
              <w:spacing w:after="40" w:before="0" w:line="259" w:lineRule="auto"/>
            </w:pPr>
            <w:r>
              <w:rPr>
                <w:rFonts w:ascii="Calibri" w:hAnsi="Calibri"/>
                <w:b w:val="0"/>
                <w:i w:val="0"/>
                <w:color w:val="212121"/>
                <w:sz w:val="16"/>
              </w:rPr>
              <w:t>Significant hypermetropia, myopia or anisometropia</w:t>
            </w:r>
          </w:p>
        </w:tc>
        <w:tc>
          <w:tcPr>
            <w:tcW w:type="dxa" w:w="1036"/>
            <w:vAlign w:val="top"/>
          </w:tcPr>
          <w:p>
            <w:pPr>
              <w:spacing w:after="40" w:before="0" w:line="259" w:lineRule="auto"/>
            </w:pPr>
            <w:r>
              <w:rPr>
                <w:rFonts w:ascii="Calibri" w:hAnsi="Calibri"/>
                <w:b w:val="0"/>
                <w:i w:val="0"/>
                <w:color w:val="212121"/>
                <w:sz w:val="16"/>
              </w:rPr>
              <w:t>Identifies accommodative esotropia and refractive/sensory contributors</w:t>
            </w:r>
          </w:p>
        </w:tc>
        <w:tc>
          <w:tcPr>
            <w:tcW w:type="dxa" w:w="1036"/>
            <w:vAlign w:val="top"/>
          </w:tcPr>
          <w:p>
            <w:pPr>
              <w:spacing w:after="40" w:before="0" w:line="259" w:lineRule="auto"/>
            </w:pPr>
            <w:r>
              <w:rPr>
                <w:rFonts w:ascii="Calibri" w:hAnsi="Calibri"/>
                <w:b w:val="0"/>
                <w:i w:val="0"/>
                <w:color w:val="212121"/>
                <w:sz w:val="16"/>
              </w:rPr>
              <w:t>Children with esotropia, anisometropia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Essential</w:t>
            </w:r>
          </w:p>
        </w:tc>
        <w:tc>
          <w:tcPr>
            <w:tcW w:type="dxa" w:w="720"/>
            <w:vAlign w:val="top"/>
          </w:tcPr>
          <w:p>
            <w:pPr>
              <w:spacing w:after="40" w:before="0" w:line="259" w:lineRule="auto"/>
            </w:pPr>
            <w:r>
              <w:rPr>
                <w:rFonts w:ascii="Calibri" w:hAnsi="Calibri"/>
                <w:b w:val="0"/>
                <w:i w:val="0"/>
                <w:color w:val="212121"/>
                <w:sz w:val="16"/>
              </w:rPr>
              <w:t>Cycloplegia (atropine/cyclopentolate) required in children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Sensory function</w:t>
            </w:r>
          </w:p>
        </w:tc>
        <w:tc>
          <w:tcPr>
            <w:tcW w:type="dxa" w:w="1036"/>
            <w:vAlign w:val="top"/>
          </w:tcPr>
          <w:p>
            <w:pPr>
              <w:spacing w:after="40" w:before="0" w:line="259" w:lineRule="auto"/>
            </w:pPr>
            <w:r>
              <w:rPr>
                <w:rFonts w:ascii="Calibri" w:hAnsi="Calibri"/>
                <w:b w:val="0"/>
                <w:i w:val="0"/>
                <w:color w:val="212121"/>
                <w:sz w:val="16"/>
              </w:rPr>
              <w:t>Stereoacuity</w:t>
            </w:r>
          </w:p>
        </w:tc>
        <w:tc>
          <w:tcPr>
            <w:tcW w:type="dxa" w:w="892"/>
            <w:vAlign w:val="top"/>
          </w:tcPr>
          <w:p>
            <w:pPr>
              <w:spacing w:after="40" w:before="0" w:line="259" w:lineRule="auto"/>
            </w:pPr>
            <w:r>
              <w:rPr>
                <w:rFonts w:ascii="Calibri" w:hAnsi="Calibri"/>
                <w:b w:val="0"/>
                <w:i w:val="0"/>
                <w:color w:val="212121"/>
                <w:sz w:val="16"/>
              </w:rPr>
              <w:t>Titmus / TNO / Worth four-dot</w:t>
            </w:r>
          </w:p>
        </w:tc>
        <w:tc>
          <w:tcPr>
            <w:tcW w:type="dxa" w:w="950"/>
            <w:vAlign w:val="top"/>
          </w:tcPr>
          <w:p>
            <w:pPr>
              <w:spacing w:after="40" w:before="0" w:line="259" w:lineRule="auto"/>
            </w:pPr>
            <w:r>
              <w:rPr>
                <w:rFonts w:ascii="Calibri" w:hAnsi="Calibri"/>
                <w:b w:val="0"/>
                <w:i w:val="0"/>
                <w:color w:val="212121"/>
                <w:sz w:val="16"/>
              </w:rPr>
              <w:t>Fine stereopsis (≤ 40 arc sec), fusion present</w:t>
            </w:r>
          </w:p>
        </w:tc>
        <w:tc>
          <w:tcPr>
            <w:tcW w:type="dxa" w:w="950"/>
            <w:vAlign w:val="top"/>
          </w:tcPr>
          <w:p>
            <w:pPr>
              <w:spacing w:after="40" w:before="0" w:line="259" w:lineRule="auto"/>
            </w:pPr>
            <w:r>
              <w:rPr>
                <w:rFonts w:ascii="Calibri" w:hAnsi="Calibri"/>
                <w:b w:val="0"/>
                <w:i w:val="0"/>
                <w:color w:val="212121"/>
                <w:sz w:val="16"/>
              </w:rPr>
              <w:t>Reduced/absent stereopsis, suppression</w:t>
            </w:r>
          </w:p>
        </w:tc>
        <w:tc>
          <w:tcPr>
            <w:tcW w:type="dxa" w:w="1036"/>
            <w:vAlign w:val="top"/>
          </w:tcPr>
          <w:p>
            <w:pPr>
              <w:spacing w:after="40" w:before="0" w:line="259" w:lineRule="auto"/>
            </w:pPr>
            <w:r>
              <w:rPr>
                <w:rFonts w:ascii="Calibri" w:hAnsi="Calibri"/>
                <w:b w:val="0"/>
                <w:i w:val="0"/>
                <w:color w:val="212121"/>
                <w:sz w:val="16"/>
              </w:rPr>
              <w:t>Grades binocular single vision and suppression; monitors intermittent exotropia control</w:t>
            </w:r>
          </w:p>
        </w:tc>
        <w:tc>
          <w:tcPr>
            <w:tcW w:type="dxa" w:w="1036"/>
            <w:vAlign w:val="top"/>
          </w:tcPr>
          <w:p>
            <w:pPr>
              <w:spacing w:after="40" w:before="0" w:line="259" w:lineRule="auto"/>
            </w:pPr>
            <w:r>
              <w:rPr>
                <w:rFonts w:ascii="Calibri" w:hAnsi="Calibri"/>
                <w:b w:val="0"/>
                <w:i w:val="0"/>
                <w:color w:val="212121"/>
                <w:sz w:val="16"/>
              </w:rPr>
              <w:t>Intermittent exotropia, post-op follow-up</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Deterioration is an indication to intervene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Motility mapping</w:t>
            </w:r>
          </w:p>
        </w:tc>
        <w:tc>
          <w:tcPr>
            <w:tcW w:type="dxa" w:w="1036"/>
            <w:vAlign w:val="top"/>
          </w:tcPr>
          <w:p>
            <w:pPr>
              <w:spacing w:after="40" w:before="0" w:line="259" w:lineRule="auto"/>
            </w:pPr>
            <w:r>
              <w:rPr>
                <w:rFonts w:ascii="Calibri" w:hAnsi="Calibri"/>
                <w:b w:val="0"/>
                <w:i w:val="0"/>
                <w:color w:val="212121"/>
                <w:sz w:val="16"/>
              </w:rPr>
              <w:t>Incomitance / muscle field</w:t>
            </w:r>
          </w:p>
        </w:tc>
        <w:tc>
          <w:tcPr>
            <w:tcW w:type="dxa" w:w="892"/>
            <w:vAlign w:val="top"/>
          </w:tcPr>
          <w:p>
            <w:pPr>
              <w:spacing w:after="40" w:before="0" w:line="259" w:lineRule="auto"/>
            </w:pPr>
            <w:r>
              <w:rPr>
                <w:rFonts w:ascii="Calibri" w:hAnsi="Calibri"/>
                <w:b w:val="0"/>
                <w:i w:val="0"/>
                <w:color w:val="212121"/>
                <w:sz w:val="16"/>
              </w:rPr>
              <w:t>Hess charting / diplopia charting / forced duction</w:t>
            </w:r>
          </w:p>
        </w:tc>
        <w:tc>
          <w:tcPr>
            <w:tcW w:type="dxa" w:w="950"/>
            <w:vAlign w:val="top"/>
          </w:tcPr>
          <w:p>
            <w:pPr>
              <w:spacing w:after="40" w:before="0" w:line="259" w:lineRule="auto"/>
            </w:pPr>
            <w:r>
              <w:rPr>
                <w:rFonts w:ascii="Calibri" w:hAnsi="Calibri"/>
                <w:b w:val="0"/>
                <w:i w:val="0"/>
                <w:color w:val="212121"/>
                <w:sz w:val="16"/>
              </w:rPr>
              <w:t>Full, comitant ductions and versions</w:t>
            </w:r>
          </w:p>
        </w:tc>
        <w:tc>
          <w:tcPr>
            <w:tcW w:type="dxa" w:w="950"/>
            <w:vAlign w:val="top"/>
          </w:tcPr>
          <w:p>
            <w:pPr>
              <w:spacing w:after="40" w:before="0" w:line="259" w:lineRule="auto"/>
            </w:pPr>
            <w:r>
              <w:rPr>
                <w:rFonts w:ascii="Calibri" w:hAnsi="Calibri"/>
                <w:b w:val="0"/>
                <w:i w:val="0"/>
                <w:color w:val="212121"/>
                <w:sz w:val="16"/>
              </w:rPr>
              <w:t>Restricted field, incomitant deviation, positive forced duction</w:t>
            </w:r>
          </w:p>
        </w:tc>
        <w:tc>
          <w:tcPr>
            <w:tcW w:type="dxa" w:w="1036"/>
            <w:vAlign w:val="top"/>
          </w:tcPr>
          <w:p>
            <w:pPr>
              <w:spacing w:after="40" w:before="0" w:line="259" w:lineRule="auto"/>
            </w:pPr>
            <w:r>
              <w:rPr>
                <w:rFonts w:ascii="Calibri" w:hAnsi="Calibri"/>
                <w:b w:val="0"/>
                <w:i w:val="0"/>
                <w:color w:val="212121"/>
                <w:sz w:val="16"/>
              </w:rPr>
              <w:t>Differentiates paralytic from restrictive strabismus and localises the affected muscle/nerve</w:t>
            </w:r>
          </w:p>
        </w:tc>
        <w:tc>
          <w:tcPr>
            <w:tcW w:type="dxa" w:w="1036"/>
            <w:vAlign w:val="top"/>
          </w:tcPr>
          <w:p>
            <w:pPr>
              <w:spacing w:after="40" w:before="0" w:line="259" w:lineRule="auto"/>
            </w:pPr>
            <w:r>
              <w:rPr>
                <w:rFonts w:ascii="Calibri" w:hAnsi="Calibri"/>
                <w:b w:val="0"/>
                <w:i w:val="0"/>
                <w:color w:val="212121"/>
                <w:sz w:val="16"/>
              </w:rPr>
              <w:t>Acquired/incomitant strabismus, thyroid eye disease</w:t>
            </w:r>
          </w:p>
        </w:tc>
        <w:tc>
          <w:tcPr>
            <w:tcW w:type="dxa" w:w="720"/>
            <w:vAlign w:val="top"/>
          </w:tcPr>
          <w:p>
            <w:pPr>
              <w:spacing w:after="40" w:before="0" w:line="259" w:lineRule="auto"/>
            </w:pPr>
            <w:r>
              <w:rPr>
                <w:rFonts w:ascii="Calibri" w:hAnsi="Calibri"/>
                <w:b w:val="0"/>
                <w:i w:val="0"/>
                <w:color w:val="212121"/>
                <w:sz w:val="16"/>
              </w:rPr>
              <w:t>Posture</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Positive forced duction indicates restriction (e.g. thyroid, fracture)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Neuroimaging</w:t>
            </w:r>
          </w:p>
        </w:tc>
        <w:tc>
          <w:tcPr>
            <w:tcW w:type="dxa" w:w="1036"/>
            <w:vAlign w:val="top"/>
          </w:tcPr>
          <w:p>
            <w:pPr>
              <w:spacing w:after="40" w:before="0" w:line="259" w:lineRule="auto"/>
            </w:pPr>
            <w:r>
              <w:rPr>
                <w:rFonts w:ascii="Calibri" w:hAnsi="Calibri"/>
                <w:b w:val="0"/>
                <w:i w:val="0"/>
                <w:color w:val="212121"/>
                <w:sz w:val="16"/>
              </w:rPr>
              <w:t>Orbit and brain imaging</w:t>
            </w:r>
          </w:p>
        </w:tc>
        <w:tc>
          <w:tcPr>
            <w:tcW w:type="dxa" w:w="892"/>
            <w:vAlign w:val="top"/>
          </w:tcPr>
          <w:p>
            <w:pPr>
              <w:spacing w:after="40" w:before="0" w:line="259" w:lineRule="auto"/>
            </w:pPr>
            <w:r>
              <w:rPr>
                <w:rFonts w:ascii="Calibri" w:hAnsi="Calibri"/>
                <w:b w:val="0"/>
                <w:i w:val="0"/>
                <w:color w:val="212121"/>
                <w:sz w:val="16"/>
              </w:rPr>
              <w:t>MRI / CT brain and orbits</w:t>
            </w:r>
          </w:p>
        </w:tc>
        <w:tc>
          <w:tcPr>
            <w:tcW w:type="dxa" w:w="950"/>
            <w:vAlign w:val="top"/>
          </w:tcPr>
          <w:p>
            <w:pPr>
              <w:spacing w:after="40" w:before="0" w:line="259" w:lineRule="auto"/>
            </w:pPr>
            <w:r>
              <w:rPr>
                <w:rFonts w:ascii="Calibri" w:hAnsi="Calibri"/>
                <w:b w:val="0"/>
                <w:i w:val="0"/>
                <w:color w:val="212121"/>
                <w:sz w:val="16"/>
              </w:rPr>
              <w:t>No structural or space-occupying lesion</w:t>
            </w:r>
          </w:p>
        </w:tc>
        <w:tc>
          <w:tcPr>
            <w:tcW w:type="dxa" w:w="950"/>
            <w:vAlign w:val="top"/>
          </w:tcPr>
          <w:p>
            <w:pPr>
              <w:spacing w:after="40" w:before="0" w:line="259" w:lineRule="auto"/>
            </w:pPr>
            <w:r>
              <w:rPr>
                <w:rFonts w:ascii="Calibri" w:hAnsi="Calibri"/>
                <w:b w:val="0"/>
                <w:i w:val="0"/>
                <w:color w:val="212121"/>
                <w:sz w:val="16"/>
              </w:rPr>
              <w:t>Cranial nerve/brainstem lesion, muscle enlargement, tumour, fracture</w:t>
            </w:r>
          </w:p>
        </w:tc>
        <w:tc>
          <w:tcPr>
            <w:tcW w:type="dxa" w:w="1036"/>
            <w:vAlign w:val="top"/>
          </w:tcPr>
          <w:p>
            <w:pPr>
              <w:spacing w:after="40" w:before="0" w:line="259" w:lineRule="auto"/>
            </w:pPr>
            <w:r>
              <w:rPr>
                <w:rFonts w:ascii="Calibri" w:hAnsi="Calibri"/>
                <w:b w:val="0"/>
                <w:i w:val="0"/>
                <w:color w:val="212121"/>
                <w:sz w:val="16"/>
              </w:rPr>
              <w:t>Mandatory for acute, incomitant or paralytic strabismus to exclude serious cause</w:t>
            </w:r>
          </w:p>
        </w:tc>
        <w:tc>
          <w:tcPr>
            <w:tcW w:type="dxa" w:w="1036"/>
            <w:vAlign w:val="top"/>
          </w:tcPr>
          <w:p>
            <w:pPr>
              <w:spacing w:after="40" w:before="0" w:line="259" w:lineRule="auto"/>
            </w:pPr>
            <w:r>
              <w:rPr>
                <w:rFonts w:ascii="Calibri" w:hAnsi="Calibri"/>
                <w:b w:val="0"/>
                <w:i w:val="0"/>
                <w:color w:val="212121"/>
                <w:sz w:val="16"/>
              </w:rPr>
              <w:t>Acute acquired/paralytic strabismus, papilloedema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Critical when indicated</w:t>
            </w:r>
          </w:p>
        </w:tc>
        <w:tc>
          <w:tcPr>
            <w:tcW w:type="dxa" w:w="720"/>
            <w:vAlign w:val="top"/>
          </w:tcPr>
          <w:p>
            <w:pPr>
              <w:spacing w:after="40" w:before="0" w:line="259" w:lineRule="auto"/>
            </w:pPr>
            <w:r>
              <w:rPr>
                <w:rFonts w:ascii="Calibri" w:hAnsi="Calibri"/>
                <w:b w:val="0"/>
                <w:i w:val="0"/>
                <w:color w:val="212121"/>
                <w:sz w:val="16"/>
              </w:rPr>
              <w:t>Urgent if pupil-involving III palsy or raised ICP suspected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Endocrine / metabolic</w:t>
            </w:r>
          </w:p>
        </w:tc>
        <w:tc>
          <w:tcPr>
            <w:tcW w:type="dxa" w:w="1036"/>
            <w:vAlign w:val="top"/>
          </w:tcPr>
          <w:p>
            <w:pPr>
              <w:spacing w:after="40" w:before="0" w:line="259" w:lineRule="auto"/>
            </w:pPr>
            <w:r>
              <w:rPr>
                <w:rFonts w:ascii="Calibri" w:hAnsi="Calibri"/>
                <w:b w:val="0"/>
                <w:i w:val="0"/>
                <w:color w:val="212121"/>
                <w:sz w:val="16"/>
              </w:rPr>
              <w:t>Thyroid function; blood glucose</w:t>
            </w:r>
          </w:p>
        </w:tc>
        <w:tc>
          <w:tcPr>
            <w:tcW w:type="dxa" w:w="892"/>
            <w:vAlign w:val="top"/>
          </w:tcPr>
          <w:p>
            <w:pPr>
              <w:spacing w:after="40" w:before="0" w:line="259" w:lineRule="auto"/>
            </w:pPr>
            <w:r>
              <w:rPr>
                <w:rFonts w:ascii="Calibri" w:hAnsi="Calibri"/>
                <w:b w:val="0"/>
                <w:i w:val="0"/>
                <w:color w:val="212121"/>
                <w:sz w:val="16"/>
              </w:rPr>
              <w:t>TFT (TSH, free T4, TRAb); fasting/random glucose, HbA1c</w:t>
            </w:r>
          </w:p>
        </w:tc>
        <w:tc>
          <w:tcPr>
            <w:tcW w:type="dxa" w:w="950"/>
            <w:vAlign w:val="top"/>
          </w:tcPr>
          <w:p>
            <w:pPr>
              <w:spacing w:after="40" w:before="0" w:line="259" w:lineRule="auto"/>
            </w:pPr>
            <w:r>
              <w:rPr>
                <w:rFonts w:ascii="Calibri" w:hAnsi="Calibri"/>
                <w:b w:val="0"/>
                <w:i w:val="0"/>
                <w:color w:val="212121"/>
                <w:sz w:val="16"/>
              </w:rPr>
              <w:t>Euthyroid; normoglycaemia</w:t>
            </w:r>
          </w:p>
        </w:tc>
        <w:tc>
          <w:tcPr>
            <w:tcW w:type="dxa" w:w="950"/>
            <w:vAlign w:val="top"/>
          </w:tcPr>
          <w:p>
            <w:pPr>
              <w:spacing w:after="40" w:before="0" w:line="259" w:lineRule="auto"/>
            </w:pPr>
            <w:r>
              <w:rPr>
                <w:rFonts w:ascii="Calibri" w:hAnsi="Calibri"/>
                <w:b w:val="0"/>
                <w:i w:val="0"/>
                <w:color w:val="212121"/>
                <w:sz w:val="16"/>
              </w:rPr>
              <w:t>Hyperthyroidism/Graves; hyperglycaemia</w:t>
            </w:r>
          </w:p>
        </w:tc>
        <w:tc>
          <w:tcPr>
            <w:tcW w:type="dxa" w:w="1036"/>
            <w:vAlign w:val="top"/>
          </w:tcPr>
          <w:p>
            <w:pPr>
              <w:spacing w:after="40" w:before="0" w:line="259" w:lineRule="auto"/>
            </w:pPr>
            <w:r>
              <w:rPr>
                <w:rFonts w:ascii="Calibri" w:hAnsi="Calibri"/>
                <w:b w:val="0"/>
                <w:i w:val="0"/>
                <w:color w:val="212121"/>
                <w:sz w:val="16"/>
              </w:rPr>
              <w:t>Identifies thyroid eye disease and diabetic microvascular nerve palsy as causes of adult strabismus</w:t>
            </w:r>
          </w:p>
        </w:tc>
        <w:tc>
          <w:tcPr>
            <w:tcW w:type="dxa" w:w="1036"/>
            <w:vAlign w:val="top"/>
          </w:tcPr>
          <w:p>
            <w:pPr>
              <w:spacing w:after="40" w:before="0" w:line="259" w:lineRule="auto"/>
            </w:pPr>
            <w:r>
              <w:rPr>
                <w:rFonts w:ascii="Calibri" w:hAnsi="Calibri"/>
                <w:b w:val="0"/>
                <w:i w:val="0"/>
                <w:color w:val="212121"/>
                <w:sz w:val="16"/>
              </w:rPr>
              <w:t>Adults with acquired incomitant strabismus/diplopia</w:t>
            </w:r>
          </w:p>
        </w:tc>
        <w:tc>
          <w:tcPr>
            <w:tcW w:type="dxa" w:w="720"/>
            <w:vAlign w:val="top"/>
          </w:tcPr>
          <w:p>
            <w:pPr>
              <w:spacing w:after="40" w:before="0" w:line="259" w:lineRule="auto"/>
            </w:pPr>
            <w:r>
              <w:rPr>
                <w:rFonts w:ascii="Calibri" w:hAnsi="Calibri"/>
                <w:b w:val="0"/>
                <w:i w:val="0"/>
                <w:color w:val="212121"/>
                <w:sz w:val="16"/>
              </w:rPr>
              <w:t>Smoking; Provoking factors</w:t>
            </w:r>
          </w:p>
        </w:tc>
        <w:tc>
          <w:tcPr>
            <w:tcW w:type="dxa" w:w="720"/>
            <w:vAlign w:val="top"/>
          </w:tcPr>
          <w:p>
            <w:pPr>
              <w:spacing w:after="40" w:before="0" w:line="259" w:lineRule="auto"/>
            </w:pPr>
            <w:r>
              <w:rPr>
                <w:rFonts w:ascii="Calibri" w:hAnsi="Calibri"/>
                <w:b w:val="0"/>
                <w:i w:val="0"/>
                <w:color w:val="212121"/>
                <w:sz w:val="16"/>
              </w:rPr>
              <w:t>High in adults</w:t>
            </w:r>
          </w:p>
        </w:tc>
        <w:tc>
          <w:tcPr>
            <w:tcW w:type="dxa" w:w="720"/>
            <w:vAlign w:val="top"/>
          </w:tcPr>
          <w:p>
            <w:pPr>
              <w:spacing w:after="40" w:before="0" w:line="259" w:lineRule="auto"/>
            </w:pPr>
            <w:r>
              <w:rPr>
                <w:rFonts w:ascii="Calibri" w:hAnsi="Calibri"/>
                <w:b w:val="0"/>
                <w:i w:val="0"/>
                <w:color w:val="212121"/>
                <w:sz w:val="16"/>
              </w:rPr>
              <w:t>Order acetylcholine-receptor antibody/ice test if myasthenia suspected</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 &amp; onset</w:t>
            </w:r>
          </w:p>
        </w:tc>
        <w:tc>
          <w:tcPr>
            <w:tcW w:type="dxa" w:w="979"/>
            <w:vAlign w:val="top"/>
          </w:tcPr>
          <w:p>
            <w:pPr>
              <w:spacing w:after="40" w:before="0" w:line="259" w:lineRule="auto"/>
            </w:pPr>
            <w:r>
              <w:rPr>
                <w:rFonts w:ascii="Calibri" w:hAnsi="Calibri"/>
                <w:b w:val="0"/>
                <w:i w:val="0"/>
                <w:color w:val="212121"/>
                <w:sz w:val="16"/>
              </w:rPr>
              <w:t>Eye deviation, diplopia, head posture, age of onset</w:t>
            </w:r>
          </w:p>
        </w:tc>
        <w:tc>
          <w:tcPr>
            <w:tcW w:type="dxa" w:w="950"/>
            <w:vAlign w:val="top"/>
          </w:tcPr>
          <w:p>
            <w:pPr>
              <w:spacing w:after="40" w:before="0" w:line="259" w:lineRule="auto"/>
            </w:pPr>
            <w:r>
              <w:rPr>
                <w:rFonts w:ascii="Calibri" w:hAnsi="Calibri"/>
                <w:b w:val="0"/>
                <w:i w:val="0"/>
                <w:color w:val="212121"/>
                <w:sz w:val="16"/>
              </w:rPr>
              <w:t>Eyes straight since infancy, no diplopia</w:t>
            </w:r>
          </w:p>
        </w:tc>
        <w:tc>
          <w:tcPr>
            <w:tcW w:type="dxa" w:w="950"/>
            <w:vAlign w:val="top"/>
          </w:tcPr>
          <w:p>
            <w:pPr>
              <w:spacing w:after="40" w:before="0" w:line="259" w:lineRule="auto"/>
            </w:pPr>
            <w:r>
              <w:rPr>
                <w:rFonts w:ascii="Calibri" w:hAnsi="Calibri"/>
                <w:b w:val="0"/>
                <w:i w:val="0"/>
                <w:color w:val="212121"/>
                <w:sz w:val="16"/>
              </w:rPr>
              <w:t>Constant/intermittent deviation, double vision, abnormal head posture</w:t>
            </w:r>
          </w:p>
        </w:tc>
        <w:tc>
          <w:tcPr>
            <w:tcW w:type="dxa" w:w="1036"/>
            <w:vAlign w:val="top"/>
          </w:tcPr>
          <w:p>
            <w:pPr>
              <w:spacing w:after="40" w:before="0" w:line="259" w:lineRule="auto"/>
            </w:pPr>
            <w:r>
              <w:rPr>
                <w:rFonts w:ascii="Calibri" w:hAnsi="Calibri"/>
                <w:b w:val="0"/>
                <w:i w:val="0"/>
                <w:color w:val="212121"/>
                <w:sz w:val="16"/>
              </w:rPr>
              <w:t>Distinguishes congenital from acquired and comitant from paralytic squint</w:t>
            </w:r>
          </w:p>
        </w:tc>
        <w:tc>
          <w:tcPr>
            <w:tcW w:type="dxa" w:w="1036"/>
            <w:vAlign w:val="top"/>
          </w:tcPr>
          <w:p>
            <w:pPr>
              <w:spacing w:after="40" w:before="0" w:line="259" w:lineRule="auto"/>
            </w:pPr>
            <w:r>
              <w:rPr>
                <w:rFonts w:ascii="Calibri" w:hAnsi="Calibri"/>
                <w:b w:val="0"/>
                <w:i w:val="0"/>
                <w:color w:val="212121"/>
                <w:sz w:val="16"/>
              </w:rPr>
              <w:t>Children (parent-noticed), adults (diplopia)</w:t>
            </w:r>
          </w:p>
        </w:tc>
        <w:tc>
          <w:tcPr>
            <w:tcW w:type="dxa" w:w="720"/>
            <w:vAlign w:val="top"/>
          </w:tcPr>
          <w:p>
            <w:pPr>
              <w:spacing w:after="40" w:before="0" w:line="259" w:lineRule="auto"/>
            </w:pPr>
            <w:r>
              <w:rPr>
                <w:rFonts w:ascii="Calibri" w:hAnsi="Calibri"/>
                <w:b w:val="0"/>
                <w:i w:val="0"/>
                <w:color w:val="212121"/>
                <w:sz w:val="16"/>
              </w:rPr>
              <w:t>Provoking factors; Posture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Old photographs help date onset and detect head tilt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Inspection</w:t>
            </w:r>
          </w:p>
        </w:tc>
        <w:tc>
          <w:tcPr>
            <w:tcW w:type="dxa" w:w="950"/>
            <w:vAlign w:val="top"/>
          </w:tcPr>
          <w:p>
            <w:pPr>
              <w:spacing w:after="40" w:before="0" w:line="259" w:lineRule="auto"/>
            </w:pPr>
            <w:r>
              <w:rPr>
                <w:rFonts w:ascii="Calibri" w:hAnsi="Calibri"/>
                <w:b w:val="0"/>
                <w:i w:val="0"/>
                <w:color w:val="212121"/>
                <w:sz w:val="16"/>
              </w:rPr>
              <w:t>Corneal light reflex</w:t>
            </w:r>
          </w:p>
        </w:tc>
        <w:tc>
          <w:tcPr>
            <w:tcW w:type="dxa" w:w="979"/>
            <w:vAlign w:val="top"/>
          </w:tcPr>
          <w:p>
            <w:pPr>
              <w:spacing w:after="40" w:before="0" w:line="259" w:lineRule="auto"/>
            </w:pPr>
            <w:r>
              <w:rPr>
                <w:rFonts w:ascii="Calibri" w:hAnsi="Calibri"/>
                <w:b w:val="0"/>
                <w:i w:val="0"/>
                <w:color w:val="212121"/>
                <w:sz w:val="16"/>
              </w:rPr>
              <w:t>Hirschberg / Krimsky reflex symmetry</w:t>
            </w:r>
          </w:p>
        </w:tc>
        <w:tc>
          <w:tcPr>
            <w:tcW w:type="dxa" w:w="950"/>
            <w:vAlign w:val="top"/>
          </w:tcPr>
          <w:p>
            <w:pPr>
              <w:spacing w:after="40" w:before="0" w:line="259" w:lineRule="auto"/>
            </w:pPr>
            <w:r>
              <w:rPr>
                <w:rFonts w:ascii="Calibri" w:hAnsi="Calibri"/>
                <w:b w:val="0"/>
                <w:i w:val="0"/>
                <w:color w:val="212121"/>
                <w:sz w:val="16"/>
              </w:rPr>
              <w:t>Symmetric, centred reflexes</w:t>
            </w:r>
          </w:p>
        </w:tc>
        <w:tc>
          <w:tcPr>
            <w:tcW w:type="dxa" w:w="950"/>
            <w:vAlign w:val="top"/>
          </w:tcPr>
          <w:p>
            <w:pPr>
              <w:spacing w:after="40" w:before="0" w:line="259" w:lineRule="auto"/>
            </w:pPr>
            <w:r>
              <w:rPr>
                <w:rFonts w:ascii="Calibri" w:hAnsi="Calibri"/>
                <w:b w:val="0"/>
                <w:i w:val="0"/>
                <w:color w:val="212121"/>
                <w:sz w:val="16"/>
              </w:rPr>
              <w:t>Displaced reflex in the deviating eye</w:t>
            </w:r>
          </w:p>
        </w:tc>
        <w:tc>
          <w:tcPr>
            <w:tcW w:type="dxa" w:w="1036"/>
            <w:vAlign w:val="top"/>
          </w:tcPr>
          <w:p>
            <w:pPr>
              <w:spacing w:after="40" w:before="0" w:line="259" w:lineRule="auto"/>
            </w:pPr>
            <w:r>
              <w:rPr>
                <w:rFonts w:ascii="Calibri" w:hAnsi="Calibri"/>
                <w:b w:val="0"/>
                <w:i w:val="0"/>
                <w:color w:val="212121"/>
                <w:sz w:val="16"/>
              </w:rPr>
              <w:t>Rapid screen for manifest tropia and pseudostrabismus (epicanthus)</w:t>
            </w:r>
          </w:p>
        </w:tc>
        <w:tc>
          <w:tcPr>
            <w:tcW w:type="dxa" w:w="1036"/>
            <w:vAlign w:val="top"/>
          </w:tcPr>
          <w:p>
            <w:pPr>
              <w:spacing w:after="40" w:before="0" w:line="259" w:lineRule="auto"/>
            </w:pPr>
            <w:r>
              <w:rPr>
                <w:rFonts w:ascii="Calibri" w:hAnsi="Calibri"/>
                <w:b w:val="0"/>
                <w:i w:val="0"/>
                <w:color w:val="212121"/>
                <w:sz w:val="16"/>
              </w:rPr>
              <w:t>Infants, uncooperative children</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Positive angle kappa and epicanthal folds can mimic squint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Cover tests</w:t>
            </w:r>
          </w:p>
        </w:tc>
        <w:tc>
          <w:tcPr>
            <w:tcW w:type="dxa" w:w="950"/>
            <w:vAlign w:val="top"/>
          </w:tcPr>
          <w:p>
            <w:pPr>
              <w:spacing w:after="40" w:before="0" w:line="259" w:lineRule="auto"/>
            </w:pPr>
            <w:r>
              <w:rPr>
                <w:rFonts w:ascii="Calibri" w:hAnsi="Calibri"/>
                <w:b w:val="0"/>
                <w:i w:val="0"/>
                <w:color w:val="212121"/>
                <w:sz w:val="16"/>
              </w:rPr>
              <w:t>Cover-uncover &amp; alternate cover</w:t>
            </w:r>
          </w:p>
        </w:tc>
        <w:tc>
          <w:tcPr>
            <w:tcW w:type="dxa" w:w="979"/>
            <w:vAlign w:val="top"/>
          </w:tcPr>
          <w:p>
            <w:pPr>
              <w:spacing w:after="40" w:before="0" w:line="259" w:lineRule="auto"/>
            </w:pPr>
            <w:r>
              <w:rPr>
                <w:rFonts w:ascii="Calibri" w:hAnsi="Calibri"/>
                <w:b w:val="0"/>
                <w:i w:val="0"/>
                <w:color w:val="212121"/>
                <w:sz w:val="16"/>
              </w:rPr>
              <w:t>Refixation movement</w:t>
            </w:r>
          </w:p>
        </w:tc>
        <w:tc>
          <w:tcPr>
            <w:tcW w:type="dxa" w:w="950"/>
            <w:vAlign w:val="top"/>
          </w:tcPr>
          <w:p>
            <w:pPr>
              <w:spacing w:after="40" w:before="0" w:line="259" w:lineRule="auto"/>
            </w:pPr>
            <w:r>
              <w:rPr>
                <w:rFonts w:ascii="Calibri" w:hAnsi="Calibri"/>
                <w:b w:val="0"/>
                <w:i w:val="0"/>
                <w:color w:val="212121"/>
                <w:sz w:val="16"/>
              </w:rPr>
              <w:t>No movement (orthophoria)</w:t>
            </w:r>
          </w:p>
        </w:tc>
        <w:tc>
          <w:tcPr>
            <w:tcW w:type="dxa" w:w="950"/>
            <w:vAlign w:val="top"/>
          </w:tcPr>
          <w:p>
            <w:pPr>
              <w:spacing w:after="40" w:before="0" w:line="259" w:lineRule="auto"/>
            </w:pPr>
            <w:r>
              <w:rPr>
                <w:rFonts w:ascii="Calibri" w:hAnsi="Calibri"/>
                <w:b w:val="0"/>
                <w:i w:val="0"/>
                <w:color w:val="212121"/>
                <w:sz w:val="16"/>
              </w:rPr>
              <w:t>Refixation movement = tropia (manifest) or phoria (latent)</w:t>
            </w:r>
          </w:p>
        </w:tc>
        <w:tc>
          <w:tcPr>
            <w:tcW w:type="dxa" w:w="1036"/>
            <w:vAlign w:val="top"/>
          </w:tcPr>
          <w:p>
            <w:pPr>
              <w:spacing w:after="40" w:before="0" w:line="259" w:lineRule="auto"/>
            </w:pPr>
            <w:r>
              <w:rPr>
                <w:rFonts w:ascii="Calibri" w:hAnsi="Calibri"/>
                <w:b w:val="0"/>
                <w:i w:val="0"/>
                <w:color w:val="212121"/>
                <w:sz w:val="16"/>
              </w:rPr>
              <w:t>Confirms and classifies deviation; identifies the fixing/deviating eye</w:t>
            </w:r>
          </w:p>
        </w:tc>
        <w:tc>
          <w:tcPr>
            <w:tcW w:type="dxa" w:w="1036"/>
            <w:vAlign w:val="top"/>
          </w:tcPr>
          <w:p>
            <w:pPr>
              <w:spacing w:after="40" w:before="0" w:line="259" w:lineRule="auto"/>
            </w:pPr>
            <w:r>
              <w:rPr>
                <w:rFonts w:ascii="Calibri" w:hAnsi="Calibri"/>
                <w:b w:val="0"/>
                <w:i w:val="0"/>
                <w:color w:val="212121"/>
                <w:sz w:val="16"/>
              </w:rPr>
              <w:t>All cooperative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 clinical test</w:t>
            </w:r>
          </w:p>
        </w:tc>
        <w:tc>
          <w:tcPr>
            <w:tcW w:type="dxa" w:w="720"/>
            <w:vAlign w:val="top"/>
          </w:tcPr>
          <w:p>
            <w:pPr>
              <w:spacing w:after="40" w:before="0" w:line="259" w:lineRule="auto"/>
            </w:pPr>
            <w:r>
              <w:rPr>
                <w:rFonts w:ascii="Calibri" w:hAnsi="Calibri"/>
                <w:b w:val="0"/>
                <w:i w:val="0"/>
                <w:color w:val="212121"/>
                <w:sz w:val="16"/>
              </w:rPr>
              <w:t>Combine with prism bar for quantification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Ocular motility</w:t>
            </w:r>
          </w:p>
        </w:tc>
        <w:tc>
          <w:tcPr>
            <w:tcW w:type="dxa" w:w="950"/>
            <w:vAlign w:val="top"/>
          </w:tcPr>
          <w:p>
            <w:pPr>
              <w:spacing w:after="40" w:before="0" w:line="259" w:lineRule="auto"/>
            </w:pPr>
            <w:r>
              <w:rPr>
                <w:rFonts w:ascii="Calibri" w:hAnsi="Calibri"/>
                <w:b w:val="0"/>
                <w:i w:val="0"/>
                <w:color w:val="212121"/>
                <w:sz w:val="16"/>
              </w:rPr>
              <w:t>Versions &amp; ductions</w:t>
            </w:r>
          </w:p>
        </w:tc>
        <w:tc>
          <w:tcPr>
            <w:tcW w:type="dxa" w:w="979"/>
            <w:vAlign w:val="top"/>
          </w:tcPr>
          <w:p>
            <w:pPr>
              <w:spacing w:after="40" w:before="0" w:line="259" w:lineRule="auto"/>
            </w:pPr>
            <w:r>
              <w:rPr>
                <w:rFonts w:ascii="Calibri" w:hAnsi="Calibri"/>
                <w:b w:val="0"/>
                <w:i w:val="0"/>
                <w:color w:val="212121"/>
                <w:sz w:val="16"/>
              </w:rPr>
              <w:t>Range and comitance of eye movements</w:t>
            </w:r>
          </w:p>
        </w:tc>
        <w:tc>
          <w:tcPr>
            <w:tcW w:type="dxa" w:w="950"/>
            <w:vAlign w:val="top"/>
          </w:tcPr>
          <w:p>
            <w:pPr>
              <w:spacing w:after="40" w:before="0" w:line="259" w:lineRule="auto"/>
            </w:pPr>
            <w:r>
              <w:rPr>
                <w:rFonts w:ascii="Calibri" w:hAnsi="Calibri"/>
                <w:b w:val="0"/>
                <w:i w:val="0"/>
                <w:color w:val="212121"/>
                <w:sz w:val="16"/>
              </w:rPr>
              <w:t>Full and equal in both eyes</w:t>
            </w:r>
          </w:p>
        </w:tc>
        <w:tc>
          <w:tcPr>
            <w:tcW w:type="dxa" w:w="950"/>
            <w:vAlign w:val="top"/>
          </w:tcPr>
          <w:p>
            <w:pPr>
              <w:spacing w:after="40" w:before="0" w:line="259" w:lineRule="auto"/>
            </w:pPr>
            <w:r>
              <w:rPr>
                <w:rFonts w:ascii="Calibri" w:hAnsi="Calibri"/>
                <w:b w:val="0"/>
                <w:i w:val="0"/>
                <w:color w:val="212121"/>
                <w:sz w:val="16"/>
              </w:rPr>
              <w:t>Limitation/overaction; A- or V-pattern; incomitance</w:t>
            </w:r>
          </w:p>
        </w:tc>
        <w:tc>
          <w:tcPr>
            <w:tcW w:type="dxa" w:w="1036"/>
            <w:vAlign w:val="top"/>
          </w:tcPr>
          <w:p>
            <w:pPr>
              <w:spacing w:after="40" w:before="0" w:line="259" w:lineRule="auto"/>
            </w:pPr>
            <w:r>
              <w:rPr>
                <w:rFonts w:ascii="Calibri" w:hAnsi="Calibri"/>
                <w:b w:val="0"/>
                <w:i w:val="0"/>
                <w:color w:val="212121"/>
                <w:sz w:val="16"/>
              </w:rPr>
              <w:t>Detects cranial nerve palsy, restriction and pattern strabismus</w:t>
            </w:r>
          </w:p>
        </w:tc>
        <w:tc>
          <w:tcPr>
            <w:tcW w:type="dxa" w:w="1036"/>
            <w:vAlign w:val="top"/>
          </w:tcPr>
          <w:p>
            <w:pPr>
              <w:spacing w:after="40" w:before="0" w:line="259" w:lineRule="auto"/>
            </w:pPr>
            <w:r>
              <w:rPr>
                <w:rFonts w:ascii="Calibri" w:hAnsi="Calibri"/>
                <w:b w:val="0"/>
                <w:i w:val="0"/>
                <w:color w:val="212121"/>
                <w:sz w:val="16"/>
              </w:rPr>
              <w:t>Incomitant/paralytic strabismus</w:t>
            </w:r>
          </w:p>
        </w:tc>
        <w:tc>
          <w:tcPr>
            <w:tcW w:type="dxa" w:w="720"/>
            <w:vAlign w:val="top"/>
          </w:tcPr>
          <w:p>
            <w:pPr>
              <w:spacing w:after="40" w:before="0" w:line="259" w:lineRule="auto"/>
            </w:pPr>
            <w:r>
              <w:rPr>
                <w:rFonts w:ascii="Calibri" w:hAnsi="Calibri"/>
                <w:b w:val="0"/>
                <w:i w:val="0"/>
                <w:color w:val="212121"/>
                <w:sz w:val="16"/>
              </w:rPr>
              <w:t>Posture</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Assess in the nine positions of gaze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Visual acuity</w:t>
            </w:r>
          </w:p>
        </w:tc>
        <w:tc>
          <w:tcPr>
            <w:tcW w:type="dxa" w:w="950"/>
            <w:vAlign w:val="top"/>
          </w:tcPr>
          <w:p>
            <w:pPr>
              <w:spacing w:after="40" w:before="0" w:line="259" w:lineRule="auto"/>
            </w:pPr>
            <w:r>
              <w:rPr>
                <w:rFonts w:ascii="Calibri" w:hAnsi="Calibri"/>
                <w:b w:val="0"/>
                <w:i w:val="0"/>
                <w:color w:val="212121"/>
                <w:sz w:val="16"/>
              </w:rPr>
              <w:t>Age-appropriate acuity &amp; fixation preference</w:t>
            </w:r>
          </w:p>
        </w:tc>
        <w:tc>
          <w:tcPr>
            <w:tcW w:type="dxa" w:w="979"/>
            <w:vAlign w:val="top"/>
          </w:tcPr>
          <w:p>
            <w:pPr>
              <w:spacing w:after="40" w:before="0" w:line="259" w:lineRule="auto"/>
            </w:pPr>
            <w:r>
              <w:rPr>
                <w:rFonts w:ascii="Calibri" w:hAnsi="Calibri"/>
                <w:b w:val="0"/>
                <w:i w:val="0"/>
                <w:color w:val="212121"/>
                <w:sz w:val="16"/>
              </w:rPr>
              <w:t>Monocular acuity, fixation</w:t>
            </w:r>
          </w:p>
        </w:tc>
        <w:tc>
          <w:tcPr>
            <w:tcW w:type="dxa" w:w="950"/>
            <w:vAlign w:val="top"/>
          </w:tcPr>
          <w:p>
            <w:pPr>
              <w:spacing w:after="40" w:before="0" w:line="259" w:lineRule="auto"/>
            </w:pPr>
            <w:r>
              <w:rPr>
                <w:rFonts w:ascii="Calibri" w:hAnsi="Calibri"/>
                <w:b w:val="0"/>
                <w:i w:val="0"/>
                <w:color w:val="212121"/>
                <w:sz w:val="16"/>
              </w:rPr>
              <w:t>Equal, age-appropriate acuity</w:t>
            </w:r>
          </w:p>
        </w:tc>
        <w:tc>
          <w:tcPr>
            <w:tcW w:type="dxa" w:w="950"/>
            <w:vAlign w:val="top"/>
          </w:tcPr>
          <w:p>
            <w:pPr>
              <w:spacing w:after="40" w:before="0" w:line="259" w:lineRule="auto"/>
            </w:pPr>
            <w:r>
              <w:rPr>
                <w:rFonts w:ascii="Calibri" w:hAnsi="Calibri"/>
                <w:b w:val="0"/>
                <w:i w:val="0"/>
                <w:color w:val="212121"/>
                <w:sz w:val="16"/>
              </w:rPr>
              <w:t>Interocular difference; strong fixation preference</w:t>
            </w:r>
          </w:p>
        </w:tc>
        <w:tc>
          <w:tcPr>
            <w:tcW w:type="dxa" w:w="1036"/>
            <w:vAlign w:val="top"/>
          </w:tcPr>
          <w:p>
            <w:pPr>
              <w:spacing w:after="40" w:before="0" w:line="259" w:lineRule="auto"/>
            </w:pPr>
            <w:r>
              <w:rPr>
                <w:rFonts w:ascii="Calibri" w:hAnsi="Calibri"/>
                <w:b w:val="0"/>
                <w:i w:val="0"/>
                <w:color w:val="212121"/>
                <w:sz w:val="16"/>
              </w:rPr>
              <w:t>Detects strabismic amblyopia requiring urgent occlusion therapy</w:t>
            </w:r>
          </w:p>
        </w:tc>
        <w:tc>
          <w:tcPr>
            <w:tcW w:type="dxa" w:w="1036"/>
            <w:vAlign w:val="top"/>
          </w:tcPr>
          <w:p>
            <w:pPr>
              <w:spacing w:after="40" w:before="0" w:line="259" w:lineRule="auto"/>
            </w:pPr>
            <w:r>
              <w:rPr>
                <w:rFonts w:ascii="Calibri" w:hAnsi="Calibri"/>
                <w:b w:val="0"/>
                <w:i w:val="0"/>
                <w:color w:val="212121"/>
                <w:sz w:val="16"/>
              </w:rPr>
              <w:t>Children in amblyogenic period</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Essential</w:t>
            </w:r>
          </w:p>
        </w:tc>
        <w:tc>
          <w:tcPr>
            <w:tcW w:type="dxa" w:w="720"/>
            <w:vAlign w:val="top"/>
          </w:tcPr>
          <w:p>
            <w:pPr>
              <w:spacing w:after="40" w:before="0" w:line="259" w:lineRule="auto"/>
            </w:pPr>
            <w:r>
              <w:rPr>
                <w:rFonts w:ascii="Calibri" w:hAnsi="Calibri"/>
                <w:b w:val="0"/>
                <w:i w:val="0"/>
                <w:color w:val="212121"/>
                <w:sz w:val="16"/>
              </w:rPr>
              <w:t>Use Teller/Cardiff cards or matching tests in preverbal children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Fundus &amp; anterior segment</w:t>
            </w:r>
          </w:p>
        </w:tc>
        <w:tc>
          <w:tcPr>
            <w:tcW w:type="dxa" w:w="950"/>
            <w:vAlign w:val="top"/>
          </w:tcPr>
          <w:p>
            <w:pPr>
              <w:spacing w:after="40" w:before="0" w:line="259" w:lineRule="auto"/>
            </w:pPr>
            <w:r>
              <w:rPr>
                <w:rFonts w:ascii="Calibri" w:hAnsi="Calibri"/>
                <w:b w:val="0"/>
                <w:i w:val="0"/>
                <w:color w:val="212121"/>
                <w:sz w:val="16"/>
              </w:rPr>
              <w:t>Dilated fundoscopy</w:t>
            </w:r>
          </w:p>
        </w:tc>
        <w:tc>
          <w:tcPr>
            <w:tcW w:type="dxa" w:w="979"/>
            <w:vAlign w:val="top"/>
          </w:tcPr>
          <w:p>
            <w:pPr>
              <w:spacing w:after="40" w:before="0" w:line="259" w:lineRule="auto"/>
            </w:pPr>
            <w:r>
              <w:rPr>
                <w:rFonts w:ascii="Calibri" w:hAnsi="Calibri"/>
                <w:b w:val="0"/>
                <w:i w:val="0"/>
                <w:color w:val="212121"/>
                <w:sz w:val="16"/>
              </w:rPr>
              <w:t>Media, retina, optic nerve, fovea</w:t>
            </w:r>
          </w:p>
        </w:tc>
        <w:tc>
          <w:tcPr>
            <w:tcW w:type="dxa" w:w="950"/>
            <w:vAlign w:val="top"/>
          </w:tcPr>
          <w:p>
            <w:pPr>
              <w:spacing w:after="40" w:before="0" w:line="259" w:lineRule="auto"/>
            </w:pPr>
            <w:r>
              <w:rPr>
                <w:rFonts w:ascii="Calibri" w:hAnsi="Calibri"/>
                <w:b w:val="0"/>
                <w:i w:val="0"/>
                <w:color w:val="212121"/>
                <w:sz w:val="16"/>
              </w:rPr>
              <w:t>Clear media, normal fundus</w:t>
            </w:r>
          </w:p>
        </w:tc>
        <w:tc>
          <w:tcPr>
            <w:tcW w:type="dxa" w:w="950"/>
            <w:vAlign w:val="top"/>
          </w:tcPr>
          <w:p>
            <w:pPr>
              <w:spacing w:after="40" w:before="0" w:line="259" w:lineRule="auto"/>
            </w:pPr>
            <w:r>
              <w:rPr>
                <w:rFonts w:ascii="Calibri" w:hAnsi="Calibri"/>
                <w:b w:val="0"/>
                <w:i w:val="0"/>
                <w:color w:val="212121"/>
                <w:sz w:val="16"/>
              </w:rPr>
              <w:t>Cataract, corneal opacity, retinoblastoma, optic atrophy, macular lesion</w:t>
            </w:r>
          </w:p>
        </w:tc>
        <w:tc>
          <w:tcPr>
            <w:tcW w:type="dxa" w:w="1036"/>
            <w:vAlign w:val="top"/>
          </w:tcPr>
          <w:p>
            <w:pPr>
              <w:spacing w:after="40" w:before="0" w:line="259" w:lineRule="auto"/>
            </w:pPr>
            <w:r>
              <w:rPr>
                <w:rFonts w:ascii="Calibri" w:hAnsi="Calibri"/>
                <w:b w:val="0"/>
                <w:i w:val="0"/>
                <w:color w:val="212121"/>
                <w:sz w:val="16"/>
              </w:rPr>
              <w:t>Excludes a sensory (organic) cause of strabismus, including sight- and life-threatening retinoblastoma</w:t>
            </w:r>
          </w:p>
        </w:tc>
        <w:tc>
          <w:tcPr>
            <w:tcW w:type="dxa" w:w="1036"/>
            <w:vAlign w:val="top"/>
          </w:tcPr>
          <w:p>
            <w:pPr>
              <w:spacing w:after="40" w:before="0" w:line="259" w:lineRule="auto"/>
            </w:pPr>
            <w:r>
              <w:rPr>
                <w:rFonts w:ascii="Calibri" w:hAnsi="Calibri"/>
                <w:b w:val="0"/>
                <w:i w:val="0"/>
                <w:color w:val="212121"/>
                <w:sz w:val="16"/>
              </w:rPr>
              <w:t>Any child with new strabismus, leukocoria</w:t>
            </w:r>
          </w:p>
        </w:tc>
        <w:tc>
          <w:tcPr>
            <w:tcW w:type="dxa" w:w="720"/>
            <w:vAlign w:val="top"/>
          </w:tcPr>
          <w:p>
            <w:pPr>
              <w:spacing w:after="40" w:before="0" w:line="259" w:lineRule="auto"/>
            </w:pPr>
            <w:r>
              <w:rPr>
                <w:rFonts w:ascii="Calibri" w:hAnsi="Calibri"/>
                <w:b w:val="0"/>
                <w:i w:val="0"/>
                <w:color w:val="212121"/>
                <w:sz w:val="16"/>
              </w:rPr>
              <w:t>Food (vitamin A)</w:t>
            </w:r>
          </w:p>
        </w:tc>
        <w:tc>
          <w:tcPr>
            <w:tcW w:type="dxa" w:w="720"/>
            <w:vAlign w:val="top"/>
          </w:tcPr>
          <w:p>
            <w:pPr>
              <w:spacing w:after="40" w:before="0" w:line="259" w:lineRule="auto"/>
            </w:pPr>
            <w:r>
              <w:rPr>
                <w:rFonts w:ascii="Calibri" w:hAnsi="Calibri"/>
                <w:b w:val="0"/>
                <w:i w:val="0"/>
                <w:color w:val="212121"/>
                <w:sz w:val="16"/>
              </w:rPr>
              <w:t>Critical (must exclude retinoblastoma)</w:t>
            </w:r>
          </w:p>
        </w:tc>
        <w:tc>
          <w:tcPr>
            <w:tcW w:type="dxa" w:w="720"/>
            <w:vAlign w:val="top"/>
          </w:tcPr>
          <w:p>
            <w:pPr>
              <w:spacing w:after="40" w:before="0" w:line="259" w:lineRule="auto"/>
            </w:pPr>
            <w:r>
              <w:rPr>
                <w:rFonts w:ascii="Calibri" w:hAnsi="Calibri"/>
                <w:b w:val="0"/>
                <w:i w:val="0"/>
                <w:color w:val="212121"/>
                <w:sz w:val="16"/>
              </w:rPr>
              <w:t>Leukocoria with squint mandates urgent referral</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Visible misalignment of the eyes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One eye turns in, out, up or down; often first noticed by parents or in photographs, and may be constant or intermittent.</w:t>
            </w:r>
          </w:p>
        </w:tc>
      </w:tr>
      <w:tr>
        <w:trPr>
          <w:cantSplit/>
        </w:trPr>
        <w:tc>
          <w:tcPr>
            <w:tcW w:type="dxa" w:w="2304"/>
            <w:vAlign w:val="top"/>
          </w:tcPr>
          <w:p>
            <w:pPr>
              <w:spacing w:after="40" w:before="0" w:line="259" w:lineRule="auto"/>
            </w:pPr>
            <w:r>
              <w:rPr>
                <w:rFonts w:ascii="Calibri" w:hAnsi="Calibri"/>
                <w:b/>
                <w:i w:val="0"/>
                <w:color w:val="212121"/>
                <w:sz w:val="19"/>
              </w:rPr>
              <w:t>Double vision (diplopia)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Typical of acquired/adult strabismus, where the mature brain cannot suppress the second image; usually absent in long-standing childhood squint due to suppression.</w:t>
            </w:r>
          </w:p>
        </w:tc>
      </w:tr>
      <w:tr>
        <w:trPr>
          <w:cantSplit/>
        </w:trPr>
        <w:tc>
          <w:tcPr>
            <w:tcW w:type="dxa" w:w="2304"/>
            <w:vAlign w:val="top"/>
          </w:tcPr>
          <w:p>
            <w:pPr>
              <w:spacing w:after="40" w:before="0" w:line="259" w:lineRule="auto"/>
            </w:pPr>
            <w:r>
              <w:rPr>
                <w:rFonts w:ascii="Calibri" w:hAnsi="Calibri"/>
                <w:b/>
                <w:i w:val="0"/>
                <w:color w:val="212121"/>
                <w:sz w:val="19"/>
              </w:rPr>
              <w:t>Eye strain / asthenopia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Aching, tired eyes on sustained near work as the patient exerts fusional effort to control an intermittent or latent deviation.</w:t>
            </w:r>
          </w:p>
        </w:tc>
      </w:tr>
      <w:tr>
        <w:trPr>
          <w:cantSplit/>
        </w:trPr>
        <w:tc>
          <w:tcPr>
            <w:tcW w:type="dxa" w:w="2304"/>
            <w:vAlign w:val="top"/>
          </w:tcPr>
          <w:p>
            <w:pPr>
              <w:spacing w:after="40" w:before="0" w:line="259" w:lineRule="auto"/>
            </w:pPr>
            <w:r>
              <w:rPr>
                <w:rFonts w:ascii="Calibri" w:hAnsi="Calibri"/>
                <w:b/>
                <w:i w:val="0"/>
                <w:color w:val="212121"/>
                <w:sz w:val="19"/>
              </w:rPr>
              <w:t>Headache with near tasks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Related to sustained convergence/fusional effort, especially in decompensating phorias and convergence problems.</w:t>
            </w:r>
          </w:p>
        </w:tc>
      </w:tr>
      <w:tr>
        <w:trPr>
          <w:cantSplit/>
        </w:trPr>
        <w:tc>
          <w:tcPr>
            <w:tcW w:type="dxa" w:w="2304"/>
            <w:vAlign w:val="top"/>
          </w:tcPr>
          <w:p>
            <w:pPr>
              <w:spacing w:after="40" w:before="0" w:line="259" w:lineRule="auto"/>
            </w:pPr>
            <w:r>
              <w:rPr>
                <w:rFonts w:ascii="Calibri" w:hAnsi="Calibri"/>
                <w:b/>
                <w:i w:val="0"/>
                <w:color w:val="212121"/>
                <w:sz w:val="19"/>
              </w:rPr>
              <w:t>Closing or covering one eye in bright light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Classic for intermittent exotropia; the child shuts one eye outdoors to avoid diplopia or confusion when the deviation manifests.</w:t>
            </w:r>
          </w:p>
        </w:tc>
      </w:tr>
      <w:tr>
        <w:trPr>
          <w:cantSplit/>
        </w:trPr>
        <w:tc>
          <w:tcPr>
            <w:tcW w:type="dxa" w:w="2304"/>
            <w:vAlign w:val="top"/>
          </w:tcPr>
          <w:p>
            <w:pPr>
              <w:spacing w:after="40" w:before="0" w:line="259" w:lineRule="auto"/>
            </w:pPr>
            <w:r>
              <w:rPr>
                <w:rFonts w:ascii="Calibri" w:hAnsi="Calibri"/>
                <w:b/>
                <w:i w:val="0"/>
                <w:color w:val="212121"/>
                <w:sz w:val="19"/>
              </w:rPr>
              <w:t>Squinting or frowning to see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Screwing up the eyes, often reflecting associated uncorrected refractive error.</w:t>
            </w:r>
          </w:p>
        </w:tc>
      </w:tr>
      <w:tr>
        <w:trPr>
          <w:cantSplit/>
        </w:trPr>
        <w:tc>
          <w:tcPr>
            <w:tcW w:type="dxa" w:w="2304"/>
            <w:vAlign w:val="top"/>
          </w:tcPr>
          <w:p>
            <w:pPr>
              <w:spacing w:after="40" w:before="0" w:line="259" w:lineRule="auto"/>
            </w:pPr>
            <w:r>
              <w:rPr>
                <w:rFonts w:ascii="Calibri" w:hAnsi="Calibri"/>
                <w:b/>
                <w:i w:val="0"/>
                <w:color w:val="212121"/>
                <w:sz w:val="19"/>
              </w:rPr>
              <w:t>Poor depth perception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Loss of stereopsis causes clumsiness with steps, catching balls, threading and other depth-dependent tasks.</w:t>
            </w:r>
          </w:p>
        </w:tc>
      </w:tr>
      <w:tr>
        <w:trPr>
          <w:cantSplit/>
        </w:trPr>
        <w:tc>
          <w:tcPr>
            <w:tcW w:type="dxa" w:w="2304"/>
            <w:vAlign w:val="top"/>
          </w:tcPr>
          <w:p>
            <w:pPr>
              <w:spacing w:after="40" w:before="0" w:line="259" w:lineRule="auto"/>
            </w:pPr>
            <w:r>
              <w:rPr>
                <w:rFonts w:ascii="Calibri" w:hAnsi="Calibri"/>
                <w:b/>
                <w:i w:val="0"/>
                <w:color w:val="212121"/>
                <w:sz w:val="19"/>
              </w:rPr>
              <w:t>Abnormal head posture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Face turn, head tilt or chin elevation/depression adopted to fuse images or use the field of least deviation in incomitant squint.</w:t>
            </w:r>
          </w:p>
        </w:tc>
      </w:tr>
      <w:tr>
        <w:trPr>
          <w:cantSplit/>
        </w:trPr>
        <w:tc>
          <w:tcPr>
            <w:tcW w:type="dxa" w:w="2304"/>
            <w:vAlign w:val="top"/>
          </w:tcPr>
          <w:p>
            <w:pPr>
              <w:spacing w:after="40" w:before="0" w:line="259" w:lineRule="auto"/>
            </w:pPr>
            <w:r>
              <w:rPr>
                <w:rFonts w:ascii="Calibri" w:hAnsi="Calibri"/>
                <w:b/>
                <w:i w:val="0"/>
                <w:color w:val="212121"/>
                <w:sz w:val="19"/>
              </w:rPr>
              <w:t>Difficulty with reading and concentration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Words may blur, run together or double, reducing reading stamina and school performance.</w:t>
            </w:r>
          </w:p>
        </w:tc>
      </w:tr>
      <w:tr>
        <w:trPr>
          <w:cantSplit/>
        </w:trPr>
        <w:tc>
          <w:tcPr>
            <w:tcW w:type="dxa" w:w="2304"/>
            <w:vAlign w:val="top"/>
          </w:tcPr>
          <w:p>
            <w:pPr>
              <w:spacing w:after="40" w:before="0" w:line="259" w:lineRule="auto"/>
            </w:pPr>
            <w:r>
              <w:rPr>
                <w:rFonts w:ascii="Calibri" w:hAnsi="Calibri"/>
                <w:b/>
                <w:i w:val="0"/>
                <w:color w:val="212121"/>
                <w:sz w:val="19"/>
              </w:rPr>
              <w:t>Transient blurring of vision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Intermittent blur as the eyes drift and fusion is temporarily lost, especially when tired or unwell.</w:t>
            </w:r>
          </w:p>
        </w:tc>
      </w:tr>
      <w:tr>
        <w:trPr>
          <w:cantSplit/>
        </w:trPr>
        <w:tc>
          <w:tcPr>
            <w:tcW w:type="dxa" w:w="2304"/>
            <w:vAlign w:val="top"/>
          </w:tcPr>
          <w:p>
            <w:pPr>
              <w:spacing w:after="40" w:before="0" w:line="259" w:lineRule="auto"/>
            </w:pPr>
            <w:r>
              <w:rPr>
                <w:rFonts w:ascii="Calibri" w:hAnsi="Calibri"/>
                <w:b/>
                <w:i w:val="0"/>
                <w:color w:val="212121"/>
                <w:sz w:val="19"/>
              </w:rPr>
              <w:t>Social self-consciousness and avoidance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Awareness of the visible squint, more pronounced in older children and adults, leading to avoidance of eye contact and social situations.</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Asymmetric corneal light reflex (positive Hirschberg)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Reflected light is off-centre in the deviating eye, giving an estimate of the angle and direction of squint.</w:t>
            </w:r>
          </w:p>
        </w:tc>
      </w:tr>
      <w:tr>
        <w:trPr>
          <w:cantSplit/>
        </w:trPr>
        <w:tc>
          <w:tcPr>
            <w:tcW w:type="dxa" w:w="3456"/>
            <w:vAlign w:val="top"/>
          </w:tcPr>
          <w:p>
            <w:pPr>
              <w:spacing w:after="40" w:before="0" w:line="259" w:lineRule="auto"/>
            </w:pPr>
            <w:r>
              <w:rPr>
                <w:rFonts w:ascii="Calibri" w:hAnsi="Calibri"/>
                <w:b/>
                <w:i w:val="0"/>
                <w:color w:val="212121"/>
                <w:sz w:val="19"/>
              </w:rPr>
              <w:t>Positive cover-uncover / alternate cover test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Refixation movement of an eye on covering the fellow eye confirms a manifest tropia and identifies the deviating eye.</w:t>
            </w:r>
          </w:p>
        </w:tc>
      </w:tr>
      <w:tr>
        <w:trPr>
          <w:cantSplit/>
        </w:trPr>
        <w:tc>
          <w:tcPr>
            <w:tcW w:type="dxa" w:w="3456"/>
            <w:vAlign w:val="top"/>
          </w:tcPr>
          <w:p>
            <w:pPr>
              <w:spacing w:after="40" w:before="0" w:line="259" w:lineRule="auto"/>
            </w:pPr>
            <w:r>
              <w:rPr>
                <w:rFonts w:ascii="Calibri" w:hAnsi="Calibri"/>
                <w:b/>
                <w:i w:val="0"/>
                <w:color w:val="212121"/>
                <w:sz w:val="19"/>
              </w:rPr>
              <w:t>Manifest ocular deviation (eso-, exo-, hyper-, hypotropia)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Observable inward, outward or vertical turn of one eye under binocular viewing.</w:t>
            </w:r>
          </w:p>
        </w:tc>
      </w:tr>
      <w:tr>
        <w:trPr>
          <w:cantSplit/>
        </w:trPr>
        <w:tc>
          <w:tcPr>
            <w:tcW w:type="dxa" w:w="3456"/>
            <w:vAlign w:val="top"/>
          </w:tcPr>
          <w:p>
            <w:pPr>
              <w:spacing w:after="40" w:before="0" w:line="259" w:lineRule="auto"/>
            </w:pPr>
            <w:r>
              <w:rPr>
                <w:rFonts w:ascii="Calibri" w:hAnsi="Calibri"/>
                <w:b/>
                <w:i w:val="0"/>
                <w:color w:val="212121"/>
                <w:sz w:val="19"/>
              </w:rPr>
              <w:t>Amblyopia (reduced acuity / fixation preference)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Best-corrected acuity is lower in the constantly deviating eye, or the child strongly resists occlusion of the preferred eye.</w:t>
            </w:r>
          </w:p>
        </w:tc>
      </w:tr>
      <w:tr>
        <w:trPr>
          <w:cantSplit/>
        </w:trPr>
        <w:tc>
          <w:tcPr>
            <w:tcW w:type="dxa" w:w="3456"/>
            <w:vAlign w:val="top"/>
          </w:tcPr>
          <w:p>
            <w:pPr>
              <w:spacing w:after="40" w:before="0" w:line="259" w:lineRule="auto"/>
            </w:pPr>
            <w:r>
              <w:rPr>
                <w:rFonts w:ascii="Calibri" w:hAnsi="Calibri"/>
                <w:b/>
                <w:i w:val="0"/>
                <w:color w:val="212121"/>
                <w:sz w:val="19"/>
              </w:rPr>
              <w:t>Reduced or absent stereopsis / suppression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Loss of fine stereoacuity and suppression scotoma of the deviating eye on sensory testing.</w:t>
            </w:r>
          </w:p>
        </w:tc>
      </w:tr>
      <w:tr>
        <w:trPr>
          <w:cantSplit/>
        </w:trPr>
        <w:tc>
          <w:tcPr>
            <w:tcW w:type="dxa" w:w="3456"/>
            <w:vAlign w:val="top"/>
          </w:tcPr>
          <w:p>
            <w:pPr>
              <w:spacing w:after="40" w:before="0" w:line="259" w:lineRule="auto"/>
            </w:pPr>
            <w:r>
              <w:rPr>
                <w:rFonts w:ascii="Calibri" w:hAnsi="Calibri"/>
                <w:b/>
                <w:i w:val="0"/>
                <w:color w:val="212121"/>
                <w:sz w:val="19"/>
              </w:rPr>
              <w:t>Compensatory abnormal head posture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Face turn, head tilt or chin position to maintain binocular single vision, characteristic of paralytic strabismus (e.g. superior oblique palsy).</w:t>
            </w:r>
          </w:p>
        </w:tc>
      </w:tr>
      <w:tr>
        <w:trPr>
          <w:cantSplit/>
        </w:trPr>
        <w:tc>
          <w:tcPr>
            <w:tcW w:type="dxa" w:w="3456"/>
            <w:vAlign w:val="top"/>
          </w:tcPr>
          <w:p>
            <w:pPr>
              <w:spacing w:after="40" w:before="0" w:line="259" w:lineRule="auto"/>
            </w:pPr>
            <w:r>
              <w:rPr>
                <w:rFonts w:ascii="Calibri" w:hAnsi="Calibri"/>
                <w:b/>
                <w:i w:val="0"/>
                <w:color w:val="212121"/>
                <w:sz w:val="19"/>
              </w:rPr>
              <w:t>Limitation of ocular movement (incomitance)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Restricted ductions/overactions indicating cranial nerve palsy, restriction (thyroid, fracture) or Duane syndrome.</w:t>
            </w:r>
          </w:p>
        </w:tc>
      </w:tr>
      <w:tr>
        <w:trPr>
          <w:cantSplit/>
        </w:trPr>
        <w:tc>
          <w:tcPr>
            <w:tcW w:type="dxa" w:w="3456"/>
            <w:vAlign w:val="top"/>
          </w:tcPr>
          <w:p>
            <w:pPr>
              <w:spacing w:after="40" w:before="0" w:line="259" w:lineRule="auto"/>
            </w:pPr>
            <w:r>
              <w:rPr>
                <w:rFonts w:ascii="Calibri" w:hAnsi="Calibri"/>
                <w:b/>
                <w:i w:val="0"/>
                <w:color w:val="212121"/>
                <w:sz w:val="19"/>
              </w:rPr>
              <w:t>A- or V-pattern deviation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The horizontal angle changes between up- and down-gaze, often with oblique muscle dysfunction.</w:t>
            </w:r>
          </w:p>
        </w:tc>
      </w:tr>
      <w:tr>
        <w:trPr>
          <w:cantSplit/>
        </w:trPr>
        <w:tc>
          <w:tcPr>
            <w:tcW w:type="dxa" w:w="3456"/>
            <w:vAlign w:val="top"/>
          </w:tcPr>
          <w:p>
            <w:pPr>
              <w:spacing w:after="40" w:before="0" w:line="259" w:lineRule="auto"/>
            </w:pPr>
            <w:r>
              <w:rPr>
                <w:rFonts w:ascii="Calibri" w:hAnsi="Calibri"/>
                <w:b/>
                <w:i w:val="0"/>
                <w:color w:val="212121"/>
                <w:sz w:val="19"/>
              </w:rPr>
              <w:t>Leukocoria / organic ocular pathology</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A white pupillary reflex with squint is a red flag for cataract or retinoblastoma causing sensory strabismus and requires urgent referral.</w:t>
            </w:r>
          </w:p>
        </w:tc>
      </w:tr>
      <w:tr>
        <w:trPr>
          <w:cantSplit/>
        </w:trPr>
        <w:tc>
          <w:tcPr>
            <w:tcW w:type="dxa" w:w="3456"/>
            <w:vAlign w:val="top"/>
          </w:tcPr>
          <w:p>
            <w:pPr>
              <w:spacing w:after="40" w:before="0" w:line="259" w:lineRule="auto"/>
            </w:pPr>
            <w:r>
              <w:rPr>
                <w:rFonts w:ascii="Calibri" w:hAnsi="Calibri"/>
                <w:b/>
                <w:i w:val="0"/>
                <w:color w:val="212121"/>
                <w:sz w:val="19"/>
              </w:rPr>
              <w:t>Nystagmus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May accompany infantile esotropia (latent nystagmus) or sensory deprivation, and is common after treated retinopathy of prematurity.</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Strabismic amblyopia (irreversible if untreated past the critical period)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Loss of binocular single vision and stereopsis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Suppression of the deviating eye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Diplopia and visual confusion (in acquired/adult strabismus)</w:t>
            </w:r>
          </w:p>
        </w:tc>
        <w:tc>
          <w:tcPr>
            <w:tcW w:type="dxa" w:w="2980"/>
            <w:vAlign w:val="top"/>
          </w:tcPr>
          <w:p>
            <w:pPr>
              <w:spacing w:after="40" w:before="0" w:line="259" w:lineRule="auto"/>
            </w:pPr>
            <w:r>
              <w:rPr>
                <w:rFonts w:ascii="Calibri" w:hAnsi="Calibri"/>
                <w:b w:val="0"/>
                <w:i w:val="0"/>
                <w:color w:val="212121"/>
                <w:sz w:val="19"/>
              </w:rPr>
              <w:t>Direct sensory and binocular consequences of persistent ocular misalignment during and after visual maturation.</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Abnormal compensatory head posture with neck/musculoskeletal strain (paralytic squint)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Reading, learning and concentration difficulties from unstable single vision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Impaired hand-eye coordination and depth-dependent task performance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Contracture of yoke/antagonist muscles and secondary deviations over time</w:t>
            </w:r>
          </w:p>
        </w:tc>
        <w:tc>
          <w:tcPr>
            <w:tcW w:type="dxa" w:w="2980"/>
            <w:vAlign w:val="top"/>
          </w:tcPr>
          <w:p>
            <w:pPr>
              <w:spacing w:after="40" w:before="0" w:line="259" w:lineRule="auto"/>
            </w:pPr>
            <w:r>
              <w:rPr>
                <w:rFonts w:ascii="Calibri" w:hAnsi="Calibri"/>
                <w:b w:val="0"/>
                <w:i w:val="0"/>
                <w:color w:val="212121"/>
                <w:sz w:val="19"/>
              </w:rPr>
              <w:t>Functional and adaptive problems arising from the primary misalignment and its compensations.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Permanent uniocular visual impairment from untreated amblyopia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Significant psychosocial morbidity: low self-esteem, social anxiety/phobia and depression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Reduced educational, employment and (in the Indian context) marriage prospects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Consecutive/recurrent deviation or persistent diplopia after surgery requiring reoperation</w:t>
            </w:r>
          </w:p>
        </w:tc>
        <w:tc>
          <w:tcPr>
            <w:tcW w:type="dxa" w:w="2980"/>
            <w:vAlign w:val="top"/>
          </w:tcPr>
          <w:p>
            <w:pPr>
              <w:spacing w:after="40" w:before="0" w:line="259" w:lineRule="auto"/>
            </w:pPr>
            <w:r>
              <w:rPr>
                <w:rFonts w:ascii="Calibri" w:hAnsi="Calibri"/>
                <w:b w:val="0"/>
                <w:i w:val="0"/>
                <w:color w:val="212121"/>
                <w:sz w:val="19"/>
              </w:rPr>
              <w:t>Long-term, often irreversible, disabling outcomes of longstanding or inadequately treated strabismus.</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Amblyopia (lazy eye)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The commonest and most important complication; constant strabismus during the critical period suppresses the deviating eye and reduces its acuity, becoming irreversible if untreated in early childhood.</w:t>
            </w:r>
          </w:p>
          <w:p>
            <w:pPr>
              <w:spacing w:after="40" w:before="0" w:line="259" w:lineRule="auto"/>
            </w:pPr>
            <w:r>
              <w:rPr>
                <w:rFonts w:ascii="Calibri" w:hAnsi="Calibri"/>
                <w:b/>
                <w:i w:val="0"/>
                <w:color w:val="212121"/>
                <w:sz w:val="19"/>
              </w:rPr>
              <w:t>Up to 28%</w:t>
            </w:r>
          </w:p>
        </w:tc>
      </w:tr>
      <w:tr>
        <w:trPr>
          <w:cantSplit/>
        </w:trPr>
        <w:tc>
          <w:tcPr>
            <w:tcW w:type="dxa" w:w="2232"/>
            <w:vAlign w:val="top"/>
          </w:tcPr>
          <w:p>
            <w:pPr>
              <w:spacing w:after="40" w:before="0" w:line="259" w:lineRule="auto"/>
            </w:pPr>
            <w:r>
              <w:rPr>
                <w:rFonts w:ascii="Calibri" w:hAnsi="Calibri"/>
                <w:b/>
                <w:i w:val="0"/>
                <w:color w:val="212121"/>
                <w:sz w:val="19"/>
              </w:rPr>
              <w:t>Refractive error (hypermetropia, myopia, anisometropia)</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Uncorrected hypermetropia drives accommodative esotropia while myopia is linked to exotropia; refractive correction is often the first and sometimes definitive treatment.</w:t>
            </w:r>
          </w:p>
          <w:p>
            <w:pPr>
              <w:spacing w:after="40" w:before="0" w:line="259" w:lineRule="auto"/>
            </w:pPr>
            <w:r>
              <w:rPr>
                <w:rFonts w:ascii="Calibri" w:hAnsi="Calibri"/>
                <w:b/>
                <w:i w:val="0"/>
                <w:color w:val="212121"/>
                <w:sz w:val="19"/>
              </w:rPr>
              <w:t>Up to 64%</w:t>
            </w:r>
          </w:p>
        </w:tc>
      </w:tr>
      <w:tr>
        <w:trPr>
          <w:cantSplit/>
        </w:trPr>
        <w:tc>
          <w:tcPr>
            <w:tcW w:type="dxa" w:w="2232"/>
            <w:vAlign w:val="top"/>
          </w:tcPr>
          <w:p>
            <w:pPr>
              <w:spacing w:after="40" w:before="0" w:line="259" w:lineRule="auto"/>
            </w:pPr>
            <w:r>
              <w:rPr>
                <w:rFonts w:ascii="Calibri" w:hAnsi="Calibri"/>
                <w:b/>
                <w:i w:val="0"/>
                <w:color w:val="212121"/>
                <w:sz w:val="19"/>
              </w:rPr>
              <w:t>Retinopathy of prematurity / prematurity</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Prematurity, low birth weight and treated ROP (with macular ectopia) sharply increase strabismus risk through immature and disrupted foveal/fusional development.</w:t>
            </w:r>
          </w:p>
          <w:p>
            <w:pPr>
              <w:spacing w:after="40" w:before="0" w:line="259" w:lineRule="auto"/>
            </w:pPr>
            <w:r>
              <w:rPr>
                <w:rFonts w:ascii="Calibri" w:hAnsi="Calibri"/>
                <w:b/>
                <w:i w:val="0"/>
                <w:color w:val="212121"/>
                <w:sz w:val="19"/>
              </w:rPr>
              <w:t>Up to 68%</w:t>
            </w:r>
          </w:p>
        </w:tc>
      </w:tr>
      <w:tr>
        <w:trPr>
          <w:cantSplit/>
        </w:trPr>
        <w:tc>
          <w:tcPr>
            <w:tcW w:type="dxa" w:w="2232"/>
            <w:vAlign w:val="top"/>
          </w:tcPr>
          <w:p>
            <w:pPr>
              <w:spacing w:after="40" w:before="0" w:line="259" w:lineRule="auto"/>
            </w:pPr>
            <w:r>
              <w:rPr>
                <w:rFonts w:ascii="Calibri" w:hAnsi="Calibri"/>
                <w:b/>
                <w:i w:val="0"/>
                <w:color w:val="212121"/>
                <w:sz w:val="19"/>
              </w:rPr>
              <w:t>Down syndrome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Chromosomal syndrome with high rates of esotropia, refractive error and amblyopia; alignment surgery and refraction are integral to care.</w:t>
            </w:r>
          </w:p>
          <w:p>
            <w:pPr>
              <w:spacing w:after="40" w:before="0" w:line="259" w:lineRule="auto"/>
            </w:pPr>
            <w:r>
              <w:rPr>
                <w:rFonts w:ascii="Calibri" w:hAnsi="Calibri"/>
                <w:b/>
                <w:i w:val="0"/>
                <w:color w:val="212121"/>
                <w:sz w:val="19"/>
              </w:rPr>
              <w:t>~33%</w:t>
            </w:r>
          </w:p>
        </w:tc>
      </w:tr>
      <w:tr>
        <w:trPr>
          <w:cantSplit/>
        </w:trPr>
        <w:tc>
          <w:tcPr>
            <w:tcW w:type="dxa" w:w="2232"/>
            <w:vAlign w:val="top"/>
          </w:tcPr>
          <w:p>
            <w:pPr>
              <w:spacing w:after="40" w:before="0" w:line="259" w:lineRule="auto"/>
            </w:pPr>
            <w:r>
              <w:rPr>
                <w:rFonts w:ascii="Calibri" w:hAnsi="Calibri"/>
                <w:b/>
                <w:i w:val="0"/>
                <w:color w:val="212121"/>
                <w:sz w:val="19"/>
              </w:rPr>
              <w:t>Autism spectrum disorder / neurodevelopmental delay</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Central visual-processing and oculomotor control deficits raise strabismus prevalence and complicate examination and compliance with therapy.</w:t>
            </w:r>
          </w:p>
          <w:p>
            <w:pPr>
              <w:spacing w:after="40" w:before="0" w:line="259" w:lineRule="auto"/>
            </w:pPr>
            <w:r>
              <w:rPr>
                <w:rFonts w:ascii="Calibri" w:hAnsi="Calibri"/>
                <w:b/>
                <w:i w:val="0"/>
                <w:color w:val="212121"/>
                <w:sz w:val="19"/>
              </w:rPr>
              <w:t>~8-22%</w:t>
            </w:r>
          </w:p>
        </w:tc>
      </w:tr>
      <w:tr>
        <w:trPr>
          <w:cantSplit/>
        </w:trPr>
        <w:tc>
          <w:tcPr>
            <w:tcW w:type="dxa" w:w="2232"/>
            <w:vAlign w:val="top"/>
          </w:tcPr>
          <w:p>
            <w:pPr>
              <w:spacing w:after="40" w:before="0" w:line="259" w:lineRule="auto"/>
            </w:pPr>
            <w:r>
              <w:rPr>
                <w:rFonts w:ascii="Calibri" w:hAnsi="Calibri"/>
                <w:b/>
                <w:i w:val="0"/>
                <w:color w:val="212121"/>
                <w:sz w:val="19"/>
              </w:rPr>
              <w:t>Cerebral palsy</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Disordered central motor control frequently causes comitant and incomitant strabismus alongside refractive error and cortical visual impairment.</w:t>
            </w:r>
          </w:p>
        </w:tc>
      </w:tr>
      <w:tr>
        <w:trPr>
          <w:cantSplit/>
        </w:trPr>
        <w:tc>
          <w:tcPr>
            <w:tcW w:type="dxa" w:w="2232"/>
            <w:vAlign w:val="top"/>
          </w:tcPr>
          <w:p>
            <w:pPr>
              <w:spacing w:after="40" w:before="0" w:line="259" w:lineRule="auto"/>
            </w:pPr>
            <w:r>
              <w:rPr>
                <w:rFonts w:ascii="Calibri" w:hAnsi="Calibri"/>
                <w:b/>
                <w:i w:val="0"/>
                <w:color w:val="212121"/>
                <w:sz w:val="19"/>
              </w:rPr>
              <w:t>Thyroid eye disease (Graves orbitopathy)</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Fibrosis and enlargement of extraocular muscles cause restrictive, incomitant adult strabismus and diplopia; smoking worsens it and treatment sequencing affects surgical outcomes.</w:t>
            </w:r>
          </w:p>
        </w:tc>
      </w:tr>
      <w:tr>
        <w:trPr>
          <w:cantSplit/>
        </w:trPr>
        <w:tc>
          <w:tcPr>
            <w:tcW w:type="dxa" w:w="2232"/>
            <w:vAlign w:val="top"/>
          </w:tcPr>
          <w:p>
            <w:pPr>
              <w:spacing w:after="40" w:before="0" w:line="259" w:lineRule="auto"/>
            </w:pPr>
            <w:r>
              <w:rPr>
                <w:rFonts w:ascii="Calibri" w:hAnsi="Calibri"/>
                <w:b/>
                <w:i w:val="0"/>
                <w:color w:val="212121"/>
                <w:sz w:val="19"/>
              </w:rPr>
              <w:t>Diabetes mellitus / microvascular cranial nerve palsy</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Ischaemic third, fourth or sixth nerve palsies from diabetes and hypertension are a leading cause of sudden, painful adult diplopia and incomitant strabismus, usually self-resolving over weeks to months.</w:t>
            </w:r>
          </w:p>
        </w:tc>
      </w:tr>
      <w:tr>
        <w:trPr>
          <w:cantSplit/>
        </w:trPr>
        <w:tc>
          <w:tcPr>
            <w:tcW w:type="dxa" w:w="2232"/>
            <w:vAlign w:val="top"/>
          </w:tcPr>
          <w:p>
            <w:pPr>
              <w:spacing w:after="40" w:before="0" w:line="259" w:lineRule="auto"/>
            </w:pPr>
            <w:r>
              <w:rPr>
                <w:rFonts w:ascii="Calibri" w:hAnsi="Calibri"/>
                <w:b/>
                <w:i w:val="0"/>
                <w:color w:val="212121"/>
                <w:sz w:val="19"/>
              </w:rPr>
              <w:t>Congenital cataract / corneal opacity (sensory deprivation)</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Any early unilateral media opacity, including vitamin A deficiency corneal scarring, degrades the retinal image and produces sensory strabismus; the underlying cause must be treated first.</w:t>
            </w:r>
          </w:p>
        </w:tc>
      </w:tr>
      <w:tr>
        <w:trPr>
          <w:cantSplit/>
        </w:trPr>
        <w:tc>
          <w:tcPr>
            <w:tcW w:type="dxa" w:w="2232"/>
            <w:vAlign w:val="top"/>
          </w:tcPr>
          <w:p>
            <w:pPr>
              <w:spacing w:after="40" w:before="0" w:line="259" w:lineRule="auto"/>
            </w:pPr>
            <w:r>
              <w:rPr>
                <w:rFonts w:ascii="Calibri" w:hAnsi="Calibri"/>
                <w:b/>
                <w:i w:val="0"/>
                <w:color w:val="212121"/>
                <w:sz w:val="19"/>
              </w:rPr>
              <w:t>Retinoblastoma / intraocular tumour</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Strabismus (with leukocoria) can be the presenting sign of this life-threatening childhood cancer, so new-onset squint mandates a dilated fundus examination.</w:t>
            </w:r>
          </w:p>
        </w:tc>
      </w:tr>
      <w:tr>
        <w:trPr>
          <w:cantSplit/>
        </w:trPr>
        <w:tc>
          <w:tcPr>
            <w:tcW w:type="dxa" w:w="2232"/>
            <w:vAlign w:val="top"/>
          </w:tcPr>
          <w:p>
            <w:pPr>
              <w:spacing w:after="40" w:before="0" w:line="259" w:lineRule="auto"/>
            </w:pPr>
            <w:r>
              <w:rPr>
                <w:rFonts w:ascii="Calibri" w:hAnsi="Calibri"/>
                <w:b/>
                <w:i w:val="0"/>
                <w:color w:val="212121"/>
                <w:sz w:val="19"/>
              </w:rPr>
              <w:t>Myasthenia gravis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Fluctuating, fatigable ocular misalignment and ptosis mimic and coexist with strabismus; it must be excluded before surgery as the deviation is variable.</w:t>
            </w:r>
          </w:p>
        </w:tc>
      </w:tr>
      <w:tr>
        <w:trPr>
          <w:cantSplit/>
        </w:trPr>
        <w:tc>
          <w:tcPr>
            <w:tcW w:type="dxa" w:w="2232"/>
            <w:vAlign w:val="top"/>
          </w:tcPr>
          <w:p>
            <w:pPr>
              <w:spacing w:after="40" w:before="0" w:line="259" w:lineRule="auto"/>
            </w:pPr>
            <w:r>
              <w:rPr>
                <w:rFonts w:ascii="Calibri" w:hAnsi="Calibri"/>
                <w:b/>
                <w:i w:val="0"/>
                <w:color w:val="212121"/>
                <w:sz w:val="19"/>
              </w:rPr>
              <w:t>Psychosocial morbidity (social anxiety, depression, low self-esteem)</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Visible squint carries a substantial and age-increasing psychosocial burden; in an Indian study up to ~75% of adults reported impaired relationships and ~96% reduced opportunities, an important indication for corrective surgery.</w:t>
            </w:r>
          </w:p>
          <w:p>
            <w:pPr>
              <w:spacing w:after="40" w:before="0" w:line="259" w:lineRule="auto"/>
            </w:pPr>
            <w:r>
              <w:rPr>
                <w:rFonts w:ascii="Calibri" w:hAnsi="Calibri"/>
                <w:b/>
                <w:i w:val="0"/>
                <w:color w:val="212121"/>
                <w:sz w:val="19"/>
              </w:rPr>
              <w:t>Up to 96%</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a childhood squint is never merely cosmetic; any eye that turns in, out, up or down beyond the newborn period needs prompt eye examination.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 first eye check by an ophthalmologist/optometrist by age 3-4 years, and earlier if there is a family history, prematurity or a syndrome such as Down syndrome.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the critical period: amblyopia is best treated before about 7-8 years of age, so do not 'wait for the child to grow out of it'.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squint associated with a white pupil (leukocoria) as an emergency, as it may signal cataract or retinoblastoma.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Complete the full spectacle correction and prescribed patching consistently, as poor compliance is the main cause of treatment failure.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regular follow-up even after glasses or surgery, because deviations and amblyopia can recur.</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of young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with a squint history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Preterm/Down-syndrome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Rural and low-awareness communities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Perform prescribed orthoptic/convergence exercises (e.g. pencil push-ups) for convergence insufficiency and to help control intermittent exotropia.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Apply the 20-20-20 rule during near work: every 20 minutes, look at something 20 feet away for 20 seconds.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at least 2 hours of outdoor play daily to slow myopia progression and reduce sustained near demand.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continuous screen sessions and hold devices at arm's length to reduce accommodative-convergence strain.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intermittent exotropia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Convergence insufficiency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screen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Myopic children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dietary vitamin A (green leafy vegetables, carrots, dairy, eggs) and complete government vitamin A prophylaxis to prevent corneal scarring and sensory strabismus.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good maternal antenatal nutrition to reduce prematurity and low birth weight, both strabismus risk factors.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childhood malnutrition promptly, as severe deficiency threatens the ocular surface and vision.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balanced, micronutrient-rich diet during early childhood, the period of visual development.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Undernourished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Rural low-income families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Under-5 children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age-appropriate, regular sleep, as fatigue can make an intermittent deviation manifest and worsen asthenopia.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late-night device use, which combines sleep loss with sustained near work.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Note and report if the squint appears mainly when the child is tired or unwell, which helps grade control.</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intermittent exotropia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evening screen users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all tobacco smoking during pregnancy, which is associated with increased strabismus in the child.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exposure for pregnant women and young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if you have thyroid eye disease, as tobacco strongly worsens its severity and the resulting restrictive squint.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smoking-cessation support as part of managing Graves orbitopathy.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Thyroid eye disease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Households with young children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entirely in pregnancy to prevent foetal alcohol spectrum disorder, which is associated with strabismus and other ocular anomalies.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Be aware that acute intoxication can transiently break fusional control and cause double vision.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heavy alcohol use, which compounds nutritional deficiency relevant to eye health.</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decompensating phoria</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Acknowledge the psychosocial impact of visible squint and diplopia, which increases with age and affects relationships, education and employment.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strabismus surgery to adults and older children as a reconstructive, not merely cosmetic, procedure that improves self-esteem, social function and quality of life.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address social anxiety, bullying and depression in children with visible squint, and involve school and family support.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counselling and realistic expectations before and after surgery, including the possibility of residual deviation or the need for reoperation.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strabismus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facing teasing/bullying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Post-operative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diplopia</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frontiersin.org/journals/ophthalmology/articles/10.3389/fopht.2023.1233866/full" TargetMode="External"/><Relationship Id="rId10" Type="http://schemas.openxmlformats.org/officeDocument/2006/relationships/hyperlink" Target="https://www.yalemedicine.org/conditions/adult-strabismus" TargetMode="External"/><Relationship Id="rId11" Type="http://schemas.openxmlformats.org/officeDocument/2006/relationships/hyperlink" Target="https://www.ncbi.nlm.nih.gov/books/NBK574514/" TargetMode="External"/><Relationship Id="rId12" Type="http://schemas.openxmlformats.org/officeDocument/2006/relationships/hyperlink" Target="https://www.medrxiv.org/content/10.64898/2025.12.23.25342942v1.full" TargetMode="External"/><Relationship Id="rId13" Type="http://schemas.openxmlformats.org/officeDocument/2006/relationships/hyperlink" Target="https://link.springer.com/article/10.1007/s10384-023-01023-5" TargetMode="External"/><Relationship Id="rId14" Type="http://schemas.openxmlformats.org/officeDocument/2006/relationships/hyperlink" Target="https://www.ncbi.nlm.nih.gov/books/NBK578185/" TargetMode="External"/><Relationship Id="rId15" Type="http://schemas.openxmlformats.org/officeDocument/2006/relationships/hyperlink" Target="https://www.reviewofoptometry.com/article/prematurity-plays-role-in-strabismus-rop-status-linked-to-higher-rates" TargetMode="External"/><Relationship Id="rId16" Type="http://schemas.openxmlformats.org/officeDocument/2006/relationships/hyperlink" Target="https://ijceo.org/archive/volume/7/issue/2/article/212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