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Xerophthalmia / Night Blindness (Vitamin A Deficiency)</w:t>
      </w:r>
    </w:p>
    <w:p>
      <w:pPr>
        <w:spacing w:before="0" w:after="160"/>
      </w:pPr>
      <w:r>
        <w:rPr>
          <w:rFonts w:ascii="Calibri" w:hAnsi="Calibri"/>
          <w:b/>
          <w:i w:val="0"/>
          <w:color w:val="212121"/>
          <w:sz w:val="22"/>
        </w:rPr>
        <w:t xml:space="preserve">AKA </w:t>
      </w:r>
      <w:r>
        <w:rPr>
          <w:rFonts w:ascii="Calibri" w:hAnsi="Calibri"/>
          <w:b w:val="0"/>
          <w:i w:val="0"/>
          <w:color w:val="212121"/>
          <w:sz w:val="22"/>
        </w:rPr>
        <w:t>i.e., Nutritional blindness, Nyctalopia (night blindness), Dry eye of vitamin A deficiency, Ratundhi (Hindi), VAD-related eye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Xerophthalmia is the spectrum of ocular disease caused by vitamin A deficiency (VAD), ranging from impaired dark adaptation (night blindness) and drying of the conjunctiva and cornea to sight-destroying keratomalacia. Vitamin A (retinol) is essential for the regeneration of rhodopsin in rod photoreceptors and for maintaining the integrity of ocular surface and mucosal epithelium; its deficiency first impairs vision in dim light and, if uncorrected, progresses to corneal melting and irreversible blindness. It is the leading cause of preventable childhood blindness worldwide and predominantly affects young children and pregnant or lactating women in poor, food-insecure populations.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Vitamin A deficiency remains a public-health problem in India. National Nutrition Monitoring Bureau surveys of rural pre-school children found subclinical VAD (serum retinol &lt;20 ug/dL) in about 62% of children, night blindness in ~0.3% (up to 1.1% in Maharashtra) and Bitot's spots in ~0.8% nationally (up to 1.4% in Madhya Pradesh) - the latter above the WHO 0.5% threshold that defines VAD as a public-health problem. The Comprehensive National Nutrition Survey (CNNS 2016-18) reported biochemical VAD in 19.3% of school-age children (5-9 y) and 14.4% of adolescents (10-19 y). Deficiency clusters in the poorest, lowest-caste and most food-insecure households and is closely tied to under-nutrition, measles and diarrhoeal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Xerophthalmia is diagnosed clinically using the WHO/IVACG ocular classification supported by biochemical and functional tests; VAD is declared a public-health problem in a community when any of the following prevalence thresholds are exceeded in pre-school children: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Night blindness (XN) prevalence &gt; 1% in children 24-71 months (assessed by a validated history of impaired vision at dusk/in dim light);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Bitot's spots (X1B) prevalence &gt; 0.5%;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Corneal xerosis / ulceration / keratomalacia (X2/X3A/X3B) prevalence &gt; 0.01%, and corneal scars (XS) &gt; 0.05%;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retinol &lt; 0.70 umol/L (&lt; 20 ug/dL) in &gt; 15% of the population; a level &lt; 0.35 umol/L (&lt; 10 ug/dL) indicates severe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functional/tissue tests: abnormal dark adaptometry or rapid dark-adaptation test, abnormal conjunctival impression cytology (loss of goblet cells, keratinised epithelium), and elevated relative dose-response (RDR &gt; 20%) indicating depleted hepatic stores.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The WHO/IVACG classification stages xerophthalmia by the site and severity of ocular involvement, from reversible functional change to blinding corneal destruction:</w:t>
      </w:r>
    </w:p>
    <w:p>
      <w:pPr>
        <w:spacing w:before="0" w:after="80"/>
      </w:pPr>
      <w:r>
        <w:rPr>
          <w:rFonts w:ascii="Calibri" w:hAnsi="Calibri"/>
          <w:b w:val="0"/>
          <w:i w:val="0"/>
          <w:color w:val="212121"/>
          <w:sz w:val="21"/>
        </w:rPr>
        <w:t>(XN) Night blindness - the earliest, functional stage: impaired rod-mediated vision in dim light due to deficient rhodopsin regeneration; fully reversible with vitamin A;</w:t>
      </w:r>
    </w:p>
    <w:p>
      <w:pPr>
        <w:spacing w:before="0" w:after="80"/>
      </w:pPr>
      <w:r>
        <w:rPr>
          <w:rFonts w:ascii="Calibri" w:hAnsi="Calibri"/>
          <w:b w:val="0"/>
          <w:i w:val="0"/>
          <w:color w:val="212121"/>
          <w:sz w:val="21"/>
        </w:rPr>
        <w:t>(X1A) Conjunctival xerosis and (X1B) Bitot's spots - drying, thickening and wrinkling of the bulbar conjunctiva with foamy/cheesy keratinised triangular patches, usually temporal, from squamous metaplasia and loss of goblet cells;</w:t>
      </w:r>
    </w:p>
    <w:p>
      <w:pPr>
        <w:spacing w:before="0" w:after="80"/>
      </w:pPr>
      <w:r>
        <w:rPr>
          <w:rFonts w:ascii="Calibri" w:hAnsi="Calibri"/>
          <w:b w:val="0"/>
          <w:i w:val="0"/>
          <w:color w:val="212121"/>
          <w:sz w:val="21"/>
        </w:rPr>
        <w:t>(X2) Corneal xerosis - a hazy, dry, granular, non-wettable cornea; a medical emergency signalling imminent corneal breakdown;</w:t>
      </w:r>
    </w:p>
    <w:p>
      <w:pPr>
        <w:spacing w:before="0" w:after="80"/>
      </w:pPr>
      <w:r>
        <w:rPr>
          <w:rFonts w:ascii="Calibri" w:hAnsi="Calibri"/>
          <w:b w:val="0"/>
          <w:i w:val="0"/>
          <w:color w:val="212121"/>
          <w:sz w:val="21"/>
        </w:rPr>
        <w:t>(X3A / X3B) Corneal ulceration and keratomalacia - liquefactive necrosis (softening) of the cornea involving less than one-third (X3A) or one-third or more (X3B) of the corneal surface, leading to perforation and loss of the eye;</w:t>
      </w:r>
    </w:p>
    <w:p>
      <w:pPr>
        <w:spacing w:before="0" w:after="80"/>
      </w:pPr>
      <w:r>
        <w:rPr>
          <w:rFonts w:ascii="Calibri" w:hAnsi="Calibri"/>
          <w:b w:val="0"/>
          <w:i w:val="0"/>
          <w:color w:val="212121"/>
          <w:sz w:val="21"/>
        </w:rPr>
        <w:t>(XS) Corneal scar - leukoma/nebula from a healed xerophthalmic ulcer, a common cause of unilateral or bilateral blindness; and (XF) Xerophthalmic fundus - scattered peripheral yellow-white retinal dots in chronic deficiency.</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Inadequate dietary intake: Diets dominated by cereals and lacking green leafy vegetables, orange/yellow fruits and vegetables, and animal-source foods (egg, milk, ghee, liver) provide too little preformed retinol or provitamin-A carotene.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Poor absorption from low-fat, low-diversity diets: Vitamin A and beta-carotene are fat-soluble; very-low-fat monotonous diets and poor beta-carotene bioconversion limit uptake even when plant sources are eaten.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Increased demand and depletion by infection: Measles, diarrhoea and recurrent respiratory infection sharply raise vitamin A utilisation and losses, precipitating acute deficiency and keratomalacia in already-marginal children.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Malabsorption and hepatic disease: Cystic fibrosis, coeliac disease, cholestatic liver disease, chronic pancreatitis and small-bowel disease impair absorption, storage or mobilisation of vitamin 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Maternal deficiency and poor infant stores: Low maternal vitamin A during pregnancy and lactation, non-exclusive breastfeeding and early weaning to dilute cereal gruels leave infants with minimal reserves.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Poverty, low caste and poor sanitation: Food insecurity, maternal illiteracy and lack of sanitation drive both low intake and the infection burden that depletes vitamin A.</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Pre-school children (6-59 months)</w:t>
            </w:r>
          </w:p>
        </w:tc>
        <w:tc>
          <w:tcPr>
            <w:tcW w:type="dxa" w:w="4276"/>
            <w:vAlign w:val="top"/>
          </w:tcPr>
          <w:p>
            <w:pPr>
              <w:spacing w:after="60" w:line="259" w:lineRule="auto"/>
            </w:pPr>
            <w:r>
              <w:rPr>
                <w:rFonts w:ascii="Calibri" w:hAnsi="Calibri"/>
                <w:b w:val="0"/>
                <w:i w:val="0"/>
                <w:color w:val="212121"/>
                <w:sz w:val="19"/>
              </w:rPr>
              <w:t>Highest-risk group: rapid growth, low body stores, high infection burden and dependence on weaning diets low in vitamin A make young children most vulnerable to xerophthalmia and its blinding complications.</w:t>
            </w:r>
          </w:p>
          <w:p>
            <w:pPr>
              <w:spacing w:after="40" w:before="60" w:line="259" w:lineRule="auto"/>
            </w:pPr>
            <w:r>
              <w:rPr>
                <w:rFonts w:ascii="Calibri" w:hAnsi="Calibri"/>
                <w:b w:val="0"/>
                <w:i w:val="0"/>
                <w:color w:val="212121"/>
                <w:sz w:val="19"/>
              </w:rPr>
              <w:t>About 62% of rural Indian pre-school children have subclinical VAD (serum retinol &lt;20 ug/dL); ocular signs are commonest at 3-4 years.</w:t>
            </w:r>
          </w:p>
          <w:p>
            <w:pPr>
              <w:spacing w:after="40" w:line="252" w:lineRule="auto"/>
            </w:pPr>
            <w:hyperlink r:id="rId9">
              <w:r>
                <w:rPr>
                  <w:rFonts w:ascii="Calibri" w:hAnsi="Calibri" w:cs="Calibri"/>
                  <w:sz w:val="18"/>
                  <w:color w:val="1155CC"/>
                  <w:u w:val="single"/>
                </w:rPr>
                <w:t xml:space="preserve">cambridge.org - ocular signs &amp; subclinical VAD, rural India</w:t>
              </w:r>
            </w:hyperlink>
          </w:p>
          <w:p>
            <w:pPr>
              <w:spacing w:before="60" w:after="40"/>
            </w:pPr>
            <w:r>
              <w:rPr>
                <w:rFonts w:ascii="Calibri" w:hAnsi="Calibri"/>
                <w:b w:val="0"/>
                <w:i w:val="0"/>
                <w:color w:val="5A5A5A"/>
                <w:sz w:val="18"/>
              </w:rPr>
              <w:t>#preschool  #underfive  #childblindness  #weaning  #growthspurt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School-age children &amp; adolescents</w:t>
            </w:r>
          </w:p>
        </w:tc>
        <w:tc>
          <w:tcPr>
            <w:tcW w:type="dxa" w:w="4276"/>
            <w:vAlign w:val="top"/>
          </w:tcPr>
          <w:p>
            <w:pPr>
              <w:spacing w:after="60" w:line="259" w:lineRule="auto"/>
            </w:pPr>
            <w:r>
              <w:rPr>
                <w:rFonts w:ascii="Calibri" w:hAnsi="Calibri"/>
                <w:b w:val="0"/>
                <w:i w:val="0"/>
                <w:color w:val="212121"/>
                <w:sz w:val="19"/>
              </w:rPr>
              <w:t>Deficiency persists beyond infancy where diets stay cereal-based and monotonous; adolescents have raised requirements during the pubertal growth spurt.</w:t>
            </w:r>
          </w:p>
          <w:p>
            <w:pPr>
              <w:spacing w:after="40" w:before="60" w:line="259" w:lineRule="auto"/>
            </w:pPr>
            <w:r>
              <w:rPr>
                <w:rFonts w:ascii="Calibri" w:hAnsi="Calibri"/>
                <w:b w:val="0"/>
                <w:i w:val="0"/>
                <w:color w:val="212121"/>
                <w:sz w:val="19"/>
              </w:rPr>
              <w:t>CNNS 2016-18: biochemical VAD in 19.3% of children aged 5-9 years and 14.4% of adolescents 10-19 years.</w:t>
            </w:r>
          </w:p>
          <w:p>
            <w:pPr>
              <w:spacing w:after="40" w:line="252" w:lineRule="auto"/>
            </w:pPr>
            <w:hyperlink r:id="rId10">
              <w:r>
                <w:rPr>
                  <w:rFonts w:ascii="Calibri" w:hAnsi="Calibri" w:cs="Calibri"/>
                  <w:sz w:val="18"/>
                  <w:color w:val="1155CC"/>
                  <w:u w:val="single"/>
                </w:rPr>
                <w:t xml:space="preserve">link.springer.com - VAD in Indian school-age children/adolescents</w:t>
              </w:r>
            </w:hyperlink>
          </w:p>
          <w:p>
            <w:pPr>
              <w:spacing w:before="60" w:after="40"/>
            </w:pPr>
            <w:r>
              <w:rPr>
                <w:rFonts w:ascii="Calibri" w:hAnsi="Calibri"/>
                <w:b w:val="0"/>
                <w:i w:val="0"/>
                <w:color w:val="5A5A5A"/>
                <w:sz w:val="18"/>
              </w:rPr>
              <w:t>#schoolage  #adolescents  #growthspurt  #dietarygap</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&amp; adults with malabsorption</w:t>
            </w:r>
          </w:p>
        </w:tc>
        <w:tc>
          <w:tcPr>
            <w:tcW w:type="dxa" w:w="4276"/>
            <w:vAlign w:val="top"/>
          </w:tcPr>
          <w:p>
            <w:pPr>
              <w:spacing w:after="60" w:line="259" w:lineRule="auto"/>
            </w:pPr>
            <w:r>
              <w:rPr>
                <w:rFonts w:ascii="Calibri" w:hAnsi="Calibri"/>
                <w:b w:val="0"/>
                <w:i w:val="0"/>
                <w:color w:val="212121"/>
                <w:sz w:val="19"/>
              </w:rPr>
              <w:t>In adults and the elderly, primary dietary VAD is uncommon but occurs with poverty, institutionalisation, chronic liver disease, alcoholism or fat-malabsorption, which impair storage and mobilisation of retinol.</w:t>
            </w:r>
          </w:p>
          <w:p>
            <w:pPr>
              <w:spacing w:after="40" w:before="60" w:line="259" w:lineRule="auto"/>
            </w:pPr>
            <w:r>
              <w:rPr>
                <w:rFonts w:ascii="Calibri" w:hAnsi="Calibri"/>
                <w:b w:val="0"/>
                <w:i w:val="0"/>
                <w:color w:val="212121"/>
                <w:sz w:val="19"/>
              </w:rPr>
              <w:t>Adult xerophthalmia is typically secondary to malabsorption or hepatic disease rather than pure dietary lack.</w:t>
            </w:r>
          </w:p>
          <w:p>
            <w:pPr>
              <w:spacing w:before="60" w:after="40"/>
            </w:pPr>
            <w:r>
              <w:rPr>
                <w:rFonts w:ascii="Calibri" w:hAnsi="Calibri"/>
                <w:b w:val="0"/>
                <w:i w:val="0"/>
                <w:color w:val="5A5A5A"/>
                <w:sz w:val="18"/>
              </w:rPr>
              <w:t>#elderly  #malabsorption  #secondaryVAD  #liverdisease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w:t>
            </w:r>
          </w:p>
        </w:tc>
        <w:tc>
          <w:tcPr>
            <w:tcW w:type="dxa" w:w="4276"/>
            <w:vAlign w:val="top"/>
          </w:tcPr>
          <w:p>
            <w:pPr>
              <w:spacing w:after="60" w:line="259" w:lineRule="auto"/>
            </w:pPr>
            <w:r>
              <w:rPr>
                <w:rFonts w:ascii="Calibri" w:hAnsi="Calibri"/>
                <w:b w:val="0"/>
                <w:i w:val="0"/>
                <w:color w:val="212121"/>
                <w:sz w:val="19"/>
              </w:rPr>
              <w:t>In several Indian surveys boys show a modestly higher burden of clinical eye signs than girls, partly reflecting exposure and reporting patterns.</w:t>
            </w:r>
          </w:p>
          <w:p>
            <w:pPr>
              <w:spacing w:after="40" w:before="60" w:line="259" w:lineRule="auto"/>
            </w:pPr>
            <w:r>
              <w:rPr>
                <w:rFonts w:ascii="Calibri" w:hAnsi="Calibri"/>
                <w:b w:val="0"/>
                <w:i w:val="0"/>
                <w:color w:val="212121"/>
                <w:sz w:val="19"/>
              </w:rPr>
              <w:t>Total ocular signs were higher in boys (2.6%) than girls (1.9%) among rural Indian pre-schoolers.</w:t>
            </w:r>
          </w:p>
          <w:p>
            <w:pPr>
              <w:spacing w:after="40" w:line="252" w:lineRule="auto"/>
            </w:pPr>
            <w:hyperlink r:id="rId9">
              <w:r>
                <w:rPr>
                  <w:rFonts w:ascii="Calibri" w:hAnsi="Calibri" w:cs="Calibri"/>
                  <w:sz w:val="18"/>
                  <w:color w:val="1155CC"/>
                  <w:u w:val="single"/>
                </w:rPr>
                <w:t xml:space="preserve">cambridge.org - ocular signs by sex, rural India</w:t>
              </w:r>
            </w:hyperlink>
          </w:p>
          <w:p>
            <w:pPr>
              <w:spacing w:before="60" w:after="40"/>
            </w:pPr>
            <w:r>
              <w:rPr>
                <w:rFonts w:ascii="Calibri" w:hAnsi="Calibri"/>
                <w:b w:val="0"/>
                <w:i w:val="0"/>
                <w:color w:val="5A5A5A"/>
                <w:sz w:val="18"/>
              </w:rPr>
              <w:t>#boys  #ocularsigns  #gendergap</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Pregnant &amp; lactating women</w:t>
            </w:r>
          </w:p>
        </w:tc>
        <w:tc>
          <w:tcPr>
            <w:tcW w:type="dxa" w:w="4276"/>
            <w:vAlign w:val="top"/>
          </w:tcPr>
          <w:p>
            <w:pPr>
              <w:spacing w:after="60" w:line="259" w:lineRule="auto"/>
            </w:pPr>
            <w:r>
              <w:rPr>
                <w:rFonts w:ascii="Calibri" w:hAnsi="Calibri"/>
                <w:b w:val="0"/>
                <w:i w:val="0"/>
                <w:color w:val="212121"/>
                <w:sz w:val="19"/>
              </w:rPr>
              <w:t>Pregnancy and lactation raise vitamin A demand; deficiency causes maternal night blindness and is linked to poor birth outcomes. High-dose therapy must be avoided in pregnancy because retinol is teratogenic.</w:t>
            </w:r>
          </w:p>
          <w:p>
            <w:pPr>
              <w:spacing w:after="40" w:before="60" w:line="259" w:lineRule="auto"/>
            </w:pPr>
            <w:r>
              <w:rPr>
                <w:rFonts w:ascii="Calibri" w:hAnsi="Calibri"/>
                <w:b w:val="0"/>
                <w:i w:val="0"/>
                <w:color w:val="212121"/>
                <w:sz w:val="19"/>
              </w:rPr>
              <w:t>Maternal night blindness during pregnancy is a validated population indicator of VAD and is associated with low birthweight and higher infant morbidity in South India.</w:t>
            </w:r>
          </w:p>
          <w:p>
            <w:pPr>
              <w:spacing w:after="40" w:line="252" w:lineRule="auto"/>
            </w:pPr>
            <w:hyperlink r:id="rId11">
              <w:r>
                <w:rPr>
                  <w:rFonts w:ascii="Calibri" w:hAnsi="Calibri" w:cs="Calibri"/>
                  <w:sz w:val="18"/>
                  <w:color w:val="1155CC"/>
                  <w:u w:val="single"/>
                </w:rPr>
                <w:t xml:space="preserve">pmc.ncbi.nlm.nih.gov - VAD in children &amp; women of childbearing age</w:t>
              </w:r>
            </w:hyperlink>
          </w:p>
          <w:p>
            <w:pPr>
              <w:spacing w:before="60" w:after="40"/>
            </w:pPr>
            <w:r>
              <w:rPr>
                <w:rFonts w:ascii="Calibri" w:hAnsi="Calibri"/>
                <w:b w:val="0"/>
                <w:i w:val="0"/>
                <w:color w:val="5A5A5A"/>
                <w:sz w:val="18"/>
              </w:rPr>
              <w:t>#pregnancy  #lactation  #maternalnightblindness  #lowbirthweight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low-caste, food-insecure households</w:t>
            </w:r>
          </w:p>
        </w:tc>
        <w:tc>
          <w:tcPr>
            <w:tcW w:type="dxa" w:w="4276"/>
            <w:vAlign w:val="top"/>
          </w:tcPr>
          <w:p>
            <w:pPr>
              <w:spacing w:after="60" w:line="259" w:lineRule="auto"/>
            </w:pPr>
            <w:r>
              <w:rPr>
                <w:rFonts w:ascii="Calibri" w:hAnsi="Calibri"/>
                <w:b w:val="0"/>
                <w:i w:val="0"/>
                <w:color w:val="212121"/>
                <w:sz w:val="19"/>
              </w:rPr>
              <w:t>Poverty, maternal illiteracy and low social position drive both inadequate vitamin A intake and the infection burden that depletes it; deficiency clusters in the lowest wealth quintiles.</w:t>
            </w:r>
          </w:p>
          <w:p>
            <w:pPr>
              <w:spacing w:after="40" w:before="60" w:line="259" w:lineRule="auto"/>
            </w:pPr>
            <w:r>
              <w:rPr>
                <w:rFonts w:ascii="Calibri" w:hAnsi="Calibri"/>
                <w:b w:val="0"/>
                <w:i w:val="0"/>
                <w:color w:val="212121"/>
                <w:sz w:val="19"/>
              </w:rPr>
              <w:t>Bitot's spots were strongly associated with Scheduled-Caste status (OR 3.8), illiterate mothers (OR 2.7) and labourer households (OR 2.9).</w:t>
            </w:r>
          </w:p>
          <w:p>
            <w:pPr>
              <w:spacing w:after="40" w:line="252" w:lineRule="auto"/>
            </w:pPr>
            <w:hyperlink r:id="rId9">
              <w:r>
                <w:rPr>
                  <w:rFonts w:ascii="Calibri" w:hAnsi="Calibri" w:cs="Calibri"/>
                  <w:sz w:val="18"/>
                  <w:color w:val="1155CC"/>
                  <w:u w:val="single"/>
                </w:rPr>
                <w:t xml:space="preserve">cambridge.org - determinants of Bitot's spots, rural India</w:t>
              </w:r>
            </w:hyperlink>
          </w:p>
          <w:p>
            <w:pPr>
              <w:spacing w:before="60" w:after="40"/>
            </w:pPr>
            <w:r>
              <w:rPr>
                <w:rFonts w:ascii="Calibri" w:hAnsi="Calibri"/>
                <w:b w:val="0"/>
                <w:i w:val="0"/>
                <w:color w:val="5A5A5A"/>
                <w:sz w:val="18"/>
              </w:rPr>
              <w:t>#poverty  #scheduledcaste  #foodinsecurity  #maternalliteracy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Central &amp; Eastern India (e.g., Madhya Pradesh)</w:t>
            </w:r>
          </w:p>
        </w:tc>
        <w:tc>
          <w:tcPr>
            <w:tcW w:type="dxa" w:w="4276"/>
            <w:vAlign w:val="top"/>
          </w:tcPr>
          <w:p>
            <w:pPr>
              <w:spacing w:after="60" w:line="259" w:lineRule="auto"/>
            </w:pPr>
            <w:r>
              <w:rPr>
                <w:rFonts w:ascii="Calibri" w:hAnsi="Calibri"/>
                <w:b w:val="0"/>
                <w:i w:val="0"/>
                <w:color w:val="212121"/>
                <w:sz w:val="19"/>
              </w:rPr>
              <w:t>Central and eastern states carry the heaviest burden, reflecting high poverty, low dietary diversity and weaker programme coverage.</w:t>
            </w:r>
          </w:p>
          <w:p>
            <w:pPr>
              <w:spacing w:after="40" w:before="60" w:line="259" w:lineRule="auto"/>
            </w:pPr>
            <w:r>
              <w:rPr>
                <w:rFonts w:ascii="Calibri" w:hAnsi="Calibri"/>
                <w:b w:val="0"/>
                <w:i w:val="0"/>
                <w:color w:val="212121"/>
                <w:sz w:val="19"/>
              </w:rPr>
              <w:t>Subclinical VAD ranged from 49% (Tamil Nadu) to 88% (Madhya Pradesh); Bitot's spots peaked at 1.4% in Madhya Pradesh.</w:t>
            </w:r>
          </w:p>
          <w:p>
            <w:pPr>
              <w:spacing w:after="40" w:line="252" w:lineRule="auto"/>
            </w:pPr>
            <w:hyperlink r:id="rId9">
              <w:r>
                <w:rPr>
                  <w:rFonts w:ascii="Calibri" w:hAnsi="Calibri" w:cs="Calibri"/>
                  <w:sz w:val="18"/>
                  <w:color w:val="1155CC"/>
                  <w:u w:val="single"/>
                </w:rPr>
                <w:t xml:space="preserve">cambridge.org - state variation in VAD, rural India</w:t>
              </w:r>
            </w:hyperlink>
          </w:p>
          <w:p>
            <w:pPr>
              <w:spacing w:before="60" w:after="40"/>
            </w:pPr>
            <w:r>
              <w:rPr>
                <w:rFonts w:ascii="Calibri" w:hAnsi="Calibri"/>
                <w:b w:val="0"/>
                <w:i w:val="0"/>
                <w:color w:val="5A5A5A"/>
                <w:sz w:val="18"/>
              </w:rPr>
              <w:t>#centralindia  #madhyapradesh  #statedisparity  #hotspot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Rural &amp; remote communities</w:t>
            </w:r>
          </w:p>
        </w:tc>
        <w:tc>
          <w:tcPr>
            <w:tcW w:type="dxa" w:w="4276"/>
            <w:vAlign w:val="top"/>
          </w:tcPr>
          <w:p>
            <w:pPr>
              <w:spacing w:after="60" w:line="259" w:lineRule="auto"/>
            </w:pPr>
            <w:r>
              <w:rPr>
                <w:rFonts w:ascii="Calibri" w:hAnsi="Calibri"/>
                <w:b w:val="0"/>
                <w:i w:val="0"/>
                <w:color w:val="212121"/>
                <w:sz w:val="19"/>
              </w:rPr>
              <w:t>Rural populations have lower dietary diversity, poorer sanitation and less access to supplementation and health services than urban populations.</w:t>
            </w:r>
          </w:p>
          <w:p>
            <w:pPr>
              <w:spacing w:after="40" w:before="60" w:line="259" w:lineRule="auto"/>
            </w:pPr>
            <w:r>
              <w:rPr>
                <w:rFonts w:ascii="Calibri" w:hAnsi="Calibri"/>
                <w:b w:val="0"/>
                <w:i w:val="0"/>
                <w:color w:val="212121"/>
                <w:sz w:val="19"/>
              </w:rPr>
              <w:t>Ocular signs and subclinical VAD are concentrated in rural pre-school children across surveyed Indian states.</w:t>
            </w:r>
          </w:p>
          <w:p>
            <w:pPr>
              <w:spacing w:after="40" w:line="252" w:lineRule="auto"/>
            </w:pPr>
            <w:hyperlink r:id="rId9">
              <w:r>
                <w:rPr>
                  <w:rFonts w:ascii="Calibri" w:hAnsi="Calibri" w:cs="Calibri"/>
                  <w:sz w:val="18"/>
                  <w:color w:val="1155CC"/>
                  <w:u w:val="single"/>
                </w:rPr>
                <w:t xml:space="preserve">cambridge.org - rural pre-school VAD, India</w:t>
              </w:r>
            </w:hyperlink>
          </w:p>
          <w:p>
            <w:pPr>
              <w:spacing w:before="60" w:after="40"/>
            </w:pPr>
            <w:r>
              <w:rPr>
                <w:rFonts w:ascii="Calibri" w:hAnsi="Calibri"/>
                <w:b w:val="0"/>
                <w:i w:val="0"/>
                <w:color w:val="5A5A5A"/>
                <w:sz w:val="18"/>
              </w:rPr>
              <w:t>#rural  #remote  #lowdiversity  #accessgap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Tribal &amp; indigenous populations</w:t>
            </w:r>
          </w:p>
        </w:tc>
        <w:tc>
          <w:tcPr>
            <w:tcW w:type="dxa" w:w="4276"/>
            <w:vAlign w:val="top"/>
          </w:tcPr>
          <w:p>
            <w:pPr>
              <w:spacing w:after="60" w:line="259" w:lineRule="auto"/>
            </w:pPr>
            <w:r>
              <w:rPr>
                <w:rFonts w:ascii="Calibri" w:hAnsi="Calibri"/>
                <w:b w:val="0"/>
                <w:i w:val="0"/>
                <w:color w:val="212121"/>
                <w:sz w:val="19"/>
              </w:rPr>
              <w:t>Tribal communities face compounded food insecurity, poverty and limited health-service reach, sustaining high VAD in both children and women of childbearing age.</w:t>
            </w:r>
          </w:p>
          <w:p>
            <w:pPr>
              <w:spacing w:after="40" w:before="60" w:line="259" w:lineRule="auto"/>
            </w:pPr>
            <w:r>
              <w:rPr>
                <w:rFonts w:ascii="Calibri" w:hAnsi="Calibri"/>
                <w:b w:val="0"/>
                <w:i w:val="0"/>
                <w:color w:val="212121"/>
                <w:sz w:val="19"/>
              </w:rPr>
              <w:t>A cross-sectional study of a Southern Indian tribal population documented significant VAD among children and women of childbearing age.</w:t>
            </w:r>
          </w:p>
          <w:p>
            <w:pPr>
              <w:spacing w:after="40" w:line="252" w:lineRule="auto"/>
            </w:pPr>
            <w:hyperlink r:id="rId11">
              <w:r>
                <w:rPr>
                  <w:rFonts w:ascii="Calibri" w:hAnsi="Calibri" w:cs="Calibri"/>
                  <w:sz w:val="18"/>
                  <w:color w:val="1155CC"/>
                  <w:u w:val="single"/>
                </w:rPr>
                <w:t xml:space="preserve">pmc.ncbi.nlm.nih.gov - VAD in a Southern Indian tribal population</w:t>
              </w:r>
            </w:hyperlink>
          </w:p>
          <w:p>
            <w:pPr>
              <w:spacing w:before="60" w:after="40"/>
            </w:pPr>
            <w:r>
              <w:rPr>
                <w:rFonts w:ascii="Calibri" w:hAnsi="Calibri"/>
                <w:b w:val="0"/>
                <w:i w:val="0"/>
                <w:color w:val="5A5A5A"/>
                <w:sz w:val="18"/>
              </w:rPr>
              <w:t>#tribal  #indigenous  #foodinsecurity  #adivasi</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Infant feeding</w:t>
            </w:r>
          </w:p>
        </w:tc>
        <w:tc>
          <w:tcPr>
            <w:tcW w:type="dxa" w:w="2160"/>
            <w:vAlign w:val="top"/>
          </w:tcPr>
          <w:p>
            <w:pPr>
              <w:spacing w:after="40" w:before="0" w:line="259" w:lineRule="auto"/>
            </w:pPr>
            <w:r>
              <w:rPr>
                <w:rFonts w:ascii="Calibri" w:hAnsi="Calibri"/>
                <w:b w:val="0"/>
                <w:i w:val="0"/>
                <w:color w:val="212121"/>
                <w:sz w:val="19"/>
              </w:rPr>
              <w:t>Non-exclusively breastfed / early-weaned infants</w:t>
            </w:r>
          </w:p>
        </w:tc>
        <w:tc>
          <w:tcPr>
            <w:tcW w:type="dxa" w:w="4276"/>
            <w:vAlign w:val="top"/>
          </w:tcPr>
          <w:p>
            <w:pPr>
              <w:spacing w:after="60" w:line="259" w:lineRule="auto"/>
            </w:pPr>
            <w:r>
              <w:rPr>
                <w:rFonts w:ascii="Calibri" w:hAnsi="Calibri"/>
                <w:b w:val="0"/>
                <w:i w:val="0"/>
                <w:color w:val="212121"/>
                <w:sz w:val="19"/>
              </w:rPr>
              <w:t>Breast milk is a key early source of vitamin A; stopping exclusive breastfeeding early and weaning onto dilute cereal gruels low in fat and vitamin A depletes infant stores.</w:t>
            </w:r>
          </w:p>
          <w:p>
            <w:pPr>
              <w:spacing w:after="40" w:before="60" w:line="259" w:lineRule="auto"/>
            </w:pPr>
            <w:r>
              <w:rPr>
                <w:rFonts w:ascii="Calibri" w:hAnsi="Calibri"/>
                <w:b w:val="0"/>
                <w:i w:val="0"/>
                <w:color w:val="212121"/>
                <w:sz w:val="19"/>
              </w:rPr>
              <w:t>Early weaning to vitamin-A-poor cereal gruels is a recognised precipitant of infantile xerophthalmia.</w:t>
            </w:r>
          </w:p>
          <w:p>
            <w:pPr>
              <w:spacing w:before="60" w:after="40"/>
            </w:pPr>
            <w:r>
              <w:rPr>
                <w:rFonts w:ascii="Calibri" w:hAnsi="Calibri"/>
                <w:b w:val="0"/>
                <w:i w:val="0"/>
                <w:color w:val="5A5A5A"/>
                <w:sz w:val="18"/>
              </w:rPr>
              <w:t>#breastfeeding  #weaning  #gruel  #infantfeeding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Sanitation &amp; hygiene</w:t>
            </w:r>
          </w:p>
        </w:tc>
        <w:tc>
          <w:tcPr>
            <w:tcW w:type="dxa" w:w="2160"/>
            <w:vAlign w:val="top"/>
          </w:tcPr>
          <w:p>
            <w:pPr>
              <w:spacing w:after="40" w:before="0" w:line="259" w:lineRule="auto"/>
            </w:pPr>
            <w:r>
              <w:rPr>
                <w:rFonts w:ascii="Calibri" w:hAnsi="Calibri"/>
                <w:b w:val="0"/>
                <w:i w:val="0"/>
                <w:color w:val="212121"/>
                <w:sz w:val="19"/>
              </w:rPr>
              <w:t>Households without sanitary latrine</w:t>
            </w:r>
          </w:p>
        </w:tc>
        <w:tc>
          <w:tcPr>
            <w:tcW w:type="dxa" w:w="4276"/>
            <w:vAlign w:val="top"/>
          </w:tcPr>
          <w:p>
            <w:pPr>
              <w:spacing w:after="60" w:line="259" w:lineRule="auto"/>
            </w:pPr>
            <w:r>
              <w:rPr>
                <w:rFonts w:ascii="Calibri" w:hAnsi="Calibri"/>
                <w:b w:val="0"/>
                <w:i w:val="0"/>
                <w:color w:val="212121"/>
                <w:sz w:val="19"/>
              </w:rPr>
              <w:t>Poor sanitation increases diarrhoeal and infective load, which depletes vitamin A and impairs its absorption, raising xerophthalmia risk.</w:t>
            </w:r>
          </w:p>
          <w:p>
            <w:pPr>
              <w:spacing w:after="40" w:before="60" w:line="259" w:lineRule="auto"/>
            </w:pPr>
            <w:r>
              <w:rPr>
                <w:rFonts w:ascii="Calibri" w:hAnsi="Calibri"/>
                <w:b w:val="0"/>
                <w:i w:val="0"/>
                <w:color w:val="212121"/>
                <w:sz w:val="19"/>
              </w:rPr>
              <w:t>Absence of a sanitary latrine was associated with Bitot's spots (OR 5.9) in rural Indian pre-schoolers.</w:t>
            </w:r>
          </w:p>
          <w:p>
            <w:pPr>
              <w:spacing w:after="40" w:line="252" w:lineRule="auto"/>
            </w:pPr>
            <w:hyperlink r:id="rId9">
              <w:r>
                <w:rPr>
                  <w:rFonts w:ascii="Calibri" w:hAnsi="Calibri" w:cs="Calibri"/>
                  <w:sz w:val="18"/>
                  <w:color w:val="1155CC"/>
                  <w:u w:val="single"/>
                </w:rPr>
                <w:t xml:space="preserve">cambridge.org - sanitation &amp; Bitot's spots</w:t>
              </w:r>
            </w:hyperlink>
          </w:p>
          <w:p>
            <w:pPr>
              <w:spacing w:before="60" w:after="40"/>
            </w:pPr>
            <w:r>
              <w:rPr>
                <w:rFonts w:ascii="Calibri" w:hAnsi="Calibri"/>
                <w:b w:val="0"/>
                <w:i w:val="0"/>
                <w:color w:val="5A5A5A"/>
                <w:sz w:val="18"/>
              </w:rPr>
              <w:t>#sanitation  #openair  #diarrhoea  #hygiene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 (adults)</w:t>
            </w:r>
          </w:p>
        </w:tc>
        <w:tc>
          <w:tcPr>
            <w:tcW w:type="dxa" w:w="4276"/>
            <w:vAlign w:val="top"/>
          </w:tcPr>
          <w:p>
            <w:pPr>
              <w:spacing w:after="60" w:line="259" w:lineRule="auto"/>
            </w:pPr>
            <w:r>
              <w:rPr>
                <w:rFonts w:ascii="Calibri" w:hAnsi="Calibri"/>
                <w:b w:val="0"/>
                <w:i w:val="0"/>
                <w:color w:val="212121"/>
                <w:sz w:val="19"/>
              </w:rPr>
              <w:t>Chronic alcohol use impairs hepatic storage and mobilisation of retinol, competes for metabolising enzymes and accompanies a poor diet, producing secondary VAD.</w:t>
            </w:r>
          </w:p>
          <w:p>
            <w:pPr>
              <w:spacing w:after="40" w:before="60" w:line="259" w:lineRule="auto"/>
            </w:pPr>
            <w:r>
              <w:rPr>
                <w:rFonts w:ascii="Calibri" w:hAnsi="Calibri"/>
                <w:b w:val="0"/>
                <w:i w:val="0"/>
                <w:color w:val="212121"/>
                <w:sz w:val="19"/>
              </w:rPr>
              <w:t>Alcoholic liver disease is a recognised cause of secondary vitamin A deficiency in adults.</w:t>
            </w:r>
          </w:p>
          <w:p>
            <w:pPr>
              <w:spacing w:before="60" w:after="40"/>
            </w:pPr>
            <w:r>
              <w:rPr>
                <w:rFonts w:ascii="Calibri" w:hAnsi="Calibri"/>
                <w:b w:val="0"/>
                <w:i w:val="0"/>
                <w:color w:val="5A5A5A"/>
                <w:sz w:val="18"/>
              </w:rPr>
              <w:t>#alcohol  #liver  #secondaryVAD  #retinolstores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Low-diversity vegetarian / low-fat cereal diets</w:t>
            </w:r>
          </w:p>
        </w:tc>
        <w:tc>
          <w:tcPr>
            <w:tcW w:type="dxa" w:w="4276"/>
            <w:vAlign w:val="top"/>
          </w:tcPr>
          <w:p>
            <w:pPr>
              <w:spacing w:after="60" w:line="259" w:lineRule="auto"/>
            </w:pPr>
            <w:r>
              <w:rPr>
                <w:rFonts w:ascii="Calibri" w:hAnsi="Calibri"/>
                <w:b w:val="0"/>
                <w:i w:val="0"/>
                <w:color w:val="212121"/>
                <w:sz w:val="19"/>
              </w:rPr>
              <w:t>Preformed retinol is found only in animal foods; plant provitamin-A carotene needs dietary fat and efficient bioconversion. Monotonous low-fat vegetarian diets without green leafy vegetables or coloured fruits leave intake inadequate.</w:t>
            </w:r>
          </w:p>
          <w:p>
            <w:pPr>
              <w:spacing w:after="40" w:before="60" w:line="259" w:lineRule="auto"/>
            </w:pPr>
            <w:r>
              <w:rPr>
                <w:rFonts w:ascii="Calibri" w:hAnsi="Calibri"/>
                <w:b w:val="0"/>
                <w:i w:val="0"/>
                <w:color w:val="212121"/>
                <w:sz w:val="19"/>
              </w:rPr>
              <w:t>Without fortification, dietary vitamin A intake was inadequate in ~69% of Indian school-age children and ~78% of adolescents.</w:t>
            </w:r>
          </w:p>
          <w:p>
            <w:pPr>
              <w:spacing w:after="40" w:line="252" w:lineRule="auto"/>
            </w:pPr>
            <w:hyperlink r:id="rId10">
              <w:r>
                <w:rPr>
                  <w:rFonts w:ascii="Calibri" w:hAnsi="Calibri" w:cs="Calibri"/>
                  <w:sz w:val="18"/>
                  <w:color w:val="1155CC"/>
                  <w:u w:val="single"/>
                </w:rPr>
                <w:t xml:space="preserve">link.springer.com - dietary vitamin A inadequacy, India</w:t>
              </w:r>
            </w:hyperlink>
          </w:p>
          <w:p>
            <w:pPr>
              <w:spacing w:before="60" w:after="40"/>
            </w:pPr>
            <w:r>
              <w:rPr>
                <w:rFonts w:ascii="Calibri" w:hAnsi="Calibri"/>
                <w:b w:val="0"/>
                <w:i w:val="0"/>
                <w:color w:val="5A5A5A"/>
                <w:sz w:val="18"/>
              </w:rPr>
              <w:t>#vegetarian  #lowfat  #carotene  #dietarydiversity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Food frequency</w:t>
            </w:r>
          </w:p>
        </w:tc>
        <w:tc>
          <w:tcPr>
            <w:tcW w:type="dxa" w:w="2160"/>
            <w:vAlign w:val="top"/>
          </w:tcPr>
          <w:p>
            <w:pPr>
              <w:spacing w:after="40" w:before="0" w:line="259" w:lineRule="auto"/>
            </w:pPr>
            <w:r>
              <w:rPr>
                <w:rFonts w:ascii="Calibri" w:hAnsi="Calibri"/>
                <w:b w:val="0"/>
                <w:i w:val="0"/>
                <w:color w:val="212121"/>
                <w:sz w:val="19"/>
              </w:rPr>
              <w:t>Infrequent vitamin-A-rich food intake</w:t>
            </w:r>
          </w:p>
        </w:tc>
        <w:tc>
          <w:tcPr>
            <w:tcW w:type="dxa" w:w="4276"/>
            <w:vAlign w:val="top"/>
          </w:tcPr>
          <w:p>
            <w:pPr>
              <w:spacing w:after="60" w:line="259" w:lineRule="auto"/>
            </w:pPr>
            <w:r>
              <w:rPr>
                <w:rFonts w:ascii="Calibri" w:hAnsi="Calibri"/>
                <w:b w:val="0"/>
                <w:i w:val="0"/>
                <w:color w:val="212121"/>
                <w:sz w:val="19"/>
              </w:rPr>
              <w:t>Rarely eating vitamin-A-rich foods (green leafy vegetables, carrot, pumpkin, mango, papaya, egg, milk) steeply raises deficiency risk compared with daily intake.</w:t>
            </w:r>
          </w:p>
          <w:p>
            <w:pPr>
              <w:spacing w:after="40" w:before="60" w:line="259" w:lineRule="auto"/>
            </w:pPr>
            <w:r>
              <w:rPr>
                <w:rFonts w:ascii="Calibri" w:hAnsi="Calibri"/>
                <w:b w:val="0"/>
                <w:i w:val="0"/>
                <w:color w:val="212121"/>
                <w:sz w:val="19"/>
              </w:rPr>
              <w:t>Compared with daily intake, weekly consumption of vitamin-A-rich foods raised VAD odds ~4.3x and monthly intake ~8.6x in rural Maharashtra children.</w:t>
            </w:r>
          </w:p>
          <w:p>
            <w:pPr>
              <w:spacing w:after="40" w:line="252" w:lineRule="auto"/>
            </w:pPr>
            <w:hyperlink r:id="rId12">
              <w:r>
                <w:rPr>
                  <w:rFonts w:ascii="Calibri" w:hAnsi="Calibri" w:cs="Calibri"/>
                  <w:sz w:val="18"/>
                  <w:color w:val="1155CC"/>
                  <w:u w:val="single"/>
                </w:rPr>
                <w:t xml:space="preserve">pmc.ncbi.nlm.nih.gov - food frequency &amp; VAD, rural Maharashtra</w:t>
              </w:r>
            </w:hyperlink>
          </w:p>
          <w:p>
            <w:pPr>
              <w:spacing w:before="60" w:after="40"/>
            </w:pPr>
            <w:r>
              <w:rPr>
                <w:rFonts w:ascii="Calibri" w:hAnsi="Calibri"/>
                <w:b w:val="0"/>
                <w:i w:val="0"/>
                <w:color w:val="5A5A5A"/>
                <w:sz w:val="18"/>
              </w:rPr>
              <w:t>#foodfrequency  #greens  #carotenoids  #micronutrient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Family/household clustering</w:t>
            </w:r>
          </w:p>
        </w:tc>
        <w:tc>
          <w:tcPr>
            <w:tcW w:type="dxa" w:w="2160"/>
            <w:vAlign w:val="top"/>
          </w:tcPr>
          <w:p>
            <w:pPr>
              <w:spacing w:after="40" w:before="0" w:line="259" w:lineRule="auto"/>
            </w:pPr>
            <w:r>
              <w:rPr>
                <w:rFonts w:ascii="Calibri" w:hAnsi="Calibri"/>
                <w:b w:val="0"/>
                <w:i w:val="0"/>
                <w:color w:val="212121"/>
                <w:sz w:val="19"/>
              </w:rPr>
              <w:t>Siblings in food-insecure households</w:t>
            </w:r>
          </w:p>
        </w:tc>
        <w:tc>
          <w:tcPr>
            <w:tcW w:type="dxa" w:w="4276"/>
            <w:vAlign w:val="top"/>
          </w:tcPr>
          <w:p>
            <w:pPr>
              <w:spacing w:after="60" w:line="259" w:lineRule="auto"/>
            </w:pPr>
            <w:r>
              <w:rPr>
                <w:rFonts w:ascii="Calibri" w:hAnsi="Calibri"/>
                <w:b w:val="0"/>
                <w:i w:val="0"/>
                <w:color w:val="212121"/>
                <w:sz w:val="19"/>
              </w:rPr>
              <w:t>Xerophthalmia clusters within families and villages through shared poverty, diet and infection exposure rather than heredity, so affected children often have affected siblings.</w:t>
            </w:r>
          </w:p>
          <w:p>
            <w:pPr>
              <w:spacing w:after="40" w:before="60" w:line="259" w:lineRule="auto"/>
            </w:pPr>
            <w:r>
              <w:rPr>
                <w:rFonts w:ascii="Calibri" w:hAnsi="Calibri"/>
                <w:b w:val="0"/>
                <w:i w:val="0"/>
                <w:color w:val="212121"/>
                <w:sz w:val="19"/>
              </w:rPr>
              <w:t>VAD tracks with household socioeconomic status and shared dietary patterns.</w:t>
            </w:r>
          </w:p>
          <w:p>
            <w:pPr>
              <w:spacing w:before="60" w:after="40"/>
            </w:pPr>
            <w:r>
              <w:rPr>
                <w:rFonts w:ascii="Calibri" w:hAnsi="Calibri"/>
                <w:b w:val="0"/>
                <w:i w:val="0"/>
                <w:color w:val="5A5A5A"/>
                <w:sz w:val="18"/>
              </w:rPr>
              <w:t>#household  #siblings  #sharedenvironment  #clustering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Inherited susceptibility</w:t>
            </w:r>
          </w:p>
        </w:tc>
        <w:tc>
          <w:tcPr>
            <w:tcW w:type="dxa" w:w="2160"/>
            <w:vAlign w:val="top"/>
          </w:tcPr>
          <w:p>
            <w:pPr>
              <w:spacing w:after="40" w:before="0" w:line="259" w:lineRule="auto"/>
            </w:pPr>
            <w:r>
              <w:rPr>
                <w:rFonts w:ascii="Calibri" w:hAnsi="Calibri"/>
                <w:b w:val="0"/>
                <w:i w:val="0"/>
                <w:color w:val="212121"/>
                <w:sz w:val="19"/>
              </w:rPr>
              <w:t>BCO1 variants &amp; inherited fat-malabsorption</w:t>
            </w:r>
          </w:p>
        </w:tc>
        <w:tc>
          <w:tcPr>
            <w:tcW w:type="dxa" w:w="4276"/>
            <w:vAlign w:val="top"/>
          </w:tcPr>
          <w:p>
            <w:pPr>
              <w:spacing w:after="60" w:line="259" w:lineRule="auto"/>
            </w:pPr>
            <w:r>
              <w:rPr>
                <w:rFonts w:ascii="Calibri" w:hAnsi="Calibri"/>
                <w:b w:val="0"/>
                <w:i w:val="0"/>
                <w:color w:val="212121"/>
                <w:sz w:val="19"/>
              </w:rPr>
              <w:t>Common polymorphisms in the BCO1 gene reduce conversion of dietary beta-carotene to retinol, and inherited disorders such as cystic fibrosis and abetalipoproteinaemia impair fat-soluble vitamin absorption, predisposing to VAD on marginal diets.</w:t>
            </w:r>
          </w:p>
          <w:p>
            <w:pPr>
              <w:spacing w:after="40" w:before="60" w:line="259" w:lineRule="auto"/>
            </w:pPr>
            <w:r>
              <w:rPr>
                <w:rFonts w:ascii="Calibri" w:hAnsi="Calibri"/>
                <w:b w:val="0"/>
                <w:i w:val="0"/>
                <w:color w:val="212121"/>
                <w:sz w:val="19"/>
              </w:rPr>
              <w:t>Reduced beta-carotene bioconversion (BCO1 variants) lowers effective vitamin A yield from plant foods.</w:t>
            </w:r>
          </w:p>
          <w:p>
            <w:pPr>
              <w:spacing w:before="60" w:after="40"/>
            </w:pPr>
            <w:r>
              <w:rPr>
                <w:rFonts w:ascii="Calibri" w:hAnsi="Calibri"/>
                <w:b w:val="0"/>
                <w:i w:val="0"/>
                <w:color w:val="5A5A5A"/>
                <w:sz w:val="18"/>
              </w:rPr>
              <w:t>#BCO1  #bioconversion  #cysticfibrosis  #abetalipoproteinemia</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Protein-energy malnutrition</w:t>
            </w:r>
          </w:p>
        </w:tc>
        <w:tc>
          <w:tcPr>
            <w:tcW w:type="dxa" w:w="2160"/>
            <w:vAlign w:val="top"/>
          </w:tcPr>
          <w:p>
            <w:pPr>
              <w:spacing w:after="40" w:before="0" w:line="259" w:lineRule="auto"/>
            </w:pPr>
            <w:r>
              <w:rPr>
                <w:rFonts w:ascii="Calibri" w:hAnsi="Calibri"/>
                <w:b w:val="0"/>
                <w:i w:val="0"/>
                <w:color w:val="212121"/>
                <w:sz w:val="19"/>
              </w:rPr>
              <w:t>Children with moderate-severe PEM / SAM</w:t>
            </w:r>
          </w:p>
        </w:tc>
        <w:tc>
          <w:tcPr>
            <w:tcW w:type="dxa" w:w="4276"/>
            <w:vAlign w:val="top"/>
          </w:tcPr>
          <w:p>
            <w:pPr>
              <w:spacing w:after="60" w:line="259" w:lineRule="auto"/>
            </w:pPr>
            <w:r>
              <w:rPr>
                <w:rFonts w:ascii="Calibri" w:hAnsi="Calibri"/>
                <w:b w:val="0"/>
                <w:i w:val="0"/>
                <w:color w:val="212121"/>
                <w:sz w:val="19"/>
              </w:rPr>
              <w:t>Under-nutrition and VAD share the same dietary and infective roots; PEM lowers retinol-binding protein synthesis and vitamin A transport, sharply increasing xerophthalmia risk.</w:t>
            </w:r>
          </w:p>
          <w:p>
            <w:pPr>
              <w:spacing w:after="40" w:before="60" w:line="259" w:lineRule="auto"/>
            </w:pPr>
            <w:r>
              <w:rPr>
                <w:rFonts w:ascii="Calibri" w:hAnsi="Calibri"/>
                <w:b w:val="0"/>
                <w:i w:val="0"/>
                <w:color w:val="212121"/>
                <w:sz w:val="19"/>
              </w:rPr>
              <w:t>In rural Maharashtra, Grade-2 PEM raised VAD odds ~10.7x and Grade-3 PEM ~44.4x; 57.8% of studied children had PEM.</w:t>
            </w:r>
          </w:p>
          <w:p>
            <w:pPr>
              <w:spacing w:after="40" w:line="252" w:lineRule="auto"/>
            </w:pPr>
            <w:hyperlink r:id="rId12">
              <w:r>
                <w:rPr>
                  <w:rFonts w:ascii="Calibri" w:hAnsi="Calibri" w:cs="Calibri"/>
                  <w:sz w:val="18"/>
                  <w:color w:val="1155CC"/>
                  <w:u w:val="single"/>
                </w:rPr>
                <w:t xml:space="preserve">pmc.ncbi.nlm.nih.gov - PEM &amp; VAD, rural Maharashtra</w:t>
              </w:r>
            </w:hyperlink>
          </w:p>
          <w:p>
            <w:pPr>
              <w:spacing w:before="60" w:after="40"/>
            </w:pPr>
            <w:r>
              <w:rPr>
                <w:rFonts w:ascii="Calibri" w:hAnsi="Calibri"/>
                <w:b w:val="0"/>
                <w:i w:val="0"/>
                <w:color w:val="5A5A5A"/>
                <w:sz w:val="18"/>
              </w:rPr>
              <w:t>#PEM  #SAM  #malnutrition  #RBP  #wasting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Measles</w:t>
            </w:r>
          </w:p>
        </w:tc>
        <w:tc>
          <w:tcPr>
            <w:tcW w:type="dxa" w:w="2160"/>
            <w:vAlign w:val="top"/>
          </w:tcPr>
          <w:p>
            <w:pPr>
              <w:spacing w:after="40" w:before="0" w:line="259" w:lineRule="auto"/>
            </w:pPr>
            <w:r>
              <w:rPr>
                <w:rFonts w:ascii="Calibri" w:hAnsi="Calibri"/>
                <w:b w:val="0"/>
                <w:i w:val="0"/>
                <w:color w:val="212121"/>
                <w:sz w:val="19"/>
              </w:rPr>
              <w:t>Children with recent measles</w:t>
            </w:r>
          </w:p>
        </w:tc>
        <w:tc>
          <w:tcPr>
            <w:tcW w:type="dxa" w:w="4276"/>
            <w:vAlign w:val="top"/>
          </w:tcPr>
          <w:p>
            <w:pPr>
              <w:spacing w:after="60" w:line="259" w:lineRule="auto"/>
            </w:pPr>
            <w:r>
              <w:rPr>
                <w:rFonts w:ascii="Calibri" w:hAnsi="Calibri"/>
                <w:b w:val="0"/>
                <w:i w:val="0"/>
                <w:color w:val="212121"/>
                <w:sz w:val="19"/>
              </w:rPr>
              <w:t>Measles massively depletes vitamin A and damages epithelium, and can precipitate acute keratomalacia and blindness in a deficient child; conversely VAD worsens measles severity and mortality.</w:t>
            </w:r>
          </w:p>
          <w:p>
            <w:pPr>
              <w:spacing w:after="40" w:before="60" w:line="259" w:lineRule="auto"/>
            </w:pPr>
            <w:r>
              <w:rPr>
                <w:rFonts w:ascii="Calibri" w:hAnsi="Calibri"/>
                <w:b w:val="0"/>
                <w:i w:val="0"/>
                <w:color w:val="212121"/>
                <w:sz w:val="19"/>
              </w:rPr>
              <w:t>Recent measles infection raised VAD odds ~13.4x in rural Maharashtra children; WHO recommends vitamin A for all measles cases.</w:t>
            </w:r>
          </w:p>
          <w:p>
            <w:pPr>
              <w:spacing w:after="40" w:line="252" w:lineRule="auto"/>
            </w:pPr>
            <w:hyperlink r:id="rId12">
              <w:r>
                <w:rPr>
                  <w:rFonts w:ascii="Calibri" w:hAnsi="Calibri" w:cs="Calibri"/>
                  <w:sz w:val="18"/>
                  <w:color w:val="1155CC"/>
                  <w:u w:val="single"/>
                </w:rPr>
                <w:t xml:space="preserve">pmc.ncbi.nlm.nih.gov - measles &amp; VAD, rural Maharashtra</w:t>
              </w:r>
            </w:hyperlink>
          </w:p>
          <w:p>
            <w:pPr>
              <w:spacing w:before="60" w:after="40"/>
            </w:pPr>
            <w:r>
              <w:rPr>
                <w:rFonts w:ascii="Calibri" w:hAnsi="Calibri"/>
                <w:b w:val="0"/>
                <w:i w:val="0"/>
                <w:color w:val="5A5A5A"/>
                <w:sz w:val="18"/>
              </w:rPr>
              <w:t>#measles  #keratomalacia  #immunefunction  #outbreak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Diarrhoeal &amp; respiratory infection</w:t>
            </w:r>
          </w:p>
        </w:tc>
        <w:tc>
          <w:tcPr>
            <w:tcW w:type="dxa" w:w="2160"/>
            <w:vAlign w:val="top"/>
          </w:tcPr>
          <w:p>
            <w:pPr>
              <w:spacing w:after="40" w:before="0" w:line="259" w:lineRule="auto"/>
            </w:pPr>
            <w:r>
              <w:rPr>
                <w:rFonts w:ascii="Calibri" w:hAnsi="Calibri"/>
                <w:b w:val="0"/>
                <w:i w:val="0"/>
                <w:color w:val="212121"/>
                <w:sz w:val="19"/>
              </w:rPr>
              <w:t>Children with recurrent diarrhoea/RTI</w:t>
            </w:r>
          </w:p>
        </w:tc>
        <w:tc>
          <w:tcPr>
            <w:tcW w:type="dxa" w:w="4276"/>
            <w:vAlign w:val="top"/>
          </w:tcPr>
          <w:p>
            <w:pPr>
              <w:spacing w:after="60" w:line="259" w:lineRule="auto"/>
            </w:pPr>
            <w:r>
              <w:rPr>
                <w:rFonts w:ascii="Calibri" w:hAnsi="Calibri"/>
                <w:b w:val="0"/>
                <w:i w:val="0"/>
                <w:color w:val="212121"/>
                <w:sz w:val="19"/>
              </w:rPr>
              <w:t>Diarrhoea causes malabsorption and urinary/faecal loss of vitamin A, while recurrent infection raises demand; a vicious cycle links infection and deficiency.</w:t>
            </w:r>
          </w:p>
          <w:p>
            <w:pPr>
              <w:spacing w:after="40" w:before="60" w:line="259" w:lineRule="auto"/>
            </w:pPr>
            <w:r>
              <w:rPr>
                <w:rFonts w:ascii="Calibri" w:hAnsi="Calibri"/>
                <w:b w:val="0"/>
                <w:i w:val="0"/>
                <w:color w:val="212121"/>
                <w:sz w:val="19"/>
              </w:rPr>
              <w:t>Diarrhoea raised VAD odds ~5.1x and recurrent respiratory infection ~3.4x in rural Maharashtra children.</w:t>
            </w:r>
          </w:p>
          <w:p>
            <w:pPr>
              <w:spacing w:after="40" w:line="252" w:lineRule="auto"/>
            </w:pPr>
            <w:hyperlink r:id="rId12">
              <w:r>
                <w:rPr>
                  <w:rFonts w:ascii="Calibri" w:hAnsi="Calibri" w:cs="Calibri"/>
                  <w:sz w:val="18"/>
                  <w:color w:val="1155CC"/>
                  <w:u w:val="single"/>
                </w:rPr>
                <w:t xml:space="preserve">pmc.ncbi.nlm.nih.gov - infection &amp; VAD, rural Maharashtra</w:t>
              </w:r>
            </w:hyperlink>
          </w:p>
          <w:p>
            <w:pPr>
              <w:spacing w:before="60" w:after="40"/>
            </w:pPr>
            <w:r>
              <w:rPr>
                <w:rFonts w:ascii="Calibri" w:hAnsi="Calibri"/>
                <w:b w:val="0"/>
                <w:i w:val="0"/>
                <w:color w:val="5A5A5A"/>
                <w:sz w:val="18"/>
              </w:rPr>
              <w:t>#diarrhoea  #RTI  #infectioncycle  #malabsorption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Malabsorption &amp; hepatobiliary disease</w:t>
            </w:r>
          </w:p>
        </w:tc>
        <w:tc>
          <w:tcPr>
            <w:tcW w:type="dxa" w:w="2160"/>
            <w:vAlign w:val="top"/>
          </w:tcPr>
          <w:p>
            <w:pPr>
              <w:spacing w:after="40" w:before="0" w:line="259" w:lineRule="auto"/>
            </w:pPr>
            <w:r>
              <w:rPr>
                <w:rFonts w:ascii="Calibri" w:hAnsi="Calibri"/>
                <w:b w:val="0"/>
                <w:i w:val="0"/>
                <w:color w:val="212121"/>
                <w:sz w:val="19"/>
              </w:rPr>
              <w:t>Cystic fibrosis, coeliac, cholestasis, pancreatitis</w:t>
            </w:r>
          </w:p>
        </w:tc>
        <w:tc>
          <w:tcPr>
            <w:tcW w:type="dxa" w:w="4276"/>
            <w:vAlign w:val="top"/>
          </w:tcPr>
          <w:p>
            <w:pPr>
              <w:spacing w:after="60" w:line="259" w:lineRule="auto"/>
            </w:pPr>
            <w:r>
              <w:rPr>
                <w:rFonts w:ascii="Calibri" w:hAnsi="Calibri"/>
                <w:b w:val="0"/>
                <w:i w:val="0"/>
                <w:color w:val="212121"/>
                <w:sz w:val="19"/>
              </w:rPr>
              <w:t>Fat-malabsorption and cholestatic/hepatic disease impair vitamin A absorption, storage and RBP-bound transport, producing xerophthalmia even where dietary intake is adequate.</w:t>
            </w:r>
          </w:p>
          <w:p>
            <w:pPr>
              <w:spacing w:after="40" w:before="60" w:line="259" w:lineRule="auto"/>
            </w:pPr>
            <w:r>
              <w:rPr>
                <w:rFonts w:ascii="Calibri" w:hAnsi="Calibri"/>
                <w:b w:val="0"/>
                <w:i w:val="0"/>
                <w:color w:val="212121"/>
                <w:sz w:val="19"/>
              </w:rPr>
              <w:t>Xerophthalmia in high-resource settings occurs almost exclusively in children with malabsorptive or hepatic disease.</w:t>
            </w:r>
          </w:p>
          <w:p>
            <w:pPr>
              <w:spacing w:before="60" w:after="40"/>
            </w:pPr>
            <w:r>
              <w:rPr>
                <w:rFonts w:ascii="Calibri" w:hAnsi="Calibri"/>
                <w:b w:val="0"/>
                <w:i w:val="0"/>
                <w:color w:val="5A5A5A"/>
                <w:sz w:val="18"/>
              </w:rPr>
              <w:t>#cysticfibrosis  #coeliac  #cholestasis  #fatmalabsorption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direct determinant of vitamin A status; general undernutrition and low activity co-occur in food-insecure children but the causal link to VAD is weak.</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the dominant modifiable determinant: intake of vitamin-A-rich foods (green leafy vegetables, orange/yellow produce, egg, milk, ghee, liver) plus adequate dietary fat for absorption governs status. Without fortification ~69-78% of Indian children/adolescents have inadequate intake.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direct role in vitamin A status; impaired night vision is often mistaken by families for sleepiness or clumsiness at dusk.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Active smoking and household biomass/tobacco smoke irritate and oxidatively stress the ocular surface and lower serum antioxidants, aggravating dry-eye symptoms, but are not primary causes of VAD.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alcohol use impairs hepatic storage and mobilisation of retinol, competes for retinol-metabolising enzymes and accompanies poor diet, producing secondary VAD in adults.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however caregiver depression and neglect can worsen a child's feeding and increase deficiency risk, and vision loss carries psychological burden.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Unsafe water and poor sanitation drive diarrhoeal disease, which depletes and malabsorbs vitamin A; lack of a sanitary latrine was associated with Bitot's spots (OR 5.9).</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personal and environmental hygiene increases the infection load (diarrhoea, measles, RTI) that depletes vitamin A; WASH improvements support micronutrient status.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Intercurrent measles (OR ~13.4), diarrhoea (OR ~5.1) and acute febrile illness can abruptly tip a marginally deficient child into corneal xerosis/keratomalacia within days.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vitamin A intake (ug RAE/day)</w:t>
            </w:r>
          </w:p>
        </w:tc>
        <w:tc>
          <w:tcPr>
            <w:tcW w:type="dxa" w:w="1655"/>
            <w:vAlign w:val="top"/>
          </w:tcPr>
          <w:p>
            <w:pPr>
              <w:spacing w:after="40" w:before="0" w:line="259" w:lineRule="auto"/>
            </w:pPr>
            <w:r>
              <w:rPr>
                <w:rFonts w:ascii="Calibri" w:hAnsi="Calibri"/>
                <w:b w:val="0"/>
                <w:i w:val="0"/>
                <w:color w:val="212121"/>
                <w:sz w:val="19"/>
              </w:rPr>
              <w:t>Children, adolescents, pregnant women</w:t>
            </w:r>
          </w:p>
        </w:tc>
        <w:tc>
          <w:tcPr>
            <w:tcW w:type="dxa" w:w="1512"/>
            <w:vAlign w:val="top"/>
          </w:tcPr>
          <w:p>
            <w:pPr>
              <w:spacing w:after="40" w:before="0" w:line="259" w:lineRule="auto"/>
            </w:pPr>
            <w:r>
              <w:rPr>
                <w:rFonts w:ascii="Calibri" w:hAnsi="Calibri"/>
                <w:b w:val="0"/>
                <w:i w:val="0"/>
                <w:color w:val="212121"/>
                <w:sz w:val="19"/>
              </w:rPr>
              <w:t>Meets age/sex RDA (ICMR-NIN)</w:t>
            </w:r>
          </w:p>
        </w:tc>
        <w:tc>
          <w:tcPr>
            <w:tcW w:type="dxa" w:w="1512"/>
            <w:vAlign w:val="top"/>
          </w:tcPr>
          <w:p>
            <w:pPr>
              <w:spacing w:after="40" w:before="0" w:line="259" w:lineRule="auto"/>
            </w:pPr>
            <w:r>
              <w:rPr>
                <w:rFonts w:ascii="Calibri" w:hAnsi="Calibri"/>
                <w:b w:val="0"/>
                <w:i w:val="0"/>
                <w:color w:val="212121"/>
                <w:sz w:val="19"/>
              </w:rPr>
              <w:t>Habitually below RDA</w:t>
            </w:r>
          </w:p>
        </w:tc>
        <w:tc>
          <w:tcPr>
            <w:tcW w:type="dxa" w:w="1468"/>
            <w:vAlign w:val="top"/>
          </w:tcPr>
          <w:p>
            <w:pPr>
              <w:spacing w:after="60" w:line="259" w:lineRule="auto"/>
            </w:pPr>
            <w:r>
              <w:rPr>
                <w:rFonts w:ascii="Calibri" w:hAnsi="Calibri"/>
                <w:b w:val="0"/>
                <w:i w:val="0"/>
                <w:color w:val="212121"/>
                <w:sz w:val="19"/>
              </w:rPr>
              <w:t>Chronic low intake is the primary driver of deficiency</w:t>
            </w:r>
          </w:p>
          <w:p>
            <w:pPr>
              <w:spacing w:after="40" w:line="252" w:lineRule="auto"/>
            </w:pPr>
            <w:hyperlink r:id="rId10">
              <w:r>
                <w:rPr>
                  <w:rFonts w:ascii="Calibri" w:hAnsi="Calibri" w:cs="Calibri"/>
                  <w:sz w:val="18"/>
                  <w:color w:val="1155CC"/>
                  <w:u w:val="single"/>
                </w:rPr>
                <w:t xml:space="preserve">https://link.springer.com/article/10.1007/s00394-021-02636-7</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Frequency of vitamin-A-rich foods</w:t>
            </w:r>
          </w:p>
        </w:tc>
        <w:tc>
          <w:tcPr>
            <w:tcW w:type="dxa" w:w="1655"/>
            <w:vAlign w:val="top"/>
          </w:tcPr>
          <w:p>
            <w:pPr>
              <w:spacing w:after="40" w:before="0" w:line="259" w:lineRule="auto"/>
            </w:pPr>
            <w:r>
              <w:rPr>
                <w:rFonts w:ascii="Calibri" w:hAnsi="Calibri"/>
                <w:b w:val="0"/>
                <w:i w:val="0"/>
                <w:color w:val="212121"/>
                <w:sz w:val="19"/>
              </w:rPr>
              <w:t>Pre-school &amp; school children</w:t>
            </w:r>
          </w:p>
        </w:tc>
        <w:tc>
          <w:tcPr>
            <w:tcW w:type="dxa" w:w="1512"/>
            <w:vAlign w:val="top"/>
          </w:tcPr>
          <w:p>
            <w:pPr>
              <w:spacing w:after="40" w:before="0" w:line="259" w:lineRule="auto"/>
            </w:pPr>
            <w:r>
              <w:rPr>
                <w:rFonts w:ascii="Calibri" w:hAnsi="Calibri"/>
                <w:b w:val="0"/>
                <w:i w:val="0"/>
                <w:color w:val="212121"/>
                <w:sz w:val="19"/>
              </w:rPr>
              <w:t>Daily (greens/coloured produce/egg/milk)</w:t>
            </w:r>
          </w:p>
        </w:tc>
        <w:tc>
          <w:tcPr>
            <w:tcW w:type="dxa" w:w="1512"/>
            <w:vAlign w:val="top"/>
          </w:tcPr>
          <w:p>
            <w:pPr>
              <w:spacing w:after="40" w:before="0" w:line="259" w:lineRule="auto"/>
            </w:pPr>
            <w:r>
              <w:rPr>
                <w:rFonts w:ascii="Calibri" w:hAnsi="Calibri"/>
                <w:b w:val="0"/>
                <w:i w:val="0"/>
                <w:color w:val="212121"/>
                <w:sz w:val="19"/>
              </w:rPr>
              <w:t>Weekly (~4.3x) or monthly (~8.6x) intake</w:t>
            </w:r>
          </w:p>
        </w:tc>
        <w:tc>
          <w:tcPr>
            <w:tcW w:type="dxa" w:w="1468"/>
            <w:vAlign w:val="top"/>
          </w:tcPr>
          <w:p>
            <w:pPr>
              <w:spacing w:after="60" w:line="259" w:lineRule="auto"/>
            </w:pPr>
            <w:r>
              <w:rPr>
                <w:rFonts w:ascii="Calibri" w:hAnsi="Calibri"/>
                <w:b w:val="0"/>
                <w:i w:val="0"/>
                <w:color w:val="212121"/>
                <w:sz w:val="19"/>
              </w:rPr>
              <w:t>Lower frequency steeply raises VAD odds</w:t>
            </w:r>
          </w:p>
          <w:p>
            <w:pPr>
              <w:spacing w:after="40" w:line="252" w:lineRule="auto"/>
            </w:pPr>
            <w:hyperlink r:id="rId12">
              <w:r>
                <w:rPr>
                  <w:rFonts w:ascii="Calibri" w:hAnsi="Calibri" w:cs="Calibri"/>
                  <w:sz w:val="18"/>
                  <w:color w:val="1155CC"/>
                  <w:u w:val="single"/>
                </w:rPr>
                <w:t xml:space="preserve">https://pmc.ncbi.nlm.nih.gov/articles/PMC11927858/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fat with meals</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Adequate fat/oil to absorb carotenoids</w:t>
            </w:r>
          </w:p>
        </w:tc>
        <w:tc>
          <w:tcPr>
            <w:tcW w:type="dxa" w:w="1512"/>
            <w:vAlign w:val="top"/>
          </w:tcPr>
          <w:p>
            <w:pPr>
              <w:spacing w:after="40" w:before="0" w:line="259" w:lineRule="auto"/>
            </w:pPr>
            <w:r>
              <w:rPr>
                <w:rFonts w:ascii="Calibri" w:hAnsi="Calibri"/>
                <w:b w:val="0"/>
                <w:i w:val="0"/>
                <w:color w:val="212121"/>
                <w:sz w:val="19"/>
              </w:rPr>
              <w:t>Very-low-fat monotonous diet</w:t>
            </w:r>
          </w:p>
        </w:tc>
        <w:tc>
          <w:tcPr>
            <w:tcW w:type="dxa" w:w="1468"/>
            <w:vAlign w:val="top"/>
          </w:tcPr>
          <w:p>
            <w:pPr>
              <w:spacing w:after="40" w:before="0" w:line="259" w:lineRule="auto"/>
            </w:pPr>
            <w:r>
              <w:rPr>
                <w:rFonts w:ascii="Calibri" w:hAnsi="Calibri"/>
                <w:b w:val="0"/>
                <w:i w:val="0"/>
                <w:color w:val="212121"/>
                <w:sz w:val="19"/>
              </w:rPr>
              <w:t>Fat is required for absorption of fat-soluble vitamin 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retinol (ug/dL)</w:t>
            </w:r>
          </w:p>
        </w:tc>
        <w:tc>
          <w:tcPr>
            <w:tcW w:type="dxa" w:w="1655"/>
            <w:vAlign w:val="top"/>
          </w:tcPr>
          <w:p>
            <w:pPr>
              <w:spacing w:after="40" w:before="0" w:line="259" w:lineRule="auto"/>
            </w:pPr>
            <w:r>
              <w:rPr>
                <w:rFonts w:ascii="Calibri" w:hAnsi="Calibri"/>
                <w:b w:val="0"/>
                <w:i w:val="0"/>
                <w:color w:val="212121"/>
                <w:sz w:val="19"/>
              </w:rPr>
              <w:t>At-risk children &amp; women</w:t>
            </w:r>
          </w:p>
        </w:tc>
        <w:tc>
          <w:tcPr>
            <w:tcW w:type="dxa" w:w="1512"/>
            <w:vAlign w:val="top"/>
          </w:tcPr>
          <w:p>
            <w:pPr>
              <w:spacing w:after="40" w:before="0" w:line="259" w:lineRule="auto"/>
            </w:pPr>
            <w:r>
              <w:rPr>
                <w:rFonts w:ascii="Calibri" w:hAnsi="Calibri"/>
                <w:b w:val="0"/>
                <w:i w:val="0"/>
                <w:color w:val="212121"/>
                <w:sz w:val="19"/>
              </w:rPr>
              <w:t>&gt;= 20 ug/dL (&gt;=0.70 umol/L)</w:t>
            </w:r>
          </w:p>
        </w:tc>
        <w:tc>
          <w:tcPr>
            <w:tcW w:type="dxa" w:w="1512"/>
            <w:vAlign w:val="top"/>
          </w:tcPr>
          <w:p>
            <w:pPr>
              <w:spacing w:after="40" w:before="0" w:line="259" w:lineRule="auto"/>
            </w:pPr>
            <w:r>
              <w:rPr>
                <w:rFonts w:ascii="Calibri" w:hAnsi="Calibri"/>
                <w:b w:val="0"/>
                <w:i w:val="0"/>
                <w:color w:val="212121"/>
                <w:sz w:val="19"/>
              </w:rPr>
              <w:t>&lt;20 (deficient); &lt;10 (severe)</w:t>
            </w:r>
          </w:p>
        </w:tc>
        <w:tc>
          <w:tcPr>
            <w:tcW w:type="dxa" w:w="1468"/>
            <w:vAlign w:val="top"/>
          </w:tcPr>
          <w:p>
            <w:pPr>
              <w:spacing w:after="60" w:line="259" w:lineRule="auto"/>
            </w:pPr>
            <w:r>
              <w:rPr>
                <w:rFonts w:ascii="Calibri" w:hAnsi="Calibri"/>
                <w:b w:val="0"/>
                <w:i w:val="0"/>
                <w:color w:val="212121"/>
                <w:sz w:val="19"/>
              </w:rPr>
              <w:t>Biochemical marker of vitamin A status</w:t>
            </w:r>
          </w:p>
          <w:p>
            <w:pPr>
              <w:spacing w:after="40" w:line="252" w:lineRule="auto"/>
            </w:pPr>
            <w:hyperlink r:id="rId13">
              <w:r>
                <w:rPr>
                  <w:rFonts w:ascii="Calibri" w:hAnsi="Calibri" w:cs="Calibri"/>
                  <w:sz w:val="18"/>
                  <w:color w:val="1155CC"/>
                  <w:u w:val="single"/>
                </w:rPr>
                <w:t xml:space="preserve">https://ijmr.org.in/national-control-programme-against-nutritional-blindness-due-to-vitamin-a-deficiency-current-status-future-strategy/</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Vitamin A prophylaxis doses received</w:t>
            </w:r>
          </w:p>
        </w:tc>
        <w:tc>
          <w:tcPr>
            <w:tcW w:type="dxa" w:w="1655"/>
            <w:vAlign w:val="top"/>
          </w:tcPr>
          <w:p>
            <w:pPr>
              <w:spacing w:after="40" w:before="0" w:line="259" w:lineRule="auto"/>
            </w:pPr>
            <w:r>
              <w:rPr>
                <w:rFonts w:ascii="Calibri" w:hAnsi="Calibri"/>
                <w:b w:val="0"/>
                <w:i w:val="0"/>
                <w:color w:val="212121"/>
                <w:sz w:val="19"/>
              </w:rPr>
              <w:t>Children 6-59 months</w:t>
            </w:r>
          </w:p>
        </w:tc>
        <w:tc>
          <w:tcPr>
            <w:tcW w:type="dxa" w:w="1512"/>
            <w:vAlign w:val="top"/>
          </w:tcPr>
          <w:p>
            <w:pPr>
              <w:spacing w:after="40" w:before="0" w:line="259" w:lineRule="auto"/>
            </w:pPr>
            <w:r>
              <w:rPr>
                <w:rFonts w:ascii="Calibri" w:hAnsi="Calibri"/>
                <w:b w:val="0"/>
                <w:i w:val="0"/>
                <w:color w:val="212121"/>
                <w:sz w:val="19"/>
              </w:rPr>
              <w:t>All 9 megadoses by age 5</w:t>
            </w:r>
          </w:p>
        </w:tc>
        <w:tc>
          <w:tcPr>
            <w:tcW w:type="dxa" w:w="1512"/>
            <w:vAlign w:val="top"/>
          </w:tcPr>
          <w:p>
            <w:pPr>
              <w:spacing w:after="40" w:before="0" w:line="259" w:lineRule="auto"/>
            </w:pPr>
            <w:r>
              <w:rPr>
                <w:rFonts w:ascii="Calibri" w:hAnsi="Calibri"/>
                <w:b w:val="0"/>
                <w:i w:val="0"/>
                <w:color w:val="212121"/>
                <w:sz w:val="19"/>
              </w:rPr>
              <w:t>Any dose missed</w:t>
            </w:r>
          </w:p>
        </w:tc>
        <w:tc>
          <w:tcPr>
            <w:tcW w:type="dxa" w:w="1468"/>
            <w:vAlign w:val="top"/>
          </w:tcPr>
          <w:p>
            <w:pPr>
              <w:spacing w:after="60" w:line="259" w:lineRule="auto"/>
            </w:pPr>
            <w:r>
              <w:rPr>
                <w:rFonts w:ascii="Calibri" w:hAnsi="Calibri"/>
                <w:b w:val="0"/>
                <w:i w:val="0"/>
                <w:color w:val="212121"/>
                <w:sz w:val="19"/>
              </w:rPr>
              <w:t>Non-receipt of prophylaxis markedly raises VAD risk</w:t>
            </w:r>
          </w:p>
          <w:p>
            <w:pPr>
              <w:spacing w:after="40" w:line="252" w:lineRule="auto"/>
            </w:pPr>
            <w:hyperlink r:id="rId14">
              <w:r>
                <w:rPr>
                  <w:rFonts w:ascii="Calibri" w:hAnsi="Calibri" w:cs="Calibri"/>
                  <w:sz w:val="18"/>
                  <w:color w:val="1155CC"/>
                  <w:u w:val="single"/>
                </w:rPr>
                <w:t xml:space="preserve">https://www.nhp.gov.in/national-vitamin-a-prophylaxis-program_pg</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Access to sanitary latrine</w:t>
            </w:r>
          </w:p>
        </w:tc>
        <w:tc>
          <w:tcPr>
            <w:tcW w:type="dxa" w:w="1655"/>
            <w:vAlign w:val="top"/>
          </w:tcPr>
          <w:p>
            <w:pPr>
              <w:spacing w:after="40" w:before="0" w:line="259" w:lineRule="auto"/>
            </w:pPr>
            <w:r>
              <w:rPr>
                <w:rFonts w:ascii="Calibri" w:hAnsi="Calibri"/>
                <w:b w:val="0"/>
                <w:i w:val="0"/>
                <w:color w:val="212121"/>
                <w:sz w:val="19"/>
              </w:rPr>
              <w:t>Rural households with children</w:t>
            </w:r>
          </w:p>
        </w:tc>
        <w:tc>
          <w:tcPr>
            <w:tcW w:type="dxa" w:w="1512"/>
            <w:vAlign w:val="top"/>
          </w:tcPr>
          <w:p>
            <w:pPr>
              <w:spacing w:after="40" w:before="0" w:line="259" w:lineRule="auto"/>
            </w:pPr>
            <w:r>
              <w:rPr>
                <w:rFonts w:ascii="Calibri" w:hAnsi="Calibri"/>
                <w:b w:val="0"/>
                <w:i w:val="0"/>
                <w:color w:val="212121"/>
                <w:sz w:val="19"/>
              </w:rPr>
              <w:t>Household sanitary latrine</w:t>
            </w:r>
          </w:p>
        </w:tc>
        <w:tc>
          <w:tcPr>
            <w:tcW w:type="dxa" w:w="1512"/>
            <w:vAlign w:val="top"/>
          </w:tcPr>
          <w:p>
            <w:pPr>
              <w:spacing w:after="40" w:before="0" w:line="259" w:lineRule="auto"/>
            </w:pPr>
            <w:r>
              <w:rPr>
                <w:rFonts w:ascii="Calibri" w:hAnsi="Calibri"/>
                <w:b w:val="0"/>
                <w:i w:val="0"/>
                <w:color w:val="212121"/>
                <w:sz w:val="19"/>
              </w:rPr>
              <w:t>No latrine (OR ~5.9 for Bitot's spots)</w:t>
            </w:r>
          </w:p>
        </w:tc>
        <w:tc>
          <w:tcPr>
            <w:tcW w:type="dxa" w:w="1468"/>
            <w:vAlign w:val="top"/>
          </w:tcPr>
          <w:p>
            <w:pPr>
              <w:spacing w:after="60" w:line="259" w:lineRule="auto"/>
            </w:pPr>
            <w:r>
              <w:rPr>
                <w:rFonts w:ascii="Calibri" w:hAnsi="Calibri"/>
                <w:b w:val="0"/>
                <w:i w:val="0"/>
                <w:color w:val="212121"/>
                <w:sz w:val="19"/>
              </w:rPr>
              <w:t>Sanitation lowers the diarrhoeal load that depletes vitamin A</w:t>
            </w:r>
          </w:p>
          <w:p>
            <w:pPr>
              <w:spacing w:after="40" w:line="252" w:lineRule="auto"/>
            </w:pPr>
            <w:hyperlink r:id="rId9">
              <w:r>
                <w:rPr>
                  <w:rFonts w:ascii="Calibri" w:hAnsi="Calibri" w:cs="Calibri"/>
                  <w:sz w:val="18"/>
                  <w:color w:val="1155CC"/>
                  <w:u w:val="single"/>
                </w:rPr>
                <w:t xml:space="preserve">https://www.cambridge.org/core/journals/public-health-nutrition/article/prevalence-of-ocular-signs-and-subclinical-vitamin-a-deficiency-and-its-determinants-among-rural-preschool-children-in-india/6CC81D6A59C1A7A6E52C1EF79362CEEF</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Exclusive breastfeeding (0-6 months)</w:t>
            </w:r>
          </w:p>
        </w:tc>
        <w:tc>
          <w:tcPr>
            <w:tcW w:type="dxa" w:w="1655"/>
            <w:vAlign w:val="top"/>
          </w:tcPr>
          <w:p>
            <w:pPr>
              <w:spacing w:after="40" w:before="0" w:line="259" w:lineRule="auto"/>
            </w:pPr>
            <w:r>
              <w:rPr>
                <w:rFonts w:ascii="Calibri" w:hAnsi="Calibri"/>
                <w:b w:val="0"/>
                <w:i w:val="0"/>
                <w:color w:val="212121"/>
                <w:sz w:val="19"/>
              </w:rPr>
              <w:t>Infants</w:t>
            </w:r>
          </w:p>
        </w:tc>
        <w:tc>
          <w:tcPr>
            <w:tcW w:type="dxa" w:w="1512"/>
            <w:vAlign w:val="top"/>
          </w:tcPr>
          <w:p>
            <w:pPr>
              <w:spacing w:after="40" w:before="0" w:line="259" w:lineRule="auto"/>
            </w:pPr>
            <w:r>
              <w:rPr>
                <w:rFonts w:ascii="Calibri" w:hAnsi="Calibri"/>
                <w:b w:val="0"/>
                <w:i w:val="0"/>
                <w:color w:val="212121"/>
                <w:sz w:val="19"/>
              </w:rPr>
              <w:t>Exclusive to 6 months</w:t>
            </w:r>
          </w:p>
        </w:tc>
        <w:tc>
          <w:tcPr>
            <w:tcW w:type="dxa" w:w="1512"/>
            <w:vAlign w:val="top"/>
          </w:tcPr>
          <w:p>
            <w:pPr>
              <w:spacing w:after="40" w:before="0" w:line="259" w:lineRule="auto"/>
            </w:pPr>
            <w:r>
              <w:rPr>
                <w:rFonts w:ascii="Calibri" w:hAnsi="Calibri"/>
                <w:b w:val="0"/>
                <w:i w:val="0"/>
                <w:color w:val="212121"/>
                <w:sz w:val="19"/>
              </w:rPr>
              <w:t>Early cessation / dilute cereal weaning</w:t>
            </w:r>
          </w:p>
        </w:tc>
        <w:tc>
          <w:tcPr>
            <w:tcW w:type="dxa" w:w="1468"/>
            <w:vAlign w:val="top"/>
          </w:tcPr>
          <w:p>
            <w:pPr>
              <w:spacing w:after="40" w:before="0" w:line="259" w:lineRule="auto"/>
            </w:pPr>
            <w:r>
              <w:rPr>
                <w:rFonts w:ascii="Calibri" w:hAnsi="Calibri"/>
                <w:b w:val="0"/>
                <w:i w:val="0"/>
                <w:color w:val="212121"/>
                <w:sz w:val="19"/>
              </w:rPr>
              <w:t>Breast milk is a key early vitamin A source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Weight-for-age / PEM grade</w:t>
            </w:r>
          </w:p>
        </w:tc>
        <w:tc>
          <w:tcPr>
            <w:tcW w:type="dxa" w:w="1655"/>
            <w:vAlign w:val="top"/>
          </w:tcPr>
          <w:p>
            <w:pPr>
              <w:spacing w:after="40" w:before="0" w:line="259" w:lineRule="auto"/>
            </w:pPr>
            <w:r>
              <w:rPr>
                <w:rFonts w:ascii="Calibri" w:hAnsi="Calibri"/>
                <w:b w:val="0"/>
                <w:i w:val="0"/>
                <w:color w:val="212121"/>
                <w:sz w:val="19"/>
              </w:rPr>
              <w:t>Under-five children</w:t>
            </w:r>
          </w:p>
        </w:tc>
        <w:tc>
          <w:tcPr>
            <w:tcW w:type="dxa" w:w="1512"/>
            <w:vAlign w:val="top"/>
          </w:tcPr>
          <w:p>
            <w:pPr>
              <w:spacing w:after="40" w:before="0" w:line="259" w:lineRule="auto"/>
            </w:pPr>
            <w:r>
              <w:rPr>
                <w:rFonts w:ascii="Calibri" w:hAnsi="Calibri"/>
                <w:b w:val="0"/>
                <w:i w:val="0"/>
                <w:color w:val="212121"/>
                <w:sz w:val="19"/>
              </w:rPr>
              <w:t>Normal (no PEM)</w:t>
            </w:r>
          </w:p>
        </w:tc>
        <w:tc>
          <w:tcPr>
            <w:tcW w:type="dxa" w:w="1512"/>
            <w:vAlign w:val="top"/>
          </w:tcPr>
          <w:p>
            <w:pPr>
              <w:spacing w:after="40" w:before="0" w:line="259" w:lineRule="auto"/>
            </w:pPr>
            <w:r>
              <w:rPr>
                <w:rFonts w:ascii="Calibri" w:hAnsi="Calibri"/>
                <w:b w:val="0"/>
                <w:i w:val="0"/>
                <w:color w:val="212121"/>
                <w:sz w:val="19"/>
              </w:rPr>
              <w:t>Grade 2-3 PEM (OR ~10.7-44.4)</w:t>
            </w:r>
          </w:p>
        </w:tc>
        <w:tc>
          <w:tcPr>
            <w:tcW w:type="dxa" w:w="1468"/>
            <w:vAlign w:val="top"/>
          </w:tcPr>
          <w:p>
            <w:pPr>
              <w:spacing w:after="60" w:line="259" w:lineRule="auto"/>
            </w:pPr>
            <w:r>
              <w:rPr>
                <w:rFonts w:ascii="Calibri" w:hAnsi="Calibri"/>
                <w:b w:val="0"/>
                <w:i w:val="0"/>
                <w:color w:val="212121"/>
                <w:sz w:val="19"/>
              </w:rPr>
              <w:t>Undernutrition and VAD share roots and reinforce each other</w:t>
            </w:r>
          </w:p>
          <w:p>
            <w:pPr>
              <w:spacing w:after="40" w:line="252" w:lineRule="auto"/>
            </w:pPr>
            <w:hyperlink r:id="rId12">
              <w:r>
                <w:rPr>
                  <w:rFonts w:ascii="Calibri" w:hAnsi="Calibri" w:cs="Calibri"/>
                  <w:sz w:val="18"/>
                  <w:color w:val="1155CC"/>
                  <w:u w:val="single"/>
                </w:rPr>
                <w:t xml:space="preserve">https://pmc.ncbi.nlm.nih.gov/articles/PMC11927858/</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(adults)</w:t>
            </w:r>
          </w:p>
        </w:tc>
        <w:tc>
          <w:tcPr>
            <w:tcW w:type="dxa" w:w="1655"/>
            <w:vAlign w:val="top"/>
          </w:tcPr>
          <w:p>
            <w:pPr>
              <w:spacing w:after="40" w:before="0" w:line="259" w:lineRule="auto"/>
            </w:pPr>
            <w:r>
              <w:rPr>
                <w:rFonts w:ascii="Calibri" w:hAnsi="Calibri"/>
                <w:b w:val="0"/>
                <w:i w:val="0"/>
                <w:color w:val="212121"/>
                <w:sz w:val="19"/>
              </w:rPr>
              <w:t>Adults with liver disease</w:t>
            </w:r>
          </w:p>
        </w:tc>
        <w:tc>
          <w:tcPr>
            <w:tcW w:type="dxa" w:w="1512"/>
            <w:vAlign w:val="top"/>
          </w:tcPr>
          <w:p>
            <w:pPr>
              <w:spacing w:after="40" w:before="0" w:line="259" w:lineRule="auto"/>
            </w:pPr>
            <w:r>
              <w:rPr>
                <w:rFonts w:ascii="Calibri" w:hAnsi="Calibri"/>
                <w:b w:val="0"/>
                <w:i w:val="0"/>
                <w:color w:val="212121"/>
                <w:sz w:val="19"/>
              </w:rPr>
              <w:t>Nil / minimal</w:t>
            </w:r>
          </w:p>
        </w:tc>
        <w:tc>
          <w:tcPr>
            <w:tcW w:type="dxa" w:w="1512"/>
            <w:vAlign w:val="top"/>
          </w:tcPr>
          <w:p>
            <w:pPr>
              <w:spacing w:after="40" w:before="0" w:line="259" w:lineRule="auto"/>
            </w:pPr>
            <w:r>
              <w:rPr>
                <w:rFonts w:ascii="Calibri" w:hAnsi="Calibri"/>
                <w:b w:val="0"/>
                <w:i w:val="0"/>
                <w:color w:val="212121"/>
                <w:sz w:val="19"/>
              </w:rPr>
              <w:t>Chronic heavy use</w:t>
            </w:r>
          </w:p>
        </w:tc>
        <w:tc>
          <w:tcPr>
            <w:tcW w:type="dxa" w:w="1468"/>
            <w:vAlign w:val="top"/>
          </w:tcPr>
          <w:p>
            <w:pPr>
              <w:spacing w:after="40" w:before="0" w:line="259" w:lineRule="auto"/>
            </w:pPr>
            <w:r>
              <w:rPr>
                <w:rFonts w:ascii="Calibri" w:hAnsi="Calibri"/>
                <w:b w:val="0"/>
                <w:i w:val="0"/>
                <w:color w:val="212121"/>
                <w:sz w:val="19"/>
              </w:rPr>
              <w:t>Impairs hepatic retinol storage and mobilisation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retinol</w:t>
            </w:r>
          </w:p>
        </w:tc>
        <w:tc>
          <w:tcPr>
            <w:tcW w:type="dxa" w:w="892"/>
            <w:vAlign w:val="top"/>
          </w:tcPr>
          <w:p>
            <w:pPr>
              <w:spacing w:after="40" w:before="0" w:line="259" w:lineRule="auto"/>
            </w:pPr>
            <w:r>
              <w:rPr>
                <w:rFonts w:ascii="Calibri" w:hAnsi="Calibri"/>
                <w:b w:val="0"/>
                <w:i w:val="0"/>
                <w:color w:val="212121"/>
                <w:sz w:val="16"/>
              </w:rPr>
              <w:t>Vitamin A status assay (HPLC)</w:t>
            </w:r>
          </w:p>
        </w:tc>
        <w:tc>
          <w:tcPr>
            <w:tcW w:type="dxa" w:w="950"/>
            <w:vAlign w:val="top"/>
          </w:tcPr>
          <w:p>
            <w:pPr>
              <w:spacing w:after="40" w:before="0" w:line="259" w:lineRule="auto"/>
            </w:pPr>
            <w:r>
              <w:rPr>
                <w:rFonts w:ascii="Calibri" w:hAnsi="Calibri"/>
                <w:b w:val="0"/>
                <w:i w:val="0"/>
                <w:color w:val="212121"/>
                <w:sz w:val="16"/>
              </w:rPr>
              <w:t>&gt;= 20 ug/dL (&gt;= 0.70 umol/L)</w:t>
            </w:r>
          </w:p>
        </w:tc>
        <w:tc>
          <w:tcPr>
            <w:tcW w:type="dxa" w:w="950"/>
            <w:vAlign w:val="top"/>
          </w:tcPr>
          <w:p>
            <w:pPr>
              <w:spacing w:after="40" w:before="0" w:line="259" w:lineRule="auto"/>
            </w:pPr>
            <w:r>
              <w:rPr>
                <w:rFonts w:ascii="Calibri" w:hAnsi="Calibri"/>
                <w:b w:val="0"/>
                <w:i w:val="0"/>
                <w:color w:val="212121"/>
                <w:sz w:val="16"/>
              </w:rPr>
              <w:t>&lt; 20 ug/dL; &lt; 10 ug/dL = severe</w:t>
            </w:r>
          </w:p>
        </w:tc>
        <w:tc>
          <w:tcPr>
            <w:tcW w:type="dxa" w:w="1036"/>
            <w:vAlign w:val="top"/>
          </w:tcPr>
          <w:p>
            <w:pPr>
              <w:spacing w:after="40" w:before="0" w:line="259" w:lineRule="auto"/>
            </w:pPr>
            <w:r>
              <w:rPr>
                <w:rFonts w:ascii="Calibri" w:hAnsi="Calibri"/>
                <w:b w:val="0"/>
                <w:i w:val="0"/>
                <w:color w:val="212121"/>
                <w:sz w:val="16"/>
              </w:rPr>
              <w:t>Confirms biochemical vitamin A deficiency; population marker of VAD severity</w:t>
            </w:r>
          </w:p>
        </w:tc>
        <w:tc>
          <w:tcPr>
            <w:tcW w:type="dxa" w:w="1036"/>
            <w:vAlign w:val="top"/>
          </w:tcPr>
          <w:p>
            <w:pPr>
              <w:spacing w:after="40" w:before="0" w:line="259" w:lineRule="auto"/>
            </w:pPr>
            <w:r>
              <w:rPr>
                <w:rFonts w:ascii="Calibri" w:hAnsi="Calibri"/>
                <w:b w:val="0"/>
                <w:i w:val="0"/>
                <w:color w:val="212121"/>
                <w:sz w:val="16"/>
              </w:rPr>
              <w:t>At-risk children, pregnant/lactating women, malabsorption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Reference standard</w:t>
            </w:r>
          </w:p>
        </w:tc>
        <w:tc>
          <w:tcPr>
            <w:tcW w:type="dxa" w:w="720"/>
            <w:vAlign w:val="top"/>
          </w:tcPr>
          <w:p>
            <w:pPr>
              <w:spacing w:after="40" w:before="0" w:line="259" w:lineRule="auto"/>
            </w:pPr>
            <w:r>
              <w:rPr>
                <w:rFonts w:ascii="Calibri" w:hAnsi="Calibri"/>
                <w:b w:val="0"/>
                <w:i w:val="0"/>
                <w:color w:val="212121"/>
                <w:sz w:val="16"/>
              </w:rPr>
              <w:t>Falls in acute infection/inflammation - interpret with CRP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retinol-binding protein (RBP)</w:t>
            </w:r>
          </w:p>
        </w:tc>
        <w:tc>
          <w:tcPr>
            <w:tcW w:type="dxa" w:w="892"/>
            <w:vAlign w:val="top"/>
          </w:tcPr>
          <w:p>
            <w:pPr>
              <w:spacing w:after="40" w:before="0" w:line="259" w:lineRule="auto"/>
            </w:pPr>
            <w:r>
              <w:rPr>
                <w:rFonts w:ascii="Calibri" w:hAnsi="Calibri"/>
                <w:b w:val="0"/>
                <w:i w:val="0"/>
                <w:color w:val="212121"/>
                <w:sz w:val="16"/>
              </w:rPr>
              <w:t>RBP immunoassay</w:t>
            </w:r>
          </w:p>
        </w:tc>
        <w:tc>
          <w:tcPr>
            <w:tcW w:type="dxa" w:w="950"/>
            <w:vAlign w:val="top"/>
          </w:tcPr>
          <w:p>
            <w:pPr>
              <w:spacing w:after="40" w:before="0" w:line="259" w:lineRule="auto"/>
            </w:pPr>
            <w:r>
              <w:rPr>
                <w:rFonts w:ascii="Calibri" w:hAnsi="Calibri"/>
                <w:b w:val="0"/>
                <w:i w:val="0"/>
                <w:color w:val="212121"/>
                <w:sz w:val="16"/>
              </w:rPr>
              <w:t>Age-appropriate reference range</w:t>
            </w:r>
          </w:p>
        </w:tc>
        <w:tc>
          <w:tcPr>
            <w:tcW w:type="dxa" w:w="950"/>
            <w:vAlign w:val="top"/>
          </w:tcPr>
          <w:p>
            <w:pPr>
              <w:spacing w:after="40" w:before="0" w:line="259" w:lineRule="auto"/>
            </w:pPr>
            <w:r>
              <w:rPr>
                <w:rFonts w:ascii="Calibri" w:hAnsi="Calibri"/>
                <w:b w:val="0"/>
                <w:i w:val="0"/>
                <w:color w:val="212121"/>
                <w:sz w:val="16"/>
              </w:rPr>
              <w:t>Low RBP</w:t>
            </w:r>
          </w:p>
        </w:tc>
        <w:tc>
          <w:tcPr>
            <w:tcW w:type="dxa" w:w="1036"/>
            <w:vAlign w:val="top"/>
          </w:tcPr>
          <w:p>
            <w:pPr>
              <w:spacing w:after="40" w:before="0" w:line="259" w:lineRule="auto"/>
            </w:pPr>
            <w:r>
              <w:rPr>
                <w:rFonts w:ascii="Calibri" w:hAnsi="Calibri"/>
                <w:b w:val="0"/>
                <w:i w:val="0"/>
                <w:color w:val="212121"/>
                <w:sz w:val="16"/>
              </w:rPr>
              <w:t>Surrogate for serum retinol; stable, field-friendly proxy of status</w:t>
            </w:r>
          </w:p>
        </w:tc>
        <w:tc>
          <w:tcPr>
            <w:tcW w:type="dxa" w:w="1036"/>
            <w:vAlign w:val="top"/>
          </w:tcPr>
          <w:p>
            <w:pPr>
              <w:spacing w:after="40" w:before="0" w:line="259" w:lineRule="auto"/>
            </w:pPr>
            <w:r>
              <w:rPr>
                <w:rFonts w:ascii="Calibri" w:hAnsi="Calibri"/>
                <w:b w:val="0"/>
                <w:i w:val="0"/>
                <w:color w:val="212121"/>
                <w:sz w:val="16"/>
              </w:rPr>
              <w:t>Field surveys,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Screening/surrogate</w:t>
            </w:r>
          </w:p>
        </w:tc>
        <w:tc>
          <w:tcPr>
            <w:tcW w:type="dxa" w:w="720"/>
            <w:vAlign w:val="top"/>
          </w:tcPr>
          <w:p>
            <w:pPr>
              <w:spacing w:after="40" w:before="0" w:line="259" w:lineRule="auto"/>
            </w:pPr>
            <w:r>
              <w:rPr>
                <w:rFonts w:ascii="Calibri" w:hAnsi="Calibri"/>
                <w:b w:val="0"/>
                <w:i w:val="0"/>
                <w:color w:val="212121"/>
                <w:sz w:val="16"/>
              </w:rPr>
              <w:t>Reduced in PEM and liver disease independent of vitamin 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Relative dose-response (RDR / MRDR)</w:t>
            </w:r>
          </w:p>
        </w:tc>
        <w:tc>
          <w:tcPr>
            <w:tcW w:type="dxa" w:w="892"/>
            <w:vAlign w:val="top"/>
          </w:tcPr>
          <w:p>
            <w:pPr>
              <w:spacing w:after="40" w:before="0" w:line="259" w:lineRule="auto"/>
            </w:pPr>
            <w:r>
              <w:rPr>
                <w:rFonts w:ascii="Calibri" w:hAnsi="Calibri"/>
                <w:b w:val="0"/>
                <w:i w:val="0"/>
                <w:color w:val="212121"/>
                <w:sz w:val="16"/>
              </w:rPr>
              <w:t>Hepatic store test</w:t>
            </w:r>
          </w:p>
        </w:tc>
        <w:tc>
          <w:tcPr>
            <w:tcW w:type="dxa" w:w="950"/>
            <w:vAlign w:val="top"/>
          </w:tcPr>
          <w:p>
            <w:pPr>
              <w:spacing w:after="40" w:before="0" w:line="259" w:lineRule="auto"/>
            </w:pPr>
            <w:r>
              <w:rPr>
                <w:rFonts w:ascii="Calibri" w:hAnsi="Calibri"/>
                <w:b w:val="0"/>
                <w:i w:val="0"/>
                <w:color w:val="212121"/>
                <w:sz w:val="16"/>
              </w:rPr>
              <w:t>RDR &lt; 20%</w:t>
            </w:r>
          </w:p>
        </w:tc>
        <w:tc>
          <w:tcPr>
            <w:tcW w:type="dxa" w:w="950"/>
            <w:vAlign w:val="top"/>
          </w:tcPr>
          <w:p>
            <w:pPr>
              <w:spacing w:after="40" w:before="0" w:line="259" w:lineRule="auto"/>
            </w:pPr>
            <w:r>
              <w:rPr>
                <w:rFonts w:ascii="Calibri" w:hAnsi="Calibri"/>
                <w:b w:val="0"/>
                <w:i w:val="0"/>
                <w:color w:val="212121"/>
                <w:sz w:val="16"/>
              </w:rPr>
              <w:t>RDR &gt;= 20%</w:t>
            </w:r>
          </w:p>
        </w:tc>
        <w:tc>
          <w:tcPr>
            <w:tcW w:type="dxa" w:w="1036"/>
            <w:vAlign w:val="top"/>
          </w:tcPr>
          <w:p>
            <w:pPr>
              <w:spacing w:after="40" w:before="0" w:line="259" w:lineRule="auto"/>
            </w:pPr>
            <w:r>
              <w:rPr>
                <w:rFonts w:ascii="Calibri" w:hAnsi="Calibri"/>
                <w:b w:val="0"/>
                <w:i w:val="0"/>
                <w:color w:val="212121"/>
                <w:sz w:val="16"/>
              </w:rPr>
              <w:t>Elevated response indicates depleted hepatic vitamin A stores (marginal status)</w:t>
            </w:r>
          </w:p>
        </w:tc>
        <w:tc>
          <w:tcPr>
            <w:tcW w:type="dxa" w:w="1036"/>
            <w:vAlign w:val="top"/>
          </w:tcPr>
          <w:p>
            <w:pPr>
              <w:spacing w:after="40" w:before="0" w:line="259" w:lineRule="auto"/>
            </w:pPr>
            <w:r>
              <w:rPr>
                <w:rFonts w:ascii="Calibri" w:hAnsi="Calibri"/>
                <w:b w:val="0"/>
                <w:i w:val="0"/>
                <w:color w:val="212121"/>
                <w:sz w:val="16"/>
              </w:rPr>
              <w:t>Research/borderline cases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Detects subclinical depletion before serum retinol falls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Dark adaptometry / rapid dark-adaptation test</w:t>
            </w:r>
          </w:p>
        </w:tc>
        <w:tc>
          <w:tcPr>
            <w:tcW w:type="dxa" w:w="892"/>
            <w:vAlign w:val="top"/>
          </w:tcPr>
          <w:p>
            <w:pPr>
              <w:spacing w:after="40" w:before="0" w:line="259" w:lineRule="auto"/>
            </w:pPr>
            <w:r>
              <w:rPr>
                <w:rFonts w:ascii="Calibri" w:hAnsi="Calibri"/>
                <w:b w:val="0"/>
                <w:i w:val="0"/>
                <w:color w:val="212121"/>
                <w:sz w:val="16"/>
              </w:rPr>
              <w:t>Rod function test</w:t>
            </w:r>
          </w:p>
        </w:tc>
        <w:tc>
          <w:tcPr>
            <w:tcW w:type="dxa" w:w="950"/>
            <w:vAlign w:val="top"/>
          </w:tcPr>
          <w:p>
            <w:pPr>
              <w:spacing w:after="40" w:before="0" w:line="259" w:lineRule="auto"/>
            </w:pPr>
            <w:r>
              <w:rPr>
                <w:rFonts w:ascii="Calibri" w:hAnsi="Calibri"/>
                <w:b w:val="0"/>
                <w:i w:val="0"/>
                <w:color w:val="212121"/>
                <w:sz w:val="16"/>
              </w:rPr>
              <w:t>Normal dark adaptation</w:t>
            </w:r>
          </w:p>
        </w:tc>
        <w:tc>
          <w:tcPr>
            <w:tcW w:type="dxa" w:w="950"/>
            <w:vAlign w:val="top"/>
          </w:tcPr>
          <w:p>
            <w:pPr>
              <w:spacing w:after="40" w:before="0" w:line="259" w:lineRule="auto"/>
            </w:pPr>
            <w:r>
              <w:rPr>
                <w:rFonts w:ascii="Calibri" w:hAnsi="Calibri"/>
                <w:b w:val="0"/>
                <w:i w:val="0"/>
                <w:color w:val="212121"/>
                <w:sz w:val="16"/>
              </w:rPr>
              <w:t>Delayed/impaired adaptation</w:t>
            </w:r>
          </w:p>
        </w:tc>
        <w:tc>
          <w:tcPr>
            <w:tcW w:type="dxa" w:w="1036"/>
            <w:vAlign w:val="top"/>
          </w:tcPr>
          <w:p>
            <w:pPr>
              <w:spacing w:after="40" w:before="0" w:line="259" w:lineRule="auto"/>
            </w:pPr>
            <w:r>
              <w:rPr>
                <w:rFonts w:ascii="Calibri" w:hAnsi="Calibri"/>
                <w:b w:val="0"/>
                <w:i w:val="0"/>
                <w:color w:val="212121"/>
                <w:sz w:val="16"/>
              </w:rPr>
              <w:t>Objective measure of night blindness (impaired rhodopsin regeneration)</w:t>
            </w:r>
          </w:p>
        </w:tc>
        <w:tc>
          <w:tcPr>
            <w:tcW w:type="dxa" w:w="1036"/>
            <w:vAlign w:val="top"/>
          </w:tcPr>
          <w:p>
            <w:pPr>
              <w:spacing w:after="40" w:before="0" w:line="259" w:lineRule="auto"/>
            </w:pPr>
            <w:r>
              <w:rPr>
                <w:rFonts w:ascii="Calibri" w:hAnsi="Calibri"/>
                <w:b w:val="0"/>
                <w:i w:val="0"/>
                <w:color w:val="212121"/>
                <w:sz w:val="16"/>
              </w:rPr>
              <w:t>Suspected XN, pregnant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Functional confirmation</w:t>
            </w:r>
          </w:p>
        </w:tc>
        <w:tc>
          <w:tcPr>
            <w:tcW w:type="dxa" w:w="720"/>
            <w:vAlign w:val="top"/>
          </w:tcPr>
          <w:p>
            <w:pPr>
              <w:spacing w:after="40" w:before="0" w:line="259" w:lineRule="auto"/>
            </w:pPr>
            <w:r>
              <w:rPr>
                <w:rFonts w:ascii="Calibri" w:hAnsi="Calibri"/>
                <w:b w:val="0"/>
                <w:i w:val="0"/>
                <w:color w:val="212121"/>
                <w:sz w:val="16"/>
              </w:rPr>
              <w:t>Reversible early; correlates with deficiency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Conjunctival impression cytology (CIC)</w:t>
            </w:r>
          </w:p>
        </w:tc>
        <w:tc>
          <w:tcPr>
            <w:tcW w:type="dxa" w:w="892"/>
            <w:vAlign w:val="top"/>
          </w:tcPr>
          <w:p>
            <w:pPr>
              <w:spacing w:after="40" w:before="0" w:line="259" w:lineRule="auto"/>
            </w:pPr>
            <w:r>
              <w:rPr>
                <w:rFonts w:ascii="Calibri" w:hAnsi="Calibri"/>
                <w:b w:val="0"/>
                <w:i w:val="0"/>
                <w:color w:val="212121"/>
                <w:sz w:val="16"/>
              </w:rPr>
              <w:t>Ocular surface cytology</w:t>
            </w:r>
          </w:p>
        </w:tc>
        <w:tc>
          <w:tcPr>
            <w:tcW w:type="dxa" w:w="950"/>
            <w:vAlign w:val="top"/>
          </w:tcPr>
          <w:p>
            <w:pPr>
              <w:spacing w:after="40" w:before="0" w:line="259" w:lineRule="auto"/>
            </w:pPr>
            <w:r>
              <w:rPr>
                <w:rFonts w:ascii="Calibri" w:hAnsi="Calibri"/>
                <w:b w:val="0"/>
                <w:i w:val="0"/>
                <w:color w:val="212121"/>
                <w:sz w:val="16"/>
              </w:rPr>
              <w:t>Abundant goblet cells, non-keratinised</w:t>
            </w:r>
          </w:p>
        </w:tc>
        <w:tc>
          <w:tcPr>
            <w:tcW w:type="dxa" w:w="950"/>
            <w:vAlign w:val="top"/>
          </w:tcPr>
          <w:p>
            <w:pPr>
              <w:spacing w:after="40" w:before="0" w:line="259" w:lineRule="auto"/>
            </w:pPr>
            <w:r>
              <w:rPr>
                <w:rFonts w:ascii="Calibri" w:hAnsi="Calibri"/>
                <w:b w:val="0"/>
                <w:i w:val="0"/>
                <w:color w:val="212121"/>
                <w:sz w:val="16"/>
              </w:rPr>
              <w:t>Goblet-cell loss, squamous metaplasia/keratinisation</w:t>
            </w:r>
          </w:p>
        </w:tc>
        <w:tc>
          <w:tcPr>
            <w:tcW w:type="dxa" w:w="1036"/>
            <w:vAlign w:val="top"/>
          </w:tcPr>
          <w:p>
            <w:pPr>
              <w:spacing w:after="40" w:before="0" w:line="259" w:lineRule="auto"/>
            </w:pPr>
            <w:r>
              <w:rPr>
                <w:rFonts w:ascii="Calibri" w:hAnsi="Calibri"/>
                <w:b w:val="0"/>
                <w:i w:val="0"/>
                <w:color w:val="212121"/>
                <w:sz w:val="16"/>
              </w:rPr>
              <w:t>Detects subclinical epithelial change before clinical xerosis</w:t>
            </w:r>
          </w:p>
        </w:tc>
        <w:tc>
          <w:tcPr>
            <w:tcW w:type="dxa" w:w="1036"/>
            <w:vAlign w:val="top"/>
          </w:tcPr>
          <w:p>
            <w:pPr>
              <w:spacing w:after="40" w:before="0" w:line="259" w:lineRule="auto"/>
            </w:pPr>
            <w:r>
              <w:rPr>
                <w:rFonts w:ascii="Calibri" w:hAnsi="Calibri"/>
                <w:b w:val="0"/>
                <w:i w:val="0"/>
                <w:color w:val="212121"/>
                <w:sz w:val="16"/>
              </w:rPr>
              <w:t>Surveys, subclinical VAD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Early detection</w:t>
            </w:r>
          </w:p>
        </w:tc>
        <w:tc>
          <w:tcPr>
            <w:tcW w:type="dxa" w:w="720"/>
            <w:vAlign w:val="top"/>
          </w:tcPr>
          <w:p>
            <w:pPr>
              <w:spacing w:after="40" w:before="0" w:line="259" w:lineRule="auto"/>
            </w:pPr>
            <w:r>
              <w:rPr>
                <w:rFonts w:ascii="Calibri" w:hAnsi="Calibri"/>
                <w:b w:val="0"/>
                <w:i w:val="0"/>
                <w:color w:val="212121"/>
                <w:sz w:val="16"/>
              </w:rPr>
              <w:t>Non-invasive; useful for population screening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zinc</w:t>
            </w:r>
          </w:p>
        </w:tc>
        <w:tc>
          <w:tcPr>
            <w:tcW w:type="dxa" w:w="892"/>
            <w:vAlign w:val="top"/>
          </w:tcPr>
          <w:p>
            <w:pPr>
              <w:spacing w:after="40" w:before="0" w:line="259" w:lineRule="auto"/>
            </w:pPr>
            <w:r>
              <w:rPr>
                <w:rFonts w:ascii="Calibri" w:hAnsi="Calibri"/>
                <w:b w:val="0"/>
                <w:i w:val="0"/>
                <w:color w:val="212121"/>
                <w:sz w:val="16"/>
              </w:rPr>
              <w:t>Micronutrient panel</w:t>
            </w:r>
          </w:p>
        </w:tc>
        <w:tc>
          <w:tcPr>
            <w:tcW w:type="dxa" w:w="950"/>
            <w:vAlign w:val="top"/>
          </w:tcPr>
          <w:p>
            <w:pPr>
              <w:spacing w:after="40" w:before="0" w:line="259" w:lineRule="auto"/>
            </w:pPr>
            <w:r>
              <w:rPr>
                <w:rFonts w:ascii="Calibri" w:hAnsi="Calibri"/>
                <w:b w:val="0"/>
                <w:i w:val="0"/>
                <w:color w:val="212121"/>
                <w:sz w:val="16"/>
              </w:rPr>
              <w:t>Age-appropriate range</w:t>
            </w:r>
          </w:p>
        </w:tc>
        <w:tc>
          <w:tcPr>
            <w:tcW w:type="dxa" w:w="950"/>
            <w:vAlign w:val="top"/>
          </w:tcPr>
          <w:p>
            <w:pPr>
              <w:spacing w:after="40" w:before="0" w:line="259" w:lineRule="auto"/>
            </w:pPr>
            <w:r>
              <w:rPr>
                <w:rFonts w:ascii="Calibri" w:hAnsi="Calibri"/>
                <w:b w:val="0"/>
                <w:i w:val="0"/>
                <w:color w:val="212121"/>
                <w:sz w:val="16"/>
              </w:rPr>
              <w:t>Low zinc</w:t>
            </w:r>
          </w:p>
        </w:tc>
        <w:tc>
          <w:tcPr>
            <w:tcW w:type="dxa" w:w="1036"/>
            <w:vAlign w:val="top"/>
          </w:tcPr>
          <w:p>
            <w:pPr>
              <w:spacing w:after="40" w:before="0" w:line="259" w:lineRule="auto"/>
            </w:pPr>
            <w:r>
              <w:rPr>
                <w:rFonts w:ascii="Calibri" w:hAnsi="Calibri"/>
                <w:b w:val="0"/>
                <w:i w:val="0"/>
                <w:color w:val="212121"/>
                <w:sz w:val="16"/>
              </w:rPr>
              <w:t>Zinc is required for RBP synthesis and vitamin A mobilisation; co-deficiency blunts response to therapy</w:t>
            </w:r>
          </w:p>
        </w:tc>
        <w:tc>
          <w:tcPr>
            <w:tcW w:type="dxa" w:w="1036"/>
            <w:vAlign w:val="top"/>
          </w:tcPr>
          <w:p>
            <w:pPr>
              <w:spacing w:after="40" w:before="0" w:line="259" w:lineRule="auto"/>
            </w:pPr>
            <w:r>
              <w:rPr>
                <w:rFonts w:ascii="Calibri" w:hAnsi="Calibri"/>
                <w:b w:val="0"/>
                <w:i w:val="0"/>
                <w:color w:val="212121"/>
                <w:sz w:val="16"/>
              </w:rPr>
              <w:t>Malnourished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Correct concurrent deficiencies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 / CBC</w:t>
            </w:r>
          </w:p>
        </w:tc>
        <w:tc>
          <w:tcPr>
            <w:tcW w:type="dxa" w:w="892"/>
            <w:vAlign w:val="top"/>
          </w:tcPr>
          <w:p>
            <w:pPr>
              <w:spacing w:after="40" w:before="0" w:line="259" w:lineRule="auto"/>
            </w:pPr>
            <w:r>
              <w:rPr>
                <w:rFonts w:ascii="Calibri" w:hAnsi="Calibri"/>
                <w:b w:val="0"/>
                <w:i w:val="0"/>
                <w:color w:val="212121"/>
                <w:sz w:val="16"/>
              </w:rPr>
              <w:t>Anaemia workup</w:t>
            </w:r>
          </w:p>
        </w:tc>
        <w:tc>
          <w:tcPr>
            <w:tcW w:type="dxa" w:w="950"/>
            <w:vAlign w:val="top"/>
          </w:tcPr>
          <w:p>
            <w:pPr>
              <w:spacing w:after="40" w:before="0" w:line="259" w:lineRule="auto"/>
            </w:pPr>
            <w:r>
              <w:rPr>
                <w:rFonts w:ascii="Calibri" w:hAnsi="Calibri"/>
                <w:b w:val="0"/>
                <w:i w:val="0"/>
                <w:color w:val="212121"/>
                <w:sz w:val="16"/>
              </w:rPr>
              <w:t>Age-appropriate Hb</w:t>
            </w:r>
          </w:p>
        </w:tc>
        <w:tc>
          <w:tcPr>
            <w:tcW w:type="dxa" w:w="950"/>
            <w:vAlign w:val="top"/>
          </w:tcPr>
          <w:p>
            <w:pPr>
              <w:spacing w:after="40" w:before="0" w:line="259" w:lineRule="auto"/>
            </w:pPr>
            <w:r>
              <w:rPr>
                <w:rFonts w:ascii="Calibri" w:hAnsi="Calibri"/>
                <w:b w:val="0"/>
                <w:i w:val="0"/>
                <w:color w:val="212121"/>
                <w:sz w:val="16"/>
              </w:rPr>
              <w:t>Low Hb (anaemia)</w:t>
            </w:r>
          </w:p>
        </w:tc>
        <w:tc>
          <w:tcPr>
            <w:tcW w:type="dxa" w:w="1036"/>
            <w:vAlign w:val="top"/>
          </w:tcPr>
          <w:p>
            <w:pPr>
              <w:spacing w:after="40" w:before="0" w:line="259" w:lineRule="auto"/>
            </w:pPr>
            <w:r>
              <w:rPr>
                <w:rFonts w:ascii="Calibri" w:hAnsi="Calibri"/>
                <w:b w:val="0"/>
                <w:i w:val="0"/>
                <w:color w:val="212121"/>
                <w:sz w:val="16"/>
              </w:rPr>
              <w:t>Vitamin A supports iron mobilisation; anaemia frequently coexists with VAD</w:t>
            </w:r>
          </w:p>
        </w:tc>
        <w:tc>
          <w:tcPr>
            <w:tcW w:type="dxa" w:w="1036"/>
            <w:vAlign w:val="top"/>
          </w:tcPr>
          <w:p>
            <w:pPr>
              <w:spacing w:after="40" w:before="0" w:line="259" w:lineRule="auto"/>
            </w:pPr>
            <w:r>
              <w:rPr>
                <w:rFonts w:ascii="Calibri" w:hAnsi="Calibri"/>
                <w:b w:val="0"/>
                <w:i w:val="0"/>
                <w:color w:val="212121"/>
                <w:sz w:val="16"/>
              </w:rPr>
              <w:t>Undernourished children,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Combined VAD+iron deficiency common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 / total protein</w:t>
            </w:r>
          </w:p>
        </w:tc>
        <w:tc>
          <w:tcPr>
            <w:tcW w:type="dxa" w:w="892"/>
            <w:vAlign w:val="top"/>
          </w:tcPr>
          <w:p>
            <w:pPr>
              <w:spacing w:after="40" w:before="0" w:line="259" w:lineRule="auto"/>
            </w:pPr>
            <w:r>
              <w:rPr>
                <w:rFonts w:ascii="Calibri" w:hAnsi="Calibri"/>
                <w:b w:val="0"/>
                <w:i w:val="0"/>
                <w:color w:val="212121"/>
                <w:sz w:val="16"/>
              </w:rPr>
              <w:t>Nutritional assessment</w:t>
            </w:r>
          </w:p>
        </w:tc>
        <w:tc>
          <w:tcPr>
            <w:tcW w:type="dxa" w:w="950"/>
            <w:vAlign w:val="top"/>
          </w:tcPr>
          <w:p>
            <w:pPr>
              <w:spacing w:after="40" w:before="0" w:line="259" w:lineRule="auto"/>
            </w:pPr>
            <w:r>
              <w:rPr>
                <w:rFonts w:ascii="Calibri" w:hAnsi="Calibri"/>
                <w:b w:val="0"/>
                <w:i w:val="0"/>
                <w:color w:val="212121"/>
                <w:sz w:val="16"/>
              </w:rPr>
              <w:t>Age-appropriate range</w:t>
            </w:r>
          </w:p>
        </w:tc>
        <w:tc>
          <w:tcPr>
            <w:tcW w:type="dxa" w:w="950"/>
            <w:vAlign w:val="top"/>
          </w:tcPr>
          <w:p>
            <w:pPr>
              <w:spacing w:after="40" w:before="0" w:line="259" w:lineRule="auto"/>
            </w:pPr>
            <w:r>
              <w:rPr>
                <w:rFonts w:ascii="Calibri" w:hAnsi="Calibri"/>
                <w:b w:val="0"/>
                <w:i w:val="0"/>
                <w:color w:val="212121"/>
                <w:sz w:val="16"/>
              </w:rPr>
              <w:t>Low albumin/protein</w:t>
            </w:r>
          </w:p>
        </w:tc>
        <w:tc>
          <w:tcPr>
            <w:tcW w:type="dxa" w:w="1036"/>
            <w:vAlign w:val="top"/>
          </w:tcPr>
          <w:p>
            <w:pPr>
              <w:spacing w:after="40" w:before="0" w:line="259" w:lineRule="auto"/>
            </w:pPr>
            <w:r>
              <w:rPr>
                <w:rFonts w:ascii="Calibri" w:hAnsi="Calibri"/>
                <w:b w:val="0"/>
                <w:i w:val="0"/>
                <w:color w:val="212121"/>
                <w:sz w:val="16"/>
              </w:rPr>
              <w:t>Marks protein-energy malnutrition, which impairs vitamin A transport</w:t>
            </w:r>
          </w:p>
        </w:tc>
        <w:tc>
          <w:tcPr>
            <w:tcW w:type="dxa" w:w="1036"/>
            <w:vAlign w:val="top"/>
          </w:tcPr>
          <w:p>
            <w:pPr>
              <w:spacing w:after="40" w:before="0" w:line="259" w:lineRule="auto"/>
            </w:pPr>
            <w:r>
              <w:rPr>
                <w:rFonts w:ascii="Calibri" w:hAnsi="Calibri"/>
                <w:b w:val="0"/>
                <w:i w:val="0"/>
                <w:color w:val="212121"/>
                <w:sz w:val="16"/>
              </w:rPr>
              <w:t>Children with PEM/SAM</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Nutritional context</w:t>
            </w:r>
          </w:p>
        </w:tc>
        <w:tc>
          <w:tcPr>
            <w:tcW w:type="dxa" w:w="720"/>
            <w:vAlign w:val="top"/>
          </w:tcPr>
          <w:p>
            <w:pPr>
              <w:spacing w:after="40" w:before="0" w:line="259" w:lineRule="auto"/>
            </w:pPr>
            <w:r>
              <w:rPr>
                <w:rFonts w:ascii="Calibri" w:hAnsi="Calibri"/>
                <w:b w:val="0"/>
                <w:i w:val="0"/>
                <w:color w:val="212121"/>
                <w:sz w:val="16"/>
              </w:rPr>
              <w:t>Low RBP tracks low albumin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Difficulty seeing at dusk / in dim light</w:t>
            </w:r>
          </w:p>
        </w:tc>
        <w:tc>
          <w:tcPr>
            <w:tcW w:type="dxa" w:w="950"/>
            <w:vAlign w:val="top"/>
          </w:tcPr>
          <w:p>
            <w:pPr>
              <w:spacing w:after="40" w:before="0" w:line="259" w:lineRule="auto"/>
            </w:pPr>
            <w:r>
              <w:rPr>
                <w:rFonts w:ascii="Calibri" w:hAnsi="Calibri"/>
                <w:b w:val="0"/>
                <w:i w:val="0"/>
                <w:color w:val="212121"/>
                <w:sz w:val="16"/>
              </w:rPr>
              <w:t>Normal night vision</w:t>
            </w:r>
          </w:p>
        </w:tc>
        <w:tc>
          <w:tcPr>
            <w:tcW w:type="dxa" w:w="950"/>
            <w:vAlign w:val="top"/>
          </w:tcPr>
          <w:p>
            <w:pPr>
              <w:spacing w:after="40" w:before="0" w:line="259" w:lineRule="auto"/>
            </w:pPr>
            <w:r>
              <w:rPr>
                <w:rFonts w:ascii="Calibri" w:hAnsi="Calibri"/>
                <w:b w:val="0"/>
                <w:i w:val="0"/>
                <w:color w:val="212121"/>
                <w:sz w:val="16"/>
              </w:rPr>
              <w:t>Reported night blindness (local term, e.g. 'ratundhi')</w:t>
            </w:r>
          </w:p>
        </w:tc>
        <w:tc>
          <w:tcPr>
            <w:tcW w:type="dxa" w:w="1036"/>
            <w:vAlign w:val="top"/>
          </w:tcPr>
          <w:p>
            <w:pPr>
              <w:spacing w:after="40" w:before="0" w:line="259" w:lineRule="auto"/>
            </w:pPr>
            <w:r>
              <w:rPr>
                <w:rFonts w:ascii="Calibri" w:hAnsi="Calibri"/>
                <w:b w:val="0"/>
                <w:i w:val="0"/>
                <w:color w:val="212121"/>
                <w:sz w:val="16"/>
              </w:rPr>
              <w:t>Earliest functional symptom of VAD; validated history is a population indicator</w:t>
            </w:r>
          </w:p>
        </w:tc>
        <w:tc>
          <w:tcPr>
            <w:tcW w:type="dxa" w:w="1036"/>
            <w:vAlign w:val="top"/>
          </w:tcPr>
          <w:p>
            <w:pPr>
              <w:spacing w:after="40" w:before="0" w:line="259" w:lineRule="auto"/>
            </w:pPr>
            <w:r>
              <w:rPr>
                <w:rFonts w:ascii="Calibri" w:hAnsi="Calibri"/>
                <w:b w:val="0"/>
                <w:i w:val="0"/>
                <w:color w:val="212121"/>
                <w:sz w:val="16"/>
              </w:rPr>
              <w:t>Children, pregnant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carers directly; often under-reported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&amp; feeding history</w:t>
            </w:r>
          </w:p>
        </w:tc>
        <w:tc>
          <w:tcPr>
            <w:tcW w:type="dxa" w:w="979"/>
            <w:vAlign w:val="top"/>
          </w:tcPr>
          <w:p>
            <w:pPr>
              <w:spacing w:after="40" w:before="0" w:line="259" w:lineRule="auto"/>
            </w:pPr>
            <w:r>
              <w:rPr>
                <w:rFonts w:ascii="Calibri" w:hAnsi="Calibri"/>
                <w:b w:val="0"/>
                <w:i w:val="0"/>
                <w:color w:val="212121"/>
                <w:sz w:val="16"/>
              </w:rPr>
              <w:t>Vitamin-A-rich food intake, breastfeeding, dietary fat</w:t>
            </w:r>
          </w:p>
        </w:tc>
        <w:tc>
          <w:tcPr>
            <w:tcW w:type="dxa" w:w="950"/>
            <w:vAlign w:val="top"/>
          </w:tcPr>
          <w:p>
            <w:pPr>
              <w:spacing w:after="40" w:before="0" w:line="259" w:lineRule="auto"/>
            </w:pPr>
            <w:r>
              <w:rPr>
                <w:rFonts w:ascii="Calibri" w:hAnsi="Calibri"/>
                <w:b w:val="0"/>
                <w:i w:val="0"/>
                <w:color w:val="212121"/>
                <w:sz w:val="16"/>
              </w:rPr>
              <w:t>Diverse diet with adequate vitamin A</w:t>
            </w:r>
          </w:p>
        </w:tc>
        <w:tc>
          <w:tcPr>
            <w:tcW w:type="dxa" w:w="950"/>
            <w:vAlign w:val="top"/>
          </w:tcPr>
          <w:p>
            <w:pPr>
              <w:spacing w:after="40" w:before="0" w:line="259" w:lineRule="auto"/>
            </w:pPr>
            <w:r>
              <w:rPr>
                <w:rFonts w:ascii="Calibri" w:hAnsi="Calibri"/>
                <w:b w:val="0"/>
                <w:i w:val="0"/>
                <w:color w:val="212121"/>
                <w:sz w:val="16"/>
              </w:rPr>
              <w:t>Monotonous low-fat cereal diet, early weaning</w:t>
            </w:r>
          </w:p>
        </w:tc>
        <w:tc>
          <w:tcPr>
            <w:tcW w:type="dxa" w:w="1036"/>
            <w:vAlign w:val="top"/>
          </w:tcPr>
          <w:p>
            <w:pPr>
              <w:spacing w:after="40" w:before="0" w:line="259" w:lineRule="auto"/>
            </w:pPr>
            <w:r>
              <w:rPr>
                <w:rFonts w:ascii="Calibri" w:hAnsi="Calibri"/>
                <w:b w:val="0"/>
                <w:i w:val="0"/>
                <w:color w:val="212121"/>
                <w:sz w:val="16"/>
              </w:rPr>
              <w:t>Identifies the primary dietary cause and guides counselling</w:t>
            </w:r>
          </w:p>
        </w:tc>
        <w:tc>
          <w:tcPr>
            <w:tcW w:type="dxa" w:w="1036"/>
            <w:vAlign w:val="top"/>
          </w:tcPr>
          <w:p>
            <w:pPr>
              <w:spacing w:after="40" w:before="0" w:line="259" w:lineRule="auto"/>
            </w:pPr>
            <w:r>
              <w:rPr>
                <w:rFonts w:ascii="Calibri" w:hAnsi="Calibri"/>
                <w:b w:val="0"/>
                <w:i w:val="0"/>
                <w:color w:val="212121"/>
                <w:sz w:val="16"/>
              </w:rPr>
              <w:t>All at-risk groups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Causal assessment</w:t>
            </w:r>
          </w:p>
        </w:tc>
        <w:tc>
          <w:tcPr>
            <w:tcW w:type="dxa" w:w="720"/>
            <w:vAlign w:val="top"/>
          </w:tcPr>
          <w:p>
            <w:pPr>
              <w:spacing w:after="40" w:before="0" w:line="259" w:lineRule="auto"/>
            </w:pPr>
            <w:r>
              <w:rPr>
                <w:rFonts w:ascii="Calibri" w:hAnsi="Calibri"/>
                <w:b w:val="0"/>
                <w:i w:val="0"/>
                <w:color w:val="212121"/>
                <w:sz w:val="16"/>
              </w:rPr>
              <w:t>Note frequency of greens/coloured produce/animal foods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Infection &amp; prophylaxis history</w:t>
            </w:r>
          </w:p>
        </w:tc>
        <w:tc>
          <w:tcPr>
            <w:tcW w:type="dxa" w:w="979"/>
            <w:vAlign w:val="top"/>
          </w:tcPr>
          <w:p>
            <w:pPr>
              <w:spacing w:after="40" w:before="0" w:line="259" w:lineRule="auto"/>
            </w:pPr>
            <w:r>
              <w:rPr>
                <w:rFonts w:ascii="Calibri" w:hAnsi="Calibri"/>
                <w:b w:val="0"/>
                <w:i w:val="0"/>
                <w:color w:val="212121"/>
                <w:sz w:val="16"/>
              </w:rPr>
              <w:t>Recent measles/diarrhoea; vitamin A doses received</w:t>
            </w:r>
          </w:p>
        </w:tc>
        <w:tc>
          <w:tcPr>
            <w:tcW w:type="dxa" w:w="950"/>
            <w:vAlign w:val="top"/>
          </w:tcPr>
          <w:p>
            <w:pPr>
              <w:spacing w:after="40" w:before="0" w:line="259" w:lineRule="auto"/>
            </w:pPr>
            <w:r>
              <w:rPr>
                <w:rFonts w:ascii="Calibri" w:hAnsi="Calibri"/>
                <w:b w:val="0"/>
                <w:i w:val="0"/>
                <w:color w:val="212121"/>
                <w:sz w:val="16"/>
              </w:rPr>
              <w:t>No recent infection; all doses received</w:t>
            </w:r>
          </w:p>
        </w:tc>
        <w:tc>
          <w:tcPr>
            <w:tcW w:type="dxa" w:w="950"/>
            <w:vAlign w:val="top"/>
          </w:tcPr>
          <w:p>
            <w:pPr>
              <w:spacing w:after="40" w:before="0" w:line="259" w:lineRule="auto"/>
            </w:pPr>
            <w:r>
              <w:rPr>
                <w:rFonts w:ascii="Calibri" w:hAnsi="Calibri"/>
                <w:b w:val="0"/>
                <w:i w:val="0"/>
                <w:color w:val="212121"/>
                <w:sz w:val="16"/>
              </w:rPr>
              <w:t>Recent measles/diarrhoea; missed prophylaxis</w:t>
            </w:r>
          </w:p>
        </w:tc>
        <w:tc>
          <w:tcPr>
            <w:tcW w:type="dxa" w:w="1036"/>
            <w:vAlign w:val="top"/>
          </w:tcPr>
          <w:p>
            <w:pPr>
              <w:spacing w:after="40" w:before="0" w:line="259" w:lineRule="auto"/>
            </w:pPr>
            <w:r>
              <w:rPr>
                <w:rFonts w:ascii="Calibri" w:hAnsi="Calibri"/>
                <w:b w:val="0"/>
                <w:i w:val="0"/>
                <w:color w:val="212121"/>
                <w:sz w:val="16"/>
              </w:rPr>
              <w:t>Reveals precipitating infection and programme gaps</w:t>
            </w:r>
          </w:p>
        </w:tc>
        <w:tc>
          <w:tcPr>
            <w:tcW w:type="dxa" w:w="1036"/>
            <w:vAlign w:val="top"/>
          </w:tcPr>
          <w:p>
            <w:pPr>
              <w:spacing w:after="40" w:before="0" w:line="259" w:lineRule="auto"/>
            </w:pPr>
            <w:r>
              <w:rPr>
                <w:rFonts w:ascii="Calibri" w:hAnsi="Calibri"/>
                <w:b w:val="0"/>
                <w:i w:val="0"/>
                <w:color w:val="212121"/>
                <w:sz w:val="16"/>
              </w:rPr>
              <w:t>Under-five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Recent measles is a red flag for keratomalacia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Ocular examination</w:t>
            </w:r>
          </w:p>
        </w:tc>
        <w:tc>
          <w:tcPr>
            <w:tcW w:type="dxa" w:w="950"/>
            <w:vAlign w:val="top"/>
          </w:tcPr>
          <w:p>
            <w:pPr>
              <w:spacing w:after="40" w:before="0" w:line="259" w:lineRule="auto"/>
            </w:pPr>
            <w:r>
              <w:rPr>
                <w:rFonts w:ascii="Calibri" w:hAnsi="Calibri"/>
                <w:b w:val="0"/>
                <w:i w:val="0"/>
                <w:color w:val="212121"/>
                <w:sz w:val="16"/>
              </w:rPr>
              <w:t>Conjunctival inspection</w:t>
            </w:r>
          </w:p>
        </w:tc>
        <w:tc>
          <w:tcPr>
            <w:tcW w:type="dxa" w:w="979"/>
            <w:vAlign w:val="top"/>
          </w:tcPr>
          <w:p>
            <w:pPr>
              <w:spacing w:after="40" w:before="0" w:line="259" w:lineRule="auto"/>
            </w:pPr>
            <w:r>
              <w:rPr>
                <w:rFonts w:ascii="Calibri" w:hAnsi="Calibri"/>
                <w:b w:val="0"/>
                <w:i w:val="0"/>
                <w:color w:val="212121"/>
                <w:sz w:val="16"/>
              </w:rPr>
              <w:t>Conjunctival xerosis / Bitot's spots</w:t>
            </w:r>
          </w:p>
        </w:tc>
        <w:tc>
          <w:tcPr>
            <w:tcW w:type="dxa" w:w="950"/>
            <w:vAlign w:val="top"/>
          </w:tcPr>
          <w:p>
            <w:pPr>
              <w:spacing w:after="40" w:before="0" w:line="259" w:lineRule="auto"/>
            </w:pPr>
            <w:r>
              <w:rPr>
                <w:rFonts w:ascii="Calibri" w:hAnsi="Calibri"/>
                <w:b w:val="0"/>
                <w:i w:val="0"/>
                <w:color w:val="212121"/>
                <w:sz w:val="16"/>
              </w:rPr>
              <w:t>Moist, smooth, wettable conjunctiva</w:t>
            </w:r>
          </w:p>
        </w:tc>
        <w:tc>
          <w:tcPr>
            <w:tcW w:type="dxa" w:w="950"/>
            <w:vAlign w:val="top"/>
          </w:tcPr>
          <w:p>
            <w:pPr>
              <w:spacing w:after="40" w:before="0" w:line="259" w:lineRule="auto"/>
            </w:pPr>
            <w:r>
              <w:rPr>
                <w:rFonts w:ascii="Calibri" w:hAnsi="Calibri"/>
                <w:b w:val="0"/>
                <w:i w:val="0"/>
                <w:color w:val="212121"/>
                <w:sz w:val="16"/>
              </w:rPr>
              <w:t>Dry wrinkled conjunctiva; foamy triangular patches (X1A/X1B)</w:t>
            </w:r>
          </w:p>
        </w:tc>
        <w:tc>
          <w:tcPr>
            <w:tcW w:type="dxa" w:w="1036"/>
            <w:vAlign w:val="top"/>
          </w:tcPr>
          <w:p>
            <w:pPr>
              <w:spacing w:after="40" w:before="0" w:line="259" w:lineRule="auto"/>
            </w:pPr>
            <w:r>
              <w:rPr>
                <w:rFonts w:ascii="Calibri" w:hAnsi="Calibri"/>
                <w:b w:val="0"/>
                <w:i w:val="0"/>
                <w:color w:val="212121"/>
                <w:sz w:val="16"/>
              </w:rPr>
              <w:t>Clinical stage of xerophthalmia; Bitot's spots indicate current/recent deficiency</w:t>
            </w:r>
          </w:p>
        </w:tc>
        <w:tc>
          <w:tcPr>
            <w:tcW w:type="dxa" w:w="1036"/>
            <w:vAlign w:val="top"/>
          </w:tcPr>
          <w:p>
            <w:pPr>
              <w:spacing w:after="40" w:before="0" w:line="259" w:lineRule="auto"/>
            </w:pPr>
            <w:r>
              <w:rPr>
                <w:rFonts w:ascii="Calibri" w:hAnsi="Calibri"/>
                <w:b w:val="0"/>
                <w:i w:val="0"/>
                <w:color w:val="212121"/>
                <w:sz w:val="16"/>
              </w:rPr>
              <w:t>Children with eye signs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staging</w:t>
            </w:r>
          </w:p>
        </w:tc>
        <w:tc>
          <w:tcPr>
            <w:tcW w:type="dxa" w:w="720"/>
            <w:vAlign w:val="top"/>
          </w:tcPr>
          <w:p>
            <w:pPr>
              <w:spacing w:after="40" w:before="0" w:line="259" w:lineRule="auto"/>
            </w:pPr>
            <w:r>
              <w:rPr>
                <w:rFonts w:ascii="Calibri" w:hAnsi="Calibri"/>
                <w:b w:val="0"/>
                <w:i w:val="0"/>
                <w:color w:val="212121"/>
                <w:sz w:val="16"/>
              </w:rPr>
              <w:t>Usually temporal, bilateral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Ocular examination</w:t>
            </w:r>
          </w:p>
        </w:tc>
        <w:tc>
          <w:tcPr>
            <w:tcW w:type="dxa" w:w="950"/>
            <w:vAlign w:val="top"/>
          </w:tcPr>
          <w:p>
            <w:pPr>
              <w:spacing w:after="40" w:before="0" w:line="259" w:lineRule="auto"/>
            </w:pPr>
            <w:r>
              <w:rPr>
                <w:rFonts w:ascii="Calibri" w:hAnsi="Calibri"/>
                <w:b w:val="0"/>
                <w:i w:val="0"/>
                <w:color w:val="212121"/>
                <w:sz w:val="16"/>
              </w:rPr>
              <w:t>Corneal exam (slit-lamp + fluorescein)</w:t>
            </w:r>
          </w:p>
        </w:tc>
        <w:tc>
          <w:tcPr>
            <w:tcW w:type="dxa" w:w="979"/>
            <w:vAlign w:val="top"/>
          </w:tcPr>
          <w:p>
            <w:pPr>
              <w:spacing w:after="40" w:before="0" w:line="259" w:lineRule="auto"/>
            </w:pPr>
            <w:r>
              <w:rPr>
                <w:rFonts w:ascii="Calibri" w:hAnsi="Calibri"/>
                <w:b w:val="0"/>
                <w:i w:val="0"/>
                <w:color w:val="212121"/>
                <w:sz w:val="16"/>
              </w:rPr>
              <w:t>Corneal xerosis / ulceration / keratomalacia</w:t>
            </w:r>
          </w:p>
        </w:tc>
        <w:tc>
          <w:tcPr>
            <w:tcW w:type="dxa" w:w="950"/>
            <w:vAlign w:val="top"/>
          </w:tcPr>
          <w:p>
            <w:pPr>
              <w:spacing w:after="40" w:before="0" w:line="259" w:lineRule="auto"/>
            </w:pPr>
            <w:r>
              <w:rPr>
                <w:rFonts w:ascii="Calibri" w:hAnsi="Calibri"/>
                <w:b w:val="0"/>
                <w:i w:val="0"/>
                <w:color w:val="212121"/>
                <w:sz w:val="16"/>
              </w:rPr>
              <w:t>Clear, wettable cornea</w:t>
            </w:r>
          </w:p>
        </w:tc>
        <w:tc>
          <w:tcPr>
            <w:tcW w:type="dxa" w:w="950"/>
            <w:vAlign w:val="top"/>
          </w:tcPr>
          <w:p>
            <w:pPr>
              <w:spacing w:after="40" w:before="0" w:line="259" w:lineRule="auto"/>
            </w:pPr>
            <w:r>
              <w:rPr>
                <w:rFonts w:ascii="Calibri" w:hAnsi="Calibri"/>
                <w:b w:val="0"/>
                <w:i w:val="0"/>
                <w:color w:val="212121"/>
                <w:sz w:val="16"/>
              </w:rPr>
              <w:t>Hazy/granular cornea (X2); ulcer or softening (X3A/X3B)</w:t>
            </w:r>
          </w:p>
        </w:tc>
        <w:tc>
          <w:tcPr>
            <w:tcW w:type="dxa" w:w="1036"/>
            <w:vAlign w:val="top"/>
          </w:tcPr>
          <w:p>
            <w:pPr>
              <w:spacing w:after="40" w:before="0" w:line="259" w:lineRule="auto"/>
            </w:pPr>
            <w:r>
              <w:rPr>
                <w:rFonts w:ascii="Calibri" w:hAnsi="Calibri"/>
                <w:b w:val="0"/>
                <w:i w:val="0"/>
                <w:color w:val="212121"/>
                <w:sz w:val="16"/>
              </w:rPr>
              <w:t>Sight-threatening emergency requiring immediate high-dose vitamin A</w:t>
            </w:r>
          </w:p>
        </w:tc>
        <w:tc>
          <w:tcPr>
            <w:tcW w:type="dxa" w:w="1036"/>
            <w:vAlign w:val="top"/>
          </w:tcPr>
          <w:p>
            <w:pPr>
              <w:spacing w:after="40" w:before="0" w:line="259" w:lineRule="auto"/>
            </w:pPr>
            <w:r>
              <w:rPr>
                <w:rFonts w:ascii="Calibri" w:hAnsi="Calibri"/>
                <w:b w:val="0"/>
                <w:i w:val="0"/>
                <w:color w:val="212121"/>
                <w:sz w:val="16"/>
              </w:rPr>
              <w:t>Severe VAD, post-measles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Emergency triage</w:t>
            </w:r>
          </w:p>
        </w:tc>
        <w:tc>
          <w:tcPr>
            <w:tcW w:type="dxa" w:w="720"/>
            <w:vAlign w:val="top"/>
          </w:tcPr>
          <w:p>
            <w:pPr>
              <w:spacing w:after="40" w:before="0" w:line="259" w:lineRule="auto"/>
            </w:pPr>
            <w:r>
              <w:rPr>
                <w:rFonts w:ascii="Calibri" w:hAnsi="Calibri"/>
                <w:b w:val="0"/>
                <w:i w:val="0"/>
                <w:color w:val="212121"/>
                <w:sz w:val="16"/>
              </w:rPr>
              <w:t>Handle gently - risk of perforation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Ocular examination</w:t>
            </w:r>
          </w:p>
        </w:tc>
        <w:tc>
          <w:tcPr>
            <w:tcW w:type="dxa" w:w="950"/>
            <w:vAlign w:val="top"/>
          </w:tcPr>
          <w:p>
            <w:pPr>
              <w:spacing w:after="40" w:before="0" w:line="259" w:lineRule="auto"/>
            </w:pPr>
            <w:r>
              <w:rPr>
                <w:rFonts w:ascii="Calibri" w:hAnsi="Calibri"/>
                <w:b w:val="0"/>
                <w:i w:val="0"/>
                <w:color w:val="212121"/>
                <w:sz w:val="16"/>
              </w:rPr>
              <w:t>Fundoscopy</w:t>
            </w:r>
          </w:p>
        </w:tc>
        <w:tc>
          <w:tcPr>
            <w:tcW w:type="dxa" w:w="979"/>
            <w:vAlign w:val="top"/>
          </w:tcPr>
          <w:p>
            <w:pPr>
              <w:spacing w:after="40" w:before="0" w:line="259" w:lineRule="auto"/>
            </w:pPr>
            <w:r>
              <w:rPr>
                <w:rFonts w:ascii="Calibri" w:hAnsi="Calibri"/>
                <w:b w:val="0"/>
                <w:i w:val="0"/>
                <w:color w:val="212121"/>
                <w:sz w:val="16"/>
              </w:rPr>
              <w:t>Xerophthalmic fundus (XF)</w:t>
            </w:r>
          </w:p>
        </w:tc>
        <w:tc>
          <w:tcPr>
            <w:tcW w:type="dxa" w:w="950"/>
            <w:vAlign w:val="top"/>
          </w:tcPr>
          <w:p>
            <w:pPr>
              <w:spacing w:after="40" w:before="0" w:line="259" w:lineRule="auto"/>
            </w:pPr>
            <w:r>
              <w:rPr>
                <w:rFonts w:ascii="Calibri" w:hAnsi="Calibri"/>
                <w:b w:val="0"/>
                <w:i w:val="0"/>
                <w:color w:val="212121"/>
                <w:sz w:val="16"/>
              </w:rPr>
              <w:t>Normal retina</w:t>
            </w:r>
          </w:p>
        </w:tc>
        <w:tc>
          <w:tcPr>
            <w:tcW w:type="dxa" w:w="950"/>
            <w:vAlign w:val="top"/>
          </w:tcPr>
          <w:p>
            <w:pPr>
              <w:spacing w:after="40" w:before="0" w:line="259" w:lineRule="auto"/>
            </w:pPr>
            <w:r>
              <w:rPr>
                <w:rFonts w:ascii="Calibri" w:hAnsi="Calibri"/>
                <w:b w:val="0"/>
                <w:i w:val="0"/>
                <w:color w:val="212121"/>
                <w:sz w:val="16"/>
              </w:rPr>
              <w:t>Scattered peripheral yellow-white dots</w:t>
            </w:r>
          </w:p>
        </w:tc>
        <w:tc>
          <w:tcPr>
            <w:tcW w:type="dxa" w:w="1036"/>
            <w:vAlign w:val="top"/>
          </w:tcPr>
          <w:p>
            <w:pPr>
              <w:spacing w:after="40" w:before="0" w:line="259" w:lineRule="auto"/>
            </w:pPr>
            <w:r>
              <w:rPr>
                <w:rFonts w:ascii="Calibri" w:hAnsi="Calibri"/>
                <w:b w:val="0"/>
                <w:i w:val="0"/>
                <w:color w:val="212121"/>
                <w:sz w:val="16"/>
              </w:rPr>
              <w:t>Sign of chronic long-standing deficiency</w:t>
            </w:r>
          </w:p>
        </w:tc>
        <w:tc>
          <w:tcPr>
            <w:tcW w:type="dxa" w:w="1036"/>
            <w:vAlign w:val="top"/>
          </w:tcPr>
          <w:p>
            <w:pPr>
              <w:spacing w:after="40" w:before="0" w:line="259" w:lineRule="auto"/>
            </w:pPr>
            <w:r>
              <w:rPr>
                <w:rFonts w:ascii="Calibri" w:hAnsi="Calibri"/>
                <w:b w:val="0"/>
                <w:i w:val="0"/>
                <w:color w:val="212121"/>
                <w:sz w:val="16"/>
              </w:rPr>
              <w:t>Chronic VAD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Uncommon; dilated exam</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Skin &amp; anthropometry</w:t>
            </w:r>
          </w:p>
        </w:tc>
        <w:tc>
          <w:tcPr>
            <w:tcW w:type="dxa" w:w="979"/>
            <w:vAlign w:val="top"/>
          </w:tcPr>
          <w:p>
            <w:pPr>
              <w:spacing w:after="40" w:before="0" w:line="259" w:lineRule="auto"/>
            </w:pPr>
            <w:r>
              <w:rPr>
                <w:rFonts w:ascii="Calibri" w:hAnsi="Calibri"/>
                <w:b w:val="0"/>
                <w:i w:val="0"/>
                <w:color w:val="212121"/>
                <w:sz w:val="16"/>
              </w:rPr>
              <w:t>Follicular hyperkeratosis (phrynoderma); wasting/oedema</w:t>
            </w:r>
          </w:p>
        </w:tc>
        <w:tc>
          <w:tcPr>
            <w:tcW w:type="dxa" w:w="950"/>
            <w:vAlign w:val="top"/>
          </w:tcPr>
          <w:p>
            <w:pPr>
              <w:spacing w:after="40" w:before="0" w:line="259" w:lineRule="auto"/>
            </w:pPr>
            <w:r>
              <w:rPr>
                <w:rFonts w:ascii="Calibri" w:hAnsi="Calibri"/>
                <w:b w:val="0"/>
                <w:i w:val="0"/>
                <w:color w:val="212121"/>
                <w:sz w:val="16"/>
              </w:rPr>
              <w:t>Normal skin, normal growth</w:t>
            </w:r>
          </w:p>
        </w:tc>
        <w:tc>
          <w:tcPr>
            <w:tcW w:type="dxa" w:w="950"/>
            <w:vAlign w:val="top"/>
          </w:tcPr>
          <w:p>
            <w:pPr>
              <w:spacing w:after="40" w:before="0" w:line="259" w:lineRule="auto"/>
            </w:pPr>
            <w:r>
              <w:rPr>
                <w:rFonts w:ascii="Calibri" w:hAnsi="Calibri"/>
                <w:b w:val="0"/>
                <w:i w:val="0"/>
                <w:color w:val="212121"/>
                <w:sz w:val="16"/>
              </w:rPr>
              <w:t>'Toad skin' keratotic papules; signs of PEM</w:t>
            </w:r>
          </w:p>
        </w:tc>
        <w:tc>
          <w:tcPr>
            <w:tcW w:type="dxa" w:w="1036"/>
            <w:vAlign w:val="top"/>
          </w:tcPr>
          <w:p>
            <w:pPr>
              <w:spacing w:after="40" w:before="0" w:line="259" w:lineRule="auto"/>
            </w:pPr>
            <w:r>
              <w:rPr>
                <w:rFonts w:ascii="Calibri" w:hAnsi="Calibri"/>
                <w:b w:val="0"/>
                <w:i w:val="0"/>
                <w:color w:val="212121"/>
                <w:sz w:val="16"/>
              </w:rPr>
              <w:t>Extra-ocular signs of vitamin A and general undernutrition</w:t>
            </w:r>
          </w:p>
        </w:tc>
        <w:tc>
          <w:tcPr>
            <w:tcW w:type="dxa" w:w="1036"/>
            <w:vAlign w:val="top"/>
          </w:tcPr>
          <w:p>
            <w:pPr>
              <w:spacing w:after="40" w:before="0" w:line="259" w:lineRule="auto"/>
            </w:pPr>
            <w:r>
              <w:rPr>
                <w:rFonts w:ascii="Calibri" w:hAnsi="Calibri"/>
                <w:b w:val="0"/>
                <w:i w:val="0"/>
                <w:color w:val="212121"/>
                <w:sz w:val="16"/>
              </w:rPr>
              <w:t>Malnourished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Assess weight-for-age and MUAC</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Night blindness (impaired vision in dim light)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Earliest symptom; child stumbles or cannot find objects at dusk from deficient rhodopsin regeneration.</w:t>
            </w:r>
          </w:p>
        </w:tc>
      </w:tr>
      <w:tr>
        <w:trPr>
          <w:cantSplit/>
        </w:trPr>
        <w:tc>
          <w:tcPr>
            <w:tcW w:type="dxa" w:w="2304"/>
            <w:vAlign w:val="top"/>
          </w:tcPr>
          <w:p>
            <w:pPr>
              <w:spacing w:after="40" w:before="0" w:line="259" w:lineRule="auto"/>
            </w:pPr>
            <w:r>
              <w:rPr>
                <w:rFonts w:ascii="Calibri" w:hAnsi="Calibri"/>
                <w:b/>
                <w:i w:val="0"/>
                <w:color w:val="212121"/>
                <w:sz w:val="19"/>
              </w:rPr>
              <w:t>Delayed dark adaptation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 recovery of vision on moving from bright to dim surroundings.</w:t>
            </w:r>
          </w:p>
        </w:tc>
      </w:tr>
      <w:tr>
        <w:trPr>
          <w:cantSplit/>
        </w:trPr>
        <w:tc>
          <w:tcPr>
            <w:tcW w:type="dxa" w:w="2304"/>
            <w:vAlign w:val="top"/>
          </w:tcPr>
          <w:p>
            <w:pPr>
              <w:spacing w:after="40" w:before="0" w:line="259" w:lineRule="auto"/>
            </w:pPr>
            <w:r>
              <w:rPr>
                <w:rFonts w:ascii="Calibri" w:hAnsi="Calibri"/>
                <w:b/>
                <w:i w:val="0"/>
                <w:color w:val="212121"/>
                <w:sz w:val="19"/>
              </w:rPr>
              <w:t>Dry, gritty eyes / foreign-body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Loss of tear-film mucin and conjunctival wetting from epithelial keratinisation.</w:t>
            </w:r>
          </w:p>
        </w:tc>
      </w:tr>
      <w:tr>
        <w:trPr>
          <w:cantSplit/>
        </w:trPr>
        <w:tc>
          <w:tcPr>
            <w:tcW w:type="dxa" w:w="2304"/>
            <w:vAlign w:val="top"/>
          </w:tcPr>
          <w:p>
            <w:pPr>
              <w:spacing w:after="40" w:before="0" w:line="259" w:lineRule="auto"/>
            </w:pPr>
            <w:r>
              <w:rPr>
                <w:rFonts w:ascii="Calibri" w:hAnsi="Calibri"/>
                <w:b/>
                <w:i w:val="0"/>
                <w:color w:val="212121"/>
                <w:sz w:val="19"/>
              </w:rPr>
              <w:t>Ocular burning or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Irritation of the dry, xerotic ocular surface.</w:t>
            </w:r>
          </w:p>
        </w:tc>
      </w:tr>
      <w:tr>
        <w:trPr>
          <w:cantSplit/>
        </w:trPr>
        <w:tc>
          <w:tcPr>
            <w:tcW w:type="dxa" w:w="2304"/>
            <w:vAlign w:val="top"/>
          </w:tcPr>
          <w:p>
            <w:pPr>
              <w:spacing w:after="40" w:before="0" w:line="259" w:lineRule="auto"/>
            </w:pPr>
            <w:r>
              <w:rPr>
                <w:rFonts w:ascii="Calibri" w:hAnsi="Calibri"/>
                <w:b/>
                <w:i w:val="0"/>
                <w:color w:val="212121"/>
                <w:sz w:val="19"/>
              </w:rPr>
              <w:t>Photophobia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Sensitivity to light as the corneal surface becomes dry or involved.</w:t>
            </w:r>
          </w:p>
        </w:tc>
      </w:tr>
      <w:tr>
        <w:trPr>
          <w:cantSplit/>
        </w:trPr>
        <w:tc>
          <w:tcPr>
            <w:tcW w:type="dxa" w:w="2304"/>
            <w:vAlign w:val="top"/>
          </w:tcPr>
          <w:p>
            <w:pPr>
              <w:spacing w:after="40" w:before="0" w:line="259" w:lineRule="auto"/>
            </w:pPr>
            <w:r>
              <w:rPr>
                <w:rFonts w:ascii="Calibri" w:hAnsi="Calibri"/>
                <w:b/>
                <w:i w:val="0"/>
                <w:color w:val="212121"/>
                <w:sz w:val="19"/>
              </w:rPr>
              <w:t>Blurred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ocular-surface irregularity and, later, corneal haze.</w:t>
            </w:r>
          </w:p>
        </w:tc>
      </w:tr>
      <w:tr>
        <w:trPr>
          <w:cantSplit/>
        </w:trPr>
        <w:tc>
          <w:tcPr>
            <w:tcW w:type="dxa" w:w="2304"/>
            <w:vAlign w:val="top"/>
          </w:tcPr>
          <w:p>
            <w:pPr>
              <w:spacing w:after="40" w:before="0" w:line="259" w:lineRule="auto"/>
            </w:pPr>
            <w:r>
              <w:rPr>
                <w:rFonts w:ascii="Calibri" w:hAnsi="Calibri"/>
                <w:b/>
                <w:i w:val="0"/>
                <w:color w:val="212121"/>
                <w:sz w:val="19"/>
              </w:rPr>
              <w:t>Reduced tearing (dry eye)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Impaired lacrimal and goblet-cell secretion.</w:t>
            </w:r>
          </w:p>
        </w:tc>
      </w:tr>
      <w:tr>
        <w:trPr>
          <w:cantSplit/>
        </w:trPr>
        <w:tc>
          <w:tcPr>
            <w:tcW w:type="dxa" w:w="2304"/>
            <w:vAlign w:val="top"/>
          </w:tcPr>
          <w:p>
            <w:pPr>
              <w:spacing w:after="40" w:before="0" w:line="259" w:lineRule="auto"/>
            </w:pPr>
            <w:r>
              <w:rPr>
                <w:rFonts w:ascii="Calibri" w:hAnsi="Calibri"/>
                <w:b/>
                <w:i w:val="0"/>
                <w:color w:val="212121"/>
                <w:sz w:val="19"/>
              </w:rPr>
              <w:t>Poor growth / failure to thrive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the underlying undernutrition that accompanies dietary VAD.</w:t>
            </w:r>
          </w:p>
        </w:tc>
      </w:tr>
      <w:tr>
        <w:trPr>
          <w:cantSplit/>
        </w:trPr>
        <w:tc>
          <w:tcPr>
            <w:tcW w:type="dxa" w:w="2304"/>
            <w:vAlign w:val="top"/>
          </w:tcPr>
          <w:p>
            <w:pPr>
              <w:spacing w:after="40" w:before="0" w:line="259" w:lineRule="auto"/>
            </w:pPr>
            <w:r>
              <w:rPr>
                <w:rFonts w:ascii="Calibri" w:hAnsi="Calibri"/>
                <w:b/>
                <w:i w:val="0"/>
                <w:color w:val="212121"/>
                <w:sz w:val="19"/>
              </w:rPr>
              <w:t>Frequent infections (diarrhoea, respiratory, measles)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Vitamin A maintains mucosal immunity; deficiency raises infection frequency and severity.</w:t>
            </w:r>
          </w:p>
        </w:tc>
      </w:tr>
      <w:tr>
        <w:trPr>
          <w:cantSplit/>
        </w:trPr>
        <w:tc>
          <w:tcPr>
            <w:tcW w:type="dxa" w:w="2304"/>
            <w:vAlign w:val="top"/>
          </w:tcPr>
          <w:p>
            <w:pPr>
              <w:spacing w:after="40" w:before="0" w:line="259" w:lineRule="auto"/>
            </w:pPr>
            <w:r>
              <w:rPr>
                <w:rFonts w:ascii="Calibri" w:hAnsi="Calibri"/>
                <w:b/>
                <w:i w:val="0"/>
                <w:color w:val="212121"/>
                <w:sz w:val="19"/>
              </w:rPr>
              <w:t>Dry, rough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Follicular hyperkeratosis (phrynoderma) from epithelial keratinisation.</w:t>
            </w:r>
          </w:p>
        </w:tc>
      </w:tr>
      <w:tr>
        <w:trPr>
          <w:cantSplit/>
        </w:trPr>
        <w:tc>
          <w:tcPr>
            <w:tcW w:type="dxa" w:w="2304"/>
            <w:vAlign w:val="top"/>
          </w:tcPr>
          <w:p>
            <w:pPr>
              <w:spacing w:after="40" w:before="0" w:line="259" w:lineRule="auto"/>
            </w:pPr>
            <w:r>
              <w:rPr>
                <w:rFonts w:ascii="Calibri" w:hAnsi="Calibri"/>
                <w:b/>
                <w:i w:val="0"/>
                <w:color w:val="212121"/>
                <w:sz w:val="19"/>
              </w:rPr>
              <w:t>Eye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corneal involvement (xerosis, ulceration).</w:t>
            </w:r>
          </w:p>
        </w:tc>
      </w:tr>
      <w:tr>
        <w:trPr>
          <w:cantSplit/>
        </w:trPr>
        <w:tc>
          <w:tcPr>
            <w:tcW w:type="dxa" w:w="2304"/>
            <w:vAlign w:val="top"/>
          </w:tcPr>
          <w:p>
            <w:pPr>
              <w:spacing w:after="40" w:before="0" w:line="259" w:lineRule="auto"/>
            </w:pPr>
            <w:r>
              <w:rPr>
                <w:rFonts w:ascii="Calibri" w:hAnsi="Calibri"/>
                <w:b/>
                <w:i w:val="0"/>
                <w:color w:val="212121"/>
                <w:sz w:val="19"/>
              </w:rPr>
              <w:t>Rapid painless loss of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Keratomalacia can destroy the cornea within days, especially after measles.</w:t>
            </w:r>
          </w:p>
        </w:tc>
      </w:tr>
      <w:tr>
        <w:trPr>
          <w:cantSplit/>
        </w:trPr>
        <w:tc>
          <w:tcPr>
            <w:tcW w:type="dxa" w:w="2304"/>
            <w:vAlign w:val="top"/>
          </w:tcPr>
          <w:p>
            <w:pPr>
              <w:spacing w:after="40" w:before="0" w:line="259" w:lineRule="auto"/>
            </w:pPr>
            <w:r>
              <w:rPr>
                <w:rFonts w:ascii="Calibri" w:hAnsi="Calibri"/>
                <w:b/>
                <w:i w:val="0"/>
                <w:color w:val="212121"/>
                <w:sz w:val="19"/>
              </w:rPr>
              <w:t>Sudden blindness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Bilateral corneal perforation/scarring produces irreversible nutritional blindness.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Conjunctival xerosis (X1A)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Dry, thickened, wrinkled, non-wettable bulbar conjunctiva from squamous metaplasia.</w:t>
            </w:r>
          </w:p>
        </w:tc>
      </w:tr>
      <w:tr>
        <w:trPr>
          <w:cantSplit/>
        </w:trPr>
        <w:tc>
          <w:tcPr>
            <w:tcW w:type="dxa" w:w="3456"/>
            <w:vAlign w:val="top"/>
          </w:tcPr>
          <w:p>
            <w:pPr>
              <w:spacing w:after="40" w:before="0" w:line="259" w:lineRule="auto"/>
            </w:pPr>
            <w:r>
              <w:rPr>
                <w:rFonts w:ascii="Calibri" w:hAnsi="Calibri"/>
                <w:b/>
                <w:i w:val="0"/>
                <w:color w:val="212121"/>
                <w:sz w:val="19"/>
              </w:rPr>
              <w:t>Bitot's spots (X1B)</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Foamy or cheesy grey-white triangular keratin patches, typically temporal bulbar conjunctiva; hallmark of VAD.</w:t>
            </w:r>
          </w:p>
        </w:tc>
      </w:tr>
      <w:tr>
        <w:trPr>
          <w:cantSplit/>
        </w:trPr>
        <w:tc>
          <w:tcPr>
            <w:tcW w:type="dxa" w:w="3456"/>
            <w:vAlign w:val="top"/>
          </w:tcPr>
          <w:p>
            <w:pPr>
              <w:spacing w:after="40" w:before="0" w:line="259" w:lineRule="auto"/>
            </w:pPr>
            <w:r>
              <w:rPr>
                <w:rFonts w:ascii="Calibri" w:hAnsi="Calibri"/>
                <w:b/>
                <w:i w:val="0"/>
                <w:color w:val="212121"/>
                <w:sz w:val="19"/>
              </w:rPr>
              <w:t>Corneal xerosis (X2)</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Hazy, dry, granular, non-wettable cornea; a medical emergency.</w:t>
            </w:r>
          </w:p>
        </w:tc>
      </w:tr>
      <w:tr>
        <w:trPr>
          <w:cantSplit/>
        </w:trPr>
        <w:tc>
          <w:tcPr>
            <w:tcW w:type="dxa" w:w="3456"/>
            <w:vAlign w:val="top"/>
          </w:tcPr>
          <w:p>
            <w:pPr>
              <w:spacing w:after="40" w:before="0" w:line="259" w:lineRule="auto"/>
            </w:pPr>
            <w:r>
              <w:rPr>
                <w:rFonts w:ascii="Calibri" w:hAnsi="Calibri"/>
                <w:b/>
                <w:i w:val="0"/>
                <w:color w:val="212121"/>
                <w:sz w:val="19"/>
              </w:rPr>
              <w:t>Corneal ulceration / keratomalacia (X3A/X3B)</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Liquefactive softening and ulceration of the cornea leading to perforation and loss of the eye.</w:t>
            </w:r>
          </w:p>
        </w:tc>
      </w:tr>
      <w:tr>
        <w:trPr>
          <w:cantSplit/>
        </w:trPr>
        <w:tc>
          <w:tcPr>
            <w:tcW w:type="dxa" w:w="3456"/>
            <w:vAlign w:val="top"/>
          </w:tcPr>
          <w:p>
            <w:pPr>
              <w:spacing w:after="40" w:before="0" w:line="259" w:lineRule="auto"/>
            </w:pPr>
            <w:r>
              <w:rPr>
                <w:rFonts w:ascii="Calibri" w:hAnsi="Calibri"/>
                <w:b/>
                <w:i w:val="0"/>
                <w:color w:val="212121"/>
                <w:sz w:val="19"/>
              </w:rPr>
              <w:t>Corneal scar (XS)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Leukoma/nebula from a healed xerophthalmic ulcer; a leading cause of childhood corneal blindness.</w:t>
            </w:r>
          </w:p>
        </w:tc>
      </w:tr>
      <w:tr>
        <w:trPr>
          <w:cantSplit/>
        </w:trPr>
        <w:tc>
          <w:tcPr>
            <w:tcW w:type="dxa" w:w="3456"/>
            <w:vAlign w:val="top"/>
          </w:tcPr>
          <w:p>
            <w:pPr>
              <w:spacing w:after="40" w:before="0" w:line="259" w:lineRule="auto"/>
            </w:pPr>
            <w:r>
              <w:rPr>
                <w:rFonts w:ascii="Calibri" w:hAnsi="Calibri"/>
                <w:b/>
                <w:i w:val="0"/>
                <w:color w:val="212121"/>
                <w:sz w:val="19"/>
              </w:rPr>
              <w:t>Xerophthalmic fundus (XF)</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Scattered peripheral yellow-white retinal dots in chronic deficiency.</w:t>
            </w:r>
          </w:p>
        </w:tc>
      </w:tr>
      <w:tr>
        <w:trPr>
          <w:cantSplit/>
        </w:trPr>
        <w:tc>
          <w:tcPr>
            <w:tcW w:type="dxa" w:w="3456"/>
            <w:vAlign w:val="top"/>
          </w:tcPr>
          <w:p>
            <w:pPr>
              <w:spacing w:after="40" w:before="0" w:line="259" w:lineRule="auto"/>
            </w:pPr>
            <w:r>
              <w:rPr>
                <w:rFonts w:ascii="Calibri" w:hAnsi="Calibri"/>
                <w:b/>
                <w:i w:val="0"/>
                <w:color w:val="212121"/>
                <w:sz w:val="19"/>
              </w:rPr>
              <w:t>Follicular hyperkeratosis / phrynoderma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'Toad skin' keratotic follicular papules on extensor surfaces - an extra-ocular sign.</w:t>
            </w:r>
          </w:p>
        </w:tc>
      </w:tr>
      <w:tr>
        <w:trPr>
          <w:cantSplit/>
        </w:trPr>
        <w:tc>
          <w:tcPr>
            <w:tcW w:type="dxa" w:w="3456"/>
            <w:vAlign w:val="top"/>
          </w:tcPr>
          <w:p>
            <w:pPr>
              <w:spacing w:after="40" w:before="0" w:line="259" w:lineRule="auto"/>
            </w:pPr>
            <w:r>
              <w:rPr>
                <w:rFonts w:ascii="Calibri" w:hAnsi="Calibri"/>
                <w:b/>
                <w:i w:val="0"/>
                <w:color w:val="212121"/>
                <w:sz w:val="19"/>
              </w:rPr>
              <w:t>Reduced/absent conjunctival goblet cells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On impression cytology; subclinical epithelial change preceding visible xerosis.</w:t>
            </w:r>
          </w:p>
        </w:tc>
      </w:tr>
      <w:tr>
        <w:trPr>
          <w:cantSplit/>
        </w:trPr>
        <w:tc>
          <w:tcPr>
            <w:tcW w:type="dxa" w:w="3456"/>
            <w:vAlign w:val="top"/>
          </w:tcPr>
          <w:p>
            <w:pPr>
              <w:spacing w:after="40" w:before="0" w:line="259" w:lineRule="auto"/>
            </w:pPr>
            <w:r>
              <w:rPr>
                <w:rFonts w:ascii="Calibri" w:hAnsi="Calibri"/>
                <w:b/>
                <w:i w:val="0"/>
                <w:color w:val="212121"/>
                <w:sz w:val="19"/>
              </w:rPr>
              <w:t>Signs of protein-energy malnutrition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Wasting, oedema, hair and skin changes reflecting the shared nutritional deficit.</w:t>
            </w:r>
          </w:p>
        </w:tc>
      </w:tr>
      <w:tr>
        <w:trPr>
          <w:cantSplit/>
        </w:trPr>
        <w:tc>
          <w:tcPr>
            <w:tcW w:type="dxa" w:w="3456"/>
            <w:vAlign w:val="top"/>
          </w:tcPr>
          <w:p>
            <w:pPr>
              <w:spacing w:after="40" w:before="0" w:line="259" w:lineRule="auto"/>
            </w:pPr>
            <w:r>
              <w:rPr>
                <w:rFonts w:ascii="Calibri" w:hAnsi="Calibri"/>
                <w:b/>
                <w:i w:val="0"/>
                <w:color w:val="212121"/>
                <w:sz w:val="19"/>
              </w:rPr>
              <w:t>Dull, dry, lustreless conjunctiva/cornea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Generalised loss of ocular-surface sheen from tear-film mucin deficiency.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Night blindness (XN) - impaired dark adaptation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Conjunctival xerosis and Bitot's spots (X1A/X1B)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Dry-eye / ocular-surface disease with keratinisation</w:t>
            </w:r>
          </w:p>
        </w:tc>
        <w:tc>
          <w:tcPr>
            <w:tcW w:type="dxa" w:w="2980"/>
            <w:vAlign w:val="top"/>
          </w:tcPr>
          <w:p>
            <w:pPr>
              <w:spacing w:after="40" w:before="0" w:line="259" w:lineRule="auto"/>
            </w:pPr>
            <w:r>
              <w:rPr>
                <w:rFonts w:ascii="Calibri" w:hAnsi="Calibri"/>
                <w:b w:val="0"/>
                <w:i w:val="0"/>
                <w:color w:val="212121"/>
                <w:sz w:val="19"/>
              </w:rPr>
              <w:t>Early, largely reversible functional and epithelial changes of vitamin A deficiency</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xerosis (X2) progressing to ulceration and keratomalacia (X3A/X3B)</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keratitis, corneal perforation and endophthalmitis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susceptibility to and severity of measles, diarrhoea and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Maternal night blindness with low birthweight and poor infant growth</w:t>
            </w:r>
          </w:p>
        </w:tc>
        <w:tc>
          <w:tcPr>
            <w:tcW w:type="dxa" w:w="2980"/>
            <w:vAlign w:val="top"/>
          </w:tcPr>
          <w:p>
            <w:pPr>
              <w:spacing w:after="40" w:before="0" w:line="259" w:lineRule="auto"/>
            </w:pPr>
            <w:r>
              <w:rPr>
                <w:rFonts w:ascii="Calibri" w:hAnsi="Calibri"/>
                <w:b w:val="0"/>
                <w:i w:val="0"/>
                <w:color w:val="212121"/>
                <w:sz w:val="19"/>
              </w:rPr>
              <w:t>Sight-threatening corneal destruction and systemic consequences of impaired mucosal immunity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Irreversible corneal blindness (dense leukoma, staphyloma)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Phthisis bulbi / loss of the eye after perforation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Bilateral nutritional blindness and lifelong visual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child mortality (VAD raises all-cause and infection-related death)</w:t>
            </w:r>
          </w:p>
        </w:tc>
        <w:tc>
          <w:tcPr>
            <w:tcW w:type="dxa" w:w="2980"/>
            <w:vAlign w:val="top"/>
          </w:tcPr>
          <w:p>
            <w:pPr>
              <w:spacing w:after="40" w:before="0" w:line="259" w:lineRule="auto"/>
            </w:pPr>
            <w:r>
              <w:rPr>
                <w:rFonts w:ascii="Calibri" w:hAnsi="Calibri"/>
                <w:b w:val="0"/>
                <w:i w:val="0"/>
                <w:color w:val="212121"/>
                <w:sz w:val="19"/>
              </w:rPr>
              <w:t>Permanent, disabling and life-threatening outcomes of untreated severe deficiency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Protein-energy malnutrition / SAM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dietary and infective roots with VAD and lowers RBP-mediated vitamin A transport; Grade-3 PEM raised VAD odds ~44x.</w:t>
            </w:r>
          </w:p>
          <w:p>
            <w:pPr>
              <w:spacing w:after="40" w:before="0" w:line="259" w:lineRule="auto"/>
            </w:pPr>
            <w:r>
              <w:rPr>
                <w:rFonts w:ascii="Calibri" w:hAnsi="Calibri"/>
                <w:b/>
                <w:i w:val="0"/>
                <w:color w:val="212121"/>
                <w:sz w:val="19"/>
              </w:rPr>
              <w:t>Up to ~58% (studied children)</w:t>
            </w:r>
          </w:p>
        </w:tc>
      </w:tr>
      <w:tr>
        <w:trPr>
          <w:cantSplit/>
        </w:trPr>
        <w:tc>
          <w:tcPr>
            <w:tcW w:type="dxa" w:w="2232"/>
            <w:vAlign w:val="top"/>
          </w:tcPr>
          <w:p>
            <w:pPr>
              <w:spacing w:after="40" w:before="0" w:line="259" w:lineRule="auto"/>
            </w:pPr>
            <w:r>
              <w:rPr>
                <w:rFonts w:ascii="Calibri" w:hAnsi="Calibri"/>
                <w:b/>
                <w:i w:val="0"/>
                <w:color w:val="212121"/>
                <w:sz w:val="19"/>
              </w:rPr>
              <w:t>Measles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Depletes vitamin A and can precipitate keratomalacia; VAD in turn worsens measles severity and mortality, so vitamin A is given to all cases.</w:t>
            </w:r>
          </w:p>
        </w:tc>
      </w:tr>
      <w:tr>
        <w:trPr>
          <w:cantSplit/>
        </w:trPr>
        <w:tc>
          <w:tcPr>
            <w:tcW w:type="dxa" w:w="2232"/>
            <w:vAlign w:val="top"/>
          </w:tcPr>
          <w:p>
            <w:pPr>
              <w:spacing w:after="40" w:before="0" w:line="259" w:lineRule="auto"/>
            </w:pPr>
            <w:r>
              <w:rPr>
                <w:rFonts w:ascii="Calibri" w:hAnsi="Calibri"/>
                <w:b/>
                <w:i w:val="0"/>
                <w:color w:val="212121"/>
                <w:sz w:val="19"/>
              </w:rPr>
              <w:t>Diarrhoeal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Causes malabsorption and loss of vitamin A while VAD impairs gut mucosal defence, creating a vicious infection-deficiency cycle.</w:t>
            </w:r>
          </w:p>
        </w:tc>
      </w:tr>
      <w:tr>
        <w:trPr>
          <w:cantSplit/>
        </w:trPr>
        <w:tc>
          <w:tcPr>
            <w:tcW w:type="dxa" w:w="2232"/>
            <w:vAlign w:val="top"/>
          </w:tcPr>
          <w:p>
            <w:pPr>
              <w:spacing w:after="40" w:before="0" w:line="259" w:lineRule="auto"/>
            </w:pPr>
            <w:r>
              <w:rPr>
                <w:rFonts w:ascii="Calibri" w:hAnsi="Calibri"/>
                <w:b/>
                <w:i w:val="0"/>
                <w:color w:val="212121"/>
                <w:sz w:val="19"/>
              </w:rPr>
              <w:t>Acute respiratory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VAD impairs respiratory mucosal immunity, raising ARI frequency and severity; recurrent RTI depletes stores.</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Vitamin A supports iron mobilisation and erythropoiesis; the two deficiencies frequently coexist in poor diets.</w:t>
            </w:r>
          </w:p>
        </w:tc>
      </w:tr>
      <w:tr>
        <w:trPr>
          <w:cantSplit/>
        </w:trPr>
        <w:tc>
          <w:tcPr>
            <w:tcW w:type="dxa" w:w="2232"/>
            <w:vAlign w:val="top"/>
          </w:tcPr>
          <w:p>
            <w:pPr>
              <w:spacing w:after="40" w:before="0" w:line="259" w:lineRule="auto"/>
            </w:pPr>
            <w:r>
              <w:rPr>
                <w:rFonts w:ascii="Calibri" w:hAnsi="Calibri"/>
                <w:b/>
                <w:i w:val="0"/>
                <w:color w:val="212121"/>
                <w:sz w:val="19"/>
              </w:rPr>
              <w:t>Zinc deficiency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Zinc is required for RBP synthesis and retinol mobilisation; co-deficiency blunts the response to vitamin A therapy.</w:t>
            </w:r>
          </w:p>
        </w:tc>
      </w:tr>
      <w:tr>
        <w:trPr>
          <w:cantSplit/>
        </w:trPr>
        <w:tc>
          <w:tcPr>
            <w:tcW w:type="dxa" w:w="2232"/>
            <w:vAlign w:val="top"/>
          </w:tcPr>
          <w:p>
            <w:pPr>
              <w:spacing w:after="40" w:before="0" w:line="259" w:lineRule="auto"/>
            </w:pPr>
            <w:r>
              <w:rPr>
                <w:rFonts w:ascii="Calibri" w:hAnsi="Calibri"/>
                <w:b/>
                <w:i w:val="0"/>
                <w:color w:val="212121"/>
                <w:sz w:val="19"/>
              </w:rPr>
              <w:t>Fat-malabsorption disorders (cystic fibrosis, coeliac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 absorption of fat-soluble vitamin A, causing secondary xerophthalmia even with adequate intake.</w:t>
            </w:r>
          </w:p>
        </w:tc>
      </w:tr>
      <w:tr>
        <w:trPr>
          <w:cantSplit/>
        </w:trPr>
        <w:tc>
          <w:tcPr>
            <w:tcW w:type="dxa" w:w="2232"/>
            <w:vAlign w:val="top"/>
          </w:tcPr>
          <w:p>
            <w:pPr>
              <w:spacing w:after="40" w:before="0" w:line="259" w:lineRule="auto"/>
            </w:pPr>
            <w:r>
              <w:rPr>
                <w:rFonts w:ascii="Calibri" w:hAnsi="Calibri"/>
                <w:b/>
                <w:i w:val="0"/>
                <w:color w:val="212121"/>
                <w:sz w:val="19"/>
              </w:rPr>
              <w:t>Chronic / cholestatic liver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Reduces hepatic vitamin A storage and RBP synthesis, impairing retinol transport and status.</w:t>
            </w:r>
          </w:p>
        </w:tc>
      </w:tr>
      <w:tr>
        <w:trPr>
          <w:cantSplit/>
        </w:trPr>
        <w:tc>
          <w:tcPr>
            <w:tcW w:type="dxa" w:w="2232"/>
            <w:vAlign w:val="top"/>
          </w:tcPr>
          <w:p>
            <w:pPr>
              <w:spacing w:after="40" w:before="0" w:line="259" w:lineRule="auto"/>
            </w:pPr>
            <w:r>
              <w:rPr>
                <w:rFonts w:ascii="Calibri" w:hAnsi="Calibri"/>
                <w:b/>
                <w:i w:val="0"/>
                <w:color w:val="212121"/>
                <w:sz w:val="19"/>
              </w:rPr>
              <w:t>Adverse pregnancy outcomes (maternal night blindness, low birthweight)</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Maternal VAD manifests as gestational night blindness and is linked to low birthweight and higher infant morbidity.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night blindness early - difficulty seeing at dusk or in dim light is the first warning sign and is fully reversible if treated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every child receives all vitamin A prophylaxis megadoses (100,000 IU at 9 months with measles vaccine, 200,000 IU at 16-18 months, then 200,000 IU six-monthly to 5 years).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measles vaccination and seek vitamin A for any child with measles, persistent diarrhoea or severe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exclusive breastfeeding to 6 months and timely, diverse complementary feeding.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sanitation, safe water and hand hygiene to cut the diarrhoeal load that depletes vitamin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immediate eye care for any dryness, foamy conjunctival patch, corneal haze or rapid loss of vision.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under-fives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tribal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Low-income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ICDS/Anganwadi &amp; ASHA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vitamin-A-rich foods daily: green leafy vegetables (amaranth, spinach, drumstick/moringa leaves, fenugreek), and orange/yellow produce (carrot, pumpkin, sweet potato, ripe mango, papaya).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animal-source foods where possible - egg yolk, milk, curd, ghee and (occasionally) liver provide readily absorbed preformed retinol.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a little oil, ghee or nuts to vegetable dishes so fat-soluble vitamin A and beta-carotene are absorbed.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fortified staples (fortified oil, milk, wheat flour) to close dietary gaps.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Grow a kitchen or community garden of greens and coloured vegetables to improve year-round access.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whole coloured fruits and cooked greens over refined, monotonous cereal-only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&amp; lactating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Low-diversity vegetarian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Food-insecure families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clinical xerophthalmia with high-dose vitamin A on days 1, 2 and a third dose 1-4 weeks later: 200,000 IU (&gt;=1 year), 100,000 IU (6-12 months), 50,000 IU (&lt;6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vitamin A to all children with measles, and to severe acute malnutrition per protocol.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pregnancy with night blindness/Bitot's spots use low daily/weekly dosing (e.g. up to 10,000 IU/day or 25,000 IU/week) to avoid teratogenicity - reserve high single doses for sight-threatening corneal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corneal involvement add topical antibiotic (e.g. tetracycline/chloramphenicol) ointment and protect the eye; treat as an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coexisting protein-energy malnutrition, zinc and iron deficiency to sustain the response.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with ongoing dietary vitamin A to prevent relapse once acute treatment is complete.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clinical xerophthalmia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Post-measles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acute malnutrition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 with night blindness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outdoor play and healthy growth as part of overall child nutrition and development.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household/community vegetable gardening as an active route to better vitamin-A food access.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Integrate growth monitoring (weight-for-age, MUAC) with activity and feeding at Anganwadi centres.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Under-five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dismiss a child's difficulty moving about at dusk as sleepiness or clumsiness - assess for night blindness.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sleep as part of general child health and recovery from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Convalescing children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indoor biomass and tobacco smoke exposure, which irritates and dries the ocular surface.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in pregnancy and around children to protect the eyes and general nutrition.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Improve kitchen ventilation or use cleaner cooking fuels to lower ocular-surface irritation.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using biomass fuel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dry-eye symptoms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chronic heavy alcohol use, which impairs hepatic storage and mobilisation of vitamin 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alcohol-related liver disease, screen for and correct fat-soluble vitamin (A)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entirely in pregnancy - it compounds nutritional risk to mother and fetus.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heavy alcohol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Alcoholic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(including those with depression) so that child feeding and clinic attendance are maintained.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low-vision rehabilitation for those with established visual impairment.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Children/adults with vision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Low-resource families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mbridge.org/core/journals/public-health-nutrition/article/prevalence-of-ocular-signs-and-subclinical-vitamin-a-deficiency-and-its-determinants-among-rural-preschool-children-in-india/6CC81D6A59C1A7A6E52C1EF79362CEEF" TargetMode="External"/><Relationship Id="rId10" Type="http://schemas.openxmlformats.org/officeDocument/2006/relationships/hyperlink" Target="https://link.springer.com/article/10.1007/s00394-021-02636-7" TargetMode="External"/><Relationship Id="rId11" Type="http://schemas.openxmlformats.org/officeDocument/2006/relationships/hyperlink" Target="https://pmc.ncbi.nlm.nih.gov/articles/PMC6625259/" TargetMode="External"/><Relationship Id="rId12" Type="http://schemas.openxmlformats.org/officeDocument/2006/relationships/hyperlink" Target="https://pmc.ncbi.nlm.nih.gov/articles/PMC11927858/" TargetMode="External"/><Relationship Id="rId13" Type="http://schemas.openxmlformats.org/officeDocument/2006/relationships/hyperlink" Target="https://ijmr.org.in/national-control-programme-against-nutritional-blindness-due-to-vitamin-a-deficiency-current-status-future-strategy/" TargetMode="External"/><Relationship Id="rId14" Type="http://schemas.openxmlformats.org/officeDocument/2006/relationships/hyperlink" Target="https://www.nhp.gov.in/national-vitamin-a-prophylaxis-program_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