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Retinopathy of Prematurity</w:t>
      </w:r>
    </w:p>
    <w:p>
      <w:pPr>
        <w:spacing w:before="0" w:after="160"/>
      </w:pPr>
      <w:r>
        <w:rPr>
          <w:rFonts w:ascii="Calibri" w:hAnsi="Calibri"/>
          <w:b/>
          <w:i w:val="0"/>
          <w:color w:val="212121"/>
          <w:sz w:val="22"/>
        </w:rPr>
        <w:t xml:space="preserve">AKA </w:t>
      </w:r>
      <w:r>
        <w:rPr>
          <w:rFonts w:ascii="Calibri" w:hAnsi="Calibri"/>
          <w:b w:val="0"/>
          <w:i w:val="0"/>
          <w:color w:val="212121"/>
          <w:sz w:val="22"/>
        </w:rPr>
        <w:t>i.e., ROP, Retrolental fibroplasia (historical term), Terry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Retinopathy of prematurity (ROP) is a vasoproliferative disorder of the developing retina that affects premature, low-birth-weight infants. Because retinal blood-vessel growth is incomplete at premature birth, exposure to relative hyperoxia (often from supplemental oxygen) followed by tissue hypoxia triggers abnormal, disordered neovascularization at the junction of vascularized and avascular retina. Left undetected, this can progress to retinal fibrosis, traction and detachment, making ROP one of the leading causes of avoidable childhood blindness. It is almost entirely preventable and treatable when infants are screened within the correct window.</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ROP is a major cause of avoidable childhood blindness in India. Reported incidence among screened preterm/low-birth-weight infants ranges widely from about 38% to 52%, while severe (treatment-requiring) ROP affects roughly 3% of at-risk babies. India records the world's largest number of preterm births (~3.5 million/year); an estimated 200,000 preterm infants are at risk annually, yet only 30,000-40,000 currently reach timely screening, and about 5,000 children go blind from ROP each year - accounting for close to one in five (~20%) of childhood blindness. India is described as being in the 'third epidemic' of ROP, with disease occurring even in larger, more mature babies owing to variable neonatal-care quality.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ROP is diagnosed clinically by a trained ophthalmologist on a dilated retinal examination; there is no blood test. Diagnosis and follow-up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eligibility (Indian criteria): all preterm infants of gestational age &lt; 34 weeks OR birth weight &lt; 2000 g; plus larger/older infants (34-36 6/7 weeks or 1750-2000 g) who have risk factors such as prolonged oxygen, sepsis or haemodynamic instability;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Timing of first examination: not later than 4 weeks (30 days) of age, or 30-31 weeks post-menstrual age, whichever is earlier; extremely preterm infants (&lt; 28 weeks or &lt; 1200 g) are examined earlier at 2-3 weeks to catch aggressive ROP;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Technique: pupillary dilation followed by binocular indirect ophthalmoscopy with a 20/28 D lens and scleral depression, and/or wide-field digital retinal imaging (e.g., RetCam) which also enables tele-ROP screening;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Findings are graded by the International Classification of ROP (ICROP): retinal ZONE (I-III), STAGE (1-5), extent in clock-hours, and the presence of pre-plus or plus disease and aggressive ROP;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Treatment threshold is 'Type 1 ROP' (see classification); serial re-examinations at 1-3 week intervals continue until the retina is fully vascularized or the disease regresses.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ROP is classified using the International Classification of Retinopathy of Prematurity, Third Edition (ICROP3), which describes the location, severity and activity of disease:</w:t>
      </w:r>
    </w:p>
    <w:p>
      <w:pPr>
        <w:spacing w:before="0" w:after="80"/>
      </w:pPr>
      <w:r>
        <w:rPr>
          <w:rFonts w:ascii="Calibri" w:hAnsi="Calibri"/>
          <w:b w:val="0"/>
          <w:i w:val="0"/>
          <w:color w:val="212121"/>
          <w:sz w:val="21"/>
        </w:rPr>
        <w:t>(1) ZONE (location, centred on the optic disc): Zone I is the posterior circle whose radius is twice the disc-to-fovea distance; Zone II extends from the edge of Zone I to the nasal ora serrata; Zone III is the remaining temporal crescent. More posterior (Zone I) disease carries the worst prognosis.</w:t>
      </w:r>
    </w:p>
    <w:p>
      <w:pPr>
        <w:spacing w:before="0" w:after="80"/>
      </w:pPr>
      <w:r>
        <w:rPr>
          <w:rFonts w:ascii="Calibri" w:hAnsi="Calibri"/>
          <w:b w:val="0"/>
          <w:i w:val="0"/>
          <w:color w:val="212121"/>
          <w:sz w:val="21"/>
        </w:rPr>
        <w:t>(2) STAGE (severity at the vascular-avascular junction): Stage 1 = a thin demarcation line; Stage 2 = a raised ridge; Stage 3 = ridge with extraretinal fibrovascular (neovascular) proliferation; Stage 4 = partial retinal detachment (4A extrafoveal, 4B involving the fovea); Stage 5 = total retinal detachment.</w:t>
      </w:r>
    </w:p>
    <w:p>
      <w:pPr>
        <w:spacing w:before="0" w:after="80"/>
      </w:pPr>
      <w:r>
        <w:rPr>
          <w:rFonts w:ascii="Calibri" w:hAnsi="Calibri"/>
          <w:b w:val="0"/>
          <w:i w:val="0"/>
          <w:color w:val="212121"/>
          <w:sz w:val="21"/>
        </w:rPr>
        <w:t>(3) PLUS and PRE-PLUS disease: abnormal dilation and tortuosity of posterior-pole retinal vessels; plus disease signals activity and is a key treatment trigger.</w:t>
      </w:r>
    </w:p>
    <w:p>
      <w:pPr>
        <w:spacing w:before="0" w:after="80"/>
      </w:pPr>
      <w:r>
        <w:rPr>
          <w:rFonts w:ascii="Calibri" w:hAnsi="Calibri"/>
          <w:b w:val="0"/>
          <w:i w:val="0"/>
          <w:color w:val="212121"/>
          <w:sz w:val="21"/>
        </w:rPr>
        <w:t>(4) Aggressive ROP (A-ROP, formerly aggressive posterior ROP): a rapidly progressive, flat posterior form with prominent plus disease that can advance without passing through classic stages - a paediatric ophthalmic emergency.</w:t>
      </w:r>
    </w:p>
    <w:p>
      <w:pPr>
        <w:spacing w:before="0" w:after="80"/>
      </w:pPr>
      <w:r>
        <w:rPr>
          <w:rFonts w:ascii="Calibri" w:hAnsi="Calibri"/>
          <w:b w:val="0"/>
          <w:i w:val="0"/>
          <w:color w:val="212121"/>
          <w:sz w:val="21"/>
        </w:rPr>
        <w:t>(5) Treatment categories: 'Type 1 ROP' (Zone I any stage with plus disease, Zone I stage 3 without plus, or Zone II stage 2 or 3 with plus disease) warrants treatment, ideally within 48-72 hours; 'Type 2 ROP' is watched closely with serial examinations.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Prematurity / incomplete retinal vascularization: The retina vascularizes only late in gestation, so the more premature the infant, the larger the avascular retina at risk - the fundamental cause.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Oxygen exposure and fluctuation: Relative hyperoxia suppresses VEGF and IGF-1 causing vaso-obliteration (Phase 1); subsequent tissue hypoxia drives a VEGF surge and pathological neovascularization (Phase 2). Wide swings in oxygen are especially harmful.</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Low birth weight / intrauterine growth restriction: Lower birth weight is strongly and inversely related to ROP risk and severity.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Sepsis and systemic inflammation: Neonatal infection raises inflammatory cytokines and VEGF, promoting disordered angiogenesis.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Anaemia and blood transfusions: Transfusion of adult haemoglobin and associated oxidative stress are linked to ROP progression.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Poor postnatal weight gain / low IGF-1: Deficient serum IGF-1 impairs normal vessel growth and predicts severe ROP (basis of WINROP/CHOP-ROP risk models).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susceptibility: Variants in the VEGF and Wnt/Norrin signalling pathway (NDP, FZD4, LRP5, TSPAN12) influence individual risk and overlap with familial exudative vitreoretinopathy.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Gestational age</w:t>
            </w:r>
          </w:p>
        </w:tc>
        <w:tc>
          <w:tcPr>
            <w:tcW w:type="dxa" w:w="2160"/>
            <w:vAlign w:val="top"/>
          </w:tcPr>
          <w:p>
            <w:pPr>
              <w:spacing w:after="40" w:before="0" w:line="259" w:lineRule="auto"/>
            </w:pPr>
            <w:r>
              <w:rPr>
                <w:rFonts w:ascii="Calibri" w:hAnsi="Calibri"/>
                <w:b w:val="0"/>
                <w:i w:val="0"/>
                <w:color w:val="212121"/>
                <w:sz w:val="19"/>
              </w:rPr>
              <w:t>Extremely preterm infants (&lt; 28 weeks)</w:t>
            </w:r>
          </w:p>
        </w:tc>
        <w:tc>
          <w:tcPr>
            <w:tcW w:type="dxa" w:w="4276"/>
            <w:vAlign w:val="top"/>
          </w:tcPr>
          <w:p>
            <w:pPr>
              <w:spacing w:after="60" w:line="259" w:lineRule="auto"/>
            </w:pPr>
            <w:r>
              <w:rPr>
                <w:rFonts w:ascii="Calibri" w:hAnsi="Calibri"/>
                <w:b w:val="0"/>
                <w:i w:val="0"/>
                <w:color w:val="212121"/>
                <w:sz w:val="19"/>
              </w:rPr>
              <w:t>The earlier the birth, the larger the avascular, immature retina and the more susceptible it is to oxygen-driven vaso-obliteration and later neovascularization. This group also develops the aggressive posterior form.</w:t>
            </w:r>
          </w:p>
          <w:p>
            <w:pPr>
              <w:spacing w:after="40" w:before="60" w:line="259" w:lineRule="auto"/>
            </w:pPr>
            <w:r>
              <w:rPr>
                <w:rFonts w:ascii="Calibri" w:hAnsi="Calibri"/>
                <w:b w:val="0"/>
                <w:i w:val="0"/>
                <w:color w:val="212121"/>
                <w:sz w:val="19"/>
              </w:rPr>
              <w:t>Infants born before 32 weeks of gestation face the greatest risk of ROP; those under 28 weeks are examined as early as 2-3 weeks of age.</w:t>
            </w:r>
          </w:p>
          <w:p>
            <w:pPr>
              <w:spacing w:after="40" w:line="252" w:lineRule="auto"/>
            </w:pPr>
            <w:hyperlink r:id="rId9">
              <w:r>
                <w:rPr>
                  <w:rFonts w:ascii="Calibri" w:hAnsi="Calibri" w:cs="Calibri"/>
                  <w:sz w:val="18"/>
                  <w:color w:val="1155CC"/>
                  <w:u w:val="single"/>
                </w:rPr>
                <w:t xml:space="preserve">iapb.org - retinopathy of prematurity</w:t>
              </w:r>
            </w:hyperlink>
          </w:p>
          <w:p>
            <w:pPr>
              <w:spacing w:before="60" w:after="40"/>
            </w:pPr>
            <w:r>
              <w:rPr>
                <w:rFonts w:ascii="Calibri" w:hAnsi="Calibri"/>
                <w:b w:val="0"/>
                <w:i w:val="0"/>
                <w:color w:val="5A5A5A"/>
                <w:sz w:val="18"/>
              </w:rPr>
              <w:t>#prematurity  #extremepreterm  #avascularretina  #aggressiveROP  #screening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Larger, more mature Indian preterm babies (up to 34-36 weeks)</w:t>
            </w:r>
          </w:p>
        </w:tc>
        <w:tc>
          <w:tcPr>
            <w:tcW w:type="dxa" w:w="4276"/>
            <w:vAlign w:val="top"/>
          </w:tcPr>
          <w:p>
            <w:pPr>
              <w:spacing w:after="60" w:line="259" w:lineRule="auto"/>
            </w:pPr>
            <w:r>
              <w:rPr>
                <w:rFonts w:ascii="Calibri" w:hAnsi="Calibri"/>
                <w:b w:val="0"/>
                <w:i w:val="0"/>
                <w:color w:val="212121"/>
                <w:sz w:val="19"/>
              </w:rPr>
              <w:t>Unlike high-income countries where severe ROP is confined to the tiniest babies, in India bigger and more mature infants also develop significant ROP, attributed to variable/suboptimal neonatal-care quality and unmonitored oxygen use.</w:t>
            </w:r>
          </w:p>
          <w:p>
            <w:pPr>
              <w:spacing w:after="40" w:before="60" w:line="259" w:lineRule="auto"/>
            </w:pPr>
            <w:r>
              <w:rPr>
                <w:rFonts w:ascii="Calibri" w:hAnsi="Calibri"/>
                <w:b w:val="0"/>
                <w:i w:val="0"/>
                <w:color w:val="212121"/>
                <w:sz w:val="19"/>
              </w:rPr>
              <w:t>Indian screening therefore extends to birth weight &lt; 2000 g or gestational age &lt; 34 weeks - broader than USA/UK criteria (&lt; 1500 g or &lt; 30-32 weeks).</w:t>
            </w:r>
          </w:p>
          <w:p>
            <w:pPr>
              <w:spacing w:after="40" w:line="252" w:lineRule="auto"/>
            </w:pPr>
            <w:hyperlink r:id="rId10">
              <w:r>
                <w:rPr>
                  <w:rFonts w:ascii="Calibri" w:hAnsi="Calibri" w:cs="Calibri"/>
                  <w:sz w:val="18"/>
                  <w:color w:val="1155CC"/>
                  <w:u w:val="single"/>
                </w:rPr>
                <w:t xml:space="preserve">intechopen.com - ROP: a NICU based approach</w:t>
              </w:r>
            </w:hyperlink>
          </w:p>
          <w:p>
            <w:pPr>
              <w:spacing w:before="60" w:after="40"/>
            </w:pPr>
            <w:r>
              <w:rPr>
                <w:rFonts w:ascii="Calibri" w:hAnsi="Calibri"/>
                <w:b w:val="0"/>
                <w:i w:val="0"/>
                <w:color w:val="5A5A5A"/>
                <w:sz w:val="18"/>
              </w:rPr>
              <w:t>#thirdepidemic  #India  #maturebabies  #oxygenmonitoring  #screeningcriteria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preterm infants</w:t>
            </w:r>
          </w:p>
        </w:tc>
        <w:tc>
          <w:tcPr>
            <w:tcW w:type="dxa" w:w="4276"/>
            <w:vAlign w:val="top"/>
          </w:tcPr>
          <w:p>
            <w:pPr>
              <w:spacing w:after="60" w:line="259" w:lineRule="auto"/>
            </w:pPr>
            <w:r>
              <w:rPr>
                <w:rFonts w:ascii="Calibri" w:hAnsi="Calibri"/>
                <w:b w:val="0"/>
                <w:i w:val="0"/>
                <w:color w:val="212121"/>
                <w:sz w:val="19"/>
              </w:rPr>
              <w:t>Male sex is reported as a modest independent risk factor for ROP in several cohorts, possibly reflecting greater neonatal morbidity and slower retinal maturation, though the effect is smaller than gestational age and oxygen exposure.</w:t>
            </w:r>
          </w:p>
          <w:p>
            <w:pPr>
              <w:spacing w:before="60" w:after="40"/>
            </w:pPr>
            <w:r>
              <w:rPr>
                <w:rFonts w:ascii="Calibri" w:hAnsi="Calibri"/>
                <w:b w:val="0"/>
                <w:i w:val="0"/>
                <w:color w:val="5A5A5A"/>
                <w:sz w:val="18"/>
              </w:rPr>
              <w:t>#malesex  #neonatalmorbidity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Infants of low-income / rural families with limited NICU access</w:t>
            </w:r>
          </w:p>
        </w:tc>
        <w:tc>
          <w:tcPr>
            <w:tcW w:type="dxa" w:w="4276"/>
            <w:vAlign w:val="top"/>
          </w:tcPr>
          <w:p>
            <w:pPr>
              <w:spacing w:after="60" w:line="259" w:lineRule="auto"/>
            </w:pPr>
            <w:r>
              <w:rPr>
                <w:rFonts w:ascii="Calibri" w:hAnsi="Calibri"/>
                <w:b w:val="0"/>
                <w:i w:val="0"/>
                <w:color w:val="212121"/>
                <w:sz w:val="19"/>
              </w:rPr>
              <w:t>Poor antenatal care raises preterm-birth rates, while distance from ROP-capable centres, low awareness and cost cause missed or delayed screening within the narrow treatment window.</w:t>
            </w:r>
          </w:p>
          <w:p>
            <w:pPr>
              <w:spacing w:after="40" w:before="60" w:line="259" w:lineRule="auto"/>
            </w:pPr>
            <w:r>
              <w:rPr>
                <w:rFonts w:ascii="Calibri" w:hAnsi="Calibri"/>
                <w:b w:val="0"/>
                <w:i w:val="0"/>
                <w:color w:val="212121"/>
                <w:sz w:val="19"/>
              </w:rPr>
              <w:t>Of ~200,000 at-risk preterm babies in India each year, only about 30,000-40,000 receive prompt attention; the country has roughly 200 ROP specialists.</w:t>
            </w:r>
          </w:p>
          <w:p>
            <w:pPr>
              <w:spacing w:after="40" w:line="252" w:lineRule="auto"/>
            </w:pPr>
            <w:hyperlink r:id="rId11">
              <w:r>
                <w:rPr>
                  <w:rFonts w:ascii="Calibri" w:hAnsi="Calibri" w:cs="Calibri"/>
                  <w:sz w:val="18"/>
                  <w:color w:val="1155CC"/>
                  <w:u w:val="single"/>
                </w:rPr>
                <w:t xml:space="preserve">thestatesman.com - ~5000 children blind/year from ROP</w:t>
              </w:r>
            </w:hyperlink>
          </w:p>
          <w:p>
            <w:pPr>
              <w:spacing w:before="60" w:after="40"/>
            </w:pPr>
            <w:r>
              <w:rPr>
                <w:rFonts w:ascii="Calibri" w:hAnsi="Calibri"/>
                <w:b w:val="0"/>
                <w:i w:val="0"/>
                <w:color w:val="5A5A5A"/>
                <w:sz w:val="18"/>
              </w:rPr>
              <w:t>#accessgap  #ruralhealth  #missedscreening  #specialistshortage  #teleROP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country</w:t>
            </w:r>
          </w:p>
        </w:tc>
        <w:tc>
          <w:tcPr>
            <w:tcW w:type="dxa" w:w="2160"/>
            <w:vAlign w:val="top"/>
          </w:tcPr>
          <w:p>
            <w:pPr>
              <w:spacing w:after="40" w:before="0" w:line="259" w:lineRule="auto"/>
            </w:pPr>
            <w:r>
              <w:rPr>
                <w:rFonts w:ascii="Calibri" w:hAnsi="Calibri"/>
                <w:b w:val="0"/>
                <w:i w:val="0"/>
                <w:color w:val="212121"/>
                <w:sz w:val="19"/>
              </w:rPr>
              <w:t>India and other middle-income countries</w:t>
            </w:r>
          </w:p>
        </w:tc>
        <w:tc>
          <w:tcPr>
            <w:tcW w:type="dxa" w:w="4276"/>
            <w:vAlign w:val="top"/>
          </w:tcPr>
          <w:p>
            <w:pPr>
              <w:spacing w:after="60" w:line="259" w:lineRule="auto"/>
            </w:pPr>
            <w:r>
              <w:rPr>
                <w:rFonts w:ascii="Calibri" w:hAnsi="Calibri"/>
                <w:b w:val="0"/>
                <w:i w:val="0"/>
                <w:color w:val="212121"/>
                <w:sz w:val="19"/>
              </w:rPr>
              <w:t>Rising NICU survival without matching quality of oxygen monitoring and screening has produced a surge of ROP - the so-called 'third epidemic' - concentrated in middle-income nations.</w:t>
            </w:r>
          </w:p>
          <w:p>
            <w:pPr>
              <w:spacing w:after="40" w:before="60" w:line="259" w:lineRule="auto"/>
            </w:pPr>
            <w:r>
              <w:rPr>
                <w:rFonts w:ascii="Calibri" w:hAnsi="Calibri"/>
                <w:b w:val="0"/>
                <w:i w:val="0"/>
                <w:color w:val="212121"/>
                <w:sz w:val="19"/>
              </w:rPr>
              <w:t>India has the world's highest number of preterm births (~3.5 million/year) and the third-highest burden of low birth weight (~1.7 million &lt; 2500 g, ~0.4 million &lt; 1500 g).</w:t>
            </w:r>
          </w:p>
          <w:p>
            <w:pPr>
              <w:spacing w:after="40" w:line="252" w:lineRule="auto"/>
            </w:pPr>
            <w:hyperlink r:id="rId10">
              <w:r>
                <w:rPr>
                  <w:rFonts w:ascii="Calibri" w:hAnsi="Calibri" w:cs="Calibri"/>
                  <w:sz w:val="18"/>
                  <w:color w:val="1155CC"/>
                  <w:u w:val="single"/>
                </w:rPr>
                <w:t xml:space="preserve">intechopen.com - ROP: a NICU based approach</w:t>
              </w:r>
            </w:hyperlink>
          </w:p>
          <w:p>
            <w:pPr>
              <w:spacing w:before="60" w:after="40"/>
            </w:pPr>
            <w:r>
              <w:rPr>
                <w:rFonts w:ascii="Calibri" w:hAnsi="Calibri"/>
                <w:b w:val="0"/>
                <w:i w:val="0"/>
                <w:color w:val="5A5A5A"/>
                <w:sz w:val="18"/>
              </w:rPr>
              <w:t>#thirdepidemic  #middleincome  #pretermburden  #lowbirthweight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Facility type</w:t>
            </w:r>
          </w:p>
        </w:tc>
        <w:tc>
          <w:tcPr>
            <w:tcW w:type="dxa" w:w="2160"/>
            <w:vAlign w:val="top"/>
          </w:tcPr>
          <w:p>
            <w:pPr>
              <w:spacing w:after="40" w:before="0" w:line="259" w:lineRule="auto"/>
            </w:pPr>
            <w:r>
              <w:rPr>
                <w:rFonts w:ascii="Calibri" w:hAnsi="Calibri"/>
                <w:b w:val="0"/>
                <w:i w:val="0"/>
                <w:color w:val="212121"/>
                <w:sz w:val="19"/>
              </w:rPr>
              <w:t>Tier-2/3 city and non-metro NICUs</w:t>
            </w:r>
          </w:p>
        </w:tc>
        <w:tc>
          <w:tcPr>
            <w:tcW w:type="dxa" w:w="4276"/>
            <w:vAlign w:val="top"/>
          </w:tcPr>
          <w:p>
            <w:pPr>
              <w:spacing w:after="60" w:line="259" w:lineRule="auto"/>
            </w:pPr>
            <w:r>
              <w:rPr>
                <w:rFonts w:ascii="Calibri" w:hAnsi="Calibri"/>
                <w:b w:val="0"/>
                <w:i w:val="0"/>
                <w:color w:val="212121"/>
                <w:sz w:val="19"/>
              </w:rPr>
              <w:t>Expanding neonatal units outside major cities may lack blended-oxygen delivery, pulse-oximetry targeting and on-site ROP screening, so preventable severe disease clusters in these settings.</w:t>
            </w:r>
          </w:p>
          <w:p>
            <w:pPr>
              <w:spacing w:after="40" w:before="60" w:line="259" w:lineRule="auto"/>
            </w:pPr>
            <w:r>
              <w:rPr>
                <w:rFonts w:ascii="Calibri" w:hAnsi="Calibri"/>
                <w:b w:val="0"/>
                <w:i w:val="0"/>
                <w:color w:val="212121"/>
                <w:sz w:val="19"/>
              </w:rPr>
              <w:t>Reported ROP incidence in Indian low-birth-weight infants varies between 38% and 51.9% across centres.</w:t>
            </w:r>
          </w:p>
          <w:p>
            <w:pPr>
              <w:spacing w:after="40" w:line="252" w:lineRule="auto"/>
            </w:pPr>
            <w:hyperlink r:id="rId12">
              <w:r>
                <w:rPr>
                  <w:rFonts w:ascii="Calibri" w:hAnsi="Calibri" w:cs="Calibri"/>
                  <w:sz w:val="18"/>
                  <w:color w:val="1155CC"/>
                  <w:u w:val="single"/>
                </w:rPr>
                <w:t xml:space="preserve">ontop-in.org - NNF ROP guidelines</w:t>
              </w:r>
            </w:hyperlink>
          </w:p>
          <w:p>
            <w:pPr>
              <w:spacing w:before="60" w:after="40"/>
            </w:pPr>
            <w:r>
              <w:rPr>
                <w:rFonts w:ascii="Calibri" w:hAnsi="Calibri"/>
                <w:b w:val="0"/>
                <w:i w:val="0"/>
                <w:color w:val="5A5A5A"/>
                <w:sz w:val="18"/>
              </w:rPr>
              <w:t>#NICUquality  #oxygenblending  #nonmetro  #screeningcoverage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Oxygen exposure</w:t>
            </w:r>
          </w:p>
        </w:tc>
        <w:tc>
          <w:tcPr>
            <w:tcW w:type="dxa" w:w="2160"/>
            <w:vAlign w:val="top"/>
          </w:tcPr>
          <w:p>
            <w:pPr>
              <w:spacing w:after="40" w:before="0" w:line="259" w:lineRule="auto"/>
            </w:pPr>
            <w:r>
              <w:rPr>
                <w:rFonts w:ascii="Calibri" w:hAnsi="Calibri"/>
                <w:b w:val="0"/>
                <w:i w:val="0"/>
                <w:color w:val="212121"/>
                <w:sz w:val="19"/>
              </w:rPr>
              <w:t>Infants on prolonged / unmonitored supplemental oxygen</w:t>
            </w:r>
          </w:p>
        </w:tc>
        <w:tc>
          <w:tcPr>
            <w:tcW w:type="dxa" w:w="4276"/>
            <w:vAlign w:val="top"/>
          </w:tcPr>
          <w:p>
            <w:pPr>
              <w:spacing w:after="60" w:line="259" w:lineRule="auto"/>
            </w:pPr>
            <w:r>
              <w:rPr>
                <w:rFonts w:ascii="Calibri" w:hAnsi="Calibri"/>
                <w:b w:val="0"/>
                <w:i w:val="0"/>
                <w:color w:val="212121"/>
                <w:sz w:val="19"/>
              </w:rPr>
              <w:t>Uncontrolled, high or fluctuating supplemental oxygen is the single most important modifiable driver: it first halts vessel growth (hyperoxia) and later provokes pathological neovascularization (hypoxia).</w:t>
            </w:r>
          </w:p>
          <w:p>
            <w:pPr>
              <w:spacing w:after="40" w:before="60" w:line="259" w:lineRule="auto"/>
            </w:pPr>
            <w:r>
              <w:rPr>
                <w:rFonts w:ascii="Calibri" w:hAnsi="Calibri"/>
                <w:b w:val="0"/>
                <w:i w:val="0"/>
                <w:color w:val="212121"/>
                <w:sz w:val="19"/>
              </w:rPr>
              <w:t>The two-phase hyperoxia-hypoxia model underlies ROP; targeting SpO2 90-95% rather than higher saturations reduces severe ROP.</w:t>
            </w:r>
          </w:p>
          <w:p>
            <w:pPr>
              <w:spacing w:after="40" w:line="252" w:lineRule="auto"/>
            </w:pPr>
            <w:hyperlink r:id="rId13">
              <w:r>
                <w:rPr>
                  <w:rFonts w:ascii="Calibri" w:hAnsi="Calibri" w:cs="Calibri"/>
                  <w:sz w:val="18"/>
                  <w:color w:val="1155CC"/>
                  <w:u w:val="single"/>
                </w:rPr>
                <w:t xml:space="preserve">ncbi.nlm.nih.gov - StatPearls: ROP</w:t>
              </w:r>
            </w:hyperlink>
          </w:p>
          <w:p>
            <w:pPr>
              <w:spacing w:before="60" w:after="40"/>
            </w:pPr>
            <w:r>
              <w:rPr>
                <w:rFonts w:ascii="Calibri" w:hAnsi="Calibri"/>
                <w:b w:val="0"/>
                <w:i w:val="0"/>
                <w:color w:val="5A5A5A"/>
                <w:sz w:val="18"/>
              </w:rPr>
              <w:t>#oxygen  #hyperoxia  #VEGF  #SpO2target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smoking</w:t>
            </w:r>
          </w:p>
        </w:tc>
        <w:tc>
          <w:tcPr>
            <w:tcW w:type="dxa" w:w="2160"/>
            <w:vAlign w:val="top"/>
          </w:tcPr>
          <w:p>
            <w:pPr>
              <w:spacing w:after="40" w:before="0" w:line="259" w:lineRule="auto"/>
            </w:pPr>
            <w:r>
              <w:rPr>
                <w:rFonts w:ascii="Calibri" w:hAnsi="Calibri"/>
                <w:b w:val="0"/>
                <w:i w:val="0"/>
                <w:color w:val="212121"/>
                <w:sz w:val="19"/>
              </w:rPr>
              <w:t>Infants of mothers who smoked / were exposed to smoke in pregnancy</w:t>
            </w:r>
          </w:p>
        </w:tc>
        <w:tc>
          <w:tcPr>
            <w:tcW w:type="dxa" w:w="4276"/>
            <w:vAlign w:val="top"/>
          </w:tcPr>
          <w:p>
            <w:pPr>
              <w:spacing w:after="60" w:line="259" w:lineRule="auto"/>
            </w:pPr>
            <w:r>
              <w:rPr>
                <w:rFonts w:ascii="Calibri" w:hAnsi="Calibri"/>
                <w:b w:val="0"/>
                <w:i w:val="0"/>
                <w:color w:val="212121"/>
                <w:sz w:val="19"/>
              </w:rPr>
              <w:t>Maternal tobacco and second-hand smoke increase the risk of preterm birth and intrauterine growth restriction, indirectly enlarging the pool of ROP-susceptible infants.</w:t>
            </w:r>
          </w:p>
          <w:p>
            <w:pPr>
              <w:spacing w:before="60" w:after="40"/>
            </w:pPr>
            <w:r>
              <w:rPr>
                <w:rFonts w:ascii="Calibri" w:hAnsi="Calibri"/>
                <w:b w:val="0"/>
                <w:i w:val="0"/>
                <w:color w:val="5A5A5A"/>
                <w:sz w:val="18"/>
              </w:rPr>
              <w:t>#maternalsmoking  #pretermbirth  #IUGR  #secondhandsmoke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alcohol</w:t>
            </w:r>
          </w:p>
        </w:tc>
        <w:tc>
          <w:tcPr>
            <w:tcW w:type="dxa" w:w="2160"/>
            <w:vAlign w:val="top"/>
          </w:tcPr>
          <w:p>
            <w:pPr>
              <w:spacing w:after="40" w:before="0" w:line="259" w:lineRule="auto"/>
            </w:pPr>
            <w:r>
              <w:rPr>
                <w:rFonts w:ascii="Calibri" w:hAnsi="Calibri"/>
                <w:b w:val="0"/>
                <w:i w:val="0"/>
                <w:color w:val="212121"/>
                <w:sz w:val="19"/>
              </w:rPr>
              <w:t>Infants of mothers who consumed alcohol in pregnancy</w:t>
            </w:r>
          </w:p>
        </w:tc>
        <w:tc>
          <w:tcPr>
            <w:tcW w:type="dxa" w:w="4276"/>
            <w:vAlign w:val="top"/>
          </w:tcPr>
          <w:p>
            <w:pPr>
              <w:spacing w:after="60" w:line="259" w:lineRule="auto"/>
            </w:pPr>
            <w:r>
              <w:rPr>
                <w:rFonts w:ascii="Calibri" w:hAnsi="Calibri"/>
                <w:b w:val="0"/>
                <w:i w:val="0"/>
                <w:color w:val="212121"/>
                <w:sz w:val="19"/>
              </w:rPr>
              <w:t>Prenatal alcohol exposure is associated with prematurity and low birth weight, both upstream risk factors for ROP.</w:t>
            </w:r>
          </w:p>
          <w:p>
            <w:pPr>
              <w:spacing w:before="60" w:after="40"/>
            </w:pPr>
            <w:r>
              <w:rPr>
                <w:rFonts w:ascii="Calibri" w:hAnsi="Calibri"/>
                <w:b w:val="0"/>
                <w:i w:val="0"/>
                <w:color w:val="5A5A5A"/>
                <w:sz w:val="18"/>
              </w:rPr>
              <w:t>#maternalalcohol  #prematurity  #lowbirthweight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Feeding type</w:t>
            </w:r>
          </w:p>
        </w:tc>
        <w:tc>
          <w:tcPr>
            <w:tcW w:type="dxa" w:w="2160"/>
            <w:vAlign w:val="top"/>
          </w:tcPr>
          <w:p>
            <w:pPr>
              <w:spacing w:after="40" w:before="0" w:line="259" w:lineRule="auto"/>
            </w:pPr>
            <w:r>
              <w:rPr>
                <w:rFonts w:ascii="Calibri" w:hAnsi="Calibri"/>
                <w:b w:val="0"/>
                <w:i w:val="0"/>
                <w:color w:val="212121"/>
                <w:sz w:val="19"/>
              </w:rPr>
              <w:t>Formula-fed / lacking mother's own breast milk</w:t>
            </w:r>
          </w:p>
        </w:tc>
        <w:tc>
          <w:tcPr>
            <w:tcW w:type="dxa" w:w="4276"/>
            <w:vAlign w:val="top"/>
          </w:tcPr>
          <w:p>
            <w:pPr>
              <w:spacing w:after="60" w:line="259" w:lineRule="auto"/>
            </w:pPr>
            <w:r>
              <w:rPr>
                <w:rFonts w:ascii="Calibri" w:hAnsi="Calibri"/>
                <w:b w:val="0"/>
                <w:i w:val="0"/>
                <w:color w:val="212121"/>
                <w:sz w:val="19"/>
              </w:rPr>
              <w:t>Breast milk supplies antioxidants, IGF and immune factors (lactoferrin) that support vascular maturation and lower infection risk; exclusive formula feeding is associated with higher ROP incidence and severity.</w:t>
            </w:r>
          </w:p>
          <w:p>
            <w:pPr>
              <w:spacing w:before="60" w:after="40"/>
            </w:pPr>
            <w:r>
              <w:rPr>
                <w:rFonts w:ascii="Calibri" w:hAnsi="Calibri"/>
                <w:b w:val="0"/>
                <w:i w:val="0"/>
                <w:color w:val="5A5A5A"/>
                <w:sz w:val="18"/>
              </w:rPr>
              <w:t>#breastmilk  #antioxidants  #IGF  #neonatalnutrition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Postnatal weight gain</w:t>
            </w:r>
          </w:p>
        </w:tc>
        <w:tc>
          <w:tcPr>
            <w:tcW w:type="dxa" w:w="2160"/>
            <w:vAlign w:val="top"/>
          </w:tcPr>
          <w:p>
            <w:pPr>
              <w:spacing w:after="40" w:before="0" w:line="259" w:lineRule="auto"/>
            </w:pPr>
            <w:r>
              <w:rPr>
                <w:rFonts w:ascii="Calibri" w:hAnsi="Calibri"/>
                <w:b w:val="0"/>
                <w:i w:val="0"/>
                <w:color w:val="212121"/>
                <w:sz w:val="19"/>
              </w:rPr>
              <w:t>Preterm infants with poor early weight gain</w:t>
            </w:r>
          </w:p>
        </w:tc>
        <w:tc>
          <w:tcPr>
            <w:tcW w:type="dxa" w:w="4276"/>
            <w:vAlign w:val="top"/>
          </w:tcPr>
          <w:p>
            <w:pPr>
              <w:spacing w:after="60" w:line="259" w:lineRule="auto"/>
            </w:pPr>
            <w:r>
              <w:rPr>
                <w:rFonts w:ascii="Calibri" w:hAnsi="Calibri"/>
                <w:b w:val="0"/>
                <w:i w:val="0"/>
                <w:color w:val="212121"/>
                <w:sz w:val="19"/>
              </w:rPr>
              <w:t>Slow postnatal weight gain reflects low serum IGF-1, which is required for orderly retinal vascularization; poor gain in the first weeks predicts severe ROP and is used in WINROP/CHOP-ROP algorithms.</w:t>
            </w:r>
          </w:p>
          <w:p>
            <w:pPr>
              <w:spacing w:before="60" w:after="40"/>
            </w:pPr>
            <w:r>
              <w:rPr>
                <w:rFonts w:ascii="Calibri" w:hAnsi="Calibri"/>
                <w:b w:val="0"/>
                <w:i w:val="0"/>
                <w:color w:val="5A5A5A"/>
                <w:sz w:val="18"/>
              </w:rPr>
              <w:t>#weightgain  #IGF1  #WINROP  #nutritionalrisk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nutrition</w:t>
            </w:r>
          </w:p>
        </w:tc>
        <w:tc>
          <w:tcPr>
            <w:tcW w:type="dxa" w:w="2160"/>
            <w:vAlign w:val="top"/>
          </w:tcPr>
          <w:p>
            <w:pPr>
              <w:spacing w:after="40" w:before="0" w:line="259" w:lineRule="auto"/>
            </w:pPr>
            <w:r>
              <w:rPr>
                <w:rFonts w:ascii="Calibri" w:hAnsi="Calibri"/>
                <w:b w:val="0"/>
                <w:i w:val="0"/>
                <w:color w:val="212121"/>
                <w:sz w:val="19"/>
              </w:rPr>
              <w:t>Infants of undernourished / anaemic mothers</w:t>
            </w:r>
          </w:p>
        </w:tc>
        <w:tc>
          <w:tcPr>
            <w:tcW w:type="dxa" w:w="4276"/>
            <w:vAlign w:val="top"/>
          </w:tcPr>
          <w:p>
            <w:pPr>
              <w:spacing w:after="60" w:line="259" w:lineRule="auto"/>
            </w:pPr>
            <w:r>
              <w:rPr>
                <w:rFonts w:ascii="Calibri" w:hAnsi="Calibri"/>
                <w:b w:val="0"/>
                <w:i w:val="0"/>
                <w:color w:val="212121"/>
                <w:sz w:val="19"/>
              </w:rPr>
              <w:t>Maternal undernutrition and anaemia contribute to prematurity, growth restriction and neonatal anaemia - all linked to ROP. Maternal anaemia in pregnancy remains highly prevalent in India.</w:t>
            </w:r>
          </w:p>
          <w:p>
            <w:pPr>
              <w:spacing w:before="60" w:after="40"/>
            </w:pPr>
            <w:r>
              <w:rPr>
                <w:rFonts w:ascii="Calibri" w:hAnsi="Calibri"/>
                <w:b w:val="0"/>
                <w:i w:val="0"/>
                <w:color w:val="5A5A5A"/>
                <w:sz w:val="18"/>
              </w:rPr>
              <w:t>#maternalanaemia  #undernutrition  #India  #antenatalcare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polymorphisms</w:t>
            </w:r>
          </w:p>
        </w:tc>
        <w:tc>
          <w:tcPr>
            <w:tcW w:type="dxa" w:w="2160"/>
            <w:vAlign w:val="top"/>
          </w:tcPr>
          <w:p>
            <w:pPr>
              <w:spacing w:after="40" w:before="0" w:line="259" w:lineRule="auto"/>
            </w:pPr>
            <w:r>
              <w:rPr>
                <w:rFonts w:ascii="Calibri" w:hAnsi="Calibri"/>
                <w:b w:val="0"/>
                <w:i w:val="0"/>
                <w:color w:val="212121"/>
                <w:sz w:val="19"/>
              </w:rPr>
              <w:t>Infants with Wnt/VEGF pathway variants or FEVR family history</w:t>
            </w:r>
          </w:p>
        </w:tc>
        <w:tc>
          <w:tcPr>
            <w:tcW w:type="dxa" w:w="4276"/>
            <w:vAlign w:val="top"/>
          </w:tcPr>
          <w:p>
            <w:pPr>
              <w:spacing w:after="60" w:line="259" w:lineRule="auto"/>
            </w:pPr>
            <w:r>
              <w:rPr>
                <w:rFonts w:ascii="Calibri" w:hAnsi="Calibri"/>
                <w:b w:val="0"/>
                <w:i w:val="0"/>
                <w:color w:val="212121"/>
                <w:sz w:val="19"/>
              </w:rPr>
              <w:t>Variants in Norrin/Wnt signalling (NDP, FZD4, LRP5, TSPAN12) and VEGF genes influence retinal vascular development and ROP severity, and overlap with familial exudative vitreoretinopathy.</w:t>
            </w:r>
          </w:p>
          <w:p>
            <w:pPr>
              <w:spacing w:before="60" w:after="40"/>
            </w:pPr>
            <w:r>
              <w:rPr>
                <w:rFonts w:ascii="Calibri" w:hAnsi="Calibri"/>
                <w:b w:val="0"/>
                <w:i w:val="0"/>
                <w:color w:val="5A5A5A"/>
                <w:sz w:val="18"/>
              </w:rPr>
              <w:t>#genetics  #WNTsignalling  #VEGF  #FEVR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Neonatal sepsis</w:t>
            </w:r>
          </w:p>
        </w:tc>
        <w:tc>
          <w:tcPr>
            <w:tcW w:type="dxa" w:w="2160"/>
            <w:vAlign w:val="top"/>
          </w:tcPr>
          <w:p>
            <w:pPr>
              <w:spacing w:after="40" w:before="0" w:line="259" w:lineRule="auto"/>
            </w:pPr>
            <w:r>
              <w:rPr>
                <w:rFonts w:ascii="Calibri" w:hAnsi="Calibri"/>
                <w:b w:val="0"/>
                <w:i w:val="0"/>
                <w:color w:val="212121"/>
                <w:sz w:val="19"/>
              </w:rPr>
              <w:t>Preterm infants with culture-proven or clinical sepsis</w:t>
            </w:r>
          </w:p>
        </w:tc>
        <w:tc>
          <w:tcPr>
            <w:tcW w:type="dxa" w:w="4276"/>
            <w:vAlign w:val="top"/>
          </w:tcPr>
          <w:p>
            <w:pPr>
              <w:spacing w:after="60" w:line="259" w:lineRule="auto"/>
            </w:pPr>
            <w:r>
              <w:rPr>
                <w:rFonts w:ascii="Calibri" w:hAnsi="Calibri"/>
                <w:b w:val="0"/>
                <w:i w:val="0"/>
                <w:color w:val="212121"/>
                <w:sz w:val="19"/>
              </w:rPr>
              <w:t>Systemic infection raises inflammatory cytokines and VEGF and destabilizes oxygenation, all of which promote disordered retinal neovascularization and worsen ROP.</w:t>
            </w:r>
          </w:p>
          <w:p>
            <w:pPr>
              <w:spacing w:after="40" w:before="60" w:line="259" w:lineRule="auto"/>
            </w:pPr>
            <w:r>
              <w:rPr>
                <w:rFonts w:ascii="Calibri" w:hAnsi="Calibri"/>
                <w:b w:val="0"/>
                <w:i w:val="0"/>
                <w:color w:val="212121"/>
                <w:sz w:val="19"/>
              </w:rPr>
              <w:t>Sepsis, respiratory distress and supplemental-oxygen exposure are recognised contributors to ROP in Indian NICUs.</w:t>
            </w:r>
          </w:p>
          <w:p>
            <w:pPr>
              <w:spacing w:after="40" w:line="252" w:lineRule="auto"/>
            </w:pPr>
            <w:hyperlink r:id="rId10">
              <w:r>
                <w:rPr>
                  <w:rFonts w:ascii="Calibri" w:hAnsi="Calibri" w:cs="Calibri"/>
                  <w:sz w:val="18"/>
                  <w:color w:val="1155CC"/>
                  <w:u w:val="single"/>
                </w:rPr>
                <w:t xml:space="preserve">intechopen.com - ROP: a NICU based approach</w:t>
              </w:r>
            </w:hyperlink>
          </w:p>
          <w:p>
            <w:pPr>
              <w:spacing w:before="60" w:after="40"/>
            </w:pPr>
            <w:r>
              <w:rPr>
                <w:rFonts w:ascii="Calibri" w:hAnsi="Calibri"/>
                <w:b w:val="0"/>
                <w:i w:val="0"/>
                <w:color w:val="5A5A5A"/>
                <w:sz w:val="18"/>
              </w:rPr>
              <w:t>#sepsis  #inflammation  #VEGF  #NICU</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Respiratory distress / ventilation</w:t>
            </w:r>
          </w:p>
        </w:tc>
        <w:tc>
          <w:tcPr>
            <w:tcW w:type="dxa" w:w="2160"/>
            <w:vAlign w:val="top"/>
          </w:tcPr>
          <w:p>
            <w:pPr>
              <w:spacing w:after="40" w:before="0" w:line="259" w:lineRule="auto"/>
            </w:pPr>
            <w:r>
              <w:rPr>
                <w:rFonts w:ascii="Calibri" w:hAnsi="Calibri"/>
                <w:b w:val="0"/>
                <w:i w:val="0"/>
                <w:color w:val="212121"/>
                <w:sz w:val="19"/>
              </w:rPr>
              <w:t>Infants with RDS on mechanical ventilation / developing BPD</w:t>
            </w:r>
          </w:p>
        </w:tc>
        <w:tc>
          <w:tcPr>
            <w:tcW w:type="dxa" w:w="4276"/>
            <w:vAlign w:val="top"/>
          </w:tcPr>
          <w:p>
            <w:pPr>
              <w:spacing w:after="60" w:line="259" w:lineRule="auto"/>
            </w:pPr>
            <w:r>
              <w:rPr>
                <w:rFonts w:ascii="Calibri" w:hAnsi="Calibri"/>
                <w:b w:val="0"/>
                <w:i w:val="0"/>
                <w:color w:val="212121"/>
                <w:sz w:val="19"/>
              </w:rPr>
              <w:t>Respiratory distress syndrome mandates prolonged oxygen and ventilation, the principal exposure driving ROP; bronchopulmonary dysplasia shares the same oxygen-inflammation pathway.</w:t>
            </w:r>
          </w:p>
          <w:p>
            <w:pPr>
              <w:spacing w:after="40" w:line="252" w:lineRule="auto"/>
            </w:pPr>
            <w:hyperlink r:id="rId13">
              <w:r>
                <w:rPr>
                  <w:rFonts w:ascii="Calibri" w:hAnsi="Calibri" w:cs="Calibri"/>
                  <w:sz w:val="18"/>
                  <w:color w:val="1155CC"/>
                  <w:u w:val="single"/>
                </w:rPr>
                <w:t xml:space="preserve">ncbi.nlm.nih.gov - StatPearls: ROP</w:t>
              </w:r>
            </w:hyperlink>
          </w:p>
          <w:p>
            <w:pPr>
              <w:spacing w:before="60" w:after="40"/>
            </w:pPr>
            <w:r>
              <w:rPr>
                <w:rFonts w:ascii="Calibri" w:hAnsi="Calibri"/>
                <w:b w:val="0"/>
                <w:i w:val="0"/>
                <w:color w:val="5A5A5A"/>
                <w:sz w:val="18"/>
              </w:rPr>
              <w:t>#RDS  #ventilation  #BPD  #oxygen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Anaemia / transfusion</w:t>
            </w:r>
          </w:p>
        </w:tc>
        <w:tc>
          <w:tcPr>
            <w:tcW w:type="dxa" w:w="2160"/>
            <w:vAlign w:val="top"/>
          </w:tcPr>
          <w:p>
            <w:pPr>
              <w:spacing w:after="40" w:before="0" w:line="259" w:lineRule="auto"/>
            </w:pPr>
            <w:r>
              <w:rPr>
                <w:rFonts w:ascii="Calibri" w:hAnsi="Calibri"/>
                <w:b w:val="0"/>
                <w:i w:val="0"/>
                <w:color w:val="212121"/>
                <w:sz w:val="19"/>
              </w:rPr>
              <w:t>Preterm infants receiving multiple blood transfusions</w:t>
            </w:r>
          </w:p>
        </w:tc>
        <w:tc>
          <w:tcPr>
            <w:tcW w:type="dxa" w:w="4276"/>
            <w:vAlign w:val="top"/>
          </w:tcPr>
          <w:p>
            <w:pPr>
              <w:spacing w:after="60" w:line="259" w:lineRule="auto"/>
            </w:pPr>
            <w:r>
              <w:rPr>
                <w:rFonts w:ascii="Calibri" w:hAnsi="Calibri"/>
                <w:b w:val="0"/>
                <w:i w:val="0"/>
                <w:color w:val="212121"/>
                <w:sz w:val="19"/>
              </w:rPr>
              <w:t>Anaemia of prematurity and repeated transfusions introduce adult haemoglobin and oxidative stress that are associated with ROP progression.</w:t>
            </w:r>
          </w:p>
          <w:p>
            <w:pPr>
              <w:spacing w:before="60" w:after="40"/>
            </w:pPr>
            <w:r>
              <w:rPr>
                <w:rFonts w:ascii="Calibri" w:hAnsi="Calibri"/>
                <w:b w:val="0"/>
                <w:i w:val="0"/>
                <w:color w:val="5A5A5A"/>
                <w:sz w:val="18"/>
              </w:rPr>
              <w:t>#anaemia  #transfusion  #oxidativestress  #adultHb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gestational diabetes</w:t>
            </w:r>
          </w:p>
        </w:tc>
        <w:tc>
          <w:tcPr>
            <w:tcW w:type="dxa" w:w="2160"/>
            <w:vAlign w:val="top"/>
          </w:tcPr>
          <w:p>
            <w:pPr>
              <w:spacing w:after="40" w:before="0" w:line="259" w:lineRule="auto"/>
            </w:pPr>
            <w:r>
              <w:rPr>
                <w:rFonts w:ascii="Calibri" w:hAnsi="Calibri"/>
                <w:b w:val="0"/>
                <w:i w:val="0"/>
                <w:color w:val="212121"/>
                <w:sz w:val="19"/>
              </w:rPr>
              <w:t>Infants of mothers with GDM / pre-eclampsia</w:t>
            </w:r>
          </w:p>
        </w:tc>
        <w:tc>
          <w:tcPr>
            <w:tcW w:type="dxa" w:w="4276"/>
            <w:vAlign w:val="top"/>
          </w:tcPr>
          <w:p>
            <w:pPr>
              <w:spacing w:after="60" w:line="259" w:lineRule="auto"/>
            </w:pPr>
            <w:r>
              <w:rPr>
                <w:rFonts w:ascii="Calibri" w:hAnsi="Calibri"/>
                <w:b w:val="0"/>
                <w:i w:val="0"/>
                <w:color w:val="212121"/>
                <w:sz w:val="19"/>
              </w:rPr>
              <w:t>Maternal metabolic and vascular disorders such as gestational diabetes and pre-eclampsia are increasingly recognised maternal determinants that influence ROP risk through altered placental and fetal vascular signalling.</w:t>
            </w:r>
          </w:p>
          <w:p>
            <w:pPr>
              <w:spacing w:after="40" w:line="252" w:lineRule="auto"/>
            </w:pPr>
            <w:hyperlink r:id="rId14">
              <w:r>
                <w:rPr>
                  <w:rFonts w:ascii="Calibri" w:hAnsi="Calibri" w:cs="Calibri"/>
                  <w:sz w:val="18"/>
                  <w:color w:val="1155CC"/>
                  <w:u w:val="single"/>
                </w:rPr>
                <w:t xml:space="preserve">cureus.com - maternal determinants of ROP (GDM)</w:t>
              </w:r>
            </w:hyperlink>
          </w:p>
          <w:p>
            <w:pPr>
              <w:spacing w:before="60" w:after="40"/>
            </w:pPr>
            <w:r>
              <w:rPr>
                <w:rFonts w:ascii="Calibri" w:hAnsi="Calibri"/>
                <w:b w:val="0"/>
                <w:i w:val="0"/>
                <w:color w:val="5A5A5A"/>
                <w:sz w:val="18"/>
              </w:rPr>
              <w:t>#GDM  #preeclampsia  #maternaldeterminants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Intraventricular haemorrhage</w:t>
            </w:r>
          </w:p>
        </w:tc>
        <w:tc>
          <w:tcPr>
            <w:tcW w:type="dxa" w:w="2160"/>
            <w:vAlign w:val="top"/>
          </w:tcPr>
          <w:p>
            <w:pPr>
              <w:spacing w:after="40" w:before="0" w:line="259" w:lineRule="auto"/>
            </w:pPr>
            <w:r>
              <w:rPr>
                <w:rFonts w:ascii="Calibri" w:hAnsi="Calibri"/>
                <w:b w:val="0"/>
                <w:i w:val="0"/>
                <w:color w:val="212121"/>
                <w:sz w:val="19"/>
              </w:rPr>
              <w:t>Infants with IVH / other prematurity morbidities</w:t>
            </w:r>
          </w:p>
        </w:tc>
        <w:tc>
          <w:tcPr>
            <w:tcW w:type="dxa" w:w="4276"/>
            <w:vAlign w:val="top"/>
          </w:tcPr>
          <w:p>
            <w:pPr>
              <w:spacing w:after="60" w:line="259" w:lineRule="auto"/>
            </w:pPr>
            <w:r>
              <w:rPr>
                <w:rFonts w:ascii="Calibri" w:hAnsi="Calibri"/>
                <w:b w:val="0"/>
                <w:i w:val="0"/>
                <w:color w:val="212121"/>
                <w:sz w:val="19"/>
              </w:rPr>
              <w:t>Intraventricular haemorrhage co-occurs with severe ROP as a marker of overall prematurity-related vascular fragility and haemodynamic instability, and signals a higher-risk, closely-monitored infant.</w:t>
            </w:r>
          </w:p>
          <w:p>
            <w:pPr>
              <w:spacing w:before="60" w:after="40"/>
            </w:pPr>
            <w:r>
              <w:rPr>
                <w:rFonts w:ascii="Calibri" w:hAnsi="Calibri"/>
                <w:b w:val="0"/>
                <w:i w:val="0"/>
                <w:color w:val="5A5A5A"/>
                <w:sz w:val="18"/>
              </w:rPr>
              <w:t>#IVH  #vascularfragility  #prematuritymorbidity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infant activity is not applicable; supportive developmental care and Kangaroo Mother Care improve overall preterm outcomes but have no proven direct effect on ROP incidence.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Mother's own breast milk (antioxidants, IGF, lactoferrin) and good early postnatal weight gain support orderly retinal vascularization; low IGF-1/poor weight gain strongly predicts severe ROP.</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Cycled/dim NICU lighting and minimal-stimulation care aid neurodevelopment, but light-reduction trials (LIGHT-ROP) did not reduce ROP itself.</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and second-hand smoke increase preterm birth and growth restriction, indirectly enlarging the ROP-susceptible population.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Prenatal alcohol is linked to prematurity and low birth weight, upstream contributors to ROP, though a direct retinal effect is not established.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Parental anxiety and stress do not cause ROP but strongly affect adherence to the tight screening and treatment schedule; counselling improves follow-up.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Neonatal fluid and haemodynamic management influences overall stability; extreme dehydration/fluid shifts contribute to instability but are not a primary ROP driver.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citrate given for apnoea of prematurity is associated with reduced incidence and severity of ROP - one of the few protective pharmacologic factors.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Strict NICU infection control lowers neonatal sepsis, a key inflammatory driver of ROP; hand hygiene and aseptic technique are directly protective.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Uncontrolled, high or fluctuating supplemental oxygen is the dominant provoking factor; targeting SpO2 90-95% with pulse oximetry reduces severe ROP.</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Gestational age (weeks)</w:t>
            </w:r>
          </w:p>
        </w:tc>
        <w:tc>
          <w:tcPr>
            <w:tcW w:type="dxa" w:w="1655"/>
            <w:vAlign w:val="top"/>
          </w:tcPr>
          <w:p>
            <w:pPr>
              <w:spacing w:after="40" w:before="0" w:line="259" w:lineRule="auto"/>
            </w:pPr>
            <w:r>
              <w:rPr>
                <w:rFonts w:ascii="Calibri" w:hAnsi="Calibri"/>
                <w:b w:val="0"/>
                <w:i w:val="0"/>
                <w:color w:val="212121"/>
                <w:sz w:val="19"/>
              </w:rPr>
              <w:t>All preterm infants</w:t>
            </w:r>
          </w:p>
        </w:tc>
        <w:tc>
          <w:tcPr>
            <w:tcW w:type="dxa" w:w="1512"/>
            <w:vAlign w:val="top"/>
          </w:tcPr>
          <w:p>
            <w:pPr>
              <w:spacing w:after="40" w:before="0" w:line="259" w:lineRule="auto"/>
            </w:pPr>
            <w:r>
              <w:rPr>
                <w:rFonts w:ascii="Calibri" w:hAnsi="Calibri"/>
                <w:b w:val="0"/>
                <w:i w:val="0"/>
                <w:color w:val="212121"/>
                <w:sz w:val="19"/>
              </w:rPr>
              <w:t>&gt;= 37 weeks (term)</w:t>
            </w:r>
          </w:p>
        </w:tc>
        <w:tc>
          <w:tcPr>
            <w:tcW w:type="dxa" w:w="1512"/>
            <w:vAlign w:val="top"/>
          </w:tcPr>
          <w:p>
            <w:pPr>
              <w:spacing w:after="40" w:before="0" w:line="259" w:lineRule="auto"/>
            </w:pPr>
            <w:r>
              <w:rPr>
                <w:rFonts w:ascii="Calibri" w:hAnsi="Calibri"/>
                <w:b w:val="0"/>
                <w:i w:val="0"/>
                <w:color w:val="212121"/>
                <w:sz w:val="19"/>
              </w:rPr>
              <w:t>&lt; 34 weeks (screen); &lt; 28 weeks highest risk</w:t>
            </w:r>
          </w:p>
        </w:tc>
        <w:tc>
          <w:tcPr>
            <w:tcW w:type="dxa" w:w="1468"/>
            <w:vAlign w:val="top"/>
          </w:tcPr>
          <w:p>
            <w:pPr>
              <w:spacing w:after="60" w:line="259" w:lineRule="auto"/>
            </w:pPr>
            <w:r>
              <w:rPr>
                <w:rFonts w:ascii="Calibri" w:hAnsi="Calibri"/>
                <w:b w:val="0"/>
                <w:i w:val="0"/>
                <w:color w:val="212121"/>
                <w:sz w:val="19"/>
              </w:rPr>
              <w:t>Risk rises steeply as gestational age falls</w:t>
            </w:r>
          </w:p>
          <w:p>
            <w:pPr>
              <w:spacing w:after="40" w:line="252" w:lineRule="auto"/>
            </w:pPr>
            <w:hyperlink r:id="rId12">
              <w:r>
                <w:rPr>
                  <w:rFonts w:ascii="Calibri" w:hAnsi="Calibri" w:cs="Calibri"/>
                  <w:sz w:val="18"/>
                  <w:color w:val="1155CC"/>
                  <w:u w:val="single"/>
                </w:rPr>
                <w:t xml:space="preserve">https://www.ontop-in.org/ontop-pen/Week-12-13/ROP%20NNF%20Guidelines%20.pdf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Birth weight (grams)</w:t>
            </w:r>
          </w:p>
        </w:tc>
        <w:tc>
          <w:tcPr>
            <w:tcW w:type="dxa" w:w="1655"/>
            <w:vAlign w:val="top"/>
          </w:tcPr>
          <w:p>
            <w:pPr>
              <w:spacing w:after="40" w:before="0" w:line="259" w:lineRule="auto"/>
            </w:pPr>
            <w:r>
              <w:rPr>
                <w:rFonts w:ascii="Calibri" w:hAnsi="Calibri"/>
                <w:b w:val="0"/>
                <w:i w:val="0"/>
                <w:color w:val="212121"/>
                <w:sz w:val="19"/>
              </w:rPr>
              <w:t>All preterm / LBW infants</w:t>
            </w:r>
          </w:p>
        </w:tc>
        <w:tc>
          <w:tcPr>
            <w:tcW w:type="dxa" w:w="1512"/>
            <w:vAlign w:val="top"/>
          </w:tcPr>
          <w:p>
            <w:pPr>
              <w:spacing w:after="40" w:before="0" w:line="259" w:lineRule="auto"/>
            </w:pPr>
            <w:r>
              <w:rPr>
                <w:rFonts w:ascii="Calibri" w:hAnsi="Calibri"/>
                <w:b w:val="0"/>
                <w:i w:val="0"/>
                <w:color w:val="212121"/>
                <w:sz w:val="19"/>
              </w:rPr>
              <w:t>&gt;= 2500 g</w:t>
            </w:r>
          </w:p>
        </w:tc>
        <w:tc>
          <w:tcPr>
            <w:tcW w:type="dxa" w:w="1512"/>
            <w:vAlign w:val="top"/>
          </w:tcPr>
          <w:p>
            <w:pPr>
              <w:spacing w:after="40" w:before="0" w:line="259" w:lineRule="auto"/>
            </w:pPr>
            <w:r>
              <w:rPr>
                <w:rFonts w:ascii="Calibri" w:hAnsi="Calibri"/>
                <w:b w:val="0"/>
                <w:i w:val="0"/>
                <w:color w:val="212121"/>
                <w:sz w:val="19"/>
              </w:rPr>
              <w:t>&lt; 2000 g (screen); &lt; 1500 g high; &lt; 1000 g very high</w:t>
            </w:r>
          </w:p>
        </w:tc>
        <w:tc>
          <w:tcPr>
            <w:tcW w:type="dxa" w:w="1468"/>
            <w:vAlign w:val="top"/>
          </w:tcPr>
          <w:p>
            <w:pPr>
              <w:spacing w:after="60" w:line="259" w:lineRule="auto"/>
            </w:pPr>
            <w:r>
              <w:rPr>
                <w:rFonts w:ascii="Calibri" w:hAnsi="Calibri"/>
                <w:b w:val="0"/>
                <w:i w:val="0"/>
                <w:color w:val="212121"/>
                <w:sz w:val="19"/>
              </w:rPr>
              <w:t>Indian criteria screen all infants &lt; 2000 g</w:t>
            </w:r>
          </w:p>
          <w:p>
            <w:pPr>
              <w:spacing w:after="40" w:line="252" w:lineRule="auto"/>
            </w:pPr>
            <w:hyperlink r:id="rId10">
              <w:r>
                <w:rPr>
                  <w:rFonts w:ascii="Calibri" w:hAnsi="Calibri" w:cs="Calibri"/>
                  <w:sz w:val="18"/>
                  <w:color w:val="1155CC"/>
                  <w:u w:val="single"/>
                </w:rPr>
                <w:t xml:space="preserve">https://www.intechopen.com/chapters/78162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Oxygen saturation target (SpO2 %)</w:t>
            </w:r>
          </w:p>
        </w:tc>
        <w:tc>
          <w:tcPr>
            <w:tcW w:type="dxa" w:w="1655"/>
            <w:vAlign w:val="top"/>
          </w:tcPr>
          <w:p>
            <w:pPr>
              <w:spacing w:after="40" w:before="0" w:line="259" w:lineRule="auto"/>
            </w:pPr>
            <w:r>
              <w:rPr>
                <w:rFonts w:ascii="Calibri" w:hAnsi="Calibri"/>
                <w:b w:val="0"/>
                <w:i w:val="0"/>
                <w:color w:val="212121"/>
                <w:sz w:val="19"/>
              </w:rPr>
              <w:t>Infants on supplemental oxygen</w:t>
            </w:r>
          </w:p>
        </w:tc>
        <w:tc>
          <w:tcPr>
            <w:tcW w:type="dxa" w:w="1512"/>
            <w:vAlign w:val="top"/>
          </w:tcPr>
          <w:p>
            <w:pPr>
              <w:spacing w:after="40" w:before="0" w:line="259" w:lineRule="auto"/>
            </w:pPr>
            <w:r>
              <w:rPr>
                <w:rFonts w:ascii="Calibri" w:hAnsi="Calibri"/>
                <w:b w:val="0"/>
                <w:i w:val="0"/>
                <w:color w:val="212121"/>
                <w:sz w:val="19"/>
              </w:rPr>
              <w:t>90-95%</w:t>
            </w:r>
          </w:p>
        </w:tc>
        <w:tc>
          <w:tcPr>
            <w:tcW w:type="dxa" w:w="1512"/>
            <w:vAlign w:val="top"/>
          </w:tcPr>
          <w:p>
            <w:pPr>
              <w:spacing w:after="40" w:before="0" w:line="259" w:lineRule="auto"/>
            </w:pPr>
            <w:r>
              <w:rPr>
                <w:rFonts w:ascii="Calibri" w:hAnsi="Calibri"/>
                <w:b w:val="0"/>
                <w:i w:val="0"/>
                <w:color w:val="212121"/>
                <w:sz w:val="19"/>
              </w:rPr>
              <w:t>Sustained &gt; 95% or wide fluctuations</w:t>
            </w:r>
          </w:p>
        </w:tc>
        <w:tc>
          <w:tcPr>
            <w:tcW w:type="dxa" w:w="1468"/>
            <w:vAlign w:val="top"/>
          </w:tcPr>
          <w:p>
            <w:pPr>
              <w:spacing w:after="60" w:line="259" w:lineRule="auto"/>
            </w:pPr>
            <w:r>
              <w:rPr>
                <w:rFonts w:ascii="Calibri" w:hAnsi="Calibri"/>
                <w:b w:val="0"/>
                <w:i w:val="0"/>
                <w:color w:val="212121"/>
                <w:sz w:val="19"/>
              </w:rPr>
              <w:t>Avoid hyperoxia and swings to limit VEGF dysregulation</w:t>
            </w:r>
          </w:p>
          <w:p>
            <w:pPr>
              <w:spacing w:after="40" w:line="252" w:lineRule="auto"/>
            </w:pPr>
            <w:hyperlink r:id="rId15">
              <w:r>
                <w:rPr>
                  <w:rFonts w:ascii="Calibri" w:hAnsi="Calibri" w:cs="Calibri"/>
                  <w:sz w:val="18"/>
                  <w:color w:val="1155CC"/>
                  <w:u w:val="single"/>
                </w:rPr>
                <w:t xml:space="preserve">https://www.chop.edu/centers-programs/division-neonatology/neonatal-oxygen-targeting-full-consensus-recommendations-2020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Supplemental oxygen exposure</w:t>
            </w:r>
          </w:p>
        </w:tc>
        <w:tc>
          <w:tcPr>
            <w:tcW w:type="dxa" w:w="1655"/>
            <w:vAlign w:val="top"/>
          </w:tcPr>
          <w:p>
            <w:pPr>
              <w:spacing w:after="40" w:before="0" w:line="259" w:lineRule="auto"/>
            </w:pPr>
            <w:r>
              <w:rPr>
                <w:rFonts w:ascii="Calibri" w:hAnsi="Calibri"/>
                <w:b w:val="0"/>
                <w:i w:val="0"/>
                <w:color w:val="212121"/>
                <w:sz w:val="19"/>
              </w:rPr>
              <w:t>Ventilated / CPAP infants</w:t>
            </w:r>
          </w:p>
        </w:tc>
        <w:tc>
          <w:tcPr>
            <w:tcW w:type="dxa" w:w="1512"/>
            <w:vAlign w:val="top"/>
          </w:tcPr>
          <w:p>
            <w:pPr>
              <w:spacing w:after="40" w:before="0" w:line="259" w:lineRule="auto"/>
            </w:pPr>
            <w:r>
              <w:rPr>
                <w:rFonts w:ascii="Calibri" w:hAnsi="Calibri"/>
                <w:b w:val="0"/>
                <w:i w:val="0"/>
                <w:color w:val="212121"/>
                <w:sz w:val="19"/>
              </w:rPr>
              <w:t>Blended, monitored, shortest duration</w:t>
            </w:r>
          </w:p>
        </w:tc>
        <w:tc>
          <w:tcPr>
            <w:tcW w:type="dxa" w:w="1512"/>
            <w:vAlign w:val="top"/>
          </w:tcPr>
          <w:p>
            <w:pPr>
              <w:spacing w:after="40" w:before="0" w:line="259" w:lineRule="auto"/>
            </w:pPr>
            <w:r>
              <w:rPr>
                <w:rFonts w:ascii="Calibri" w:hAnsi="Calibri"/>
                <w:b w:val="0"/>
                <w:i w:val="0"/>
                <w:color w:val="212121"/>
                <w:sz w:val="19"/>
              </w:rPr>
              <w:t>Prolonged, unblended or unmonitored high-FiO2 oxygen</w:t>
            </w:r>
          </w:p>
        </w:tc>
        <w:tc>
          <w:tcPr>
            <w:tcW w:type="dxa" w:w="1468"/>
            <w:vAlign w:val="top"/>
          </w:tcPr>
          <w:p>
            <w:pPr>
              <w:spacing w:after="60" w:line="259" w:lineRule="auto"/>
            </w:pPr>
            <w:r>
              <w:rPr>
                <w:rFonts w:ascii="Calibri" w:hAnsi="Calibri"/>
                <w:b w:val="0"/>
                <w:i w:val="0"/>
                <w:color w:val="212121"/>
                <w:sz w:val="19"/>
              </w:rPr>
              <w:t>Primary modifiable driver of ROP</w:t>
            </w:r>
          </w:p>
          <w:p>
            <w:pPr>
              <w:spacing w:after="40" w:line="252" w:lineRule="auto"/>
            </w:pPr>
            <w:hyperlink r:id="rId13">
              <w:r>
                <w:rPr>
                  <w:rFonts w:ascii="Calibri" w:hAnsi="Calibri" w:cs="Calibri"/>
                  <w:sz w:val="18"/>
                  <w:color w:val="1155CC"/>
                  <w:u w:val="single"/>
                </w:rPr>
                <w:t xml:space="preserve">https://www.ncbi.nlm.nih.gov/books/NBK562319/</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Postnatal weight gain</w:t>
            </w:r>
          </w:p>
        </w:tc>
        <w:tc>
          <w:tcPr>
            <w:tcW w:type="dxa" w:w="1655"/>
            <w:vAlign w:val="top"/>
          </w:tcPr>
          <w:p>
            <w:pPr>
              <w:spacing w:after="40" w:before="0" w:line="259" w:lineRule="auto"/>
            </w:pPr>
            <w:r>
              <w:rPr>
                <w:rFonts w:ascii="Calibri" w:hAnsi="Calibri"/>
                <w:b w:val="0"/>
                <w:i w:val="0"/>
                <w:color w:val="212121"/>
                <w:sz w:val="19"/>
              </w:rPr>
              <w:t>Preterm infants, first ~6 weeks</w:t>
            </w:r>
          </w:p>
        </w:tc>
        <w:tc>
          <w:tcPr>
            <w:tcW w:type="dxa" w:w="1512"/>
            <w:vAlign w:val="top"/>
          </w:tcPr>
          <w:p>
            <w:pPr>
              <w:spacing w:after="40" w:before="0" w:line="259" w:lineRule="auto"/>
            </w:pPr>
            <w:r>
              <w:rPr>
                <w:rFonts w:ascii="Calibri" w:hAnsi="Calibri"/>
                <w:b w:val="0"/>
                <w:i w:val="0"/>
                <w:color w:val="212121"/>
                <w:sz w:val="19"/>
              </w:rPr>
              <w:t>Steady catch-up gain</w:t>
            </w:r>
          </w:p>
        </w:tc>
        <w:tc>
          <w:tcPr>
            <w:tcW w:type="dxa" w:w="1512"/>
            <w:vAlign w:val="top"/>
          </w:tcPr>
          <w:p>
            <w:pPr>
              <w:spacing w:after="40" w:before="0" w:line="259" w:lineRule="auto"/>
            </w:pPr>
            <w:r>
              <w:rPr>
                <w:rFonts w:ascii="Calibri" w:hAnsi="Calibri"/>
                <w:b w:val="0"/>
                <w:i w:val="0"/>
                <w:color w:val="212121"/>
                <w:sz w:val="19"/>
              </w:rPr>
              <w:t>Poor / static weight gain</w:t>
            </w:r>
          </w:p>
        </w:tc>
        <w:tc>
          <w:tcPr>
            <w:tcW w:type="dxa" w:w="1468"/>
            <w:vAlign w:val="top"/>
          </w:tcPr>
          <w:p>
            <w:pPr>
              <w:spacing w:after="40" w:before="0" w:line="259" w:lineRule="auto"/>
            </w:pPr>
            <w:r>
              <w:rPr>
                <w:rFonts w:ascii="Calibri" w:hAnsi="Calibri"/>
                <w:b w:val="0"/>
                <w:i w:val="0"/>
                <w:color w:val="212121"/>
                <w:sz w:val="19"/>
              </w:rPr>
              <w:t>Reflects low IGF-1; predicts severe ROP (WINROP/CHOP-ROP)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Feeding type</w:t>
            </w:r>
          </w:p>
        </w:tc>
        <w:tc>
          <w:tcPr>
            <w:tcW w:type="dxa" w:w="1655"/>
            <w:vAlign w:val="top"/>
          </w:tcPr>
          <w:p>
            <w:pPr>
              <w:spacing w:after="40" w:before="0" w:line="259" w:lineRule="auto"/>
            </w:pPr>
            <w:r>
              <w:rPr>
                <w:rFonts w:ascii="Calibri" w:hAnsi="Calibri"/>
                <w:b w:val="0"/>
                <w:i w:val="0"/>
                <w:color w:val="212121"/>
                <w:sz w:val="19"/>
              </w:rPr>
              <w:t>Preterm infants</w:t>
            </w:r>
          </w:p>
        </w:tc>
        <w:tc>
          <w:tcPr>
            <w:tcW w:type="dxa" w:w="1512"/>
            <w:vAlign w:val="top"/>
          </w:tcPr>
          <w:p>
            <w:pPr>
              <w:spacing w:after="40" w:before="0" w:line="259" w:lineRule="auto"/>
            </w:pPr>
            <w:r>
              <w:rPr>
                <w:rFonts w:ascii="Calibri" w:hAnsi="Calibri"/>
                <w:b w:val="0"/>
                <w:i w:val="0"/>
                <w:color w:val="212121"/>
                <w:sz w:val="19"/>
              </w:rPr>
              <w:t>Exclusive mother's own breast milk</w:t>
            </w:r>
          </w:p>
        </w:tc>
        <w:tc>
          <w:tcPr>
            <w:tcW w:type="dxa" w:w="1512"/>
            <w:vAlign w:val="top"/>
          </w:tcPr>
          <w:p>
            <w:pPr>
              <w:spacing w:after="40" w:before="0" w:line="259" w:lineRule="auto"/>
            </w:pPr>
            <w:r>
              <w:rPr>
                <w:rFonts w:ascii="Calibri" w:hAnsi="Calibri"/>
                <w:b w:val="0"/>
                <w:i w:val="0"/>
                <w:color w:val="212121"/>
                <w:sz w:val="19"/>
              </w:rPr>
              <w:t>Exclusive formula feeding</w:t>
            </w:r>
          </w:p>
        </w:tc>
        <w:tc>
          <w:tcPr>
            <w:tcW w:type="dxa" w:w="1468"/>
            <w:vAlign w:val="top"/>
          </w:tcPr>
          <w:p>
            <w:pPr>
              <w:spacing w:after="40" w:before="0" w:line="259" w:lineRule="auto"/>
            </w:pPr>
            <w:r>
              <w:rPr>
                <w:rFonts w:ascii="Calibri" w:hAnsi="Calibri"/>
                <w:b w:val="0"/>
                <w:i w:val="0"/>
                <w:color w:val="212121"/>
                <w:sz w:val="19"/>
              </w:rPr>
              <w:t>Breast-milk antioxidants/IGF are protective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Neonatal sepsis markers (CRP / blood culture)</w:t>
            </w:r>
          </w:p>
        </w:tc>
        <w:tc>
          <w:tcPr>
            <w:tcW w:type="dxa" w:w="1655"/>
            <w:vAlign w:val="top"/>
          </w:tcPr>
          <w:p>
            <w:pPr>
              <w:spacing w:after="40" w:before="0" w:line="259" w:lineRule="auto"/>
            </w:pPr>
            <w:r>
              <w:rPr>
                <w:rFonts w:ascii="Calibri" w:hAnsi="Calibri"/>
                <w:b w:val="0"/>
                <w:i w:val="0"/>
                <w:color w:val="212121"/>
                <w:sz w:val="19"/>
              </w:rPr>
              <w:t>NICU infants</w:t>
            </w:r>
          </w:p>
        </w:tc>
        <w:tc>
          <w:tcPr>
            <w:tcW w:type="dxa" w:w="1512"/>
            <w:vAlign w:val="top"/>
          </w:tcPr>
          <w:p>
            <w:pPr>
              <w:spacing w:after="40" w:before="0" w:line="259" w:lineRule="auto"/>
            </w:pPr>
            <w:r>
              <w:rPr>
                <w:rFonts w:ascii="Calibri" w:hAnsi="Calibri"/>
                <w:b w:val="0"/>
                <w:i w:val="0"/>
                <w:color w:val="212121"/>
                <w:sz w:val="19"/>
              </w:rPr>
              <w:t>No sepsis; aseptic technique</w:t>
            </w:r>
          </w:p>
        </w:tc>
        <w:tc>
          <w:tcPr>
            <w:tcW w:type="dxa" w:w="1512"/>
            <w:vAlign w:val="top"/>
          </w:tcPr>
          <w:p>
            <w:pPr>
              <w:spacing w:after="40" w:before="0" w:line="259" w:lineRule="auto"/>
            </w:pPr>
            <w:r>
              <w:rPr>
                <w:rFonts w:ascii="Calibri" w:hAnsi="Calibri"/>
                <w:b w:val="0"/>
                <w:i w:val="0"/>
                <w:color w:val="212121"/>
                <w:sz w:val="19"/>
              </w:rPr>
              <w:t>Culture-positive sepsis / raised CRP</w:t>
            </w:r>
          </w:p>
        </w:tc>
        <w:tc>
          <w:tcPr>
            <w:tcW w:type="dxa" w:w="1468"/>
            <w:vAlign w:val="top"/>
          </w:tcPr>
          <w:p>
            <w:pPr>
              <w:spacing w:after="60" w:line="259" w:lineRule="auto"/>
            </w:pPr>
            <w:r>
              <w:rPr>
                <w:rFonts w:ascii="Calibri" w:hAnsi="Calibri"/>
                <w:b w:val="0"/>
                <w:i w:val="0"/>
                <w:color w:val="212121"/>
                <w:sz w:val="19"/>
              </w:rPr>
              <w:t>Infection/inflammation upregulates VEGF and worsens ROP</w:t>
            </w:r>
          </w:p>
          <w:p>
            <w:pPr>
              <w:spacing w:after="40" w:line="252" w:lineRule="auto"/>
            </w:pPr>
            <w:hyperlink r:id="rId10">
              <w:r>
                <w:rPr>
                  <w:rFonts w:ascii="Calibri" w:hAnsi="Calibri" w:cs="Calibri"/>
                  <w:sz w:val="18"/>
                  <w:color w:val="1155CC"/>
                  <w:u w:val="single"/>
                </w:rPr>
                <w:t xml:space="preserve">https://www.intechopen.com/chapters/78162</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citrate therapy</w:t>
            </w:r>
          </w:p>
        </w:tc>
        <w:tc>
          <w:tcPr>
            <w:tcW w:type="dxa" w:w="1655"/>
            <w:vAlign w:val="top"/>
          </w:tcPr>
          <w:p>
            <w:pPr>
              <w:spacing w:after="40" w:before="0" w:line="259" w:lineRule="auto"/>
            </w:pPr>
            <w:r>
              <w:rPr>
                <w:rFonts w:ascii="Calibri" w:hAnsi="Calibri"/>
                <w:b w:val="0"/>
                <w:i w:val="0"/>
                <w:color w:val="212121"/>
                <w:sz w:val="19"/>
              </w:rPr>
              <w:t>Infants with apnoea of prematurity</w:t>
            </w:r>
          </w:p>
        </w:tc>
        <w:tc>
          <w:tcPr>
            <w:tcW w:type="dxa" w:w="1512"/>
            <w:vAlign w:val="top"/>
          </w:tcPr>
          <w:p>
            <w:pPr>
              <w:spacing w:after="40" w:before="0" w:line="259" w:lineRule="auto"/>
            </w:pPr>
            <w:r>
              <w:rPr>
                <w:rFonts w:ascii="Calibri" w:hAnsi="Calibri"/>
                <w:b w:val="0"/>
                <w:i w:val="0"/>
                <w:color w:val="212121"/>
                <w:sz w:val="19"/>
              </w:rPr>
              <w:t>Early caffeine per protocol</w:t>
            </w:r>
          </w:p>
        </w:tc>
        <w:tc>
          <w:tcPr>
            <w:tcW w:type="dxa" w:w="1512"/>
            <w:vAlign w:val="top"/>
          </w:tcPr>
          <w:p>
            <w:pPr>
              <w:spacing w:after="40" w:before="0" w:line="259" w:lineRule="auto"/>
            </w:pPr>
            <w:r>
              <w:rPr>
                <w:rFonts w:ascii="Calibri" w:hAnsi="Calibri"/>
                <w:b w:val="0"/>
                <w:i w:val="0"/>
                <w:color w:val="212121"/>
                <w:sz w:val="19"/>
              </w:rPr>
              <w:t>Untreated apnoea / no caffeine</w:t>
            </w:r>
          </w:p>
        </w:tc>
        <w:tc>
          <w:tcPr>
            <w:tcW w:type="dxa" w:w="1468"/>
            <w:vAlign w:val="top"/>
          </w:tcPr>
          <w:p>
            <w:pPr>
              <w:spacing w:after="40" w:before="0" w:line="259" w:lineRule="auto"/>
            </w:pPr>
            <w:r>
              <w:rPr>
                <w:rFonts w:ascii="Calibri" w:hAnsi="Calibri"/>
                <w:b w:val="0"/>
                <w:i w:val="0"/>
                <w:color w:val="212121"/>
                <w:sz w:val="19"/>
              </w:rPr>
              <w:t>Caffeine is associated with reduced ROP incidence and severity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 / transfusion burden</w:t>
            </w:r>
          </w:p>
        </w:tc>
        <w:tc>
          <w:tcPr>
            <w:tcW w:type="dxa" w:w="1655"/>
            <w:vAlign w:val="top"/>
          </w:tcPr>
          <w:p>
            <w:pPr>
              <w:spacing w:after="40" w:before="0" w:line="259" w:lineRule="auto"/>
            </w:pPr>
            <w:r>
              <w:rPr>
                <w:rFonts w:ascii="Calibri" w:hAnsi="Calibri"/>
                <w:b w:val="0"/>
                <w:i w:val="0"/>
                <w:color w:val="212121"/>
                <w:sz w:val="19"/>
              </w:rPr>
              <w:t>Anaemic preterm infants</w:t>
            </w:r>
          </w:p>
        </w:tc>
        <w:tc>
          <w:tcPr>
            <w:tcW w:type="dxa" w:w="1512"/>
            <w:vAlign w:val="top"/>
          </w:tcPr>
          <w:p>
            <w:pPr>
              <w:spacing w:after="40" w:before="0" w:line="259" w:lineRule="auto"/>
            </w:pPr>
            <w:r>
              <w:rPr>
                <w:rFonts w:ascii="Calibri" w:hAnsi="Calibri"/>
                <w:b w:val="0"/>
                <w:i w:val="0"/>
                <w:color w:val="212121"/>
                <w:sz w:val="19"/>
              </w:rPr>
              <w:t>Restrictive transfusion; Hb maintained</w:t>
            </w:r>
          </w:p>
        </w:tc>
        <w:tc>
          <w:tcPr>
            <w:tcW w:type="dxa" w:w="1512"/>
            <w:vAlign w:val="top"/>
          </w:tcPr>
          <w:p>
            <w:pPr>
              <w:spacing w:after="40" w:before="0" w:line="259" w:lineRule="auto"/>
            </w:pPr>
            <w:r>
              <w:rPr>
                <w:rFonts w:ascii="Calibri" w:hAnsi="Calibri"/>
                <w:b w:val="0"/>
                <w:i w:val="0"/>
                <w:color w:val="212121"/>
                <w:sz w:val="19"/>
              </w:rPr>
              <w:t>Multiple/liberal adult-Hb transfusions</w:t>
            </w:r>
          </w:p>
        </w:tc>
        <w:tc>
          <w:tcPr>
            <w:tcW w:type="dxa" w:w="1468"/>
            <w:vAlign w:val="top"/>
          </w:tcPr>
          <w:p>
            <w:pPr>
              <w:spacing w:after="40" w:before="0" w:line="259" w:lineRule="auto"/>
            </w:pPr>
            <w:r>
              <w:rPr>
                <w:rFonts w:ascii="Calibri" w:hAnsi="Calibri"/>
                <w:b w:val="0"/>
                <w:i w:val="0"/>
                <w:color w:val="212121"/>
                <w:sz w:val="19"/>
              </w:rPr>
              <w:t>Transfusion-associated oxidative stress linked to ROP progression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 examination / imaging</w:t>
            </w:r>
          </w:p>
        </w:tc>
        <w:tc>
          <w:tcPr>
            <w:tcW w:type="dxa" w:w="1036"/>
            <w:vAlign w:val="top"/>
          </w:tcPr>
          <w:p>
            <w:pPr>
              <w:spacing w:after="40" w:before="0" w:line="259" w:lineRule="auto"/>
            </w:pPr>
            <w:r>
              <w:rPr>
                <w:rFonts w:ascii="Calibri" w:hAnsi="Calibri"/>
                <w:b w:val="0"/>
                <w:i w:val="0"/>
                <w:color w:val="212121"/>
                <w:sz w:val="16"/>
              </w:rPr>
              <w:t>Retinal zone, stage, extent &amp; plus disease (ICROP)</w:t>
            </w:r>
          </w:p>
        </w:tc>
        <w:tc>
          <w:tcPr>
            <w:tcW w:type="dxa" w:w="892"/>
            <w:vAlign w:val="top"/>
          </w:tcPr>
          <w:p>
            <w:pPr>
              <w:spacing w:after="40" w:before="0" w:line="259" w:lineRule="auto"/>
            </w:pPr>
            <w:r>
              <w:rPr>
                <w:rFonts w:ascii="Calibri" w:hAnsi="Calibri"/>
                <w:b w:val="0"/>
                <w:i w:val="0"/>
                <w:color w:val="212121"/>
                <w:sz w:val="16"/>
              </w:rPr>
              <w:t>Dilated binocular indirect ophthalmoscopy +/- wide-field imaging (RetCam)</w:t>
            </w:r>
          </w:p>
        </w:tc>
        <w:tc>
          <w:tcPr>
            <w:tcW w:type="dxa" w:w="950"/>
            <w:vAlign w:val="top"/>
          </w:tcPr>
          <w:p>
            <w:pPr>
              <w:spacing w:after="40" w:before="0" w:line="259" w:lineRule="auto"/>
            </w:pPr>
            <w:r>
              <w:rPr>
                <w:rFonts w:ascii="Calibri" w:hAnsi="Calibri"/>
                <w:b w:val="0"/>
                <w:i w:val="0"/>
                <w:color w:val="212121"/>
                <w:sz w:val="16"/>
              </w:rPr>
              <w:t>Fully vascularized retina; no ROP</w:t>
            </w:r>
          </w:p>
        </w:tc>
        <w:tc>
          <w:tcPr>
            <w:tcW w:type="dxa" w:w="950"/>
            <w:vAlign w:val="top"/>
          </w:tcPr>
          <w:p>
            <w:pPr>
              <w:spacing w:after="40" w:before="0" w:line="259" w:lineRule="auto"/>
            </w:pPr>
            <w:r>
              <w:rPr>
                <w:rFonts w:ascii="Calibri" w:hAnsi="Calibri"/>
                <w:b w:val="0"/>
                <w:i w:val="0"/>
                <w:color w:val="212121"/>
                <w:sz w:val="16"/>
              </w:rPr>
              <w:t>Any demarcation line, ridge, neovascularization or plus disease</w:t>
            </w:r>
          </w:p>
        </w:tc>
        <w:tc>
          <w:tcPr>
            <w:tcW w:type="dxa" w:w="1036"/>
            <w:vAlign w:val="top"/>
          </w:tcPr>
          <w:p>
            <w:pPr>
              <w:spacing w:after="40" w:before="0" w:line="259" w:lineRule="auto"/>
            </w:pPr>
            <w:r>
              <w:rPr>
                <w:rFonts w:ascii="Calibri" w:hAnsi="Calibri"/>
                <w:b w:val="0"/>
                <w:i w:val="0"/>
                <w:color w:val="212121"/>
                <w:sz w:val="16"/>
              </w:rPr>
              <w:t>Stages severity and identifies Type 1 (treatment-requiring) disease</w:t>
            </w:r>
          </w:p>
        </w:tc>
        <w:tc>
          <w:tcPr>
            <w:tcW w:type="dxa" w:w="1036"/>
            <w:vAlign w:val="top"/>
          </w:tcPr>
          <w:p>
            <w:pPr>
              <w:spacing w:after="40" w:before="0" w:line="259" w:lineRule="auto"/>
            </w:pPr>
            <w:r>
              <w:rPr>
                <w:rFonts w:ascii="Calibri" w:hAnsi="Calibri"/>
                <w:b w:val="0"/>
                <w:i w:val="0"/>
                <w:color w:val="212121"/>
                <w:sz w:val="16"/>
              </w:rPr>
              <w:t>Preterm &lt; 34 weeks / &lt; 2000 g; risk-factor larger babies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Pupil dilation + scleral depression; imaging enables documentation and tele-ROP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 angiography</w:t>
            </w:r>
          </w:p>
        </w:tc>
        <w:tc>
          <w:tcPr>
            <w:tcW w:type="dxa" w:w="1036"/>
            <w:vAlign w:val="top"/>
          </w:tcPr>
          <w:p>
            <w:pPr>
              <w:spacing w:after="40" w:before="0" w:line="259" w:lineRule="auto"/>
            </w:pPr>
            <w:r>
              <w:rPr>
                <w:rFonts w:ascii="Calibri" w:hAnsi="Calibri"/>
                <w:b w:val="0"/>
                <w:i w:val="0"/>
                <w:color w:val="212121"/>
                <w:sz w:val="16"/>
              </w:rPr>
              <w:t>Peripheral avascular retina / leakage</w:t>
            </w:r>
          </w:p>
        </w:tc>
        <w:tc>
          <w:tcPr>
            <w:tcW w:type="dxa" w:w="892"/>
            <w:vAlign w:val="top"/>
          </w:tcPr>
          <w:p>
            <w:pPr>
              <w:spacing w:after="40" w:before="0" w:line="259" w:lineRule="auto"/>
            </w:pPr>
            <w:r>
              <w:rPr>
                <w:rFonts w:ascii="Calibri" w:hAnsi="Calibri"/>
                <w:b w:val="0"/>
                <w:i w:val="0"/>
                <w:color w:val="212121"/>
                <w:sz w:val="16"/>
              </w:rPr>
              <w:t>Wide-field fluorescein angiography</w:t>
            </w:r>
          </w:p>
        </w:tc>
        <w:tc>
          <w:tcPr>
            <w:tcW w:type="dxa" w:w="950"/>
            <w:vAlign w:val="top"/>
          </w:tcPr>
          <w:p>
            <w:pPr>
              <w:spacing w:after="40" w:before="0" w:line="259" w:lineRule="auto"/>
            </w:pPr>
            <w:r>
              <w:rPr>
                <w:rFonts w:ascii="Calibri" w:hAnsi="Calibri"/>
                <w:b w:val="0"/>
                <w:i w:val="0"/>
                <w:color w:val="212121"/>
                <w:sz w:val="16"/>
              </w:rPr>
              <w:t>Complete peripheral perfusion</w:t>
            </w:r>
          </w:p>
        </w:tc>
        <w:tc>
          <w:tcPr>
            <w:tcW w:type="dxa" w:w="950"/>
            <w:vAlign w:val="top"/>
          </w:tcPr>
          <w:p>
            <w:pPr>
              <w:spacing w:after="40" w:before="0" w:line="259" w:lineRule="auto"/>
            </w:pPr>
            <w:r>
              <w:rPr>
                <w:rFonts w:ascii="Calibri" w:hAnsi="Calibri"/>
                <w:b w:val="0"/>
                <w:i w:val="0"/>
                <w:color w:val="212121"/>
                <w:sz w:val="16"/>
              </w:rPr>
              <w:t>Avascular zones, leakage, abnormal branching</w:t>
            </w:r>
          </w:p>
        </w:tc>
        <w:tc>
          <w:tcPr>
            <w:tcW w:type="dxa" w:w="1036"/>
            <w:vAlign w:val="top"/>
          </w:tcPr>
          <w:p>
            <w:pPr>
              <w:spacing w:after="40" w:before="0" w:line="259" w:lineRule="auto"/>
            </w:pPr>
            <w:r>
              <w:rPr>
                <w:rFonts w:ascii="Calibri" w:hAnsi="Calibri"/>
                <w:b w:val="0"/>
                <w:i w:val="0"/>
                <w:color w:val="212121"/>
                <w:sz w:val="16"/>
              </w:rPr>
              <w:t>Delineates avascular retina; useful in posterior/aggressive ROP and post-anti-VEGF surveillance</w:t>
            </w:r>
          </w:p>
        </w:tc>
        <w:tc>
          <w:tcPr>
            <w:tcW w:type="dxa" w:w="1036"/>
            <w:vAlign w:val="top"/>
          </w:tcPr>
          <w:p>
            <w:pPr>
              <w:spacing w:after="40" w:before="0" w:line="259" w:lineRule="auto"/>
            </w:pPr>
            <w:r>
              <w:rPr>
                <w:rFonts w:ascii="Calibri" w:hAnsi="Calibri"/>
                <w:b w:val="0"/>
                <w:i w:val="0"/>
                <w:color w:val="212121"/>
                <w:sz w:val="16"/>
              </w:rPr>
              <w:t>Posterior / aggressive ROP, treated eyes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Selective use; aids treatment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Haematocrit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Age-appropriate Hb</w:t>
            </w:r>
          </w:p>
        </w:tc>
        <w:tc>
          <w:tcPr>
            <w:tcW w:type="dxa" w:w="950"/>
            <w:vAlign w:val="top"/>
          </w:tcPr>
          <w:p>
            <w:pPr>
              <w:spacing w:after="40" w:before="0" w:line="259" w:lineRule="auto"/>
            </w:pPr>
            <w:r>
              <w:rPr>
                <w:rFonts w:ascii="Calibri" w:hAnsi="Calibri"/>
                <w:b w:val="0"/>
                <w:i w:val="0"/>
                <w:color w:val="212121"/>
                <w:sz w:val="16"/>
              </w:rPr>
              <w:t>Anaemia; frequent transfusion need</w:t>
            </w:r>
          </w:p>
        </w:tc>
        <w:tc>
          <w:tcPr>
            <w:tcW w:type="dxa" w:w="1036"/>
            <w:vAlign w:val="top"/>
          </w:tcPr>
          <w:p>
            <w:pPr>
              <w:spacing w:after="40" w:before="0" w:line="259" w:lineRule="auto"/>
            </w:pPr>
            <w:r>
              <w:rPr>
                <w:rFonts w:ascii="Calibri" w:hAnsi="Calibri"/>
                <w:b w:val="0"/>
                <w:i w:val="0"/>
                <w:color w:val="212121"/>
                <w:sz w:val="16"/>
              </w:rPr>
              <w:t>Anaemia and transfusion burden are associated with ROP progression</w:t>
            </w:r>
          </w:p>
        </w:tc>
        <w:tc>
          <w:tcPr>
            <w:tcW w:type="dxa" w:w="1036"/>
            <w:vAlign w:val="top"/>
          </w:tcPr>
          <w:p>
            <w:pPr>
              <w:spacing w:after="40" w:before="0" w:line="259" w:lineRule="auto"/>
            </w:pPr>
            <w:r>
              <w:rPr>
                <w:rFonts w:ascii="Calibri" w:hAnsi="Calibri"/>
                <w:b w:val="0"/>
                <w:i w:val="0"/>
                <w:color w:val="212121"/>
                <w:sz w:val="16"/>
              </w:rPr>
              <w:t>Anaemic preterm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Track transfusion exposure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Infection markers</w:t>
            </w:r>
          </w:p>
        </w:tc>
        <w:tc>
          <w:tcPr>
            <w:tcW w:type="dxa" w:w="1036"/>
            <w:vAlign w:val="top"/>
          </w:tcPr>
          <w:p>
            <w:pPr>
              <w:spacing w:after="40" w:before="0" w:line="259" w:lineRule="auto"/>
            </w:pPr>
            <w:r>
              <w:rPr>
                <w:rFonts w:ascii="Calibri" w:hAnsi="Calibri"/>
                <w:b w:val="0"/>
                <w:i w:val="0"/>
                <w:color w:val="212121"/>
                <w:sz w:val="16"/>
              </w:rPr>
              <w:t>CRP / blood culture</w:t>
            </w:r>
          </w:p>
        </w:tc>
        <w:tc>
          <w:tcPr>
            <w:tcW w:type="dxa" w:w="892"/>
            <w:vAlign w:val="top"/>
          </w:tcPr>
          <w:p>
            <w:pPr>
              <w:spacing w:after="40" w:before="0" w:line="259" w:lineRule="auto"/>
            </w:pPr>
            <w:r>
              <w:rPr>
                <w:rFonts w:ascii="Calibri" w:hAnsi="Calibri"/>
                <w:b w:val="0"/>
                <w:i w:val="0"/>
                <w:color w:val="212121"/>
                <w:sz w:val="16"/>
              </w:rPr>
              <w:t>Sepsis screen</w:t>
            </w:r>
          </w:p>
        </w:tc>
        <w:tc>
          <w:tcPr>
            <w:tcW w:type="dxa" w:w="950"/>
            <w:vAlign w:val="top"/>
          </w:tcPr>
          <w:p>
            <w:pPr>
              <w:spacing w:after="40" w:before="0" w:line="259" w:lineRule="auto"/>
            </w:pPr>
            <w:r>
              <w:rPr>
                <w:rFonts w:ascii="Calibri" w:hAnsi="Calibri"/>
                <w:b w:val="0"/>
                <w:i w:val="0"/>
                <w:color w:val="212121"/>
                <w:sz w:val="16"/>
              </w:rPr>
              <w:t>Negative culture, normal CRP</w:t>
            </w:r>
          </w:p>
        </w:tc>
        <w:tc>
          <w:tcPr>
            <w:tcW w:type="dxa" w:w="950"/>
            <w:vAlign w:val="top"/>
          </w:tcPr>
          <w:p>
            <w:pPr>
              <w:spacing w:after="40" w:before="0" w:line="259" w:lineRule="auto"/>
            </w:pPr>
            <w:r>
              <w:rPr>
                <w:rFonts w:ascii="Calibri" w:hAnsi="Calibri"/>
                <w:b w:val="0"/>
                <w:i w:val="0"/>
                <w:color w:val="212121"/>
                <w:sz w:val="16"/>
              </w:rPr>
              <w:t>Positive culture / raised CRP</w:t>
            </w:r>
          </w:p>
        </w:tc>
        <w:tc>
          <w:tcPr>
            <w:tcW w:type="dxa" w:w="1036"/>
            <w:vAlign w:val="top"/>
          </w:tcPr>
          <w:p>
            <w:pPr>
              <w:spacing w:after="40" w:before="0" w:line="259" w:lineRule="auto"/>
            </w:pPr>
            <w:r>
              <w:rPr>
                <w:rFonts w:ascii="Calibri" w:hAnsi="Calibri"/>
                <w:b w:val="0"/>
                <w:i w:val="0"/>
                <w:color w:val="212121"/>
                <w:sz w:val="16"/>
              </w:rPr>
              <w:t>Sepsis is an inflammatory driver contributing to ROP</w:t>
            </w:r>
          </w:p>
        </w:tc>
        <w:tc>
          <w:tcPr>
            <w:tcW w:type="dxa" w:w="1036"/>
            <w:vAlign w:val="top"/>
          </w:tcPr>
          <w:p>
            <w:pPr>
              <w:spacing w:after="40" w:before="0" w:line="259" w:lineRule="auto"/>
            </w:pPr>
            <w:r>
              <w:rPr>
                <w:rFonts w:ascii="Calibri" w:hAnsi="Calibri"/>
                <w:b w:val="0"/>
                <w:i w:val="0"/>
                <w:color w:val="212121"/>
                <w:sz w:val="16"/>
              </w:rPr>
              <w:t>Septic / unstable preterm infants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Treat infection promptly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Respiratory / oxygenation</w:t>
            </w:r>
          </w:p>
        </w:tc>
        <w:tc>
          <w:tcPr>
            <w:tcW w:type="dxa" w:w="1036"/>
            <w:vAlign w:val="top"/>
          </w:tcPr>
          <w:p>
            <w:pPr>
              <w:spacing w:after="40" w:before="0" w:line="259" w:lineRule="auto"/>
            </w:pPr>
            <w:r>
              <w:rPr>
                <w:rFonts w:ascii="Calibri" w:hAnsi="Calibri"/>
                <w:b w:val="0"/>
                <w:i w:val="0"/>
                <w:color w:val="212121"/>
                <w:sz w:val="16"/>
              </w:rPr>
              <w:t>SpO2 and blood-gas oxygenation</w:t>
            </w:r>
          </w:p>
        </w:tc>
        <w:tc>
          <w:tcPr>
            <w:tcW w:type="dxa" w:w="892"/>
            <w:vAlign w:val="top"/>
          </w:tcPr>
          <w:p>
            <w:pPr>
              <w:spacing w:after="40" w:before="0" w:line="259" w:lineRule="auto"/>
            </w:pPr>
            <w:r>
              <w:rPr>
                <w:rFonts w:ascii="Calibri" w:hAnsi="Calibri"/>
                <w:b w:val="0"/>
                <w:i w:val="0"/>
                <w:color w:val="212121"/>
                <w:sz w:val="16"/>
              </w:rPr>
              <w:t>Continuous pulse oximetry +/- blood gas</w:t>
            </w:r>
          </w:p>
        </w:tc>
        <w:tc>
          <w:tcPr>
            <w:tcW w:type="dxa" w:w="950"/>
            <w:vAlign w:val="top"/>
          </w:tcPr>
          <w:p>
            <w:pPr>
              <w:spacing w:after="40" w:before="0" w:line="259" w:lineRule="auto"/>
            </w:pPr>
            <w:r>
              <w:rPr>
                <w:rFonts w:ascii="Calibri" w:hAnsi="Calibri"/>
                <w:b w:val="0"/>
                <w:i w:val="0"/>
                <w:color w:val="212121"/>
                <w:sz w:val="16"/>
              </w:rPr>
              <w:t>SpO2 90-95% on target</w:t>
            </w:r>
          </w:p>
        </w:tc>
        <w:tc>
          <w:tcPr>
            <w:tcW w:type="dxa" w:w="950"/>
            <w:vAlign w:val="top"/>
          </w:tcPr>
          <w:p>
            <w:pPr>
              <w:spacing w:after="40" w:before="0" w:line="259" w:lineRule="auto"/>
            </w:pPr>
            <w:r>
              <w:rPr>
                <w:rFonts w:ascii="Calibri" w:hAnsi="Calibri"/>
                <w:b w:val="0"/>
                <w:i w:val="0"/>
                <w:color w:val="212121"/>
                <w:sz w:val="16"/>
              </w:rPr>
              <w:t>Sustained hyperoxia or wide swings</w:t>
            </w:r>
          </w:p>
        </w:tc>
        <w:tc>
          <w:tcPr>
            <w:tcW w:type="dxa" w:w="1036"/>
            <w:vAlign w:val="top"/>
          </w:tcPr>
          <w:p>
            <w:pPr>
              <w:spacing w:after="40" w:before="0" w:line="259" w:lineRule="auto"/>
            </w:pPr>
            <w:r>
              <w:rPr>
                <w:rFonts w:ascii="Calibri" w:hAnsi="Calibri"/>
                <w:b w:val="0"/>
                <w:i w:val="0"/>
                <w:color w:val="212121"/>
                <w:sz w:val="16"/>
              </w:rPr>
              <w:t>Oxygen targeting reduces severe ROP</w:t>
            </w:r>
          </w:p>
        </w:tc>
        <w:tc>
          <w:tcPr>
            <w:tcW w:type="dxa" w:w="1036"/>
            <w:vAlign w:val="top"/>
          </w:tcPr>
          <w:p>
            <w:pPr>
              <w:spacing w:after="40" w:before="0" w:line="259" w:lineRule="auto"/>
            </w:pPr>
            <w:r>
              <w:rPr>
                <w:rFonts w:ascii="Calibri" w:hAnsi="Calibri"/>
                <w:b w:val="0"/>
                <w:i w:val="0"/>
                <w:color w:val="212121"/>
                <w:sz w:val="16"/>
              </w:rPr>
              <w:t>Infants on respiratory support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Alarm limits set to target range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Intraventricular haemorrhage grade</w:t>
            </w:r>
          </w:p>
        </w:tc>
        <w:tc>
          <w:tcPr>
            <w:tcW w:type="dxa" w:w="892"/>
            <w:vAlign w:val="top"/>
          </w:tcPr>
          <w:p>
            <w:pPr>
              <w:spacing w:after="40" w:before="0" w:line="259" w:lineRule="auto"/>
            </w:pPr>
            <w:r>
              <w:rPr>
                <w:rFonts w:ascii="Calibri" w:hAnsi="Calibri"/>
                <w:b w:val="0"/>
                <w:i w:val="0"/>
                <w:color w:val="212121"/>
                <w:sz w:val="16"/>
              </w:rPr>
              <w:t>Cranial ultrasound</w:t>
            </w:r>
          </w:p>
        </w:tc>
        <w:tc>
          <w:tcPr>
            <w:tcW w:type="dxa" w:w="950"/>
            <w:vAlign w:val="top"/>
          </w:tcPr>
          <w:p>
            <w:pPr>
              <w:spacing w:after="40" w:before="0" w:line="259" w:lineRule="auto"/>
            </w:pPr>
            <w:r>
              <w:rPr>
                <w:rFonts w:ascii="Calibri" w:hAnsi="Calibri"/>
                <w:b w:val="0"/>
                <w:i w:val="0"/>
                <w:color w:val="212121"/>
                <w:sz w:val="16"/>
              </w:rPr>
              <w:t>No IVH</w:t>
            </w:r>
          </w:p>
        </w:tc>
        <w:tc>
          <w:tcPr>
            <w:tcW w:type="dxa" w:w="950"/>
            <w:vAlign w:val="top"/>
          </w:tcPr>
          <w:p>
            <w:pPr>
              <w:spacing w:after="40" w:before="0" w:line="259" w:lineRule="auto"/>
            </w:pPr>
            <w:r>
              <w:rPr>
                <w:rFonts w:ascii="Calibri" w:hAnsi="Calibri"/>
                <w:b w:val="0"/>
                <w:i w:val="0"/>
                <w:color w:val="212121"/>
                <w:sz w:val="16"/>
              </w:rPr>
              <w:t>IVH present</w:t>
            </w:r>
          </w:p>
        </w:tc>
        <w:tc>
          <w:tcPr>
            <w:tcW w:type="dxa" w:w="1036"/>
            <w:vAlign w:val="top"/>
          </w:tcPr>
          <w:p>
            <w:pPr>
              <w:spacing w:after="40" w:before="0" w:line="259" w:lineRule="auto"/>
            </w:pPr>
            <w:r>
              <w:rPr>
                <w:rFonts w:ascii="Calibri" w:hAnsi="Calibri"/>
                <w:b w:val="0"/>
                <w:i w:val="0"/>
                <w:color w:val="212121"/>
                <w:sz w:val="16"/>
              </w:rPr>
              <w:t>Marks overall prematurity morbidity; co-occurs with severe ROP</w:t>
            </w:r>
          </w:p>
        </w:tc>
        <w:tc>
          <w:tcPr>
            <w:tcW w:type="dxa" w:w="1036"/>
            <w:vAlign w:val="top"/>
          </w:tcPr>
          <w:p>
            <w:pPr>
              <w:spacing w:after="40" w:before="0" w:line="259" w:lineRule="auto"/>
            </w:pPr>
            <w:r>
              <w:rPr>
                <w:rFonts w:ascii="Calibri" w:hAnsi="Calibri"/>
                <w:b w:val="0"/>
                <w:i w:val="0"/>
                <w:color w:val="212121"/>
                <w:sz w:val="16"/>
              </w:rPr>
              <w:t>Extremely preterm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Part of comprehensive preterm assessment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Birth history</w:t>
            </w:r>
          </w:p>
        </w:tc>
        <w:tc>
          <w:tcPr>
            <w:tcW w:type="dxa" w:w="979"/>
            <w:vAlign w:val="top"/>
          </w:tcPr>
          <w:p>
            <w:pPr>
              <w:spacing w:after="40" w:before="0" w:line="259" w:lineRule="auto"/>
            </w:pPr>
            <w:r>
              <w:rPr>
                <w:rFonts w:ascii="Calibri" w:hAnsi="Calibri"/>
                <w:b w:val="0"/>
                <w:i w:val="0"/>
                <w:color w:val="212121"/>
                <w:sz w:val="16"/>
              </w:rPr>
              <w:t>Gestational age &amp; birth weight</w:t>
            </w:r>
          </w:p>
        </w:tc>
        <w:tc>
          <w:tcPr>
            <w:tcW w:type="dxa" w:w="950"/>
            <w:vAlign w:val="top"/>
          </w:tcPr>
          <w:p>
            <w:pPr>
              <w:spacing w:after="40" w:before="0" w:line="259" w:lineRule="auto"/>
            </w:pPr>
            <w:r>
              <w:rPr>
                <w:rFonts w:ascii="Calibri" w:hAnsi="Calibri"/>
                <w:b w:val="0"/>
                <w:i w:val="0"/>
                <w:color w:val="212121"/>
                <w:sz w:val="16"/>
              </w:rPr>
              <w:t>Term, &gt;= 2500 g</w:t>
            </w:r>
          </w:p>
        </w:tc>
        <w:tc>
          <w:tcPr>
            <w:tcW w:type="dxa" w:w="950"/>
            <w:vAlign w:val="top"/>
          </w:tcPr>
          <w:p>
            <w:pPr>
              <w:spacing w:after="40" w:before="0" w:line="259" w:lineRule="auto"/>
            </w:pPr>
            <w:r>
              <w:rPr>
                <w:rFonts w:ascii="Calibri" w:hAnsi="Calibri"/>
                <w:b w:val="0"/>
                <w:i w:val="0"/>
                <w:color w:val="212121"/>
                <w:sz w:val="16"/>
              </w:rPr>
              <w:t>Preterm &lt; 34 weeks / &lt; 2000 g</w:t>
            </w:r>
          </w:p>
        </w:tc>
        <w:tc>
          <w:tcPr>
            <w:tcW w:type="dxa" w:w="1036"/>
            <w:vAlign w:val="top"/>
          </w:tcPr>
          <w:p>
            <w:pPr>
              <w:spacing w:after="40" w:before="0" w:line="259" w:lineRule="auto"/>
            </w:pPr>
            <w:r>
              <w:rPr>
                <w:rFonts w:ascii="Calibri" w:hAnsi="Calibri"/>
                <w:b w:val="0"/>
                <w:i w:val="0"/>
                <w:color w:val="212121"/>
                <w:sz w:val="16"/>
              </w:rPr>
              <w:t>Determines screening eligibility and timing</w:t>
            </w:r>
          </w:p>
        </w:tc>
        <w:tc>
          <w:tcPr>
            <w:tcW w:type="dxa" w:w="1036"/>
            <w:vAlign w:val="top"/>
          </w:tcPr>
          <w:p>
            <w:pPr>
              <w:spacing w:after="40" w:before="0" w:line="259" w:lineRule="auto"/>
            </w:pPr>
            <w:r>
              <w:rPr>
                <w:rFonts w:ascii="Calibri" w:hAnsi="Calibri"/>
                <w:b w:val="0"/>
                <w:i w:val="0"/>
                <w:color w:val="212121"/>
                <w:sz w:val="16"/>
              </w:rPr>
              <w:t>All preterm / LBW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Enrol every eligible infant before the window closes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Perinatal course</w:t>
            </w:r>
          </w:p>
        </w:tc>
        <w:tc>
          <w:tcPr>
            <w:tcW w:type="dxa" w:w="979"/>
            <w:vAlign w:val="top"/>
          </w:tcPr>
          <w:p>
            <w:pPr>
              <w:spacing w:after="40" w:before="0" w:line="259" w:lineRule="auto"/>
            </w:pPr>
            <w:r>
              <w:rPr>
                <w:rFonts w:ascii="Calibri" w:hAnsi="Calibri"/>
                <w:b w:val="0"/>
                <w:i w:val="0"/>
                <w:color w:val="212121"/>
                <w:sz w:val="16"/>
              </w:rPr>
              <w:t>Oxygen/ventilation, sepsis, transfusions, apnoea</w:t>
            </w:r>
          </w:p>
        </w:tc>
        <w:tc>
          <w:tcPr>
            <w:tcW w:type="dxa" w:w="950"/>
            <w:vAlign w:val="top"/>
          </w:tcPr>
          <w:p>
            <w:pPr>
              <w:spacing w:after="40" w:before="0" w:line="259" w:lineRule="auto"/>
            </w:pPr>
            <w:r>
              <w:rPr>
                <w:rFonts w:ascii="Calibri" w:hAnsi="Calibri"/>
                <w:b w:val="0"/>
                <w:i w:val="0"/>
                <w:color w:val="212121"/>
                <w:sz w:val="16"/>
              </w:rPr>
              <w:t>Minimal support, no sepsis</w:t>
            </w:r>
          </w:p>
        </w:tc>
        <w:tc>
          <w:tcPr>
            <w:tcW w:type="dxa" w:w="950"/>
            <w:vAlign w:val="top"/>
          </w:tcPr>
          <w:p>
            <w:pPr>
              <w:spacing w:after="40" w:before="0" w:line="259" w:lineRule="auto"/>
            </w:pPr>
            <w:r>
              <w:rPr>
                <w:rFonts w:ascii="Calibri" w:hAnsi="Calibri"/>
                <w:b w:val="0"/>
                <w:i w:val="0"/>
                <w:color w:val="212121"/>
                <w:sz w:val="16"/>
              </w:rPr>
              <w:t>Prolonged oxygen, sepsis, multiple transfusions</w:t>
            </w:r>
          </w:p>
        </w:tc>
        <w:tc>
          <w:tcPr>
            <w:tcW w:type="dxa" w:w="1036"/>
            <w:vAlign w:val="top"/>
          </w:tcPr>
          <w:p>
            <w:pPr>
              <w:spacing w:after="40" w:before="0" w:line="259" w:lineRule="auto"/>
            </w:pPr>
            <w:r>
              <w:rPr>
                <w:rFonts w:ascii="Calibri" w:hAnsi="Calibri"/>
                <w:b w:val="0"/>
                <w:i w:val="0"/>
                <w:color w:val="212121"/>
                <w:sz w:val="16"/>
              </w:rPr>
              <w:t>Cumulative postnatal risk load</w:t>
            </w:r>
          </w:p>
        </w:tc>
        <w:tc>
          <w:tcPr>
            <w:tcW w:type="dxa" w:w="1036"/>
            <w:vAlign w:val="top"/>
          </w:tcPr>
          <w:p>
            <w:pPr>
              <w:spacing w:after="40" w:before="0" w:line="259" w:lineRule="auto"/>
            </w:pPr>
            <w:r>
              <w:rPr>
                <w:rFonts w:ascii="Calibri" w:hAnsi="Calibri"/>
                <w:b w:val="0"/>
                <w:i w:val="0"/>
                <w:color w:val="212121"/>
                <w:sz w:val="16"/>
              </w:rPr>
              <w:t>NICU graduates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Higher exposure = closer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Maternal / antenatal history</w:t>
            </w:r>
          </w:p>
        </w:tc>
        <w:tc>
          <w:tcPr>
            <w:tcW w:type="dxa" w:w="979"/>
            <w:vAlign w:val="top"/>
          </w:tcPr>
          <w:p>
            <w:pPr>
              <w:spacing w:after="40" w:before="0" w:line="259" w:lineRule="auto"/>
            </w:pPr>
            <w:r>
              <w:rPr>
                <w:rFonts w:ascii="Calibri" w:hAnsi="Calibri"/>
                <w:b w:val="0"/>
                <w:i w:val="0"/>
                <w:color w:val="212121"/>
                <w:sz w:val="16"/>
              </w:rPr>
              <w:t>GDM, pre-eclampsia, chorioamnionitis, antenatal steroids, multiple gestation</w:t>
            </w:r>
          </w:p>
        </w:tc>
        <w:tc>
          <w:tcPr>
            <w:tcW w:type="dxa" w:w="950"/>
            <w:vAlign w:val="top"/>
          </w:tcPr>
          <w:p>
            <w:pPr>
              <w:spacing w:after="40" w:before="0" w:line="259" w:lineRule="auto"/>
            </w:pPr>
            <w:r>
              <w:rPr>
                <w:rFonts w:ascii="Calibri" w:hAnsi="Calibri"/>
                <w:b w:val="0"/>
                <w:i w:val="0"/>
                <w:color w:val="212121"/>
                <w:sz w:val="16"/>
              </w:rPr>
              <w:t>Uncomplicated pregnancy</w:t>
            </w:r>
          </w:p>
        </w:tc>
        <w:tc>
          <w:tcPr>
            <w:tcW w:type="dxa" w:w="950"/>
            <w:vAlign w:val="top"/>
          </w:tcPr>
          <w:p>
            <w:pPr>
              <w:spacing w:after="40" w:before="0" w:line="259" w:lineRule="auto"/>
            </w:pPr>
            <w:r>
              <w:rPr>
                <w:rFonts w:ascii="Calibri" w:hAnsi="Calibri"/>
                <w:b w:val="0"/>
                <w:i w:val="0"/>
                <w:color w:val="212121"/>
                <w:sz w:val="16"/>
              </w:rPr>
              <w:t>Maternal metabolic/vascular disorder, multiple gestation</w:t>
            </w:r>
          </w:p>
        </w:tc>
        <w:tc>
          <w:tcPr>
            <w:tcW w:type="dxa" w:w="1036"/>
            <w:vAlign w:val="top"/>
          </w:tcPr>
          <w:p>
            <w:pPr>
              <w:spacing w:after="40" w:before="0" w:line="259" w:lineRule="auto"/>
            </w:pPr>
            <w:r>
              <w:rPr>
                <w:rFonts w:ascii="Calibri" w:hAnsi="Calibri"/>
                <w:b w:val="0"/>
                <w:i w:val="0"/>
                <w:color w:val="212121"/>
                <w:sz w:val="16"/>
              </w:rPr>
              <w:t>Maternal determinants modulate ROP risk</w:t>
            </w:r>
          </w:p>
        </w:tc>
        <w:tc>
          <w:tcPr>
            <w:tcW w:type="dxa" w:w="1036"/>
            <w:vAlign w:val="top"/>
          </w:tcPr>
          <w:p>
            <w:pPr>
              <w:spacing w:after="40" w:before="0" w:line="259" w:lineRule="auto"/>
            </w:pPr>
            <w:r>
              <w:rPr>
                <w:rFonts w:ascii="Calibri" w:hAnsi="Calibri"/>
                <w:b w:val="0"/>
                <w:i w:val="0"/>
                <w:color w:val="212121"/>
                <w:sz w:val="16"/>
              </w:rPr>
              <w:t>Infants of high-risk pregnancies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GDM and pre-eclampsia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Anterior segment / red reflex</w:t>
            </w:r>
          </w:p>
        </w:tc>
        <w:tc>
          <w:tcPr>
            <w:tcW w:type="dxa" w:w="979"/>
            <w:vAlign w:val="top"/>
          </w:tcPr>
          <w:p>
            <w:pPr>
              <w:spacing w:after="40" w:before="0" w:line="259" w:lineRule="auto"/>
            </w:pPr>
            <w:r>
              <w:rPr>
                <w:rFonts w:ascii="Calibri" w:hAnsi="Calibri"/>
                <w:b w:val="0"/>
                <w:i w:val="0"/>
                <w:color w:val="212121"/>
                <w:sz w:val="16"/>
              </w:rPr>
              <w:t>Pupil dilation, red reflex, tunica vasculosa lentis</w:t>
            </w:r>
          </w:p>
        </w:tc>
        <w:tc>
          <w:tcPr>
            <w:tcW w:type="dxa" w:w="950"/>
            <w:vAlign w:val="top"/>
          </w:tcPr>
          <w:p>
            <w:pPr>
              <w:spacing w:after="40" w:before="0" w:line="259" w:lineRule="auto"/>
            </w:pPr>
            <w:r>
              <w:rPr>
                <w:rFonts w:ascii="Calibri" w:hAnsi="Calibri"/>
                <w:b w:val="0"/>
                <w:i w:val="0"/>
                <w:color w:val="212121"/>
                <w:sz w:val="16"/>
              </w:rPr>
              <w:t>Clear media, normal red reflex</w:t>
            </w:r>
          </w:p>
        </w:tc>
        <w:tc>
          <w:tcPr>
            <w:tcW w:type="dxa" w:w="950"/>
            <w:vAlign w:val="top"/>
          </w:tcPr>
          <w:p>
            <w:pPr>
              <w:spacing w:after="40" w:before="0" w:line="259" w:lineRule="auto"/>
            </w:pPr>
            <w:r>
              <w:rPr>
                <w:rFonts w:ascii="Calibri" w:hAnsi="Calibri"/>
                <w:b w:val="0"/>
                <w:i w:val="0"/>
                <w:color w:val="212121"/>
                <w:sz w:val="16"/>
              </w:rPr>
              <w:t>Poor dilation, leukocoria, persistent tunica vasculosa lentis</w:t>
            </w:r>
          </w:p>
        </w:tc>
        <w:tc>
          <w:tcPr>
            <w:tcW w:type="dxa" w:w="1036"/>
            <w:vAlign w:val="top"/>
          </w:tcPr>
          <w:p>
            <w:pPr>
              <w:spacing w:after="40" w:before="0" w:line="259" w:lineRule="auto"/>
            </w:pPr>
            <w:r>
              <w:rPr>
                <w:rFonts w:ascii="Calibri" w:hAnsi="Calibri"/>
                <w:b w:val="0"/>
                <w:i w:val="0"/>
                <w:color w:val="212121"/>
                <w:sz w:val="16"/>
              </w:rPr>
              <w:t>Signals media opacity or advanced disease</w:t>
            </w:r>
          </w:p>
        </w:tc>
        <w:tc>
          <w:tcPr>
            <w:tcW w:type="dxa" w:w="1036"/>
            <w:vAlign w:val="top"/>
          </w:tcPr>
          <w:p>
            <w:pPr>
              <w:spacing w:after="40" w:before="0" w:line="259" w:lineRule="auto"/>
            </w:pPr>
            <w:r>
              <w:rPr>
                <w:rFonts w:ascii="Calibri" w:hAnsi="Calibri"/>
                <w:b w:val="0"/>
                <w:i w:val="0"/>
                <w:color w:val="212121"/>
                <w:sz w:val="16"/>
              </w:rPr>
              <w:t>Advanced / aggressive ROP</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Poor dilation may accompany aggressive ROP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Growth monitoring</w:t>
            </w:r>
          </w:p>
        </w:tc>
        <w:tc>
          <w:tcPr>
            <w:tcW w:type="dxa" w:w="979"/>
            <w:vAlign w:val="top"/>
          </w:tcPr>
          <w:p>
            <w:pPr>
              <w:spacing w:after="40" w:before="0" w:line="259" w:lineRule="auto"/>
            </w:pPr>
            <w:r>
              <w:rPr>
                <w:rFonts w:ascii="Calibri" w:hAnsi="Calibri"/>
                <w:b w:val="0"/>
                <w:i w:val="0"/>
                <w:color w:val="212121"/>
                <w:sz w:val="16"/>
              </w:rPr>
              <w:t>Serial weight gain</w:t>
            </w:r>
          </w:p>
        </w:tc>
        <w:tc>
          <w:tcPr>
            <w:tcW w:type="dxa" w:w="950"/>
            <w:vAlign w:val="top"/>
          </w:tcPr>
          <w:p>
            <w:pPr>
              <w:spacing w:after="40" w:before="0" w:line="259" w:lineRule="auto"/>
            </w:pPr>
            <w:r>
              <w:rPr>
                <w:rFonts w:ascii="Calibri" w:hAnsi="Calibri"/>
                <w:b w:val="0"/>
                <w:i w:val="0"/>
                <w:color w:val="212121"/>
                <w:sz w:val="16"/>
              </w:rPr>
              <w:t>Adequate catch-up gain</w:t>
            </w:r>
          </w:p>
        </w:tc>
        <w:tc>
          <w:tcPr>
            <w:tcW w:type="dxa" w:w="950"/>
            <w:vAlign w:val="top"/>
          </w:tcPr>
          <w:p>
            <w:pPr>
              <w:spacing w:after="40" w:before="0" w:line="259" w:lineRule="auto"/>
            </w:pPr>
            <w:r>
              <w:rPr>
                <w:rFonts w:ascii="Calibri" w:hAnsi="Calibri"/>
                <w:b w:val="0"/>
                <w:i w:val="0"/>
                <w:color w:val="212121"/>
                <w:sz w:val="16"/>
              </w:rPr>
              <w:t>Poor postnatal weight gain</w:t>
            </w:r>
          </w:p>
        </w:tc>
        <w:tc>
          <w:tcPr>
            <w:tcW w:type="dxa" w:w="1036"/>
            <w:vAlign w:val="top"/>
          </w:tcPr>
          <w:p>
            <w:pPr>
              <w:spacing w:after="40" w:before="0" w:line="259" w:lineRule="auto"/>
            </w:pPr>
            <w:r>
              <w:rPr>
                <w:rFonts w:ascii="Calibri" w:hAnsi="Calibri"/>
                <w:b w:val="0"/>
                <w:i w:val="0"/>
                <w:color w:val="212121"/>
                <w:sz w:val="16"/>
              </w:rPr>
              <w:t>Proxy for low IGF-1 and severe-ROP risk</w:t>
            </w:r>
          </w:p>
        </w:tc>
        <w:tc>
          <w:tcPr>
            <w:tcW w:type="dxa" w:w="1036"/>
            <w:vAlign w:val="top"/>
          </w:tcPr>
          <w:p>
            <w:pPr>
              <w:spacing w:after="40" w:before="0" w:line="259" w:lineRule="auto"/>
            </w:pPr>
            <w:r>
              <w:rPr>
                <w:rFonts w:ascii="Calibri" w:hAnsi="Calibri"/>
                <w:b w:val="0"/>
                <w:i w:val="0"/>
                <w:color w:val="212121"/>
                <w:sz w:val="16"/>
              </w:rPr>
              <w:t>Preterm infants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Feeds risk-prediction models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Systemic / developmental assessment</w:t>
            </w:r>
          </w:p>
        </w:tc>
        <w:tc>
          <w:tcPr>
            <w:tcW w:type="dxa" w:w="979"/>
            <w:vAlign w:val="top"/>
          </w:tcPr>
          <w:p>
            <w:pPr>
              <w:spacing w:after="40" w:before="0" w:line="259" w:lineRule="auto"/>
            </w:pPr>
            <w:r>
              <w:rPr>
                <w:rFonts w:ascii="Calibri" w:hAnsi="Calibri"/>
                <w:b w:val="0"/>
                <w:i w:val="0"/>
                <w:color w:val="212121"/>
                <w:sz w:val="16"/>
              </w:rPr>
              <w:t>Respiratory, neurologic and general status</w:t>
            </w:r>
          </w:p>
        </w:tc>
        <w:tc>
          <w:tcPr>
            <w:tcW w:type="dxa" w:w="950"/>
            <w:vAlign w:val="top"/>
          </w:tcPr>
          <w:p>
            <w:pPr>
              <w:spacing w:after="40" w:before="0" w:line="259" w:lineRule="auto"/>
            </w:pPr>
            <w:r>
              <w:rPr>
                <w:rFonts w:ascii="Calibri" w:hAnsi="Calibri"/>
                <w:b w:val="0"/>
                <w:i w:val="0"/>
                <w:color w:val="212121"/>
                <w:sz w:val="16"/>
              </w:rPr>
              <w:t>Stable, thriving</w:t>
            </w:r>
          </w:p>
        </w:tc>
        <w:tc>
          <w:tcPr>
            <w:tcW w:type="dxa" w:w="950"/>
            <w:vAlign w:val="top"/>
          </w:tcPr>
          <w:p>
            <w:pPr>
              <w:spacing w:after="40" w:before="0" w:line="259" w:lineRule="auto"/>
            </w:pPr>
            <w:r>
              <w:rPr>
                <w:rFonts w:ascii="Calibri" w:hAnsi="Calibri"/>
                <w:b w:val="0"/>
                <w:i w:val="0"/>
                <w:color w:val="212121"/>
                <w:sz w:val="16"/>
              </w:rPr>
              <w:t>BPD, IVH, unstable haemodynamics</w:t>
            </w:r>
          </w:p>
        </w:tc>
        <w:tc>
          <w:tcPr>
            <w:tcW w:type="dxa" w:w="1036"/>
            <w:vAlign w:val="top"/>
          </w:tcPr>
          <w:p>
            <w:pPr>
              <w:spacing w:after="40" w:before="0" w:line="259" w:lineRule="auto"/>
            </w:pPr>
            <w:r>
              <w:rPr>
                <w:rFonts w:ascii="Calibri" w:hAnsi="Calibri"/>
                <w:b w:val="0"/>
                <w:i w:val="0"/>
                <w:color w:val="212121"/>
                <w:sz w:val="16"/>
              </w:rPr>
              <w:t>Comorbid prematurity morbidity indicates higher-risk infant</w:t>
            </w:r>
          </w:p>
        </w:tc>
        <w:tc>
          <w:tcPr>
            <w:tcW w:type="dxa" w:w="1036"/>
            <w:vAlign w:val="top"/>
          </w:tcPr>
          <w:p>
            <w:pPr>
              <w:spacing w:after="40" w:before="0" w:line="259" w:lineRule="auto"/>
            </w:pPr>
            <w:r>
              <w:rPr>
                <w:rFonts w:ascii="Calibri" w:hAnsi="Calibri"/>
                <w:b w:val="0"/>
                <w:i w:val="0"/>
                <w:color w:val="212121"/>
                <w:sz w:val="16"/>
              </w:rPr>
              <w:t>Preterm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Coordinate neonatology and ophthalmology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No symptoms in early disease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and even treatment-requiring ROP is asymptomatic - the child looks normal and is detected only on scheduled screening, which is why timely examination is critical.</w:t>
            </w:r>
          </w:p>
        </w:tc>
      </w:tr>
      <w:tr>
        <w:trPr>
          <w:cantSplit/>
        </w:trPr>
        <w:tc>
          <w:tcPr>
            <w:tcW w:type="dxa" w:w="2304"/>
            <w:vAlign w:val="top"/>
          </w:tcPr>
          <w:p>
            <w:pPr>
              <w:spacing w:after="40" w:before="0" w:line="259" w:lineRule="auto"/>
            </w:pPr>
            <w:r>
              <w:rPr>
                <w:rFonts w:ascii="Calibri" w:hAnsi="Calibri"/>
                <w:b/>
                <w:i w:val="0"/>
                <w:color w:val="212121"/>
                <w:sz w:val="19"/>
              </w:rPr>
              <w:t>Poor visual fixation / not following faces or light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significant posterior or advanced disease affecting central vision.</w:t>
            </w:r>
          </w:p>
        </w:tc>
      </w:tr>
      <w:tr>
        <w:trPr>
          <w:cantSplit/>
        </w:trPr>
        <w:tc>
          <w:tcPr>
            <w:tcW w:type="dxa" w:w="2304"/>
            <w:vAlign w:val="top"/>
          </w:tcPr>
          <w:p>
            <w:pPr>
              <w:spacing w:after="40" w:before="0" w:line="259" w:lineRule="auto"/>
            </w:pPr>
            <w:r>
              <w:rPr>
                <w:rFonts w:ascii="Calibri" w:hAnsi="Calibri"/>
                <w:b/>
                <w:i w:val="0"/>
                <w:color w:val="212121"/>
                <w:sz w:val="19"/>
              </w:rPr>
              <w:t>Squint (strabismus)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Frequently associated with ROP and with the prematurity spectrum; may be the first thing parents notice.</w:t>
            </w:r>
          </w:p>
        </w:tc>
      </w:tr>
      <w:tr>
        <w:trPr>
          <w:cantSplit/>
        </w:trPr>
        <w:tc>
          <w:tcPr>
            <w:tcW w:type="dxa" w:w="2304"/>
            <w:vAlign w:val="top"/>
          </w:tcPr>
          <w:p>
            <w:pPr>
              <w:spacing w:after="40" w:before="0" w:line="259" w:lineRule="auto"/>
            </w:pPr>
            <w:r>
              <w:rPr>
                <w:rFonts w:ascii="Calibri" w:hAnsi="Calibri"/>
                <w:b/>
                <w:i w:val="0"/>
                <w:color w:val="212121"/>
                <w:sz w:val="19"/>
              </w:rPr>
              <w:t>Nystagmus / roving eye movements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poor bilateral vision from severe disease.</w:t>
            </w:r>
          </w:p>
        </w:tc>
      </w:tr>
      <w:tr>
        <w:trPr>
          <w:cantSplit/>
        </w:trPr>
        <w:tc>
          <w:tcPr>
            <w:tcW w:type="dxa" w:w="2304"/>
            <w:vAlign w:val="top"/>
          </w:tcPr>
          <w:p>
            <w:pPr>
              <w:spacing w:after="40" w:before="0" w:line="259" w:lineRule="auto"/>
            </w:pPr>
            <w:r>
              <w:rPr>
                <w:rFonts w:ascii="Calibri" w:hAnsi="Calibri"/>
                <w:b/>
                <w:i w:val="0"/>
                <w:color w:val="212121"/>
                <w:sz w:val="19"/>
              </w:rPr>
              <w:t>Leukocoria (white pupillary reflex)</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late sign of stage 4-5 retinal detachment or retrolental fibrovascular mass; demands urgent referral.</w:t>
            </w:r>
          </w:p>
        </w:tc>
      </w:tr>
      <w:tr>
        <w:trPr>
          <w:cantSplit/>
        </w:trPr>
        <w:tc>
          <w:tcPr>
            <w:tcW w:type="dxa" w:w="2304"/>
            <w:vAlign w:val="top"/>
          </w:tcPr>
          <w:p>
            <w:pPr>
              <w:spacing w:after="40" w:before="0" w:line="259" w:lineRule="auto"/>
            </w:pPr>
            <w:r>
              <w:rPr>
                <w:rFonts w:ascii="Calibri" w:hAnsi="Calibri"/>
                <w:b/>
                <w:i w:val="0"/>
                <w:color w:val="212121"/>
                <w:sz w:val="19"/>
              </w:rPr>
              <w:t>Apparent blindness / poor visual attention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bilateral advanced ROP; the infant does not respond to visual stimuli.</w:t>
            </w:r>
          </w:p>
        </w:tc>
      </w:tr>
      <w:tr>
        <w:trPr>
          <w:cantSplit/>
        </w:trPr>
        <w:tc>
          <w:tcPr>
            <w:tcW w:type="dxa" w:w="2304"/>
            <w:vAlign w:val="top"/>
          </w:tcPr>
          <w:p>
            <w:pPr>
              <w:spacing w:after="40" w:before="0" w:line="259" w:lineRule="auto"/>
            </w:pPr>
            <w:r>
              <w:rPr>
                <w:rFonts w:ascii="Calibri" w:hAnsi="Calibri"/>
                <w:b/>
                <w:i w:val="0"/>
                <w:color w:val="212121"/>
                <w:sz w:val="19"/>
              </w:rPr>
              <w:t>Photophobia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occur with media changes or after treatment.</w:t>
            </w:r>
          </w:p>
        </w:tc>
      </w:tr>
      <w:tr>
        <w:trPr>
          <w:cantSplit/>
        </w:trPr>
        <w:tc>
          <w:tcPr>
            <w:tcW w:type="dxa" w:w="2304"/>
            <w:vAlign w:val="top"/>
          </w:tcPr>
          <w:p>
            <w:pPr>
              <w:spacing w:after="40" w:before="0" w:line="259" w:lineRule="auto"/>
            </w:pPr>
            <w:r>
              <w:rPr>
                <w:rFonts w:ascii="Calibri" w:hAnsi="Calibri"/>
                <w:b/>
                <w:i w:val="0"/>
                <w:color w:val="212121"/>
                <w:sz w:val="19"/>
              </w:rPr>
              <w:t>Wandering / searching eye movements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Reflects absent or severely reduced vision in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Peripheral avascular retina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Immature, non-vascularized peripheral retina - the substrate on which ROP develops.</w:t>
            </w:r>
          </w:p>
        </w:tc>
      </w:tr>
      <w:tr>
        <w:trPr>
          <w:cantSplit/>
        </w:trPr>
        <w:tc>
          <w:tcPr>
            <w:tcW w:type="dxa" w:w="3456"/>
            <w:vAlign w:val="top"/>
          </w:tcPr>
          <w:p>
            <w:pPr>
              <w:spacing w:after="40" w:before="0" w:line="259" w:lineRule="auto"/>
            </w:pPr>
            <w:r>
              <w:rPr>
                <w:rFonts w:ascii="Calibri" w:hAnsi="Calibri"/>
                <w:b/>
                <w:i w:val="0"/>
                <w:color w:val="212121"/>
                <w:sz w:val="19"/>
              </w:rPr>
              <w:t>Demarcation line (Stage 1)</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thin flat white line separating vascular from avascular retina.</w:t>
            </w:r>
          </w:p>
        </w:tc>
      </w:tr>
      <w:tr>
        <w:trPr>
          <w:cantSplit/>
        </w:trPr>
        <w:tc>
          <w:tcPr>
            <w:tcW w:type="dxa" w:w="3456"/>
            <w:vAlign w:val="top"/>
          </w:tcPr>
          <w:p>
            <w:pPr>
              <w:spacing w:after="40" w:before="0" w:line="259" w:lineRule="auto"/>
            </w:pPr>
            <w:r>
              <w:rPr>
                <w:rFonts w:ascii="Calibri" w:hAnsi="Calibri"/>
                <w:b/>
                <w:i w:val="0"/>
                <w:color w:val="212121"/>
                <w:sz w:val="19"/>
              </w:rPr>
              <w:t>Ridge (Stage 2)</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demarcation line becomes elevated with volume, occasionally with small tufts of neovascularization.</w:t>
            </w:r>
          </w:p>
        </w:tc>
      </w:tr>
      <w:tr>
        <w:trPr>
          <w:cantSplit/>
        </w:trPr>
        <w:tc>
          <w:tcPr>
            <w:tcW w:type="dxa" w:w="3456"/>
            <w:vAlign w:val="top"/>
          </w:tcPr>
          <w:p>
            <w:pPr>
              <w:spacing w:after="40" w:before="0" w:line="259" w:lineRule="auto"/>
            </w:pPr>
            <w:r>
              <w:rPr>
                <w:rFonts w:ascii="Calibri" w:hAnsi="Calibri"/>
                <w:b/>
                <w:i w:val="0"/>
                <w:color w:val="212121"/>
                <w:sz w:val="19"/>
              </w:rPr>
              <w:t>Pre-plus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Vascular dilation/tortuosity insufficient for plus disease but indicating rising activity.</w:t>
            </w:r>
          </w:p>
        </w:tc>
      </w:tr>
      <w:tr>
        <w:trPr>
          <w:cantSplit/>
        </w:trPr>
        <w:tc>
          <w:tcPr>
            <w:tcW w:type="dxa" w:w="3456"/>
            <w:vAlign w:val="top"/>
          </w:tcPr>
          <w:p>
            <w:pPr>
              <w:spacing w:after="40" w:before="0" w:line="259" w:lineRule="auto"/>
            </w:pPr>
            <w:r>
              <w:rPr>
                <w:rFonts w:ascii="Calibri" w:hAnsi="Calibri"/>
                <w:b/>
                <w:i w:val="0"/>
                <w:color w:val="212121"/>
                <w:sz w:val="19"/>
              </w:rPr>
              <w:t>Extraretinal fibrovascular proliferation (Stage 3)</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Neovascular tissue extends from the ridge into the vitreous - a key treatment trigger when with plus disease.</w:t>
            </w:r>
          </w:p>
        </w:tc>
      </w:tr>
      <w:tr>
        <w:trPr>
          <w:cantSplit/>
        </w:trPr>
        <w:tc>
          <w:tcPr>
            <w:tcW w:type="dxa" w:w="3456"/>
            <w:vAlign w:val="top"/>
          </w:tcPr>
          <w:p>
            <w:pPr>
              <w:spacing w:after="40" w:before="0" w:line="259" w:lineRule="auto"/>
            </w:pPr>
            <w:r>
              <w:rPr>
                <w:rFonts w:ascii="Calibri" w:hAnsi="Calibri"/>
                <w:b/>
                <w:i w:val="0"/>
                <w:color w:val="212121"/>
                <w:sz w:val="19"/>
              </w:rPr>
              <w:t>Plus disease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Marked dilation and tortuosity of posterior-pole vessels; a hallmark of active, treatment-requiring ROP.</w:t>
            </w:r>
          </w:p>
        </w:tc>
      </w:tr>
      <w:tr>
        <w:trPr>
          <w:cantSplit/>
        </w:trPr>
        <w:tc>
          <w:tcPr>
            <w:tcW w:type="dxa" w:w="3456"/>
            <w:vAlign w:val="top"/>
          </w:tcPr>
          <w:p>
            <w:pPr>
              <w:spacing w:after="40" w:before="0" w:line="259" w:lineRule="auto"/>
            </w:pPr>
            <w:r>
              <w:rPr>
                <w:rFonts w:ascii="Calibri" w:hAnsi="Calibri"/>
                <w:b/>
                <w:i w:val="0"/>
                <w:color w:val="212121"/>
                <w:sz w:val="19"/>
              </w:rPr>
              <w:t>Tunica vasculosa lentis / poorly dilating rigid pupil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Anterior-segment vascular engorgement, often accompanying aggressive posterior disease.</w:t>
            </w:r>
          </w:p>
        </w:tc>
      </w:tr>
      <w:tr>
        <w:trPr>
          <w:cantSplit/>
        </w:trPr>
        <w:tc>
          <w:tcPr>
            <w:tcW w:type="dxa" w:w="3456"/>
            <w:vAlign w:val="top"/>
          </w:tcPr>
          <w:p>
            <w:pPr>
              <w:spacing w:after="40" w:before="0" w:line="259" w:lineRule="auto"/>
            </w:pPr>
            <w:r>
              <w:rPr>
                <w:rFonts w:ascii="Calibri" w:hAnsi="Calibri"/>
                <w:b/>
                <w:i w:val="0"/>
                <w:color w:val="212121"/>
                <w:sz w:val="19"/>
              </w:rPr>
              <w:t>Aggressive ROP features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Flat, posterior, rapidly progressive neovascularization with prominent plus disease that can bypass classic staging.</w:t>
            </w:r>
          </w:p>
        </w:tc>
      </w:tr>
      <w:tr>
        <w:trPr>
          <w:cantSplit/>
        </w:trPr>
        <w:tc>
          <w:tcPr>
            <w:tcW w:type="dxa" w:w="3456"/>
            <w:vAlign w:val="top"/>
          </w:tcPr>
          <w:p>
            <w:pPr>
              <w:spacing w:after="40" w:before="0" w:line="259" w:lineRule="auto"/>
            </w:pPr>
            <w:r>
              <w:rPr>
                <w:rFonts w:ascii="Calibri" w:hAnsi="Calibri"/>
                <w:b/>
                <w:i w:val="0"/>
                <w:color w:val="212121"/>
                <w:sz w:val="19"/>
              </w:rPr>
              <w:t>Partial retinal detachment (Stage 4A/4B)</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Tractional detachment sparing (4A) or involving (4B) the fovea.</w:t>
            </w:r>
          </w:p>
        </w:tc>
      </w:tr>
      <w:tr>
        <w:trPr>
          <w:cantSplit/>
        </w:trPr>
        <w:tc>
          <w:tcPr>
            <w:tcW w:type="dxa" w:w="3456"/>
            <w:vAlign w:val="top"/>
          </w:tcPr>
          <w:p>
            <w:pPr>
              <w:spacing w:after="40" w:before="0" w:line="259" w:lineRule="auto"/>
            </w:pPr>
            <w:r>
              <w:rPr>
                <w:rFonts w:ascii="Calibri" w:hAnsi="Calibri"/>
                <w:b/>
                <w:i w:val="0"/>
                <w:color w:val="212121"/>
                <w:sz w:val="19"/>
              </w:rPr>
              <w:t>Total retinal detachment (Stage 5)</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Funnel retinal detachment / retrolental fibroplasia with leukocoria - the blinding end stage.</w:t>
            </w:r>
          </w:p>
        </w:tc>
      </w:tr>
      <w:tr>
        <w:trPr>
          <w:cantSplit/>
        </w:trPr>
        <w:tc>
          <w:tcPr>
            <w:tcW w:type="dxa" w:w="3456"/>
            <w:vAlign w:val="top"/>
          </w:tcPr>
          <w:p>
            <w:pPr>
              <w:spacing w:after="40" w:before="0" w:line="259" w:lineRule="auto"/>
            </w:pPr>
            <w:r>
              <w:rPr>
                <w:rFonts w:ascii="Calibri" w:hAnsi="Calibri"/>
                <w:b/>
                <w:i w:val="0"/>
                <w:color w:val="212121"/>
                <w:sz w:val="19"/>
              </w:rPr>
              <w:t>Vitreous or retinal haemorrhage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fragile neovascular vessels; may obscure the view and worsen prognosis.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through ROP stages (1 to 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Development of plus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Aggressive (posterior) ROP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Vitreous / retinal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Macular dragging and ectopia</w:t>
            </w:r>
          </w:p>
        </w:tc>
        <w:tc>
          <w:tcPr>
            <w:tcW w:type="dxa" w:w="2980"/>
            <w:vAlign w:val="top"/>
          </w:tcPr>
          <w:p>
            <w:pPr>
              <w:spacing w:after="40" w:before="0" w:line="259" w:lineRule="auto"/>
            </w:pPr>
            <w:r>
              <w:rPr>
                <w:rFonts w:ascii="Calibri" w:hAnsi="Calibri"/>
                <w:b w:val="0"/>
                <w:i w:val="0"/>
                <w:color w:val="212121"/>
                <w:sz w:val="19"/>
              </w:rPr>
              <w:t>Direct progression of active retinal neovascular disease if not treated within the window</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Tractional retinal detachment (stage 4A, 4B, 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myopia and anisometropia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Strabismus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Nystagmus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(angle-closure) glaucoma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Band keratopathy</w:t>
            </w:r>
          </w:p>
        </w:tc>
        <w:tc>
          <w:tcPr>
            <w:tcW w:type="dxa" w:w="2980"/>
            <w:vAlign w:val="top"/>
          </w:tcPr>
          <w:p>
            <w:pPr>
              <w:spacing w:after="40" w:before="0" w:line="259" w:lineRule="auto"/>
            </w:pPr>
            <w:r>
              <w:rPr>
                <w:rFonts w:ascii="Calibri" w:hAnsi="Calibri"/>
                <w:b w:val="0"/>
                <w:i w:val="0"/>
                <w:color w:val="212121"/>
                <w:sz w:val="19"/>
              </w:rPr>
              <w:t>Consequences of fibrovascular contraction, altered ocular growth and refractive error, common even after successful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blindness / legal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Phthisis bulbi (shrunken non-functional eye)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low vision requiring rehabilitation and special education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Leukocoria with cosmetic/psychosocial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Cerebral/neurodevelopmental visual impairment</w:t>
            </w:r>
          </w:p>
        </w:tc>
        <w:tc>
          <w:tcPr>
            <w:tcW w:type="dxa" w:w="2980"/>
            <w:vAlign w:val="top"/>
          </w:tcPr>
          <w:p>
            <w:pPr>
              <w:spacing w:after="40" w:before="0" w:line="259" w:lineRule="auto"/>
            </w:pPr>
            <w:r>
              <w:rPr>
                <w:rFonts w:ascii="Calibri" w:hAnsi="Calibri"/>
                <w:b w:val="0"/>
                <w:i w:val="0"/>
                <w:color w:val="212121"/>
                <w:sz w:val="19"/>
              </w:rPr>
              <w:t>Disabling, largely irreversible end-stage outcomes of untreated or advanced ROP</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Bronchopulmonary dysplasia (BPD)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oxygen-and-inflammation pathway; both are driven by prematurity and prolonged oxygen/ventilation, and each marks a higher-risk infant.</w:t>
            </w:r>
          </w:p>
        </w:tc>
      </w:tr>
      <w:tr>
        <w:trPr>
          <w:cantSplit/>
        </w:trPr>
        <w:tc>
          <w:tcPr>
            <w:tcW w:type="dxa" w:w="2232"/>
            <w:vAlign w:val="top"/>
          </w:tcPr>
          <w:p>
            <w:pPr>
              <w:spacing w:after="40" w:before="0" w:line="259" w:lineRule="auto"/>
            </w:pPr>
            <w:r>
              <w:rPr>
                <w:rFonts w:ascii="Calibri" w:hAnsi="Calibri"/>
                <w:b/>
                <w:i w:val="0"/>
                <w:color w:val="212121"/>
                <w:sz w:val="19"/>
              </w:rPr>
              <w:t>Neonatal sepsis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Systemic infection raises inflammatory cytokines and VEGF and destabilizes oxygenation, promoting and worsening ROP.</w:t>
            </w:r>
          </w:p>
        </w:tc>
      </w:tr>
      <w:tr>
        <w:trPr>
          <w:cantSplit/>
        </w:trPr>
        <w:tc>
          <w:tcPr>
            <w:tcW w:type="dxa" w:w="2232"/>
            <w:vAlign w:val="top"/>
          </w:tcPr>
          <w:p>
            <w:pPr>
              <w:spacing w:after="40" w:before="0" w:line="259" w:lineRule="auto"/>
            </w:pPr>
            <w:r>
              <w:rPr>
                <w:rFonts w:ascii="Calibri" w:hAnsi="Calibri"/>
                <w:b/>
                <w:i w:val="0"/>
                <w:color w:val="212121"/>
                <w:sz w:val="19"/>
              </w:rPr>
              <w:t>Respiratory distress syndrome (RDS)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Necessitates supplemental oxygen and ventilation, the principal exposure driving ROP.</w:t>
            </w:r>
          </w:p>
        </w:tc>
      </w:tr>
      <w:tr>
        <w:trPr>
          <w:cantSplit/>
        </w:trPr>
        <w:tc>
          <w:tcPr>
            <w:tcW w:type="dxa" w:w="2232"/>
            <w:vAlign w:val="top"/>
          </w:tcPr>
          <w:p>
            <w:pPr>
              <w:spacing w:after="40" w:before="0" w:line="259" w:lineRule="auto"/>
            </w:pPr>
            <w:r>
              <w:rPr>
                <w:rFonts w:ascii="Calibri" w:hAnsi="Calibri"/>
                <w:b/>
                <w:i w:val="0"/>
                <w:color w:val="212121"/>
                <w:sz w:val="19"/>
              </w:rPr>
              <w:t>Intraventricular haemorrhage (IVH)</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Co-occurs with severe ROP as a marker of prematurity-related vascular fragility; its presence intensifies monitoring.</w:t>
            </w:r>
          </w:p>
        </w:tc>
      </w:tr>
      <w:tr>
        <w:trPr>
          <w:cantSplit/>
        </w:trPr>
        <w:tc>
          <w:tcPr>
            <w:tcW w:type="dxa" w:w="2232"/>
            <w:vAlign w:val="top"/>
          </w:tcPr>
          <w:p>
            <w:pPr>
              <w:spacing w:after="40" w:before="0" w:line="259" w:lineRule="auto"/>
            </w:pPr>
            <w:r>
              <w:rPr>
                <w:rFonts w:ascii="Calibri" w:hAnsi="Calibri"/>
                <w:b/>
                <w:i w:val="0"/>
                <w:color w:val="212121"/>
                <w:sz w:val="19"/>
              </w:rPr>
              <w:t>Anaemia of prematurity / blood transfusion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Adult-haemoglobin transfusions and oxidative stress are linked to ROP progression; transfusion decisions interact with ROP risk.</w:t>
            </w:r>
          </w:p>
        </w:tc>
      </w:tr>
      <w:tr>
        <w:trPr>
          <w:cantSplit/>
        </w:trPr>
        <w:tc>
          <w:tcPr>
            <w:tcW w:type="dxa" w:w="2232"/>
            <w:vAlign w:val="top"/>
          </w:tcPr>
          <w:p>
            <w:pPr>
              <w:spacing w:after="40" w:before="0" w:line="259" w:lineRule="auto"/>
            </w:pPr>
            <w:r>
              <w:rPr>
                <w:rFonts w:ascii="Calibri" w:hAnsi="Calibri"/>
                <w:b/>
                <w:i w:val="0"/>
                <w:color w:val="212121"/>
                <w:sz w:val="19"/>
              </w:rPr>
              <w:t>Patent ductus arteriosus (PDA)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haemodynamic instability and altered oxygen delivery, contributing to the shared prematurity-morbidity picture.</w:t>
            </w:r>
          </w:p>
        </w:tc>
      </w:tr>
      <w:tr>
        <w:trPr>
          <w:cantSplit/>
        </w:trPr>
        <w:tc>
          <w:tcPr>
            <w:tcW w:type="dxa" w:w="2232"/>
            <w:vAlign w:val="top"/>
          </w:tcPr>
          <w:p>
            <w:pPr>
              <w:spacing w:after="40" w:before="0" w:line="259" w:lineRule="auto"/>
            </w:pPr>
            <w:r>
              <w:rPr>
                <w:rFonts w:ascii="Calibri" w:hAnsi="Calibri"/>
                <w:b/>
                <w:i w:val="0"/>
                <w:color w:val="212121"/>
                <w:sz w:val="19"/>
              </w:rPr>
              <w:t>Apnoea of prematurity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Managed with caffeine citrate, which is itself associated with reduced ROP - a favourable treatment interaction.</w:t>
            </w:r>
          </w:p>
        </w:tc>
      </w:tr>
      <w:tr>
        <w:trPr>
          <w:cantSplit/>
        </w:trPr>
        <w:tc>
          <w:tcPr>
            <w:tcW w:type="dxa" w:w="2232"/>
            <w:vAlign w:val="top"/>
          </w:tcPr>
          <w:p>
            <w:pPr>
              <w:spacing w:after="40" w:before="0" w:line="259" w:lineRule="auto"/>
            </w:pPr>
            <w:r>
              <w:rPr>
                <w:rFonts w:ascii="Calibri" w:hAnsi="Calibri"/>
                <w:b/>
                <w:i w:val="0"/>
                <w:color w:val="212121"/>
                <w:sz w:val="19"/>
              </w:rPr>
              <w:t>Necrotizing enterocolitis (NEC)</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An inflammatory complication of prematurity that impairs nutrition and weight gain, indirectly raising ROP risk.</w:t>
            </w:r>
          </w:p>
        </w:tc>
      </w:tr>
      <w:tr>
        <w:trPr>
          <w:cantSplit/>
        </w:trPr>
        <w:tc>
          <w:tcPr>
            <w:tcW w:type="dxa" w:w="2232"/>
            <w:vAlign w:val="top"/>
          </w:tcPr>
          <w:p>
            <w:pPr>
              <w:spacing w:after="40" w:before="0" w:line="259" w:lineRule="auto"/>
            </w:pPr>
            <w:r>
              <w:rPr>
                <w:rFonts w:ascii="Calibri" w:hAnsi="Calibri"/>
                <w:b/>
                <w:i w:val="0"/>
                <w:color w:val="212121"/>
                <w:sz w:val="19"/>
              </w:rPr>
              <w:t>Myopia and refractive error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as a consequence of ROP and its treatment; requires lifelong refractive monitoring.</w:t>
            </w:r>
          </w:p>
          <w:p>
            <w:pPr>
              <w:spacing w:after="40" w:before="0" w:line="259" w:lineRule="auto"/>
            </w:pPr>
            <w:r>
              <w:rPr>
                <w:rFonts w:ascii="Calibri" w:hAnsi="Calibri"/>
                <w:b/>
                <w:i w:val="0"/>
                <w:color w:val="212121"/>
                <w:sz w:val="19"/>
              </w:rPr>
              <w:t>30-50% after laser</w:t>
            </w:r>
          </w:p>
        </w:tc>
      </w:tr>
      <w:tr>
        <w:trPr>
          <w:cantSplit/>
        </w:trPr>
        <w:tc>
          <w:tcPr>
            <w:tcW w:type="dxa" w:w="2232"/>
            <w:vAlign w:val="top"/>
          </w:tcPr>
          <w:p>
            <w:pPr>
              <w:spacing w:after="40" w:before="0" w:line="259" w:lineRule="auto"/>
            </w:pPr>
            <w:r>
              <w:rPr>
                <w:rFonts w:ascii="Calibri" w:hAnsi="Calibri"/>
                <w:b/>
                <w:i w:val="0"/>
                <w:color w:val="212121"/>
                <w:sz w:val="19"/>
              </w:rPr>
              <w:t>Strabismus and amblyopia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visual sequelae of ROP and prematurity requiring orthoptic follow-up.</w:t>
            </w:r>
          </w:p>
          <w:p>
            <w:pPr>
              <w:spacing w:after="40" w:before="0" w:line="259" w:lineRule="auto"/>
            </w:pPr>
            <w:r>
              <w:rPr>
                <w:rFonts w:ascii="Calibri" w:hAnsi="Calibri"/>
                <w:b/>
                <w:i w:val="0"/>
                <w:color w:val="212121"/>
                <w:sz w:val="19"/>
              </w:rPr>
              <w:t>Strabismus ~30%, amblyopia ~20%</w:t>
            </w:r>
          </w:p>
        </w:tc>
      </w:tr>
      <w:tr>
        <w:trPr>
          <w:cantSplit/>
        </w:trPr>
        <w:tc>
          <w:tcPr>
            <w:tcW w:type="dxa" w:w="2232"/>
            <w:vAlign w:val="top"/>
          </w:tcPr>
          <w:p>
            <w:pPr>
              <w:spacing w:after="40" w:before="0" w:line="259" w:lineRule="auto"/>
            </w:pPr>
            <w:r>
              <w:rPr>
                <w:rFonts w:ascii="Calibri" w:hAnsi="Calibri"/>
                <w:b/>
                <w:i w:val="0"/>
                <w:color w:val="212121"/>
                <w:sz w:val="19"/>
              </w:rPr>
              <w:t>Neurodevelopmental impairment / cerebral palsy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Severe ROP is a marker of global prematurity morbidity and coexists with adverse neurodevelopment, adding cerebral visual impairment.</w:t>
            </w:r>
          </w:p>
        </w:tc>
      </w:tr>
      <w:tr>
        <w:trPr>
          <w:cantSplit/>
        </w:trPr>
        <w:tc>
          <w:tcPr>
            <w:tcW w:type="dxa" w:w="2232"/>
            <w:vAlign w:val="top"/>
          </w:tcPr>
          <w:p>
            <w:pPr>
              <w:spacing w:after="40" w:before="0" w:line="259" w:lineRule="auto"/>
            </w:pPr>
            <w:r>
              <w:rPr>
                <w:rFonts w:ascii="Calibri" w:hAnsi="Calibri"/>
                <w:b/>
                <w:i w:val="0"/>
                <w:color w:val="212121"/>
                <w:sz w:val="19"/>
              </w:rPr>
              <w:t>Maternal gestational diabetes / pre-eclampsia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Maternal metabolic and vascular disorders are recognised determinants influencing ROP risk in the offspring.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quality antenatal care to reduce preterm birth, and give antenatal corticosteroids when preterm delivery is anticipated.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EVERY preterm infant of gestational age &lt; 34 weeks or birth weight &lt; 2000 g (plus larger at-risk babies) into a structured ROP screening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the first retinal examination by 4 weeks (30 days) of age, or earlier (2-3 weeks) for infants &lt; 28 weeks / &lt; 1200 g; never miss the treatment window.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Implement strict oxygen-monitoring protocols: blended oxygen with pulse-oximetry targeting of SpO2 90-95% and alarm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tele-ROP / wide-field imaging and referral pathways where on-site ROP specialists are unavailable, and counsel parents clearly on follow-up dates.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Neonatal/NICU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ASHA/ANM and field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NICUs in non-metro / tier-2-3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preterm &lt; 34 weeks / &lt; 2000 g</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Kangaroo Mother Care and skin-to-skin contact to stabilize the infant and support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developmental, minimal-handling care to reduce physiological stress and oxygen desaturations.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Cluster nursing care to minimize repeated destabilizing interventions.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early, supported parental involvement in routine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NICU nursing teams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Prioritize mother's own breast milk (with fortification as needed) for its antioxidant and IGF content.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Optimize early enteral nutrition to achieve steady postnatal weight gain and support retinal vascular maturation.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maternal anaemia and undernutrition, and support lactation.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caffeine citrate for apnoea of prematurity per protocol, given its association with lower ROP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restrictive, protocolized transfusion practices to limit oxidative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 poorly-growing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apnoea of prematurity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cycled and dimmed NICU lighting and reduce noise to support neurodevelopment (note: light reduction alone does not prevent ROP).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infants from bright examination and phototherapy light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developmental positioning and consistent day-night routines.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Minimize non-essential nocturnal disturbances.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NICU environment / staff</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and support antenatal maternal smoking cessation to reduce preterm birth and growth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exposure at home during and after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tobacco-cessation advice into routine antenatal visits.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preterm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avoidance of alcohol during pregnancy to lower prematurity and low-birth-weight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treatment of alcohol use in antenatal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counselling on fetal risks of prenatal alcohol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Antenatal clinic attendees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structured parental counselling and support through the screening and treatment period to reduce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Emphasize adherence to the tight follow-up schedule, as missed visits lead to preventable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maternal postnatal depression, which can affect infant care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peer support and clear written follow-up plans for families of preterm infants.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at risk of postnatal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navigating ROP treatment</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apb.org/learn/knowledge-hub/eye-conditions/retinopathy-of-prematurity/" TargetMode="External"/><Relationship Id="rId10" Type="http://schemas.openxmlformats.org/officeDocument/2006/relationships/hyperlink" Target="https://www.intechopen.com/chapters/78162" TargetMode="External"/><Relationship Id="rId11" Type="http://schemas.openxmlformats.org/officeDocument/2006/relationships/hyperlink" Target="https://www.thestatesman.com/lifestyle/health/around-5000-children-in-india-go-blind-every-year-due-to-rop-says-doctor-1503120087.html" TargetMode="External"/><Relationship Id="rId12" Type="http://schemas.openxmlformats.org/officeDocument/2006/relationships/hyperlink" Target="https://www.ontop-in.org/ontop-pen/Week-12-13/ROP%20NNF%20Guidelines%20.pdf" TargetMode="External"/><Relationship Id="rId13" Type="http://schemas.openxmlformats.org/officeDocument/2006/relationships/hyperlink" Target="https://www.ncbi.nlm.nih.gov/books/NBK562319/" TargetMode="External"/><Relationship Id="rId14" Type="http://schemas.openxmlformats.org/officeDocument/2006/relationships/hyperlink" Target="https://www.cureus.com/articles/455160-maternal-determinants-of-retinopathy-of-prematurity-rop-spotlight-on-gestational-diabetes-mellitus" TargetMode="External"/><Relationship Id="rId15" Type="http://schemas.openxmlformats.org/officeDocument/2006/relationships/hyperlink" Target="https://www.chop.edu/centers-programs/division-neonatology/neonatal-oxygen-targeting-full-consensus-recommendations-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