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Hearing Loss (disabling)</w:t>
      </w:r>
    </w:p>
    <w:p>
      <w:pPr>
        <w:spacing w:before="0" w:after="160"/>
      </w:pPr>
      <w:r>
        <w:rPr>
          <w:rFonts w:ascii="Calibri" w:hAnsi="Calibri"/>
          <w:b/>
          <w:i w:val="0"/>
          <w:color w:val="212121"/>
          <w:sz w:val="22"/>
        </w:rPr>
        <w:t xml:space="preserve">AKA </w:t>
      </w:r>
      <w:r>
        <w:rPr>
          <w:rFonts w:ascii="Calibri" w:hAnsi="Calibri"/>
          <w:b w:val="0"/>
          <w:i w:val="0"/>
          <w:color w:val="212121"/>
          <w:sz w:val="22"/>
        </w:rPr>
        <w:t>i.e., Deafness, Hearing impairment, Hard of hearing, Hypoacusis/Hypacusis, Bilateral hearing loss, Behrapan (बहरापन)</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Disabling hearing loss is a permanent or persistent reduction in hearing sensitivity that is severe enough to impair everyday communication; the WHO defines it as a hearing threshold worse than 35 decibels (dB) in the better-hearing ear in adults (and &gt;30 dB in children). It may be conductive (a problem of the outer or middle ear, such as wax, perforation or chronic ear infection), sensorineural (damage to the cochlea or auditory nerve, as in age-related loss, noise, ototoxic drugs or genetic causes), or mixed, and may be congenital or acquired, unilateral or bilateral, and pre- or post-lingual. It is one of the largest causes of years lived with disability worldwide, yet a very high proportion of cases in India are preventable or treatable if identified early.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Hearing loss is one of India's most common disabilities. WHO estimates from 2001, cited by the National Programme for Prevention and Control of Deafness (NPPCD), place about 63 million Indians (roughly 6.3% of the population) with significant auditory impairment, and the 2001 National Sample Survey found 291 per lakh with severe-to-profound loss. Community-based Indian studies report overall hearing loss in about 6%–27% and disabling hearing loss in roughly 4.5%–18%, with consistently higher rates in rural than urban populations (for example 15.1% rural vs 5.9% urban). Prevalence rises steeply with age — over a quarter of people above 60 have disabling loss — while ear wax, chronic ear infection and congenital causes drive a large paediatric burden. Globally more than 430 million people (including 34 million children) need rehabilitation for disabling hearing loss, projected to exceed 700 million by 2050.</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Disabling hearing loss is diagnosed by combining a focused history, otoscopy and audiometry, and by grading the loss in the better-hearing ear against WHO cut-offs. It is confirmed on the basis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pure-tone audiometry (air and bone conduction) establishing the pure-tone average (mean of 0.5, 1, 2 and 4 kHz) and the type of loss — an air–bone gap indicates a conductive component, while equally reduced air and bone thresholds indicate a sensorineural loss;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grading by pure-tone average using WHO cut-offs: 20–34 dB HL mild, 35–49 moderate, 50–64 moderately severe, 65–79 severe, 80–94 profound and ≥95 dB HL complete/total loss — disabling hearing loss is &gt;35 dB HL in the better ear in adults (&gt;30 dB in children);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otoscopy to identify treatable outer- and middle-ear causes (cerumen impaction, tympanic-membrane perforation, otitis media with effusion, chronic suppurative otitis media, cholesteatoma);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tympanometry and acoustic reflexes to characterise middle-ear function (type A normal; type B effusion/perforation; type C negative middle-ear pressure) and tuning-fork tests (Rinne, Weber at 512 Hz) for bedside confirmation of conductive versus sensorineural pattern;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speech audiometry (speech-reception threshold and word-recognition score) to quantify real-world understanding, with disproportionately poor scores suggesting a retrocochlear or neural lesion;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tests where behavioural audiometry is unreliable or the patient is an infant — otoacoustic emissions (OAE) and auditory brainstem response (ABR/BERA) for universal newborn screening, and imaging (high-resolution CT of the temporal bone or MRI) for congenital, chronic-infective, asymmetric or rapidly progressive loss.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Hearing loss is classified by the site of the lesion, by severity and by the timing of onset; these dimensions together guide cause, prognosis and rehabilitation:</w:t>
      </w:r>
    </w:p>
    <w:p>
      <w:pPr>
        <w:spacing w:before="0" w:after="80"/>
      </w:pPr>
      <w:r>
        <w:rPr>
          <w:rFonts w:ascii="Calibri" w:hAnsi="Calibri"/>
          <w:b w:val="0"/>
          <w:i w:val="0"/>
          <w:color w:val="212121"/>
          <w:sz w:val="21"/>
        </w:rPr>
        <w:t>(1) Conductive hearing loss — impaired transmission of sound through the outer or middle ear, producing an air–bone gap; common, largely reversible causes include cerumen impaction, otitis media with effusion, chronic suppurative otitis media, tympanic-membrane perforation and otosclerosis;</w:t>
      </w:r>
    </w:p>
    <w:p>
      <w:pPr>
        <w:spacing w:before="0" w:after="80"/>
      </w:pPr>
      <w:r>
        <w:rPr>
          <w:rFonts w:ascii="Calibri" w:hAnsi="Calibri"/>
          <w:b w:val="0"/>
          <w:i w:val="0"/>
          <w:color w:val="212121"/>
          <w:sz w:val="21"/>
        </w:rPr>
        <w:t>(2) Sensorineural hearing loss (SNHL) — damage to the cochlear hair cells or the auditory (VIIIth) nerve with no air–bone gap; usually permanent, and includes presbycusis, noise-induced loss, ototoxicity, sudden sensorineural hearing loss, congenital genetic loss and loss following meningitis, measles, mumps or congenital infection;</w:t>
      </w:r>
    </w:p>
    <w:p>
      <w:pPr>
        <w:spacing w:before="0" w:after="80"/>
      </w:pPr>
      <w:r>
        <w:rPr>
          <w:rFonts w:ascii="Calibri" w:hAnsi="Calibri"/>
          <w:b w:val="0"/>
          <w:i w:val="0"/>
          <w:color w:val="212121"/>
          <w:sz w:val="21"/>
        </w:rPr>
        <w:t>(3) Mixed hearing loss — coexisting conductive and sensorineural components (for example long-standing chronic otitis media superimposed on presbycusis), the commonest real-world pattern in older Indian adults;</w:t>
      </w:r>
    </w:p>
    <w:p>
      <w:pPr>
        <w:spacing w:before="0" w:after="80"/>
      </w:pPr>
      <w:r>
        <w:rPr>
          <w:rFonts w:ascii="Calibri" w:hAnsi="Calibri"/>
          <w:b w:val="0"/>
          <w:i w:val="0"/>
          <w:color w:val="212121"/>
          <w:sz w:val="21"/>
        </w:rPr>
        <w:t>(4) Central auditory processing / auditory neuropathy spectrum disorder — normal cochlear function but disordered neural conduction or central processing, so pure-tone thresholds may under-represent the communication difficulty;</w:t>
      </w:r>
    </w:p>
    <w:p>
      <w:pPr>
        <w:spacing w:before="0" w:after="80"/>
      </w:pPr>
      <w:r>
        <w:rPr>
          <w:rFonts w:ascii="Calibri" w:hAnsi="Calibri"/>
          <w:b w:val="0"/>
          <w:i w:val="0"/>
          <w:color w:val="212121"/>
          <w:sz w:val="21"/>
        </w:rPr>
        <w:t>(5) By severity, using the WHO grades on the better-ear pure-tone average — mild (20–34 dB HL), moderate (35–49), moderately severe (50–64), severe (65–79), profound (80–94) and complete/total (≥95 dB HL) — with loss &gt;35 dB defined as disabling; and</w:t>
      </w:r>
    </w:p>
    <w:p>
      <w:pPr>
        <w:spacing w:before="0" w:after="80"/>
      </w:pPr>
      <w:r>
        <w:rPr>
          <w:rFonts w:ascii="Calibri" w:hAnsi="Calibri"/>
          <w:b w:val="0"/>
          <w:i w:val="0"/>
          <w:color w:val="212121"/>
          <w:sz w:val="21"/>
        </w:rPr>
        <w:t>(6) By timing and laterality — congenital versus acquired, pre-lingual (before speech develops) versus post-lingual, and unilateral versus bilateral — a distinction that is critical for language development in children and for prioritising early intervention.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Cerumen impaction and outer-ear disease: Wax impaction is the single most common cause of reversible hearing loss in India (about 15.9% of cases in the WHO India survey), along with foreign bodies and otitis externa.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Chronic otitis media and middle-ear disease: Chronic suppurative otitis media, otitis media with effusion, tympanic-membrane perforation and otosclerosis are leading causes of conductive loss, disproportionately affecting children and rural populations.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Age-related degeneration (presbycusis): Cumulative loss of cochlear hair cells, stria vascularis and spiral-ganglion neurons makes age-related sensorineural loss the dominant cause in older adults (~10% of cases in India).</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Noise exposure: Occupational (factory, farm, traffic) and recreational/personal-audio noise causes irreversible high-frequency sensorineural loss and threatens over a billion young people through unsafe listening.</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Ototoxic exposure: Aminoglycosides (including anti-tuberculosis kanamycin/amikacin/streptomycin), cisplatin, loop diuretics and high-dose salicylates damage cochlear hair cells and cause permanent loss.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Congenital and genetic causes: Autosomal-recessive non-syndromic loss (GJB2/connexin-26 the commonest gene), syndromic loss and mitochondrial variants, amplified by consanguinity, plus perinatal insults.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Infections and perinatal insults: Congenital rubella and cytomegalovirus, meningitis, measles, mumps, severe neonatal jaundice, prematurity, low birth weight and birth asphyxia are important preventable causes.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(0–14 yrs)</w:t>
            </w:r>
          </w:p>
        </w:tc>
        <w:tc>
          <w:tcPr>
            <w:tcW w:type="dxa" w:w="4276"/>
            <w:vAlign w:val="top"/>
          </w:tcPr>
          <w:p>
            <w:pPr>
              <w:spacing w:after="60" w:line="259" w:lineRule="auto"/>
            </w:pPr>
            <w:r>
              <w:rPr>
                <w:rFonts w:ascii="Calibri" w:hAnsi="Calibri"/>
                <w:b w:val="0"/>
                <w:i w:val="0"/>
                <w:color w:val="212121"/>
                <w:sz w:val="19"/>
              </w:rPr>
              <w:t>Congenital/genetic loss, perinatal insults and, above all, chronic middle-ear disease make children a major at-risk group; undetected pre-lingual loss cripples speech, language and schooling, so early screening is critical.</w:t>
            </w:r>
          </w:p>
          <w:p>
            <w:pPr>
              <w:spacing w:after="40" w:before="60" w:line="259" w:lineRule="auto"/>
            </w:pPr>
            <w:r>
              <w:rPr>
                <w:rFonts w:ascii="Calibri" w:hAnsi="Calibri"/>
                <w:b w:val="0"/>
                <w:i w:val="0"/>
                <w:color w:val="212121"/>
                <w:sz w:val="19"/>
              </w:rPr>
              <w:t>Otitis media is the commonest cause of hearing loss in Indian children, and neonatal screening detects hearing loss in about 1.6–8.8 per 1,000 general births (rising to 7–49 per 1,000 among at-risk neonates).</w:t>
            </w:r>
          </w:p>
          <w:p>
            <w:pPr>
              <w:spacing w:after="40" w:line="252" w:lineRule="auto"/>
            </w:pPr>
            <w:hyperlink r:id="rId9">
              <w:r>
                <w:rPr>
                  <w:rFonts w:ascii="Calibri" w:hAnsi="Calibri" w:cs="Calibri"/>
                  <w:sz w:val="18"/>
                  <w:color w:val="1155CC"/>
                  <w:u w:val="single"/>
                </w:rPr>
                <w:t xml:space="preserve">nmji.in — prevalence of hearing loss in India</w:t>
              </w:r>
            </w:hyperlink>
          </w:p>
          <w:p>
            <w:pPr>
              <w:spacing w:before="60" w:after="40"/>
            </w:pPr>
            <w:r>
              <w:rPr>
                <w:rFonts w:ascii="Calibri" w:hAnsi="Calibri"/>
                <w:b w:val="0"/>
                <w:i w:val="0"/>
                <w:color w:val="5A5A5A"/>
                <w:sz w:val="18"/>
              </w:rPr>
              <w:t>#children  #congenital  #otitismedia  #newbornscreening  #prelingual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(working age)</w:t>
            </w:r>
          </w:p>
        </w:tc>
        <w:tc>
          <w:tcPr>
            <w:tcW w:type="dxa" w:w="4276"/>
            <w:vAlign w:val="top"/>
          </w:tcPr>
          <w:p>
            <w:pPr>
              <w:spacing w:after="60" w:line="259" w:lineRule="auto"/>
            </w:pPr>
            <w:r>
              <w:rPr>
                <w:rFonts w:ascii="Calibri" w:hAnsi="Calibri"/>
                <w:b w:val="0"/>
                <w:i w:val="0"/>
                <w:color w:val="212121"/>
                <w:sz w:val="19"/>
              </w:rPr>
              <w:t>Working-age adults accumulate noise damage, ototoxic exposures and cardiometabolic disease, and are also the group in whom sudden sensorineural hearing loss and untreated chronic otitis media cause avoidable disability and lost income.</w:t>
            </w:r>
          </w:p>
          <w:p>
            <w:pPr>
              <w:spacing w:after="40" w:before="60" w:line="259" w:lineRule="auto"/>
            </w:pPr>
            <w:r>
              <w:rPr>
                <w:rFonts w:ascii="Calibri" w:hAnsi="Calibri"/>
                <w:b w:val="0"/>
                <w:i w:val="0"/>
                <w:color w:val="212121"/>
                <w:sz w:val="19"/>
              </w:rPr>
              <w:t>Community studies across India report overall hearing loss in roughly 6%–27% and disabling hearing loss in about 4.5%–18% of the population.</w:t>
            </w:r>
          </w:p>
          <w:p>
            <w:pPr>
              <w:spacing w:after="40" w:line="252" w:lineRule="auto"/>
            </w:pPr>
            <w:hyperlink r:id="rId9">
              <w:r>
                <w:rPr>
                  <w:rFonts w:ascii="Calibri" w:hAnsi="Calibri" w:cs="Calibri"/>
                  <w:sz w:val="18"/>
                  <w:color w:val="1155CC"/>
                  <w:u w:val="single"/>
                </w:rPr>
                <w:t xml:space="preserve">nmji.in — prevalence of hearing loss in India</w:t>
              </w:r>
            </w:hyperlink>
          </w:p>
          <w:p>
            <w:pPr>
              <w:spacing w:before="60" w:after="40"/>
            </w:pPr>
            <w:r>
              <w:rPr>
                <w:rFonts w:ascii="Calibri" w:hAnsi="Calibri"/>
                <w:b w:val="0"/>
                <w:i w:val="0"/>
                <w:color w:val="5A5A5A"/>
                <w:sz w:val="18"/>
              </w:rPr>
              <w:t>#adults  #noise  #ototoxicity  #suddenSNHL  #workingage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yrs)</w:t>
            </w:r>
          </w:p>
        </w:tc>
        <w:tc>
          <w:tcPr>
            <w:tcW w:type="dxa" w:w="4276"/>
            <w:vAlign w:val="top"/>
          </w:tcPr>
          <w:p>
            <w:pPr>
              <w:spacing w:after="60" w:line="259" w:lineRule="auto"/>
            </w:pPr>
            <w:r>
              <w:rPr>
                <w:rFonts w:ascii="Calibri" w:hAnsi="Calibri"/>
                <w:b w:val="0"/>
                <w:i w:val="0"/>
                <w:color w:val="212121"/>
                <w:sz w:val="19"/>
              </w:rPr>
              <w:t>The highest-prevalence group: decades of intrinsic cochlear degeneration (presbycusis) combine with noise, vascular disease and mixed middle-ear pathology, so disabling speech-frequency loss becomes the norm.</w:t>
            </w:r>
          </w:p>
          <w:p>
            <w:pPr>
              <w:spacing w:after="40" w:before="60" w:line="259" w:lineRule="auto"/>
            </w:pPr>
            <w:r>
              <w:rPr>
                <w:rFonts w:ascii="Calibri" w:hAnsi="Calibri"/>
                <w:b w:val="0"/>
                <w:i w:val="0"/>
                <w:color w:val="212121"/>
                <w:sz w:val="19"/>
              </w:rPr>
              <w:t>WHO estimates that more than 25% of people older than 60 have disabling hearing loss; Indian community estimates for those over 60 range from about 25% to 50%.</w:t>
            </w:r>
          </w:p>
          <w:p>
            <w:pPr>
              <w:spacing w:after="40" w:line="252" w:lineRule="auto"/>
            </w:pPr>
            <w:hyperlink r:id="rId10">
              <w:r>
                <w:rPr>
                  <w:rFonts w:ascii="Calibri" w:hAnsi="Calibri" w:cs="Calibri"/>
                  <w:sz w:val="18"/>
                  <w:color w:val="1155CC"/>
                  <w:u w:val="single"/>
                </w:rPr>
                <w:t xml:space="preserve">who.int — deafness and hearing loss</w:t>
              </w:r>
            </w:hyperlink>
          </w:p>
          <w:p>
            <w:pPr>
              <w:spacing w:before="60" w:after="40"/>
            </w:pPr>
            <w:r>
              <w:rPr>
                <w:rFonts w:ascii="Calibri" w:hAnsi="Calibri"/>
                <w:b w:val="0"/>
                <w:i w:val="0"/>
                <w:color w:val="5A5A5A"/>
                <w:sz w:val="18"/>
              </w:rPr>
              <w:t>#elderly  #presbycusis  #geriatric  #disablinghearingloss  #ageing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develop earlier and steeper loss, largely because of greater lifetime occupational and recreational noise exposure and higher rates of smoking and alcohol use rather than sex itself.</w:t>
            </w:r>
          </w:p>
          <w:p>
            <w:pPr>
              <w:spacing w:after="40" w:before="60" w:line="259" w:lineRule="auto"/>
            </w:pPr>
            <w:r>
              <w:rPr>
                <w:rFonts w:ascii="Calibri" w:hAnsi="Calibri"/>
                <w:b w:val="0"/>
                <w:i w:val="0"/>
                <w:color w:val="212121"/>
                <w:sz w:val="19"/>
              </w:rPr>
              <w:t>In adults from eastern India, male sex was significantly associated with hearing loss (p=0.038).</w:t>
            </w:r>
          </w:p>
          <w:p>
            <w:pPr>
              <w:spacing w:after="40" w:line="252" w:lineRule="auto"/>
            </w:pPr>
            <w:hyperlink r:id="rId11">
              <w:r>
                <w:rPr>
                  <w:rFonts w:ascii="Calibri" w:hAnsi="Calibri" w:cs="Calibri"/>
                  <w:sz w:val="18"/>
                  <w:color w:val="1155CC"/>
                  <w:u w:val="single"/>
                </w:rPr>
                <w:t xml:space="preserve">pmc.ncbi.nlm.nih.gov/PMC12862173 — Eastern India</w:t>
              </w:r>
            </w:hyperlink>
          </w:p>
          <w:p>
            <w:pPr>
              <w:spacing w:before="60" w:after="40"/>
            </w:pPr>
            <w:r>
              <w:rPr>
                <w:rFonts w:ascii="Calibri" w:hAnsi="Calibri"/>
                <w:b w:val="0"/>
                <w:i w:val="0"/>
                <w:color w:val="5A5A5A"/>
                <w:sz w:val="18"/>
              </w:rPr>
              <w:t>#male  #noiseexposure  #occupational  #lifestyle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Rural &amp; low-income populations</w:t>
            </w:r>
          </w:p>
        </w:tc>
        <w:tc>
          <w:tcPr>
            <w:tcW w:type="dxa" w:w="4276"/>
            <w:vAlign w:val="top"/>
          </w:tcPr>
          <w:p>
            <w:pPr>
              <w:spacing w:after="60" w:line="259" w:lineRule="auto"/>
            </w:pPr>
            <w:r>
              <w:rPr>
                <w:rFonts w:ascii="Calibri" w:hAnsi="Calibri"/>
                <w:b w:val="0"/>
                <w:i w:val="0"/>
                <w:color w:val="212121"/>
                <w:sz w:val="19"/>
              </w:rPr>
              <w:t>Poverty and rural residence bring more untreated ear infection, higher noise exposure, poorer nutrition and immunisation, and very limited access to audiology and hearing aids, so both prevalence and untreated disability are greater.</w:t>
            </w:r>
          </w:p>
          <w:p>
            <w:pPr>
              <w:spacing w:after="40" w:before="60" w:line="259" w:lineRule="auto"/>
            </w:pPr>
            <w:r>
              <w:rPr>
                <w:rFonts w:ascii="Calibri" w:hAnsi="Calibri"/>
                <w:b w:val="0"/>
                <w:i w:val="0"/>
                <w:color w:val="212121"/>
                <w:sz w:val="19"/>
              </w:rPr>
              <w:t>Indian surveys consistently find hearing loss more common in rural than urban areas — for example 15.1% rural versus 5.9% urban in one analysis (and 32.8% vs 6.3% in another).</w:t>
            </w:r>
          </w:p>
          <w:p>
            <w:pPr>
              <w:spacing w:after="40" w:line="252" w:lineRule="auto"/>
            </w:pPr>
            <w:hyperlink r:id="rId9">
              <w:r>
                <w:rPr>
                  <w:rFonts w:ascii="Calibri" w:hAnsi="Calibri" w:cs="Calibri"/>
                  <w:sz w:val="18"/>
                  <w:color w:val="1155CC"/>
                  <w:u w:val="single"/>
                </w:rPr>
                <w:t xml:space="preserve">nmji.in — rural vs urban hearing loss</w:t>
              </w:r>
            </w:hyperlink>
          </w:p>
          <w:p>
            <w:pPr>
              <w:spacing w:before="60" w:after="40"/>
            </w:pPr>
            <w:r>
              <w:rPr>
                <w:rFonts w:ascii="Calibri" w:hAnsi="Calibri"/>
                <w:b w:val="0"/>
                <w:i w:val="0"/>
                <w:color w:val="5A5A5A"/>
                <w:sz w:val="18"/>
              </w:rPr>
              <w:t>#rural  #poverty  #accessgap  #untreated  #healthequity</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Eastern &amp; rural Indian adults</w:t>
            </w:r>
          </w:p>
        </w:tc>
        <w:tc>
          <w:tcPr>
            <w:tcW w:type="dxa" w:w="4276"/>
            <w:vAlign w:val="top"/>
          </w:tcPr>
          <w:p>
            <w:pPr>
              <w:spacing w:after="60" w:line="259" w:lineRule="auto"/>
            </w:pPr>
            <w:r>
              <w:rPr>
                <w:rFonts w:ascii="Calibri" w:hAnsi="Calibri"/>
                <w:b w:val="0"/>
                <w:i w:val="0"/>
                <w:color w:val="212121"/>
                <w:sz w:val="19"/>
              </w:rPr>
              <w:t>In many parts of India chronic otitis media remains the single largest cause of hearing loss, reflecting recurrent childhood infection, crowding, poor access to ENT care and heavy occupational noise in agriculture and small industry.</w:t>
            </w:r>
          </w:p>
          <w:p>
            <w:pPr>
              <w:spacing w:after="40" w:before="60" w:line="259" w:lineRule="auto"/>
            </w:pPr>
            <w:r>
              <w:rPr>
                <w:rFonts w:ascii="Calibri" w:hAnsi="Calibri"/>
                <w:b w:val="0"/>
                <w:i w:val="0"/>
                <w:color w:val="212121"/>
                <w:sz w:val="19"/>
              </w:rPr>
              <w:t>In a study of adults from eastern India, chronic otitis media accounted for 34.2% of hearing-loss cases and presbycusis for 28.1%; sensorineural loss made up 45.8%, conductive 26.1% and mixed 25.4%.</w:t>
            </w:r>
          </w:p>
          <w:p>
            <w:pPr>
              <w:spacing w:after="40" w:line="252" w:lineRule="auto"/>
            </w:pPr>
            <w:hyperlink r:id="rId11">
              <w:r>
                <w:rPr>
                  <w:rFonts w:ascii="Calibri" w:hAnsi="Calibri" w:cs="Calibri"/>
                  <w:sz w:val="18"/>
                  <w:color w:val="1155CC"/>
                  <w:u w:val="single"/>
                </w:rPr>
                <w:t xml:space="preserve">pmc.ncbi.nlm.nih.gov/PMC12862173 — causes &amp; pattern</w:t>
              </w:r>
            </w:hyperlink>
          </w:p>
          <w:p>
            <w:pPr>
              <w:spacing w:before="60" w:after="40"/>
            </w:pPr>
            <w:r>
              <w:rPr>
                <w:rFonts w:ascii="Calibri" w:hAnsi="Calibri"/>
                <w:b w:val="0"/>
                <w:i w:val="0"/>
                <w:color w:val="5A5A5A"/>
                <w:sz w:val="18"/>
              </w:rPr>
              <w:t>#india  #easternindia  #COM  #regional  #ruralENT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 recreational noise</w:t>
            </w:r>
          </w:p>
        </w:tc>
        <w:tc>
          <w:tcPr>
            <w:tcW w:type="dxa" w:w="2160"/>
            <w:vAlign w:val="top"/>
          </w:tcPr>
          <w:p>
            <w:pPr>
              <w:spacing w:after="40" w:before="0" w:line="259" w:lineRule="auto"/>
            </w:pPr>
            <w:r>
              <w:rPr>
                <w:rFonts w:ascii="Calibri" w:hAnsi="Calibri"/>
                <w:b w:val="0"/>
                <w:i w:val="0"/>
                <w:color w:val="212121"/>
                <w:sz w:val="19"/>
              </w:rPr>
              <w:t>Factory, farm &amp; traffic-exposed workers; personal-audio users</w:t>
            </w:r>
          </w:p>
        </w:tc>
        <w:tc>
          <w:tcPr>
            <w:tcW w:type="dxa" w:w="4276"/>
            <w:vAlign w:val="top"/>
          </w:tcPr>
          <w:p>
            <w:pPr>
              <w:spacing w:after="60" w:line="259" w:lineRule="auto"/>
            </w:pPr>
            <w:r>
              <w:rPr>
                <w:rFonts w:ascii="Calibri" w:hAnsi="Calibri"/>
                <w:b w:val="0"/>
                <w:i w:val="0"/>
                <w:color w:val="212121"/>
                <w:sz w:val="19"/>
              </w:rPr>
              <w:t>A lifetime of loud noise causes permanent high-frequency hair-cell loss; unsafe use of headphones and personal audio devices now threatens hearing at ever younger ages.</w:t>
            </w:r>
          </w:p>
          <w:p>
            <w:pPr>
              <w:spacing w:after="40" w:before="60" w:line="259" w:lineRule="auto"/>
            </w:pPr>
            <w:r>
              <w:rPr>
                <w:rFonts w:ascii="Calibri" w:hAnsi="Calibri"/>
                <w:b w:val="0"/>
                <w:i w:val="0"/>
                <w:color w:val="212121"/>
                <w:sz w:val="19"/>
              </w:rPr>
              <w:t>Factory workers had significantly higher hearing loss than non-factory workers (p=0.005) in eastern India, and WHO estimates over 1 billion young people are at risk of permanent, avoidable loss from unsafe listening.</w:t>
            </w:r>
          </w:p>
          <w:p>
            <w:pPr>
              <w:spacing w:after="40" w:line="252" w:lineRule="auto"/>
            </w:pPr>
            <w:hyperlink r:id="rId10">
              <w:r>
                <w:rPr>
                  <w:rFonts w:ascii="Calibri" w:hAnsi="Calibri" w:cs="Calibri"/>
                  <w:sz w:val="18"/>
                  <w:color w:val="1155CC"/>
                  <w:u w:val="single"/>
                </w:rPr>
                <w:t xml:space="preserve">who.int — unsafe listening &amp; noise</w:t>
              </w:r>
            </w:hyperlink>
          </w:p>
          <w:p>
            <w:pPr>
              <w:spacing w:before="60" w:after="40"/>
            </w:pPr>
            <w:r>
              <w:rPr>
                <w:rFonts w:ascii="Calibri" w:hAnsi="Calibri"/>
                <w:b w:val="0"/>
                <w:i w:val="0"/>
                <w:color w:val="5A5A5A"/>
                <w:sz w:val="18"/>
              </w:rPr>
              <w:t>#noise  #NIHL  #occupational  #unsafelistening  #preventable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&amp; long-term smokers</w:t>
            </w:r>
          </w:p>
        </w:tc>
        <w:tc>
          <w:tcPr>
            <w:tcW w:type="dxa" w:w="4276"/>
            <w:vAlign w:val="top"/>
          </w:tcPr>
          <w:p>
            <w:pPr>
              <w:spacing w:after="60" w:line="259" w:lineRule="auto"/>
            </w:pPr>
            <w:r>
              <w:rPr>
                <w:rFonts w:ascii="Calibri" w:hAnsi="Calibri"/>
                <w:b w:val="0"/>
                <w:i w:val="0"/>
                <w:color w:val="212121"/>
                <w:sz w:val="19"/>
              </w:rPr>
              <w:t>Tobacco causes cochlear vasoconstriction, hypoxia and oxidative stress and acts synergistically with noise, producing accelerated, dose-dependent hearing loss; passive smoke also raises risk in children (otitis media).</w:t>
            </w:r>
          </w:p>
          <w:p>
            <w:pPr>
              <w:spacing w:after="40" w:before="60" w:line="259" w:lineRule="auto"/>
            </w:pPr>
            <w:r>
              <w:rPr>
                <w:rFonts w:ascii="Calibri" w:hAnsi="Calibri"/>
                <w:b w:val="0"/>
                <w:i w:val="0"/>
                <w:color w:val="212121"/>
                <w:sz w:val="19"/>
              </w:rPr>
              <w:t>In eastern-Indian adults the combination of smoking and alcohol was strongly associated with hearing loss (p&lt;0.001), and noise combined with smoking was also significant (p=0.004).</w:t>
            </w:r>
          </w:p>
          <w:p>
            <w:pPr>
              <w:spacing w:after="40" w:line="252" w:lineRule="auto"/>
            </w:pPr>
            <w:hyperlink r:id="rId11">
              <w:r>
                <w:rPr>
                  <w:rFonts w:ascii="Calibri" w:hAnsi="Calibri" w:cs="Calibri"/>
                  <w:sz w:val="18"/>
                  <w:color w:val="1155CC"/>
                  <w:u w:val="single"/>
                </w:rPr>
                <w:t xml:space="preserve">pmc.ncbi.nlm.nih.gov/PMC12862173 — risk factors</w:t>
              </w:r>
            </w:hyperlink>
          </w:p>
          <w:p>
            <w:pPr>
              <w:spacing w:before="60" w:after="40"/>
            </w:pPr>
            <w:r>
              <w:rPr>
                <w:rFonts w:ascii="Calibri" w:hAnsi="Calibri"/>
                <w:b w:val="0"/>
                <w:i w:val="0"/>
                <w:color w:val="5A5A5A"/>
                <w:sz w:val="18"/>
              </w:rPr>
              <w:t>#smoking  #tobacco  #vasoconstriction  #oxidativestress  #passivesmoke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drinkers</w:t>
            </w:r>
          </w:p>
        </w:tc>
        <w:tc>
          <w:tcPr>
            <w:tcW w:type="dxa" w:w="4276"/>
            <w:vAlign w:val="top"/>
          </w:tcPr>
          <w:p>
            <w:pPr>
              <w:spacing w:after="60" w:line="259" w:lineRule="auto"/>
            </w:pPr>
            <w:r>
              <w:rPr>
                <w:rFonts w:ascii="Calibri" w:hAnsi="Calibri"/>
                <w:b w:val="0"/>
                <w:i w:val="0"/>
                <w:color w:val="212121"/>
                <w:sz w:val="19"/>
              </w:rPr>
              <w:t>Chronic heavy alcohol use is linked to central auditory and cochlear injury and worse thresholds, and it clusters with smoking and poor nutrition in ageing men.</w:t>
            </w:r>
          </w:p>
          <w:p>
            <w:pPr>
              <w:spacing w:after="40" w:before="60" w:line="259" w:lineRule="auto"/>
            </w:pPr>
            <w:r>
              <w:rPr>
                <w:rFonts w:ascii="Calibri" w:hAnsi="Calibri"/>
                <w:b w:val="0"/>
                <w:i w:val="0"/>
                <w:color w:val="212121"/>
                <w:sz w:val="19"/>
              </w:rPr>
              <w:t>Alcohol use was independently associated with hearing loss (p=0.003) among adults studied in eastern India.</w:t>
            </w:r>
          </w:p>
          <w:p>
            <w:pPr>
              <w:spacing w:after="40" w:line="252" w:lineRule="auto"/>
            </w:pPr>
            <w:hyperlink r:id="rId11">
              <w:r>
                <w:rPr>
                  <w:rFonts w:ascii="Calibri" w:hAnsi="Calibri" w:cs="Calibri"/>
                  <w:sz w:val="18"/>
                  <w:color w:val="1155CC"/>
                  <w:u w:val="single"/>
                </w:rPr>
                <w:t xml:space="preserve">pmc.ncbi.nlm.nih.gov/PMC12862173 — risk factors</w:t>
              </w:r>
            </w:hyperlink>
          </w:p>
          <w:p>
            <w:pPr>
              <w:spacing w:before="60" w:after="40"/>
            </w:pPr>
            <w:r>
              <w:rPr>
                <w:rFonts w:ascii="Calibri" w:hAnsi="Calibri"/>
                <w:b w:val="0"/>
                <w:i w:val="0"/>
                <w:color w:val="5A5A5A"/>
                <w:sz w:val="18"/>
              </w:rPr>
              <w:t>#alcohol  #neurotoxic  #centralauditory  #lifestyle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metabolic</w:t>
            </w:r>
          </w:p>
        </w:tc>
        <w:tc>
          <w:tcPr>
            <w:tcW w:type="dxa" w:w="2160"/>
            <w:vAlign w:val="top"/>
          </w:tcPr>
          <w:p>
            <w:pPr>
              <w:spacing w:after="40" w:before="0" w:line="259" w:lineRule="auto"/>
            </w:pPr>
            <w:r>
              <w:rPr>
                <w:rFonts w:ascii="Calibri" w:hAnsi="Calibri"/>
                <w:b w:val="0"/>
                <w:i w:val="0"/>
                <w:color w:val="212121"/>
                <w:sz w:val="19"/>
              </w:rPr>
              <w:t>Overweight, obese &amp; metabolic-syndrome adults</w:t>
            </w:r>
          </w:p>
        </w:tc>
        <w:tc>
          <w:tcPr>
            <w:tcW w:type="dxa" w:w="4276"/>
            <w:vAlign w:val="top"/>
          </w:tcPr>
          <w:p>
            <w:pPr>
              <w:spacing w:after="60" w:line="259" w:lineRule="auto"/>
            </w:pPr>
            <w:r>
              <w:rPr>
                <w:rFonts w:ascii="Calibri" w:hAnsi="Calibri"/>
                <w:b w:val="0"/>
                <w:i w:val="0"/>
                <w:color w:val="212121"/>
                <w:sz w:val="19"/>
              </w:rPr>
              <w:t>Central obesity, dyslipidaemia and insulin resistance impair the cochlea's fragile end-arterial microcirculation, so metabolic syndrome is associated with earlier and greater sensorineural loss.</w:t>
            </w:r>
          </w:p>
          <w:p>
            <w:pPr>
              <w:spacing w:after="40" w:before="60" w:line="259" w:lineRule="auto"/>
            </w:pPr>
            <w:r>
              <w:rPr>
                <w:rFonts w:ascii="Calibri" w:hAnsi="Calibri"/>
                <w:b w:val="0"/>
                <w:i w:val="0"/>
                <w:color w:val="212121"/>
                <w:sz w:val="19"/>
              </w:rPr>
              <w:t>Cardiometabolic disease (diabetes, hypertension, dyslipidaemia) damages cochlear microcirculation and is consistently associated with poorer hearing thresholds.</w:t>
            </w:r>
          </w:p>
          <w:p>
            <w:pPr>
              <w:spacing w:before="60" w:after="40"/>
            </w:pPr>
            <w:r>
              <w:rPr>
                <w:rFonts w:ascii="Calibri" w:hAnsi="Calibri"/>
                <w:b w:val="0"/>
                <w:i w:val="0"/>
                <w:color w:val="5A5A5A"/>
                <w:sz w:val="18"/>
              </w:rPr>
              <w:t>#obesity  #metabolicsyndrome  #microcirculation  #dyslipidaemia  #cardiometabolic</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Low-antioxidant, high-saturated-fat &amp; micronutrient-deficient diets</w:t>
            </w:r>
          </w:p>
        </w:tc>
        <w:tc>
          <w:tcPr>
            <w:tcW w:type="dxa" w:w="4276"/>
            <w:vAlign w:val="top"/>
          </w:tcPr>
          <w:p>
            <w:pPr>
              <w:spacing w:after="60" w:line="259" w:lineRule="auto"/>
            </w:pPr>
            <w:r>
              <w:rPr>
                <w:rFonts w:ascii="Calibri" w:hAnsi="Calibri"/>
                <w:b w:val="0"/>
                <w:i w:val="0"/>
                <w:color w:val="212121"/>
                <w:sz w:val="19"/>
              </w:rPr>
              <w:t>Diets poor in folate, omega-3 fatty acids and antioxidant vitamins and high in saturated fat are associated with worse hearing, likely via oxidative stress and impaired cochlear blood flow; deficiencies of iodine, vitamin B12 and folate also contribute.</w:t>
            </w:r>
          </w:p>
          <w:p>
            <w:pPr>
              <w:spacing w:after="40" w:before="60" w:line="259" w:lineRule="auto"/>
            </w:pPr>
            <w:r>
              <w:rPr>
                <w:rFonts w:ascii="Calibri" w:hAnsi="Calibri"/>
                <w:b w:val="0"/>
                <w:i w:val="0"/>
                <w:color w:val="212121"/>
                <w:sz w:val="19"/>
              </w:rPr>
              <w:t>Dietary patterns rich in antioxidants, folate and omega-3 fatty acids are associated with better hearing, whereas high saturated-fat intake is linked to worse thresholds.</w:t>
            </w:r>
          </w:p>
          <w:p>
            <w:pPr>
              <w:spacing w:before="60" w:after="40"/>
            </w:pPr>
            <w:r>
              <w:rPr>
                <w:rFonts w:ascii="Calibri" w:hAnsi="Calibri"/>
                <w:b w:val="0"/>
                <w:i w:val="0"/>
                <w:color w:val="5A5A5A"/>
                <w:sz w:val="18"/>
              </w:rPr>
              <w:t>#antioxidants  #folate  #omega3  #micronutrients  #diet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consanguinity</w:t>
            </w:r>
          </w:p>
        </w:tc>
        <w:tc>
          <w:tcPr>
            <w:tcW w:type="dxa" w:w="2160"/>
            <w:vAlign w:val="top"/>
          </w:tcPr>
          <w:p>
            <w:pPr>
              <w:spacing w:after="40" w:before="0" w:line="259" w:lineRule="auto"/>
            </w:pPr>
            <w:r>
              <w:rPr>
                <w:rFonts w:ascii="Calibri" w:hAnsi="Calibri"/>
                <w:b w:val="0"/>
                <w:i w:val="0"/>
                <w:color w:val="212121"/>
                <w:sz w:val="19"/>
              </w:rPr>
              <w:t>Consanguineous families &amp; those with familial deafness</w:t>
            </w:r>
          </w:p>
        </w:tc>
        <w:tc>
          <w:tcPr>
            <w:tcW w:type="dxa" w:w="4276"/>
            <w:vAlign w:val="top"/>
          </w:tcPr>
          <w:p>
            <w:pPr>
              <w:spacing w:after="60" w:line="259" w:lineRule="auto"/>
            </w:pPr>
            <w:r>
              <w:rPr>
                <w:rFonts w:ascii="Calibri" w:hAnsi="Calibri"/>
                <w:b w:val="0"/>
                <w:i w:val="0"/>
                <w:color w:val="212121"/>
                <w:sz w:val="19"/>
              </w:rPr>
              <w:t>Consanguineous marriage, common in several Indian communities, greatly increases autosomal-recessive non-syndromic hearing loss; GJB2 (connexin-26) is the most frequently implicated gene, and mitochondrial variants add aminoglycoside susceptibility.</w:t>
            </w:r>
          </w:p>
          <w:p>
            <w:pPr>
              <w:spacing w:after="40" w:before="60" w:line="259" w:lineRule="auto"/>
            </w:pPr>
            <w:r>
              <w:rPr>
                <w:rFonts w:ascii="Calibri" w:hAnsi="Calibri"/>
                <w:b w:val="0"/>
                <w:i w:val="0"/>
                <w:color w:val="212121"/>
                <w:sz w:val="19"/>
              </w:rPr>
              <w:t>About half of congenital hearing loss is genetic (the remainder environmental — jaundice, ototoxic drugs, hypoxia, infection), and consanguinity substantially raises the risk of recessive non-syndromic deafness.</w:t>
            </w:r>
          </w:p>
          <w:p>
            <w:pPr>
              <w:spacing w:after="40" w:line="252" w:lineRule="auto"/>
            </w:pPr>
            <w:hyperlink r:id="rId12">
              <w:r>
                <w:rPr>
                  <w:rFonts w:ascii="Calibri" w:hAnsi="Calibri" w:cs="Calibri"/>
                  <w:sz w:val="18"/>
                  <w:color w:val="1155CC"/>
                  <w:u w:val="single"/>
                </w:rPr>
                <w:t xml:space="preserve">alliedacademies.org — Hearing in India (congenital causes)</w:t>
              </w:r>
            </w:hyperlink>
          </w:p>
          <w:p>
            <w:pPr>
              <w:spacing w:before="60" w:after="40"/>
            </w:pPr>
            <w:r>
              <w:rPr>
                <w:rFonts w:ascii="Calibri" w:hAnsi="Calibri"/>
                <w:b w:val="0"/>
                <w:i w:val="0"/>
                <w:color w:val="5A5A5A"/>
                <w:sz w:val="18"/>
              </w:rPr>
              <w:t>#genetic  #consanguinity  #GJB2  #connexin26  #familyhistory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otitis media</w:t>
            </w:r>
          </w:p>
        </w:tc>
        <w:tc>
          <w:tcPr>
            <w:tcW w:type="dxa" w:w="2160"/>
            <w:vAlign w:val="top"/>
          </w:tcPr>
          <w:p>
            <w:pPr>
              <w:spacing w:after="40" w:before="0" w:line="259" w:lineRule="auto"/>
            </w:pPr>
            <w:r>
              <w:rPr>
                <w:rFonts w:ascii="Calibri" w:hAnsi="Calibri"/>
                <w:b w:val="0"/>
                <w:i w:val="0"/>
                <w:color w:val="212121"/>
                <w:sz w:val="19"/>
              </w:rPr>
              <w:t>Children &amp; adults with recurrent/chronic ear infection</w:t>
            </w:r>
          </w:p>
        </w:tc>
        <w:tc>
          <w:tcPr>
            <w:tcW w:type="dxa" w:w="4276"/>
            <w:vAlign w:val="top"/>
          </w:tcPr>
          <w:p>
            <w:pPr>
              <w:spacing w:after="60" w:line="259" w:lineRule="auto"/>
            </w:pPr>
            <w:r>
              <w:rPr>
                <w:rFonts w:ascii="Calibri" w:hAnsi="Calibri"/>
                <w:b w:val="0"/>
                <w:i w:val="0"/>
                <w:color w:val="212121"/>
                <w:sz w:val="19"/>
              </w:rPr>
              <w:t>Chronic suppurative otitis media and otitis media with effusion damage the tympanic membrane and ossicles, causing conductive (and sometimes mixed) loss; it is the leading preventable cause of hearing loss in Indian children.</w:t>
            </w:r>
          </w:p>
          <w:p>
            <w:pPr>
              <w:spacing w:after="40" w:before="60" w:line="259" w:lineRule="auto"/>
            </w:pPr>
            <w:r>
              <w:rPr>
                <w:rFonts w:ascii="Calibri" w:hAnsi="Calibri"/>
                <w:b w:val="0"/>
                <w:i w:val="0"/>
                <w:color w:val="212121"/>
                <w:sz w:val="19"/>
              </w:rPr>
              <w:t>Chronic otitis media accounted for 34.2% of hearing-loss cases in an eastern-India study and is the commonest cause of hearing loss in Indian children.</w:t>
            </w:r>
          </w:p>
          <w:p>
            <w:pPr>
              <w:spacing w:after="40" w:line="252" w:lineRule="auto"/>
            </w:pPr>
            <w:hyperlink r:id="rId11">
              <w:r>
                <w:rPr>
                  <w:rFonts w:ascii="Calibri" w:hAnsi="Calibri" w:cs="Calibri"/>
                  <w:sz w:val="18"/>
                  <w:color w:val="1155CC"/>
                  <w:u w:val="single"/>
                </w:rPr>
                <w:t xml:space="preserve">pmc.ncbi.nlm.nih.gov/PMC12862173 — leading cause</w:t>
              </w:r>
            </w:hyperlink>
          </w:p>
          <w:p>
            <w:pPr>
              <w:spacing w:before="60" w:after="40"/>
            </w:pPr>
            <w:r>
              <w:rPr>
                <w:rFonts w:ascii="Calibri" w:hAnsi="Calibri"/>
                <w:b w:val="0"/>
                <w:i w:val="0"/>
                <w:color w:val="5A5A5A"/>
                <w:sz w:val="18"/>
              </w:rPr>
              <w:t>#otitismedia  #CSOM  #conductive  #children  #preventable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diabetes / prediabetes</w:t>
            </w:r>
          </w:p>
        </w:tc>
        <w:tc>
          <w:tcPr>
            <w:tcW w:type="dxa" w:w="4276"/>
            <w:vAlign w:val="top"/>
          </w:tcPr>
          <w:p>
            <w:pPr>
              <w:spacing w:after="60" w:line="259" w:lineRule="auto"/>
            </w:pPr>
            <w:r>
              <w:rPr>
                <w:rFonts w:ascii="Calibri" w:hAnsi="Calibri"/>
                <w:b w:val="0"/>
                <w:i w:val="0"/>
                <w:color w:val="212121"/>
                <w:sz w:val="19"/>
              </w:rPr>
              <w:t>Chronic hyperglycaemia damages the cochlear microvasculature and auditory nerve, so people with diabetes develop hearing loss earlier and more severely; even prediabetes carries excess risk.</w:t>
            </w:r>
          </w:p>
          <w:p>
            <w:pPr>
              <w:spacing w:after="40" w:before="60" w:line="259" w:lineRule="auto"/>
            </w:pPr>
            <w:r>
              <w:rPr>
                <w:rFonts w:ascii="Calibri" w:hAnsi="Calibri"/>
                <w:b w:val="0"/>
                <w:i w:val="0"/>
                <w:color w:val="212121"/>
                <w:sz w:val="19"/>
              </w:rPr>
              <w:t>Hearing loss is about twice as common in people with diabetes as in same-aged people without it, and even prediabetes carries a 30% higher rate of hearing loss.</w:t>
            </w:r>
          </w:p>
          <w:p>
            <w:pPr>
              <w:spacing w:after="40" w:line="252" w:lineRule="auto"/>
            </w:pPr>
            <w:hyperlink r:id="rId13">
              <w:r>
                <w:rPr>
                  <w:rFonts w:ascii="Calibri" w:hAnsi="Calibri" w:cs="Calibri"/>
                  <w:sz w:val="18"/>
                  <w:color w:val="1155CC"/>
                  <w:u w:val="single"/>
                </w:rPr>
                <w:t xml:space="preserve">cdc.gov — diabetes and hearing loss</w:t>
              </w:r>
            </w:hyperlink>
          </w:p>
          <w:p>
            <w:pPr>
              <w:spacing w:before="60" w:after="40"/>
            </w:pPr>
            <w:r>
              <w:rPr>
                <w:rFonts w:ascii="Calibri" w:hAnsi="Calibri"/>
                <w:b w:val="0"/>
                <w:i w:val="0"/>
                <w:color w:val="5A5A5A"/>
                <w:sz w:val="18"/>
              </w:rPr>
              <w:t>#diabetes  #microvascular  #hyperglycaemia  #prediabetes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Ototoxic drug / MDR-TB treatment</w:t>
            </w:r>
          </w:p>
        </w:tc>
        <w:tc>
          <w:tcPr>
            <w:tcW w:type="dxa" w:w="2160"/>
            <w:vAlign w:val="top"/>
          </w:tcPr>
          <w:p>
            <w:pPr>
              <w:spacing w:after="40" w:before="0" w:line="259" w:lineRule="auto"/>
            </w:pPr>
            <w:r>
              <w:rPr>
                <w:rFonts w:ascii="Calibri" w:hAnsi="Calibri"/>
                <w:b w:val="0"/>
                <w:i w:val="0"/>
                <w:color w:val="212121"/>
                <w:sz w:val="19"/>
              </w:rPr>
              <w:t>Patients on aminoglycosides, cisplatin or loop diuretics</w:t>
            </w:r>
          </w:p>
        </w:tc>
        <w:tc>
          <w:tcPr>
            <w:tcW w:type="dxa" w:w="4276"/>
            <w:vAlign w:val="top"/>
          </w:tcPr>
          <w:p>
            <w:pPr>
              <w:spacing w:after="60" w:line="259" w:lineRule="auto"/>
            </w:pPr>
            <w:r>
              <w:rPr>
                <w:rFonts w:ascii="Calibri" w:hAnsi="Calibri"/>
                <w:b w:val="0"/>
                <w:i w:val="0"/>
                <w:color w:val="212121"/>
                <w:sz w:val="19"/>
              </w:rPr>
              <w:t>Ototoxic medicines destroy cochlear hair cells and cause permanent, often bilateral sensorineural loss; India's high tuberculosis burden means injectable anti-TB aminoglycosides are an important, preventable cause.</w:t>
            </w:r>
          </w:p>
          <w:p>
            <w:pPr>
              <w:spacing w:after="40" w:before="60" w:line="259" w:lineRule="auto"/>
            </w:pPr>
            <w:r>
              <w:rPr>
                <w:rFonts w:ascii="Calibri" w:hAnsi="Calibri"/>
                <w:b w:val="0"/>
                <w:i w:val="0"/>
                <w:color w:val="212121"/>
                <w:sz w:val="19"/>
              </w:rPr>
              <w:t>A systematic review found aminoglycoside-induced hearing loss in about 40.6% of drug-resistant tuberculosis patients (kanamycin ~49.7%, amikacin ~38.9%).</w:t>
            </w:r>
          </w:p>
          <w:p>
            <w:pPr>
              <w:spacing w:after="40" w:line="252" w:lineRule="auto"/>
            </w:pPr>
            <w:hyperlink r:id="rId14">
              <w:r>
                <w:rPr>
                  <w:rFonts w:ascii="Calibri" w:hAnsi="Calibri" w:cs="Calibri"/>
                  <w:sz w:val="18"/>
                  <w:color w:val="1155CC"/>
                  <w:u w:val="single"/>
                </w:rPr>
                <w:t xml:space="preserve">pubmed.ncbi.nlm.nih.gov/34015383 — aminoglycoside ototoxicity in DR-TB</w:t>
              </w:r>
            </w:hyperlink>
          </w:p>
          <w:p>
            <w:pPr>
              <w:spacing w:before="60" w:after="40"/>
            </w:pPr>
            <w:r>
              <w:rPr>
                <w:rFonts w:ascii="Calibri" w:hAnsi="Calibri"/>
                <w:b w:val="0"/>
                <w:i w:val="0"/>
                <w:color w:val="5A5A5A"/>
                <w:sz w:val="18"/>
              </w:rPr>
              <w:t>#ototoxicity  #aminoglycosides  #MDRTB  #cisplatin  #drugsafety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Congenital infection &amp; perinatal risk</w:t>
            </w:r>
          </w:p>
        </w:tc>
        <w:tc>
          <w:tcPr>
            <w:tcW w:type="dxa" w:w="2160"/>
            <w:vAlign w:val="top"/>
          </w:tcPr>
          <w:p>
            <w:pPr>
              <w:spacing w:after="40" w:before="0" w:line="259" w:lineRule="auto"/>
            </w:pPr>
            <w:r>
              <w:rPr>
                <w:rFonts w:ascii="Calibri" w:hAnsi="Calibri"/>
                <w:b w:val="0"/>
                <w:i w:val="0"/>
                <w:color w:val="212121"/>
                <w:sz w:val="19"/>
              </w:rPr>
              <w:t>Neonates with jaundice, prematurity, asphyxia or congenital infection</w:t>
            </w:r>
          </w:p>
        </w:tc>
        <w:tc>
          <w:tcPr>
            <w:tcW w:type="dxa" w:w="4276"/>
            <w:vAlign w:val="top"/>
          </w:tcPr>
          <w:p>
            <w:pPr>
              <w:spacing w:after="60" w:line="259" w:lineRule="auto"/>
            </w:pPr>
            <w:r>
              <w:rPr>
                <w:rFonts w:ascii="Calibri" w:hAnsi="Calibri"/>
                <w:b w:val="0"/>
                <w:i w:val="0"/>
                <w:color w:val="212121"/>
                <w:sz w:val="19"/>
              </w:rPr>
              <w:t>Congenital rubella and cytomegalovirus, severe neonatal jaundice, prematurity, low birth weight, birth asphyxia and neonatal sepsis/meningitis are major causes of permanent childhood hearing loss — most of which are preventable.</w:t>
            </w:r>
          </w:p>
          <w:p>
            <w:pPr>
              <w:spacing w:after="40" w:before="60" w:line="259" w:lineRule="auto"/>
            </w:pPr>
            <w:r>
              <w:rPr>
                <w:rFonts w:ascii="Calibri" w:hAnsi="Calibri"/>
                <w:b w:val="0"/>
                <w:i w:val="0"/>
                <w:color w:val="212121"/>
                <w:sz w:val="19"/>
              </w:rPr>
              <w:t>Nearly 60% of childhood hearing loss is preventable through measures such as immunisation, better maternal and neonatal care, and early screening.</w:t>
            </w:r>
          </w:p>
          <w:p>
            <w:pPr>
              <w:spacing w:after="40" w:line="252" w:lineRule="auto"/>
            </w:pPr>
            <w:hyperlink r:id="rId10">
              <w:r>
                <w:rPr>
                  <w:rFonts w:ascii="Calibri" w:hAnsi="Calibri" w:cs="Calibri"/>
                  <w:sz w:val="18"/>
                  <w:color w:val="1155CC"/>
                  <w:u w:val="single"/>
                </w:rPr>
                <w:t xml:space="preserve">who.int — preventable childhood hearing loss</w:t>
              </w:r>
            </w:hyperlink>
          </w:p>
          <w:p>
            <w:pPr>
              <w:spacing w:before="60" w:after="40"/>
            </w:pPr>
            <w:r>
              <w:rPr>
                <w:rFonts w:ascii="Calibri" w:hAnsi="Calibri"/>
                <w:b w:val="0"/>
                <w:i w:val="0"/>
                <w:color w:val="5A5A5A"/>
                <w:sz w:val="18"/>
              </w:rPr>
              <w:t>#congenital  #CMV  #rubella  #neonataljaundice  #preventable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Higher physical function and cardiovascular fitness are associated with a lower likelihood of hearing loss, probably by preserving cochlear microcirculation; inactivity clusters with the diabetes, hypertension and obesity that damage hearing.</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rich in folate, omega-3 fatty acids and antioxidant vitamins are linked to better hearing, whereas high-saturated-fat, low-antioxidant intake and deficiencies of iodine, B12 and folate are associated with worse thresholds.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indirect: poor sleep and obstructive sleep apnoea worsen the vascular and metabolic risk factors for sensorineural loss, but there is no strong direct causal link to hearing loss itself.</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smoking cause cochlear hypoxia and oxidative stress and act synergistically with noise; in Indian data smoking (with alcohol) was strongly associated with hearing loss (p&lt;0.001), and passive smoke raises childhood otitis media.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heavy alcohol use is associated with central auditory and cochlear injury and worse thresholds; in eastern-Indian adults alcohol was independently linked to hearing loss (p=0.003).</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bidirectional: untreated hearing loss commonly causes depression, loneliness and social withdrawal, and low mood in turn reduces engagement with rehabilitation and hearing-aid use.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cochlear fluid and vascular health, but there is no direct evidence that water intake influences the development of hearing loss.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Data are sparse and inconsistent; moderate caffeine intake has no established effect on hearing loss, though very high doses may transiently affect tinnitus.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Ear hygiene is directly important: cerumen impaction is the single commonest cause of reversible hearing loss (about 15.9% of Indian cases), and preventing/treating chronic ear infection and avoiding cotton-bud trauma prevents much avoidable loss.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Noise exposure, ototoxic medicines (aminoglycosides, cisplatin, loop diuretics) and preventable infections (measles, mumps, meningitis, congenital rubella/CMV) are the principal modifiable causes of permanent hearing loss.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Noise exposure (8-h TWA)</w:t>
            </w:r>
          </w:p>
        </w:tc>
        <w:tc>
          <w:tcPr>
            <w:tcW w:type="dxa" w:w="1655"/>
            <w:vAlign w:val="top"/>
          </w:tcPr>
          <w:p>
            <w:pPr>
              <w:spacing w:after="40" w:before="0" w:line="259" w:lineRule="auto"/>
            </w:pPr>
            <w:r>
              <w:rPr>
                <w:rFonts w:ascii="Calibri" w:hAnsi="Calibri"/>
                <w:b w:val="0"/>
                <w:i w:val="0"/>
                <w:color w:val="212121"/>
                <w:sz w:val="19"/>
              </w:rPr>
              <w:t>Workers &amp; personal-audio users</w:t>
            </w:r>
          </w:p>
        </w:tc>
        <w:tc>
          <w:tcPr>
            <w:tcW w:type="dxa" w:w="1512"/>
            <w:vAlign w:val="top"/>
          </w:tcPr>
          <w:p>
            <w:pPr>
              <w:spacing w:after="40" w:before="0" w:line="259" w:lineRule="auto"/>
            </w:pPr>
            <w:r>
              <w:rPr>
                <w:rFonts w:ascii="Calibri" w:hAnsi="Calibri"/>
                <w:b w:val="0"/>
                <w:i w:val="0"/>
                <w:color w:val="212121"/>
                <w:sz w:val="19"/>
              </w:rPr>
              <w:t>&lt; 85 dBA over 8 hours</w:t>
            </w:r>
          </w:p>
        </w:tc>
        <w:tc>
          <w:tcPr>
            <w:tcW w:type="dxa" w:w="1512"/>
            <w:vAlign w:val="top"/>
          </w:tcPr>
          <w:p>
            <w:pPr>
              <w:spacing w:after="40" w:before="0" w:line="259" w:lineRule="auto"/>
            </w:pPr>
            <w:r>
              <w:rPr>
                <w:rFonts w:ascii="Calibri" w:hAnsi="Calibri"/>
                <w:b w:val="0"/>
                <w:i w:val="0"/>
                <w:color w:val="212121"/>
                <w:sz w:val="19"/>
              </w:rPr>
              <w:t>≥ 85 dBA over 8 hours (or brief peaks ≥ 100 dBA)</w:t>
            </w:r>
          </w:p>
        </w:tc>
        <w:tc>
          <w:tcPr>
            <w:tcW w:type="dxa" w:w="1468"/>
            <w:vAlign w:val="top"/>
          </w:tcPr>
          <w:p>
            <w:pPr>
              <w:spacing w:after="60" w:line="259" w:lineRule="auto"/>
            </w:pPr>
            <w:r>
              <w:rPr>
                <w:rFonts w:ascii="Calibri" w:hAnsi="Calibri"/>
                <w:b w:val="0"/>
                <w:i w:val="0"/>
                <w:color w:val="212121"/>
                <w:sz w:val="19"/>
              </w:rPr>
              <w:t>Cumulative noise causes permanent high-frequency loss; hearing protection and safe-listening limits are essential</w:t>
            </w:r>
          </w:p>
          <w:p>
            <w:pPr>
              <w:spacing w:after="40" w:line="252" w:lineRule="auto"/>
            </w:pPr>
            <w:hyperlink r:id="rId10">
              <w:r>
                <w:rPr>
                  <w:rFonts w:ascii="Calibri" w:hAnsi="Calibri" w:cs="Calibri"/>
                  <w:sz w:val="18"/>
                  <w:color w:val="1155CC"/>
                  <w:u w:val="single"/>
                </w:rPr>
                <w:t xml:space="preserve">https://www.who.int/news-room/fact-sheets/detail/deafness-and-hearing-loss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Personal-audio listening level/time</w:t>
            </w:r>
          </w:p>
        </w:tc>
        <w:tc>
          <w:tcPr>
            <w:tcW w:type="dxa" w:w="1655"/>
            <w:vAlign w:val="top"/>
          </w:tcPr>
          <w:p>
            <w:pPr>
              <w:spacing w:after="40" w:before="0" w:line="259" w:lineRule="auto"/>
            </w:pPr>
            <w:r>
              <w:rPr>
                <w:rFonts w:ascii="Calibri" w:hAnsi="Calibri"/>
                <w:b w:val="0"/>
                <w:i w:val="0"/>
                <w:color w:val="212121"/>
                <w:sz w:val="19"/>
              </w:rPr>
              <w:t>Adolescents &amp; young adults</w:t>
            </w:r>
          </w:p>
        </w:tc>
        <w:tc>
          <w:tcPr>
            <w:tcW w:type="dxa" w:w="1512"/>
            <w:vAlign w:val="top"/>
          </w:tcPr>
          <w:p>
            <w:pPr>
              <w:spacing w:after="40" w:before="0" w:line="259" w:lineRule="auto"/>
            </w:pPr>
            <w:r>
              <w:rPr>
                <w:rFonts w:ascii="Calibri" w:hAnsi="Calibri"/>
                <w:b w:val="0"/>
                <w:i w:val="0"/>
                <w:color w:val="212121"/>
                <w:sz w:val="19"/>
              </w:rPr>
              <w:t>≤ 60% volume for ≤ 60 min/day (60/60 rule)</w:t>
            </w:r>
          </w:p>
        </w:tc>
        <w:tc>
          <w:tcPr>
            <w:tcW w:type="dxa" w:w="1512"/>
            <w:vAlign w:val="top"/>
          </w:tcPr>
          <w:p>
            <w:pPr>
              <w:spacing w:after="40" w:before="0" w:line="259" w:lineRule="auto"/>
            </w:pPr>
            <w:r>
              <w:rPr>
                <w:rFonts w:ascii="Calibri" w:hAnsi="Calibri"/>
                <w:b w:val="0"/>
                <w:i w:val="0"/>
                <w:color w:val="212121"/>
                <w:sz w:val="19"/>
              </w:rPr>
              <w:t>High volume for prolonged periods in noisy settings</w:t>
            </w:r>
          </w:p>
        </w:tc>
        <w:tc>
          <w:tcPr>
            <w:tcW w:type="dxa" w:w="1468"/>
            <w:vAlign w:val="top"/>
          </w:tcPr>
          <w:p>
            <w:pPr>
              <w:spacing w:after="60" w:line="259" w:lineRule="auto"/>
            </w:pPr>
            <w:r>
              <w:rPr>
                <w:rFonts w:ascii="Calibri" w:hAnsi="Calibri"/>
                <w:b w:val="0"/>
                <w:i w:val="0"/>
                <w:color w:val="212121"/>
                <w:sz w:val="19"/>
              </w:rPr>
              <w:t>Unsafe listening threatens over 1 billion young people; a leading preventable cause</w:t>
            </w:r>
          </w:p>
          <w:p>
            <w:pPr>
              <w:spacing w:after="40" w:line="252" w:lineRule="auto"/>
            </w:pPr>
            <w:hyperlink r:id="rId10">
              <w:r>
                <w:rPr>
                  <w:rFonts w:ascii="Calibri" w:hAnsi="Calibri" w:cs="Calibri"/>
                  <w:sz w:val="18"/>
                  <w:color w:val="1155CC"/>
                  <w:u w:val="single"/>
                </w:rPr>
                <w:t xml:space="preserve">https://www.who.int/news-room/fact-sheets/detail/deafness-and-hearing-loss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Ototoxic drug exposure</w:t>
            </w:r>
          </w:p>
        </w:tc>
        <w:tc>
          <w:tcPr>
            <w:tcW w:type="dxa" w:w="1655"/>
            <w:vAlign w:val="top"/>
          </w:tcPr>
          <w:p>
            <w:pPr>
              <w:spacing w:after="40" w:before="0" w:line="259" w:lineRule="auto"/>
            </w:pPr>
            <w:r>
              <w:rPr>
                <w:rFonts w:ascii="Calibri" w:hAnsi="Calibri"/>
                <w:b w:val="0"/>
                <w:i w:val="0"/>
                <w:color w:val="212121"/>
                <w:sz w:val="19"/>
              </w:rPr>
              <w:t>TB, oncology &amp; renal patients</w:t>
            </w:r>
          </w:p>
        </w:tc>
        <w:tc>
          <w:tcPr>
            <w:tcW w:type="dxa" w:w="1512"/>
            <w:vAlign w:val="top"/>
          </w:tcPr>
          <w:p>
            <w:pPr>
              <w:spacing w:after="40" w:before="0" w:line="259" w:lineRule="auto"/>
            </w:pPr>
            <w:r>
              <w:rPr>
                <w:rFonts w:ascii="Calibri" w:hAnsi="Calibri"/>
                <w:b w:val="0"/>
                <w:i w:val="0"/>
                <w:color w:val="212121"/>
                <w:sz w:val="19"/>
              </w:rPr>
              <w:t>None / monitored use with audiometry</w:t>
            </w:r>
          </w:p>
        </w:tc>
        <w:tc>
          <w:tcPr>
            <w:tcW w:type="dxa" w:w="1512"/>
            <w:vAlign w:val="top"/>
          </w:tcPr>
          <w:p>
            <w:pPr>
              <w:spacing w:after="40" w:before="0" w:line="259" w:lineRule="auto"/>
            </w:pPr>
            <w:r>
              <w:rPr>
                <w:rFonts w:ascii="Calibri" w:hAnsi="Calibri"/>
                <w:b w:val="0"/>
                <w:i w:val="0"/>
                <w:color w:val="212121"/>
                <w:sz w:val="19"/>
              </w:rPr>
              <w:t>Aminoglycosides, cisplatin, loop diuretics, high-dose salicylates</w:t>
            </w:r>
          </w:p>
        </w:tc>
        <w:tc>
          <w:tcPr>
            <w:tcW w:type="dxa" w:w="1468"/>
            <w:vAlign w:val="top"/>
          </w:tcPr>
          <w:p>
            <w:pPr>
              <w:spacing w:after="60" w:line="259" w:lineRule="auto"/>
            </w:pPr>
            <w:r>
              <w:rPr>
                <w:rFonts w:ascii="Calibri" w:hAnsi="Calibri"/>
                <w:b w:val="0"/>
                <w:i w:val="0"/>
                <w:color w:val="212121"/>
                <w:sz w:val="19"/>
              </w:rPr>
              <w:t>Use lowest effective dose with baseline and serial audiometric monitoring</w:t>
            </w:r>
          </w:p>
          <w:p>
            <w:pPr>
              <w:spacing w:after="40" w:line="252" w:lineRule="auto"/>
            </w:pPr>
            <w:hyperlink r:id="rId14">
              <w:r>
                <w:rPr>
                  <w:rFonts w:ascii="Calibri" w:hAnsi="Calibri" w:cs="Calibri"/>
                  <w:sz w:val="18"/>
                  <w:color w:val="1155CC"/>
                  <w:u w:val="single"/>
                </w:rPr>
                <w:t xml:space="preserve">https://pubmed.ncbi.nlm.nih.gov/34015383/</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Ear-canal / cerumen status (otoscopy)</w:t>
            </w:r>
          </w:p>
        </w:tc>
        <w:tc>
          <w:tcPr>
            <w:tcW w:type="dxa" w:w="1655"/>
            <w:vAlign w:val="top"/>
          </w:tcPr>
          <w:p>
            <w:pPr>
              <w:spacing w:after="40" w:before="0" w:line="259" w:lineRule="auto"/>
            </w:pPr>
            <w:r>
              <w:rPr>
                <w:rFonts w:ascii="Calibri" w:hAnsi="Calibri"/>
                <w:b w:val="0"/>
                <w:i w:val="0"/>
                <w:color w:val="212121"/>
                <w:sz w:val="19"/>
              </w:rPr>
              <w:t>All ages, especially children &amp; elderly</w:t>
            </w:r>
          </w:p>
        </w:tc>
        <w:tc>
          <w:tcPr>
            <w:tcW w:type="dxa" w:w="1512"/>
            <w:vAlign w:val="top"/>
          </w:tcPr>
          <w:p>
            <w:pPr>
              <w:spacing w:after="40" w:before="0" w:line="259" w:lineRule="auto"/>
            </w:pPr>
            <w:r>
              <w:rPr>
                <w:rFonts w:ascii="Calibri" w:hAnsi="Calibri"/>
                <w:b w:val="0"/>
                <w:i w:val="0"/>
                <w:color w:val="212121"/>
                <w:sz w:val="19"/>
              </w:rPr>
              <w:t>Clear canal, intact mobile drum</w:t>
            </w:r>
          </w:p>
        </w:tc>
        <w:tc>
          <w:tcPr>
            <w:tcW w:type="dxa" w:w="1512"/>
            <w:vAlign w:val="top"/>
          </w:tcPr>
          <w:p>
            <w:pPr>
              <w:spacing w:after="40" w:before="0" w:line="259" w:lineRule="auto"/>
            </w:pPr>
            <w:r>
              <w:rPr>
                <w:rFonts w:ascii="Calibri" w:hAnsi="Calibri"/>
                <w:b w:val="0"/>
                <w:i w:val="0"/>
                <w:color w:val="212121"/>
                <w:sz w:val="19"/>
              </w:rPr>
              <w:t>Cerumen impaction, discharge, perforation, retraction</w:t>
            </w:r>
          </w:p>
        </w:tc>
        <w:tc>
          <w:tcPr>
            <w:tcW w:type="dxa" w:w="1468"/>
            <w:vAlign w:val="top"/>
          </w:tcPr>
          <w:p>
            <w:pPr>
              <w:spacing w:after="40" w:before="0" w:line="259" w:lineRule="auto"/>
            </w:pPr>
            <w:r>
              <w:rPr>
                <w:rFonts w:ascii="Calibri" w:hAnsi="Calibri"/>
                <w:b w:val="0"/>
                <w:i w:val="0"/>
                <w:color w:val="212121"/>
                <w:sz w:val="19"/>
              </w:rPr>
              <w:t>Wax impaction is the commonest reversible cause; avoid cotton-bud trauma</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Better-ear pure-tone average (dB HL)</w:t>
            </w:r>
          </w:p>
        </w:tc>
        <w:tc>
          <w:tcPr>
            <w:tcW w:type="dxa" w:w="1655"/>
            <w:vAlign w:val="top"/>
          </w:tcPr>
          <w:p>
            <w:pPr>
              <w:spacing w:after="40" w:before="0" w:line="259" w:lineRule="auto"/>
            </w:pPr>
            <w:r>
              <w:rPr>
                <w:rFonts w:ascii="Calibri" w:hAnsi="Calibri"/>
                <w:b w:val="0"/>
                <w:i w:val="0"/>
                <w:color w:val="212121"/>
                <w:sz w:val="19"/>
              </w:rPr>
              <w:t>All at-risk adults &amp; screened elders</w:t>
            </w:r>
          </w:p>
        </w:tc>
        <w:tc>
          <w:tcPr>
            <w:tcW w:type="dxa" w:w="1512"/>
            <w:vAlign w:val="top"/>
          </w:tcPr>
          <w:p>
            <w:pPr>
              <w:spacing w:after="40" w:before="0" w:line="259" w:lineRule="auto"/>
            </w:pPr>
            <w:r>
              <w:rPr>
                <w:rFonts w:ascii="Calibri" w:hAnsi="Calibri"/>
                <w:b w:val="0"/>
                <w:i w:val="0"/>
                <w:color w:val="212121"/>
                <w:sz w:val="19"/>
              </w:rPr>
              <w:t>≤ 25 dB HL</w:t>
            </w:r>
          </w:p>
        </w:tc>
        <w:tc>
          <w:tcPr>
            <w:tcW w:type="dxa" w:w="1512"/>
            <w:vAlign w:val="top"/>
          </w:tcPr>
          <w:p>
            <w:pPr>
              <w:spacing w:after="40" w:before="0" w:line="259" w:lineRule="auto"/>
            </w:pPr>
            <w:r>
              <w:rPr>
                <w:rFonts w:ascii="Calibri" w:hAnsi="Calibri"/>
                <w:b w:val="0"/>
                <w:i w:val="0"/>
                <w:color w:val="212121"/>
                <w:sz w:val="19"/>
              </w:rPr>
              <w:t>&gt; 35 dB HL better ear (disabling); &gt; 30 dB in children</w:t>
            </w:r>
          </w:p>
        </w:tc>
        <w:tc>
          <w:tcPr>
            <w:tcW w:type="dxa" w:w="1468"/>
            <w:vAlign w:val="top"/>
          </w:tcPr>
          <w:p>
            <w:pPr>
              <w:spacing w:after="40" w:before="0" w:line="259" w:lineRule="auto"/>
            </w:pPr>
            <w:r>
              <w:rPr>
                <w:rFonts w:ascii="Calibri" w:hAnsi="Calibri"/>
                <w:b w:val="0"/>
                <w:i w:val="0"/>
                <w:color w:val="212121"/>
                <w:sz w:val="19"/>
              </w:rPr>
              <w:t>Defines disabling hearing loss and grades severity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Newborn hearing screen (OAE/AABR)</w:t>
            </w:r>
          </w:p>
        </w:tc>
        <w:tc>
          <w:tcPr>
            <w:tcW w:type="dxa" w:w="1655"/>
            <w:vAlign w:val="top"/>
          </w:tcPr>
          <w:p>
            <w:pPr>
              <w:spacing w:after="40" w:before="0" w:line="259" w:lineRule="auto"/>
            </w:pPr>
            <w:r>
              <w:rPr>
                <w:rFonts w:ascii="Calibri" w:hAnsi="Calibri"/>
                <w:b w:val="0"/>
                <w:i w:val="0"/>
                <w:color w:val="212121"/>
                <w:sz w:val="19"/>
              </w:rPr>
              <w:t>All neonates (universal screening)</w:t>
            </w:r>
          </w:p>
        </w:tc>
        <w:tc>
          <w:tcPr>
            <w:tcW w:type="dxa" w:w="1512"/>
            <w:vAlign w:val="top"/>
          </w:tcPr>
          <w:p>
            <w:pPr>
              <w:spacing w:after="40" w:before="0" w:line="259" w:lineRule="auto"/>
            </w:pPr>
            <w:r>
              <w:rPr>
                <w:rFonts w:ascii="Calibri" w:hAnsi="Calibri"/>
                <w:b w:val="0"/>
                <w:i w:val="0"/>
                <w:color w:val="212121"/>
                <w:sz w:val="19"/>
              </w:rPr>
              <w:t>Pass by 1 month; diagnosis by 3 months; intervention by 6 months</w:t>
            </w:r>
          </w:p>
        </w:tc>
        <w:tc>
          <w:tcPr>
            <w:tcW w:type="dxa" w:w="1512"/>
            <w:vAlign w:val="top"/>
          </w:tcPr>
          <w:p>
            <w:pPr>
              <w:spacing w:after="40" w:before="0" w:line="259" w:lineRule="auto"/>
            </w:pPr>
            <w:r>
              <w:rPr>
                <w:rFonts w:ascii="Calibri" w:hAnsi="Calibri"/>
                <w:b w:val="0"/>
                <w:i w:val="0"/>
                <w:color w:val="212121"/>
                <w:sz w:val="19"/>
              </w:rPr>
              <w:t>Refer result / risk factors (NICU, jaundice, family history)</w:t>
            </w:r>
          </w:p>
        </w:tc>
        <w:tc>
          <w:tcPr>
            <w:tcW w:type="dxa" w:w="1468"/>
            <w:vAlign w:val="top"/>
          </w:tcPr>
          <w:p>
            <w:pPr>
              <w:spacing w:after="40" w:before="0" w:line="259" w:lineRule="auto"/>
            </w:pPr>
            <w:r>
              <w:rPr>
                <w:rFonts w:ascii="Calibri" w:hAnsi="Calibri"/>
                <w:b w:val="0"/>
                <w:i w:val="0"/>
                <w:color w:val="212121"/>
                <w:sz w:val="19"/>
              </w:rPr>
              <w:t>1-3-6 goal — early detection prevents permanent language deprivation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Immunisation status (MMR/measles-rubella)</w:t>
            </w:r>
          </w:p>
        </w:tc>
        <w:tc>
          <w:tcPr>
            <w:tcW w:type="dxa" w:w="1655"/>
            <w:vAlign w:val="top"/>
          </w:tcPr>
          <w:p>
            <w:pPr>
              <w:spacing w:after="40" w:before="0" w:line="259" w:lineRule="auto"/>
            </w:pPr>
            <w:r>
              <w:rPr>
                <w:rFonts w:ascii="Calibri" w:hAnsi="Calibri"/>
                <w:b w:val="0"/>
                <w:i w:val="0"/>
                <w:color w:val="212121"/>
                <w:sz w:val="19"/>
              </w:rPr>
              <w:t>Children &amp; women of child-bearing age</w:t>
            </w:r>
          </w:p>
        </w:tc>
        <w:tc>
          <w:tcPr>
            <w:tcW w:type="dxa" w:w="1512"/>
            <w:vAlign w:val="top"/>
          </w:tcPr>
          <w:p>
            <w:pPr>
              <w:spacing w:after="40" w:before="0" w:line="259" w:lineRule="auto"/>
            </w:pPr>
            <w:r>
              <w:rPr>
                <w:rFonts w:ascii="Calibri" w:hAnsi="Calibri"/>
                <w:b w:val="0"/>
                <w:i w:val="0"/>
                <w:color w:val="212121"/>
                <w:sz w:val="19"/>
              </w:rPr>
              <w:t>Fully immunised (MR/MMR, meningitis where indicated)</w:t>
            </w:r>
          </w:p>
        </w:tc>
        <w:tc>
          <w:tcPr>
            <w:tcW w:type="dxa" w:w="1512"/>
            <w:vAlign w:val="top"/>
          </w:tcPr>
          <w:p>
            <w:pPr>
              <w:spacing w:after="40" w:before="0" w:line="259" w:lineRule="auto"/>
            </w:pPr>
            <w:r>
              <w:rPr>
                <w:rFonts w:ascii="Calibri" w:hAnsi="Calibri"/>
                <w:b w:val="0"/>
                <w:i w:val="0"/>
                <w:color w:val="212121"/>
                <w:sz w:val="19"/>
              </w:rPr>
              <w:t>Unimmunised / non-immune to rubella</w:t>
            </w:r>
          </w:p>
        </w:tc>
        <w:tc>
          <w:tcPr>
            <w:tcW w:type="dxa" w:w="1468"/>
            <w:vAlign w:val="top"/>
          </w:tcPr>
          <w:p>
            <w:pPr>
              <w:spacing w:after="40" w:before="0" w:line="259" w:lineRule="auto"/>
            </w:pPr>
            <w:r>
              <w:rPr>
                <w:rFonts w:ascii="Calibri" w:hAnsi="Calibri"/>
                <w:b w:val="0"/>
                <w:i w:val="0"/>
                <w:color w:val="212121"/>
                <w:sz w:val="19"/>
              </w:rPr>
              <w:t>Prevents rubella, measles and mumps as causes of deafness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Smoking (pack-years)</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 (non-smoker)</w:t>
            </w:r>
          </w:p>
        </w:tc>
        <w:tc>
          <w:tcPr>
            <w:tcW w:type="dxa" w:w="1512"/>
            <w:vAlign w:val="top"/>
          </w:tcPr>
          <w:p>
            <w:pPr>
              <w:spacing w:after="40" w:before="0" w:line="259" w:lineRule="auto"/>
            </w:pPr>
            <w:r>
              <w:rPr>
                <w:rFonts w:ascii="Calibri" w:hAnsi="Calibri"/>
                <w:b w:val="0"/>
                <w:i w:val="0"/>
                <w:color w:val="212121"/>
                <w:sz w:val="19"/>
              </w:rPr>
              <w:t>Any current smoking; risk rises with pack-years</w:t>
            </w:r>
          </w:p>
        </w:tc>
        <w:tc>
          <w:tcPr>
            <w:tcW w:type="dxa" w:w="1468"/>
            <w:vAlign w:val="top"/>
          </w:tcPr>
          <w:p>
            <w:pPr>
              <w:spacing w:after="40" w:before="0" w:line="259" w:lineRule="auto"/>
            </w:pPr>
            <w:r>
              <w:rPr>
                <w:rFonts w:ascii="Calibri" w:hAnsi="Calibri"/>
                <w:b w:val="0"/>
                <w:i w:val="0"/>
                <w:color w:val="212121"/>
                <w:sz w:val="19"/>
              </w:rPr>
              <w:t>Dose-dependent acceleration of loss; synergistic with noise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Fasting glucose / HbA1c</w:t>
            </w:r>
          </w:p>
        </w:tc>
        <w:tc>
          <w:tcPr>
            <w:tcW w:type="dxa" w:w="1655"/>
            <w:vAlign w:val="top"/>
          </w:tcPr>
          <w:p>
            <w:pPr>
              <w:spacing w:after="40" w:before="0" w:line="259" w:lineRule="auto"/>
            </w:pPr>
            <w:r>
              <w:rPr>
                <w:rFonts w:ascii="Calibri" w:hAnsi="Calibri"/>
                <w:b w:val="0"/>
                <w:i w:val="0"/>
                <w:color w:val="212121"/>
                <w:sz w:val="19"/>
              </w:rPr>
              <w:t>Diabetic &amp; prediabetic adults</w:t>
            </w:r>
          </w:p>
        </w:tc>
        <w:tc>
          <w:tcPr>
            <w:tcW w:type="dxa" w:w="1512"/>
            <w:vAlign w:val="top"/>
          </w:tcPr>
          <w:p>
            <w:pPr>
              <w:spacing w:after="40" w:before="0" w:line="259" w:lineRule="auto"/>
            </w:pPr>
            <w:r>
              <w:rPr>
                <w:rFonts w:ascii="Calibri" w:hAnsi="Calibri"/>
                <w:b w:val="0"/>
                <w:i w:val="0"/>
                <w:color w:val="212121"/>
                <w:sz w:val="19"/>
              </w:rPr>
              <w:t>HbA1c &lt; 5.7%</w:t>
            </w:r>
          </w:p>
        </w:tc>
        <w:tc>
          <w:tcPr>
            <w:tcW w:type="dxa" w:w="1512"/>
            <w:vAlign w:val="top"/>
          </w:tcPr>
          <w:p>
            <w:pPr>
              <w:spacing w:after="40" w:before="0" w:line="259" w:lineRule="auto"/>
            </w:pPr>
            <w:r>
              <w:rPr>
                <w:rFonts w:ascii="Calibri" w:hAnsi="Calibri"/>
                <w:b w:val="0"/>
                <w:i w:val="0"/>
                <w:color w:val="212121"/>
                <w:sz w:val="19"/>
              </w:rPr>
              <w:t>HbA1c ≥ 6.5% (diabetes); 5.7–6.4% (prediabetes)</w:t>
            </w:r>
          </w:p>
        </w:tc>
        <w:tc>
          <w:tcPr>
            <w:tcW w:type="dxa" w:w="1468"/>
            <w:vAlign w:val="top"/>
          </w:tcPr>
          <w:p>
            <w:pPr>
              <w:spacing w:after="60" w:line="259" w:lineRule="auto"/>
            </w:pPr>
            <w:r>
              <w:rPr>
                <w:rFonts w:ascii="Calibri" w:hAnsi="Calibri"/>
                <w:b w:val="0"/>
                <w:i w:val="0"/>
                <w:color w:val="212121"/>
                <w:sz w:val="19"/>
              </w:rPr>
              <w:t>Hearing loss ~2× more common in diabetes; even prediabetes raises risk 30%</w:t>
            </w:r>
          </w:p>
          <w:p>
            <w:pPr>
              <w:spacing w:after="40" w:line="252" w:lineRule="auto"/>
            </w:pPr>
            <w:hyperlink r:id="rId13">
              <w:r>
                <w:rPr>
                  <w:rFonts w:ascii="Calibri" w:hAnsi="Calibri" w:cs="Calibri"/>
                  <w:sz w:val="18"/>
                  <w:color w:val="1155CC"/>
                  <w:u w:val="single"/>
                </w:rPr>
                <w:t xml:space="preserve">https://www.cdc.gov/diabetes/diabetes-complications/diabetes-and-hearing-loss.html</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 activity (kg/m², min/week)</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BMI 18.5–24.9; ≥ 150 min/week activity</w:t>
            </w:r>
          </w:p>
        </w:tc>
        <w:tc>
          <w:tcPr>
            <w:tcW w:type="dxa" w:w="1512"/>
            <w:vAlign w:val="top"/>
          </w:tcPr>
          <w:p>
            <w:pPr>
              <w:spacing w:after="40" w:before="0" w:line="259" w:lineRule="auto"/>
            </w:pPr>
            <w:r>
              <w:rPr>
                <w:rFonts w:ascii="Calibri" w:hAnsi="Calibri"/>
                <w:b w:val="0"/>
                <w:i w:val="0"/>
                <w:color w:val="212121"/>
                <w:sz w:val="19"/>
              </w:rPr>
              <w:t>BMI ≥ 25; &lt; 150 min/week</w:t>
            </w:r>
          </w:p>
        </w:tc>
        <w:tc>
          <w:tcPr>
            <w:tcW w:type="dxa" w:w="1468"/>
            <w:vAlign w:val="top"/>
          </w:tcPr>
          <w:p>
            <w:pPr>
              <w:spacing w:after="40" w:before="0" w:line="259" w:lineRule="auto"/>
            </w:pPr>
            <w:r>
              <w:rPr>
                <w:rFonts w:ascii="Calibri" w:hAnsi="Calibri"/>
                <w:b w:val="0"/>
                <w:i w:val="0"/>
                <w:color w:val="212121"/>
                <w:sz w:val="19"/>
              </w:rPr>
              <w:t>Central obesity and inactivity worsen cochlear microcirculation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Pure-Tone Air &amp; Bone Thresholds</w:t>
            </w:r>
          </w:p>
        </w:tc>
        <w:tc>
          <w:tcPr>
            <w:tcW w:type="dxa" w:w="892"/>
            <w:vAlign w:val="top"/>
          </w:tcPr>
          <w:p>
            <w:pPr>
              <w:spacing w:after="40" w:before="0" w:line="259" w:lineRule="auto"/>
            </w:pPr>
            <w:r>
              <w:rPr>
                <w:rFonts w:ascii="Calibri" w:hAnsi="Calibri"/>
                <w:b w:val="0"/>
                <w:i w:val="0"/>
                <w:color w:val="212121"/>
                <w:sz w:val="16"/>
              </w:rPr>
              <w:t>Pure-Tone Audiometry (PTA)</w:t>
            </w:r>
          </w:p>
        </w:tc>
        <w:tc>
          <w:tcPr>
            <w:tcW w:type="dxa" w:w="950"/>
            <w:vAlign w:val="top"/>
          </w:tcPr>
          <w:p>
            <w:pPr>
              <w:spacing w:after="40" w:before="0" w:line="259" w:lineRule="auto"/>
            </w:pPr>
            <w:r>
              <w:rPr>
                <w:rFonts w:ascii="Calibri" w:hAnsi="Calibri"/>
                <w:b w:val="0"/>
                <w:i w:val="0"/>
                <w:color w:val="212121"/>
                <w:sz w:val="16"/>
              </w:rPr>
              <w:t>≤ 25 dB HL; no air–bone gap</w:t>
            </w:r>
          </w:p>
        </w:tc>
        <w:tc>
          <w:tcPr>
            <w:tcW w:type="dxa" w:w="950"/>
            <w:vAlign w:val="top"/>
          </w:tcPr>
          <w:p>
            <w:pPr>
              <w:spacing w:after="40" w:before="0" w:line="259" w:lineRule="auto"/>
            </w:pPr>
            <w:r>
              <w:rPr>
                <w:rFonts w:ascii="Calibri" w:hAnsi="Calibri"/>
                <w:b w:val="0"/>
                <w:i w:val="0"/>
                <w:color w:val="212121"/>
                <w:sz w:val="16"/>
              </w:rPr>
              <w:t>&gt; 35 dB HL better ear (disabling); air–bone gap = conductive</w:t>
            </w:r>
          </w:p>
        </w:tc>
        <w:tc>
          <w:tcPr>
            <w:tcW w:type="dxa" w:w="1036"/>
            <w:vAlign w:val="top"/>
          </w:tcPr>
          <w:p>
            <w:pPr>
              <w:spacing w:after="40" w:before="0" w:line="259" w:lineRule="auto"/>
            </w:pPr>
            <w:r>
              <w:rPr>
                <w:rFonts w:ascii="Calibri" w:hAnsi="Calibri"/>
                <w:b w:val="0"/>
                <w:i w:val="0"/>
                <w:color w:val="212121"/>
                <w:sz w:val="16"/>
              </w:rPr>
              <w:t>Establishes presence, type (conductive/SNHL/mixed) and WHO grade of loss</w:t>
            </w:r>
          </w:p>
        </w:tc>
        <w:tc>
          <w:tcPr>
            <w:tcW w:type="dxa" w:w="1036"/>
            <w:vAlign w:val="top"/>
          </w:tcPr>
          <w:p>
            <w:pPr>
              <w:spacing w:after="40" w:before="0" w:line="259" w:lineRule="auto"/>
            </w:pPr>
            <w:r>
              <w:rPr>
                <w:rFonts w:ascii="Calibri" w:hAnsi="Calibri"/>
                <w:b w:val="0"/>
                <w:i w:val="0"/>
                <w:color w:val="212121"/>
                <w:sz w:val="16"/>
              </w:rPr>
              <w:t>All symptomatic patients, screened elders, noise-exposed</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Grade on better-ear pure-tone average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Middle-Ear Compliance &amp; Reflexes</w:t>
            </w:r>
          </w:p>
        </w:tc>
        <w:tc>
          <w:tcPr>
            <w:tcW w:type="dxa" w:w="892"/>
            <w:vAlign w:val="top"/>
          </w:tcPr>
          <w:p>
            <w:pPr>
              <w:spacing w:after="40" w:before="0" w:line="259" w:lineRule="auto"/>
            </w:pPr>
            <w:r>
              <w:rPr>
                <w:rFonts w:ascii="Calibri" w:hAnsi="Calibri"/>
                <w:b w:val="0"/>
                <w:i w:val="0"/>
                <w:color w:val="212121"/>
                <w:sz w:val="16"/>
              </w:rPr>
              <w:t>Tympanometry</w:t>
            </w:r>
          </w:p>
        </w:tc>
        <w:tc>
          <w:tcPr>
            <w:tcW w:type="dxa" w:w="950"/>
            <w:vAlign w:val="top"/>
          </w:tcPr>
          <w:p>
            <w:pPr>
              <w:spacing w:after="40" w:before="0" w:line="259" w:lineRule="auto"/>
            </w:pPr>
            <w:r>
              <w:rPr>
                <w:rFonts w:ascii="Calibri" w:hAnsi="Calibri"/>
                <w:b w:val="0"/>
                <w:i w:val="0"/>
                <w:color w:val="212121"/>
                <w:sz w:val="16"/>
              </w:rPr>
              <w:t>Type A (normal compliance)</w:t>
            </w:r>
          </w:p>
        </w:tc>
        <w:tc>
          <w:tcPr>
            <w:tcW w:type="dxa" w:w="950"/>
            <w:vAlign w:val="top"/>
          </w:tcPr>
          <w:p>
            <w:pPr>
              <w:spacing w:after="40" w:before="0" w:line="259" w:lineRule="auto"/>
            </w:pPr>
            <w:r>
              <w:rPr>
                <w:rFonts w:ascii="Calibri" w:hAnsi="Calibri"/>
                <w:b w:val="0"/>
                <w:i w:val="0"/>
                <w:color w:val="212121"/>
                <w:sz w:val="16"/>
              </w:rPr>
              <w:t>Type B (effusion/perforation); Type C (negative pressure)</w:t>
            </w:r>
          </w:p>
        </w:tc>
        <w:tc>
          <w:tcPr>
            <w:tcW w:type="dxa" w:w="1036"/>
            <w:vAlign w:val="top"/>
          </w:tcPr>
          <w:p>
            <w:pPr>
              <w:spacing w:after="40" w:before="0" w:line="259" w:lineRule="auto"/>
            </w:pPr>
            <w:r>
              <w:rPr>
                <w:rFonts w:ascii="Calibri" w:hAnsi="Calibri"/>
                <w:b w:val="0"/>
                <w:i w:val="0"/>
                <w:color w:val="212121"/>
                <w:sz w:val="16"/>
              </w:rPr>
              <w:t>Characterises middle-ear cause of conductive loss</w:t>
            </w:r>
          </w:p>
        </w:tc>
        <w:tc>
          <w:tcPr>
            <w:tcW w:type="dxa" w:w="1036"/>
            <w:vAlign w:val="top"/>
          </w:tcPr>
          <w:p>
            <w:pPr>
              <w:spacing w:after="40" w:before="0" w:line="259" w:lineRule="auto"/>
            </w:pPr>
            <w:r>
              <w:rPr>
                <w:rFonts w:ascii="Calibri" w:hAnsi="Calibri"/>
                <w:b w:val="0"/>
                <w:i w:val="0"/>
                <w:color w:val="212121"/>
                <w:sz w:val="16"/>
              </w:rPr>
              <w:t>Children, chronic otitis media, effusion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Complements otoscopy and tuning forks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SRT &amp; Word-Recognition Score</w:t>
            </w:r>
          </w:p>
        </w:tc>
        <w:tc>
          <w:tcPr>
            <w:tcW w:type="dxa" w:w="892"/>
            <w:vAlign w:val="top"/>
          </w:tcPr>
          <w:p>
            <w:pPr>
              <w:spacing w:after="40" w:before="0" w:line="259" w:lineRule="auto"/>
            </w:pPr>
            <w:r>
              <w:rPr>
                <w:rFonts w:ascii="Calibri" w:hAnsi="Calibri"/>
                <w:b w:val="0"/>
                <w:i w:val="0"/>
                <w:color w:val="212121"/>
                <w:sz w:val="16"/>
              </w:rPr>
              <w:t>Speech Audiometry</w:t>
            </w:r>
          </w:p>
        </w:tc>
        <w:tc>
          <w:tcPr>
            <w:tcW w:type="dxa" w:w="950"/>
            <w:vAlign w:val="top"/>
          </w:tcPr>
          <w:p>
            <w:pPr>
              <w:spacing w:after="40" w:before="0" w:line="259" w:lineRule="auto"/>
            </w:pPr>
            <w:r>
              <w:rPr>
                <w:rFonts w:ascii="Calibri" w:hAnsi="Calibri"/>
                <w:b w:val="0"/>
                <w:i w:val="0"/>
                <w:color w:val="212121"/>
                <w:sz w:val="16"/>
              </w:rPr>
              <w:t>Word-recognition ≥ 90%</w:t>
            </w:r>
          </w:p>
        </w:tc>
        <w:tc>
          <w:tcPr>
            <w:tcW w:type="dxa" w:w="950"/>
            <w:vAlign w:val="top"/>
          </w:tcPr>
          <w:p>
            <w:pPr>
              <w:spacing w:after="40" w:before="0" w:line="259" w:lineRule="auto"/>
            </w:pPr>
            <w:r>
              <w:rPr>
                <w:rFonts w:ascii="Calibri" w:hAnsi="Calibri"/>
                <w:b w:val="0"/>
                <w:i w:val="0"/>
                <w:color w:val="212121"/>
                <w:sz w:val="16"/>
              </w:rPr>
              <w:t>Scores disproportionately low vs pure-tone (retrocochlear/neural)</w:t>
            </w:r>
          </w:p>
        </w:tc>
        <w:tc>
          <w:tcPr>
            <w:tcW w:type="dxa" w:w="1036"/>
            <w:vAlign w:val="top"/>
          </w:tcPr>
          <w:p>
            <w:pPr>
              <w:spacing w:after="40" w:before="0" w:line="259" w:lineRule="auto"/>
            </w:pPr>
            <w:r>
              <w:rPr>
                <w:rFonts w:ascii="Calibri" w:hAnsi="Calibri"/>
                <w:b w:val="0"/>
                <w:i w:val="0"/>
                <w:color w:val="212121"/>
                <w:sz w:val="16"/>
              </w:rPr>
              <w:t>Quantifies real-world speech understanding and aids candidacy</w:t>
            </w:r>
          </w:p>
        </w:tc>
        <w:tc>
          <w:tcPr>
            <w:tcW w:type="dxa" w:w="1036"/>
            <w:vAlign w:val="top"/>
          </w:tcPr>
          <w:p>
            <w:pPr>
              <w:spacing w:after="40" w:before="0" w:line="259" w:lineRule="auto"/>
            </w:pPr>
            <w:r>
              <w:rPr>
                <w:rFonts w:ascii="Calibri" w:hAnsi="Calibri"/>
                <w:b w:val="0"/>
                <w:i w:val="0"/>
                <w:color w:val="212121"/>
                <w:sz w:val="16"/>
              </w:rPr>
              <w:t>Adults for hearing-aid/implant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Poor scores flag neural/central pathology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Otoacoustic Emissions</w:t>
            </w:r>
          </w:p>
        </w:tc>
        <w:tc>
          <w:tcPr>
            <w:tcW w:type="dxa" w:w="892"/>
            <w:vAlign w:val="top"/>
          </w:tcPr>
          <w:p>
            <w:pPr>
              <w:spacing w:after="40" w:before="0" w:line="259" w:lineRule="auto"/>
            </w:pPr>
            <w:r>
              <w:rPr>
                <w:rFonts w:ascii="Calibri" w:hAnsi="Calibri"/>
                <w:b w:val="0"/>
                <w:i w:val="0"/>
                <w:color w:val="212121"/>
                <w:sz w:val="16"/>
              </w:rPr>
              <w:t>OAE (DPOAE/TEOAE)</w:t>
            </w:r>
          </w:p>
        </w:tc>
        <w:tc>
          <w:tcPr>
            <w:tcW w:type="dxa" w:w="950"/>
            <w:vAlign w:val="top"/>
          </w:tcPr>
          <w:p>
            <w:pPr>
              <w:spacing w:after="40" w:before="0" w:line="259" w:lineRule="auto"/>
            </w:pPr>
            <w:r>
              <w:rPr>
                <w:rFonts w:ascii="Calibri" w:hAnsi="Calibri"/>
                <w:b w:val="0"/>
                <w:i w:val="0"/>
                <w:color w:val="212121"/>
                <w:sz w:val="16"/>
              </w:rPr>
              <w:t>Emissions present</w:t>
            </w:r>
          </w:p>
        </w:tc>
        <w:tc>
          <w:tcPr>
            <w:tcW w:type="dxa" w:w="950"/>
            <w:vAlign w:val="top"/>
          </w:tcPr>
          <w:p>
            <w:pPr>
              <w:spacing w:after="40" w:before="0" w:line="259" w:lineRule="auto"/>
            </w:pPr>
            <w:r>
              <w:rPr>
                <w:rFonts w:ascii="Calibri" w:hAnsi="Calibri"/>
                <w:b w:val="0"/>
                <w:i w:val="0"/>
                <w:color w:val="212121"/>
                <w:sz w:val="16"/>
              </w:rPr>
              <w:t>Reduced/absent emissions</w:t>
            </w:r>
          </w:p>
        </w:tc>
        <w:tc>
          <w:tcPr>
            <w:tcW w:type="dxa" w:w="1036"/>
            <w:vAlign w:val="top"/>
          </w:tcPr>
          <w:p>
            <w:pPr>
              <w:spacing w:after="40" w:before="0" w:line="259" w:lineRule="auto"/>
            </w:pPr>
            <w:r>
              <w:rPr>
                <w:rFonts w:ascii="Calibri" w:hAnsi="Calibri"/>
                <w:b w:val="0"/>
                <w:i w:val="0"/>
                <w:color w:val="212121"/>
                <w:sz w:val="16"/>
              </w:rPr>
              <w:t>Objective marker of outer-hair-cell (cochlear) function</w:t>
            </w:r>
          </w:p>
        </w:tc>
        <w:tc>
          <w:tcPr>
            <w:tcW w:type="dxa" w:w="1036"/>
            <w:vAlign w:val="top"/>
          </w:tcPr>
          <w:p>
            <w:pPr>
              <w:spacing w:after="40" w:before="0" w:line="259" w:lineRule="auto"/>
            </w:pPr>
            <w:r>
              <w:rPr>
                <w:rFonts w:ascii="Calibri" w:hAnsi="Calibri"/>
                <w:b w:val="0"/>
                <w:i w:val="0"/>
                <w:color w:val="212121"/>
                <w:sz w:val="16"/>
              </w:rPr>
              <w:t>Newborn screening, uncooperative or medico-legal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First-stage universal newborn hearing screen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Auditory Brainstem Response</w:t>
            </w:r>
          </w:p>
        </w:tc>
        <w:tc>
          <w:tcPr>
            <w:tcW w:type="dxa" w:w="892"/>
            <w:vAlign w:val="top"/>
          </w:tcPr>
          <w:p>
            <w:pPr>
              <w:spacing w:after="40" w:before="0" w:line="259" w:lineRule="auto"/>
            </w:pPr>
            <w:r>
              <w:rPr>
                <w:rFonts w:ascii="Calibri" w:hAnsi="Calibri"/>
                <w:b w:val="0"/>
                <w:i w:val="0"/>
                <w:color w:val="212121"/>
                <w:sz w:val="16"/>
              </w:rPr>
              <w:t>ABR / BERA</w:t>
            </w:r>
          </w:p>
        </w:tc>
        <w:tc>
          <w:tcPr>
            <w:tcW w:type="dxa" w:w="950"/>
            <w:vAlign w:val="top"/>
          </w:tcPr>
          <w:p>
            <w:pPr>
              <w:spacing w:after="40" w:before="0" w:line="259" w:lineRule="auto"/>
            </w:pPr>
            <w:r>
              <w:rPr>
                <w:rFonts w:ascii="Calibri" w:hAnsi="Calibri"/>
                <w:b w:val="0"/>
                <w:i w:val="0"/>
                <w:color w:val="212121"/>
                <w:sz w:val="16"/>
              </w:rPr>
              <w:t>Age-appropriate, symmetric waveforms</w:t>
            </w:r>
          </w:p>
        </w:tc>
        <w:tc>
          <w:tcPr>
            <w:tcW w:type="dxa" w:w="950"/>
            <w:vAlign w:val="top"/>
          </w:tcPr>
          <w:p>
            <w:pPr>
              <w:spacing w:after="40" w:before="0" w:line="259" w:lineRule="auto"/>
            </w:pPr>
            <w:r>
              <w:rPr>
                <w:rFonts w:ascii="Calibri" w:hAnsi="Calibri"/>
                <w:b w:val="0"/>
                <w:i w:val="0"/>
                <w:color w:val="212121"/>
                <w:sz w:val="16"/>
              </w:rPr>
              <w:t>Elevated/absent responses; wave-V latency asymmetry</w:t>
            </w:r>
          </w:p>
        </w:tc>
        <w:tc>
          <w:tcPr>
            <w:tcW w:type="dxa" w:w="1036"/>
            <w:vAlign w:val="top"/>
          </w:tcPr>
          <w:p>
            <w:pPr>
              <w:spacing w:after="40" w:before="0" w:line="259" w:lineRule="auto"/>
            </w:pPr>
            <w:r>
              <w:rPr>
                <w:rFonts w:ascii="Calibri" w:hAnsi="Calibri"/>
                <w:b w:val="0"/>
                <w:i w:val="0"/>
                <w:color w:val="212121"/>
                <w:sz w:val="16"/>
              </w:rPr>
              <w:t>Objective thresholds in infants; screens auditory neuropathy &amp; retrocochlear lesions</w:t>
            </w:r>
          </w:p>
        </w:tc>
        <w:tc>
          <w:tcPr>
            <w:tcW w:type="dxa" w:w="1036"/>
            <w:vAlign w:val="top"/>
          </w:tcPr>
          <w:p>
            <w:pPr>
              <w:spacing w:after="40" w:before="0" w:line="259" w:lineRule="auto"/>
            </w:pPr>
            <w:r>
              <w:rPr>
                <w:rFonts w:ascii="Calibri" w:hAnsi="Calibri"/>
                <w:b w:val="0"/>
                <w:i w:val="0"/>
                <w:color w:val="212121"/>
                <w:sz w:val="16"/>
              </w:rPr>
              <w:t>Infants, auditory neuropathy, asymmetric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Confirmatory after a refer newborn screen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HRCT temporal bone / MRI IAM</w:t>
            </w:r>
          </w:p>
        </w:tc>
        <w:tc>
          <w:tcPr>
            <w:tcW w:type="dxa" w:w="892"/>
            <w:vAlign w:val="top"/>
          </w:tcPr>
          <w:p>
            <w:pPr>
              <w:spacing w:after="40" w:before="0" w:line="259" w:lineRule="auto"/>
            </w:pPr>
            <w:r>
              <w:rPr>
                <w:rFonts w:ascii="Calibri" w:hAnsi="Calibri"/>
                <w:b w:val="0"/>
                <w:i w:val="0"/>
                <w:color w:val="212121"/>
                <w:sz w:val="16"/>
              </w:rPr>
              <w:t>CT / MRI</w:t>
            </w:r>
          </w:p>
        </w:tc>
        <w:tc>
          <w:tcPr>
            <w:tcW w:type="dxa" w:w="950"/>
            <w:vAlign w:val="top"/>
          </w:tcPr>
          <w:p>
            <w:pPr>
              <w:spacing w:after="40" w:before="0" w:line="259" w:lineRule="auto"/>
            </w:pPr>
            <w:r>
              <w:rPr>
                <w:rFonts w:ascii="Calibri" w:hAnsi="Calibri"/>
                <w:b w:val="0"/>
                <w:i w:val="0"/>
                <w:color w:val="212121"/>
                <w:sz w:val="16"/>
              </w:rPr>
              <w:t>Normal middle/inner ear; no retrocochlear lesion</w:t>
            </w:r>
          </w:p>
        </w:tc>
        <w:tc>
          <w:tcPr>
            <w:tcW w:type="dxa" w:w="950"/>
            <w:vAlign w:val="top"/>
          </w:tcPr>
          <w:p>
            <w:pPr>
              <w:spacing w:after="40" w:before="0" w:line="259" w:lineRule="auto"/>
            </w:pPr>
            <w:r>
              <w:rPr>
                <w:rFonts w:ascii="Calibri" w:hAnsi="Calibri"/>
                <w:b w:val="0"/>
                <w:i w:val="0"/>
                <w:color w:val="212121"/>
                <w:sz w:val="16"/>
              </w:rPr>
              <w:t>Cholesteatoma, ossicular/cochlear anomaly, vestibular schwannoma</w:t>
            </w:r>
          </w:p>
        </w:tc>
        <w:tc>
          <w:tcPr>
            <w:tcW w:type="dxa" w:w="1036"/>
            <w:vAlign w:val="top"/>
          </w:tcPr>
          <w:p>
            <w:pPr>
              <w:spacing w:after="40" w:before="0" w:line="259" w:lineRule="auto"/>
            </w:pPr>
            <w:r>
              <w:rPr>
                <w:rFonts w:ascii="Calibri" w:hAnsi="Calibri"/>
                <w:b w:val="0"/>
                <w:i w:val="0"/>
                <w:color w:val="212121"/>
                <w:sz w:val="16"/>
              </w:rPr>
              <w:t>Defines surgical middle-ear disease and excludes retrocochlear pathology</w:t>
            </w:r>
          </w:p>
        </w:tc>
        <w:tc>
          <w:tcPr>
            <w:tcW w:type="dxa" w:w="1036"/>
            <w:vAlign w:val="top"/>
          </w:tcPr>
          <w:p>
            <w:pPr>
              <w:spacing w:after="40" w:before="0" w:line="259" w:lineRule="auto"/>
            </w:pPr>
            <w:r>
              <w:rPr>
                <w:rFonts w:ascii="Calibri" w:hAnsi="Calibri"/>
                <w:b w:val="0"/>
                <w:i w:val="0"/>
                <w:color w:val="212121"/>
                <w:sz w:val="16"/>
              </w:rPr>
              <w:t>Chronic otitis media/cholesteatoma, asymmetric/rapid SNHL, implant work-up</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CT for bone/middle ear; MRI for nerve/brainstem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HbA1c, glucose, lipids, TFT</w:t>
            </w:r>
          </w:p>
        </w:tc>
        <w:tc>
          <w:tcPr>
            <w:tcW w:type="dxa" w:w="892"/>
            <w:vAlign w:val="top"/>
          </w:tcPr>
          <w:p>
            <w:pPr>
              <w:spacing w:after="40" w:before="0" w:line="259" w:lineRule="auto"/>
            </w:pPr>
            <w:r>
              <w:rPr>
                <w:rFonts w:ascii="Calibri" w:hAnsi="Calibri"/>
                <w:b w:val="0"/>
                <w:i w:val="0"/>
                <w:color w:val="212121"/>
                <w:sz w:val="16"/>
              </w:rPr>
              <w:t>Metabolic / aetiological screen</w:t>
            </w:r>
          </w:p>
        </w:tc>
        <w:tc>
          <w:tcPr>
            <w:tcW w:type="dxa" w:w="950"/>
            <w:vAlign w:val="top"/>
          </w:tcPr>
          <w:p>
            <w:pPr>
              <w:spacing w:after="40" w:before="0" w:line="259" w:lineRule="auto"/>
            </w:pPr>
            <w:r>
              <w:rPr>
                <w:rFonts w:ascii="Calibri" w:hAnsi="Calibri"/>
                <w:b w:val="0"/>
                <w:i w:val="0"/>
                <w:color w:val="212121"/>
                <w:sz w:val="16"/>
              </w:rPr>
              <w:t>HbA1c &lt; 5.7%; normal lipids &amp; thyroid</w:t>
            </w:r>
          </w:p>
        </w:tc>
        <w:tc>
          <w:tcPr>
            <w:tcW w:type="dxa" w:w="950"/>
            <w:vAlign w:val="top"/>
          </w:tcPr>
          <w:p>
            <w:pPr>
              <w:spacing w:after="40" w:before="0" w:line="259" w:lineRule="auto"/>
            </w:pPr>
            <w:r>
              <w:rPr>
                <w:rFonts w:ascii="Calibri" w:hAnsi="Calibri"/>
                <w:b w:val="0"/>
                <w:i w:val="0"/>
                <w:color w:val="212121"/>
                <w:sz w:val="16"/>
              </w:rPr>
              <w:t>HbA1c ≥ 6.5%; dyslipidaemia; hypothyroidism</w:t>
            </w:r>
          </w:p>
        </w:tc>
        <w:tc>
          <w:tcPr>
            <w:tcW w:type="dxa" w:w="1036"/>
            <w:vAlign w:val="top"/>
          </w:tcPr>
          <w:p>
            <w:pPr>
              <w:spacing w:after="40" w:before="0" w:line="259" w:lineRule="auto"/>
            </w:pPr>
            <w:r>
              <w:rPr>
                <w:rFonts w:ascii="Calibri" w:hAnsi="Calibri"/>
                <w:b w:val="0"/>
                <w:i w:val="0"/>
                <w:color w:val="212121"/>
                <w:sz w:val="16"/>
              </w:rPr>
              <w:t>Identifies treatable systemic drivers of sensorineural loss</w:t>
            </w:r>
          </w:p>
        </w:tc>
        <w:tc>
          <w:tcPr>
            <w:tcW w:type="dxa" w:w="1036"/>
            <w:vAlign w:val="top"/>
          </w:tcPr>
          <w:p>
            <w:pPr>
              <w:spacing w:after="40" w:before="0" w:line="259" w:lineRule="auto"/>
            </w:pPr>
            <w:r>
              <w:rPr>
                <w:rFonts w:ascii="Calibri" w:hAnsi="Calibri"/>
                <w:b w:val="0"/>
                <w:i w:val="0"/>
                <w:color w:val="212121"/>
                <w:sz w:val="16"/>
              </w:rPr>
              <w:t>Adults with SNHL, vascular risk, sudden SNHL</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Guides risk-factor modification; screen for syphilis/autoimmune in sudden SNHL</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Onset, laterality, progression, tinnitus, otorrhoea, vertigo</w:t>
            </w:r>
          </w:p>
        </w:tc>
        <w:tc>
          <w:tcPr>
            <w:tcW w:type="dxa" w:w="950"/>
            <w:vAlign w:val="top"/>
          </w:tcPr>
          <w:p>
            <w:pPr>
              <w:spacing w:after="40" w:before="0" w:line="259" w:lineRule="auto"/>
            </w:pPr>
            <w:r>
              <w:rPr>
                <w:rFonts w:ascii="Calibri" w:hAnsi="Calibri"/>
                <w:b w:val="0"/>
                <w:i w:val="0"/>
                <w:color w:val="212121"/>
                <w:sz w:val="16"/>
              </w:rPr>
              <w:t>Hears normal conversation clearly</w:t>
            </w:r>
          </w:p>
        </w:tc>
        <w:tc>
          <w:tcPr>
            <w:tcW w:type="dxa" w:w="950"/>
            <w:vAlign w:val="top"/>
          </w:tcPr>
          <w:p>
            <w:pPr>
              <w:spacing w:after="40" w:before="0" w:line="259" w:lineRule="auto"/>
            </w:pPr>
            <w:r>
              <w:rPr>
                <w:rFonts w:ascii="Calibri" w:hAnsi="Calibri"/>
                <w:b w:val="0"/>
                <w:i w:val="0"/>
                <w:color w:val="212121"/>
                <w:sz w:val="16"/>
              </w:rPr>
              <w:t>Difficulty hearing/understanding; discharge; sudden loss</w:t>
            </w:r>
          </w:p>
        </w:tc>
        <w:tc>
          <w:tcPr>
            <w:tcW w:type="dxa" w:w="1036"/>
            <w:vAlign w:val="top"/>
          </w:tcPr>
          <w:p>
            <w:pPr>
              <w:spacing w:after="40" w:before="0" w:line="259" w:lineRule="auto"/>
            </w:pPr>
            <w:r>
              <w:rPr>
                <w:rFonts w:ascii="Calibri" w:hAnsi="Calibri"/>
                <w:b w:val="0"/>
                <w:i w:val="0"/>
                <w:color w:val="212121"/>
                <w:sz w:val="16"/>
              </w:rPr>
              <w:t>Distinguishes conductive vs sensorineural and acute (emergency) vs chronic</w:t>
            </w:r>
          </w:p>
        </w:tc>
        <w:tc>
          <w:tcPr>
            <w:tcW w:type="dxa" w:w="1036"/>
            <w:vAlign w:val="top"/>
          </w:tcPr>
          <w:p>
            <w:pPr>
              <w:spacing w:after="40" w:before="0" w:line="259" w:lineRule="auto"/>
            </w:pPr>
            <w:r>
              <w:rPr>
                <w:rFonts w:ascii="Calibri" w:hAnsi="Calibri"/>
                <w:b w:val="0"/>
                <w:i w:val="0"/>
                <w:color w:val="212121"/>
                <w:sz w:val="16"/>
              </w:rPr>
              <w:t>All patients; family-reported difficulty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Sudden SNHL is an emergency needing urgent steroids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Noise, ototoxic &amp; perinatal/family history</w:t>
            </w:r>
          </w:p>
        </w:tc>
        <w:tc>
          <w:tcPr>
            <w:tcW w:type="dxa" w:w="979"/>
            <w:vAlign w:val="top"/>
          </w:tcPr>
          <w:p>
            <w:pPr>
              <w:spacing w:after="40" w:before="0" w:line="259" w:lineRule="auto"/>
            </w:pPr>
            <w:r>
              <w:rPr>
                <w:rFonts w:ascii="Calibri" w:hAnsi="Calibri"/>
                <w:b w:val="0"/>
                <w:i w:val="0"/>
                <w:color w:val="212121"/>
                <w:sz w:val="16"/>
              </w:rPr>
              <w:t>Noise exposure, aminoglycosides/cisplatin, birth/NICU, consanguinity</w:t>
            </w:r>
          </w:p>
        </w:tc>
        <w:tc>
          <w:tcPr>
            <w:tcW w:type="dxa" w:w="950"/>
            <w:vAlign w:val="top"/>
          </w:tcPr>
          <w:p>
            <w:pPr>
              <w:spacing w:after="40" w:before="0" w:line="259" w:lineRule="auto"/>
            </w:pPr>
            <w:r>
              <w:rPr>
                <w:rFonts w:ascii="Calibri" w:hAnsi="Calibri"/>
                <w:b w:val="0"/>
                <w:i w:val="0"/>
                <w:color w:val="212121"/>
                <w:sz w:val="16"/>
              </w:rPr>
              <w:t>No exposure or family history</w:t>
            </w:r>
          </w:p>
        </w:tc>
        <w:tc>
          <w:tcPr>
            <w:tcW w:type="dxa" w:w="950"/>
            <w:vAlign w:val="top"/>
          </w:tcPr>
          <w:p>
            <w:pPr>
              <w:spacing w:after="40" w:before="0" w:line="259" w:lineRule="auto"/>
            </w:pPr>
            <w:r>
              <w:rPr>
                <w:rFonts w:ascii="Calibri" w:hAnsi="Calibri"/>
                <w:b w:val="0"/>
                <w:i w:val="0"/>
                <w:color w:val="212121"/>
                <w:sz w:val="16"/>
              </w:rPr>
              <w:t>Significant noise, ototoxic drugs, perinatal risk or familial deafness</w:t>
            </w:r>
          </w:p>
        </w:tc>
        <w:tc>
          <w:tcPr>
            <w:tcW w:type="dxa" w:w="1036"/>
            <w:vAlign w:val="top"/>
          </w:tcPr>
          <w:p>
            <w:pPr>
              <w:spacing w:after="40" w:before="0" w:line="259" w:lineRule="auto"/>
            </w:pPr>
            <w:r>
              <w:rPr>
                <w:rFonts w:ascii="Calibri" w:hAnsi="Calibri"/>
                <w:b w:val="0"/>
                <w:i w:val="0"/>
                <w:color w:val="212121"/>
                <w:sz w:val="16"/>
              </w:rPr>
              <w:t>Identifies preventable causes and genetic risk</w:t>
            </w:r>
          </w:p>
        </w:tc>
        <w:tc>
          <w:tcPr>
            <w:tcW w:type="dxa" w:w="1036"/>
            <w:vAlign w:val="top"/>
          </w:tcPr>
          <w:p>
            <w:pPr>
              <w:spacing w:after="40" w:before="0" w:line="259" w:lineRule="auto"/>
            </w:pPr>
            <w:r>
              <w:rPr>
                <w:rFonts w:ascii="Calibri" w:hAnsi="Calibri"/>
                <w:b w:val="0"/>
                <w:i w:val="0"/>
                <w:color w:val="212121"/>
                <w:sz w:val="16"/>
              </w:rPr>
              <w:t>Workers, TB/oncology patients, neonates, consanguineous families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Directs prevention and genetic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Otoscopy</w:t>
            </w:r>
          </w:p>
        </w:tc>
        <w:tc>
          <w:tcPr>
            <w:tcW w:type="dxa" w:w="979"/>
            <w:vAlign w:val="top"/>
          </w:tcPr>
          <w:p>
            <w:pPr>
              <w:spacing w:after="40" w:before="0" w:line="259" w:lineRule="auto"/>
            </w:pPr>
            <w:r>
              <w:rPr>
                <w:rFonts w:ascii="Calibri" w:hAnsi="Calibri"/>
                <w:b w:val="0"/>
                <w:i w:val="0"/>
                <w:color w:val="212121"/>
                <w:sz w:val="16"/>
              </w:rPr>
              <w:t>External canal &amp; tympanic membrane</w:t>
            </w:r>
          </w:p>
        </w:tc>
        <w:tc>
          <w:tcPr>
            <w:tcW w:type="dxa" w:w="950"/>
            <w:vAlign w:val="top"/>
          </w:tcPr>
          <w:p>
            <w:pPr>
              <w:spacing w:after="40" w:before="0" w:line="259" w:lineRule="auto"/>
            </w:pPr>
            <w:r>
              <w:rPr>
                <w:rFonts w:ascii="Calibri" w:hAnsi="Calibri"/>
                <w:b w:val="0"/>
                <w:i w:val="0"/>
                <w:color w:val="212121"/>
                <w:sz w:val="16"/>
              </w:rPr>
              <w:t>Clear canal, intact mobile drum</w:t>
            </w:r>
          </w:p>
        </w:tc>
        <w:tc>
          <w:tcPr>
            <w:tcW w:type="dxa" w:w="950"/>
            <w:vAlign w:val="top"/>
          </w:tcPr>
          <w:p>
            <w:pPr>
              <w:spacing w:after="40" w:before="0" w:line="259" w:lineRule="auto"/>
            </w:pPr>
            <w:r>
              <w:rPr>
                <w:rFonts w:ascii="Calibri" w:hAnsi="Calibri"/>
                <w:b w:val="0"/>
                <w:i w:val="0"/>
                <w:color w:val="212121"/>
                <w:sz w:val="16"/>
              </w:rPr>
              <w:t>Wax, perforation, discharge, retraction, cholesteatoma</w:t>
            </w:r>
          </w:p>
        </w:tc>
        <w:tc>
          <w:tcPr>
            <w:tcW w:type="dxa" w:w="1036"/>
            <w:vAlign w:val="top"/>
          </w:tcPr>
          <w:p>
            <w:pPr>
              <w:spacing w:after="40" w:before="0" w:line="259" w:lineRule="auto"/>
            </w:pPr>
            <w:r>
              <w:rPr>
                <w:rFonts w:ascii="Calibri" w:hAnsi="Calibri"/>
                <w:b w:val="0"/>
                <w:i w:val="0"/>
                <w:color w:val="212121"/>
                <w:sz w:val="16"/>
              </w:rPr>
              <w:t>Identifies reversible/surgical conductive causes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Remove wax before audiometry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Tuning-fork tests</w:t>
            </w:r>
          </w:p>
        </w:tc>
        <w:tc>
          <w:tcPr>
            <w:tcW w:type="dxa" w:w="979"/>
            <w:vAlign w:val="top"/>
          </w:tcPr>
          <w:p>
            <w:pPr>
              <w:spacing w:after="40" w:before="0" w:line="259" w:lineRule="auto"/>
            </w:pPr>
            <w:r>
              <w:rPr>
                <w:rFonts w:ascii="Calibri" w:hAnsi="Calibri"/>
                <w:b w:val="0"/>
                <w:i w:val="0"/>
                <w:color w:val="212121"/>
                <w:sz w:val="16"/>
              </w:rPr>
              <w:t>Rinne &amp; Weber (512 Hz)</w:t>
            </w:r>
          </w:p>
        </w:tc>
        <w:tc>
          <w:tcPr>
            <w:tcW w:type="dxa" w:w="950"/>
            <w:vAlign w:val="top"/>
          </w:tcPr>
          <w:p>
            <w:pPr>
              <w:spacing w:after="40" w:before="0" w:line="259" w:lineRule="auto"/>
            </w:pPr>
            <w:r>
              <w:rPr>
                <w:rFonts w:ascii="Calibri" w:hAnsi="Calibri"/>
                <w:b w:val="0"/>
                <w:i w:val="0"/>
                <w:color w:val="212121"/>
                <w:sz w:val="16"/>
              </w:rPr>
              <w:t>Rinne AC&gt;BC bilaterally; Weber central</w:t>
            </w:r>
          </w:p>
        </w:tc>
        <w:tc>
          <w:tcPr>
            <w:tcW w:type="dxa" w:w="950"/>
            <w:vAlign w:val="top"/>
          </w:tcPr>
          <w:p>
            <w:pPr>
              <w:spacing w:after="40" w:before="0" w:line="259" w:lineRule="auto"/>
            </w:pPr>
            <w:r>
              <w:rPr>
                <w:rFonts w:ascii="Calibri" w:hAnsi="Calibri"/>
                <w:b w:val="0"/>
                <w:i w:val="0"/>
                <w:color w:val="212121"/>
                <w:sz w:val="16"/>
              </w:rPr>
              <w:t>Rinne BC&gt;AC (conductive); Weber lateralises</w:t>
            </w:r>
          </w:p>
        </w:tc>
        <w:tc>
          <w:tcPr>
            <w:tcW w:type="dxa" w:w="1036"/>
            <w:vAlign w:val="top"/>
          </w:tcPr>
          <w:p>
            <w:pPr>
              <w:spacing w:after="40" w:before="0" w:line="259" w:lineRule="auto"/>
            </w:pPr>
            <w:r>
              <w:rPr>
                <w:rFonts w:ascii="Calibri" w:hAnsi="Calibri"/>
                <w:b w:val="0"/>
                <w:i w:val="0"/>
                <w:color w:val="212121"/>
                <w:sz w:val="16"/>
              </w:rPr>
              <w:t>Bedside separation of conductive from sensorineural loss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Simple, quick, no equipment beyond a fork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Developmental</w:t>
            </w:r>
          </w:p>
        </w:tc>
        <w:tc>
          <w:tcPr>
            <w:tcW w:type="dxa" w:w="950"/>
            <w:vAlign w:val="top"/>
          </w:tcPr>
          <w:p>
            <w:pPr>
              <w:spacing w:after="40" w:before="0" w:line="259" w:lineRule="auto"/>
            </w:pPr>
            <w:r>
              <w:rPr>
                <w:rFonts w:ascii="Calibri" w:hAnsi="Calibri"/>
                <w:b w:val="0"/>
                <w:i w:val="0"/>
                <w:color w:val="212121"/>
                <w:sz w:val="16"/>
              </w:rPr>
              <w:t>Speech-language &amp; response assessment (children)</w:t>
            </w:r>
          </w:p>
        </w:tc>
        <w:tc>
          <w:tcPr>
            <w:tcW w:type="dxa" w:w="979"/>
            <w:vAlign w:val="top"/>
          </w:tcPr>
          <w:p>
            <w:pPr>
              <w:spacing w:after="40" w:before="0" w:line="259" w:lineRule="auto"/>
            </w:pPr>
            <w:r>
              <w:rPr>
                <w:rFonts w:ascii="Calibri" w:hAnsi="Calibri"/>
                <w:b w:val="0"/>
                <w:i w:val="0"/>
                <w:color w:val="212121"/>
                <w:sz w:val="16"/>
              </w:rPr>
              <w:t>Age-appropriate speech, response to sound/name</w:t>
            </w:r>
          </w:p>
        </w:tc>
        <w:tc>
          <w:tcPr>
            <w:tcW w:type="dxa" w:w="950"/>
            <w:vAlign w:val="top"/>
          </w:tcPr>
          <w:p>
            <w:pPr>
              <w:spacing w:after="40" w:before="0" w:line="259" w:lineRule="auto"/>
            </w:pPr>
            <w:r>
              <w:rPr>
                <w:rFonts w:ascii="Calibri" w:hAnsi="Calibri"/>
                <w:b w:val="0"/>
                <w:i w:val="0"/>
                <w:color w:val="212121"/>
                <w:sz w:val="16"/>
              </w:rPr>
              <w:t>Milestones met; responds to sound</w:t>
            </w:r>
          </w:p>
        </w:tc>
        <w:tc>
          <w:tcPr>
            <w:tcW w:type="dxa" w:w="950"/>
            <w:vAlign w:val="top"/>
          </w:tcPr>
          <w:p>
            <w:pPr>
              <w:spacing w:after="40" w:before="0" w:line="259" w:lineRule="auto"/>
            </w:pPr>
            <w:r>
              <w:rPr>
                <w:rFonts w:ascii="Calibri" w:hAnsi="Calibri"/>
                <w:b w:val="0"/>
                <w:i w:val="0"/>
                <w:color w:val="212121"/>
                <w:sz w:val="16"/>
              </w:rPr>
              <w:t>Delayed speech, not startling/responding to sound</w:t>
            </w:r>
          </w:p>
        </w:tc>
        <w:tc>
          <w:tcPr>
            <w:tcW w:type="dxa" w:w="1036"/>
            <w:vAlign w:val="top"/>
          </w:tcPr>
          <w:p>
            <w:pPr>
              <w:spacing w:after="40" w:before="0" w:line="259" w:lineRule="auto"/>
            </w:pPr>
            <w:r>
              <w:rPr>
                <w:rFonts w:ascii="Calibri" w:hAnsi="Calibri"/>
                <w:b w:val="0"/>
                <w:i w:val="0"/>
                <w:color w:val="212121"/>
                <w:sz w:val="16"/>
              </w:rPr>
              <w:t>Detects pre-lingual loss threatening language development</w:t>
            </w:r>
          </w:p>
        </w:tc>
        <w:tc>
          <w:tcPr>
            <w:tcW w:type="dxa" w:w="1036"/>
            <w:vAlign w:val="top"/>
          </w:tcPr>
          <w:p>
            <w:pPr>
              <w:spacing w:after="40" w:before="0" w:line="259" w:lineRule="auto"/>
            </w:pPr>
            <w:r>
              <w:rPr>
                <w:rFonts w:ascii="Calibri" w:hAnsi="Calibri"/>
                <w:b w:val="0"/>
                <w:i w:val="0"/>
                <w:color w:val="212121"/>
                <w:sz w:val="16"/>
              </w:rPr>
              <w:t>Infants and young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Any parental concern warrants formal audiology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w:t>
            </w:r>
          </w:p>
        </w:tc>
        <w:tc>
          <w:tcPr>
            <w:tcW w:type="dxa" w:w="950"/>
            <w:vAlign w:val="top"/>
          </w:tcPr>
          <w:p>
            <w:pPr>
              <w:spacing w:after="40" w:before="0" w:line="259" w:lineRule="auto"/>
            </w:pPr>
            <w:r>
              <w:rPr>
                <w:rFonts w:ascii="Calibri" w:hAnsi="Calibri"/>
                <w:b w:val="0"/>
                <w:i w:val="0"/>
                <w:color w:val="212121"/>
                <w:sz w:val="16"/>
              </w:rPr>
              <w:t>Validated questionnaire / whisper test</w:t>
            </w:r>
          </w:p>
        </w:tc>
        <w:tc>
          <w:tcPr>
            <w:tcW w:type="dxa" w:w="979"/>
            <w:vAlign w:val="top"/>
          </w:tcPr>
          <w:p>
            <w:pPr>
              <w:spacing w:after="40" w:before="0" w:line="259" w:lineRule="auto"/>
            </w:pPr>
            <w:r>
              <w:rPr>
                <w:rFonts w:ascii="Calibri" w:hAnsi="Calibri"/>
                <w:b w:val="0"/>
                <w:i w:val="0"/>
                <w:color w:val="212121"/>
                <w:sz w:val="16"/>
              </w:rPr>
              <w:t>HHIE-S score / whispered-voice test</w:t>
            </w:r>
          </w:p>
        </w:tc>
        <w:tc>
          <w:tcPr>
            <w:tcW w:type="dxa" w:w="950"/>
            <w:vAlign w:val="top"/>
          </w:tcPr>
          <w:p>
            <w:pPr>
              <w:spacing w:after="40" w:before="0" w:line="259" w:lineRule="auto"/>
            </w:pPr>
            <w:r>
              <w:rPr>
                <w:rFonts w:ascii="Calibri" w:hAnsi="Calibri"/>
                <w:b w:val="0"/>
                <w:i w:val="0"/>
                <w:color w:val="212121"/>
                <w:sz w:val="16"/>
              </w:rPr>
              <w:t>No perceived handicap; whisper heard</w:t>
            </w:r>
          </w:p>
        </w:tc>
        <w:tc>
          <w:tcPr>
            <w:tcW w:type="dxa" w:w="950"/>
            <w:vAlign w:val="top"/>
          </w:tcPr>
          <w:p>
            <w:pPr>
              <w:spacing w:after="40" w:before="0" w:line="259" w:lineRule="auto"/>
            </w:pPr>
            <w:r>
              <w:rPr>
                <w:rFonts w:ascii="Calibri" w:hAnsi="Calibri"/>
                <w:b w:val="0"/>
                <w:i w:val="0"/>
                <w:color w:val="212121"/>
                <w:sz w:val="16"/>
              </w:rPr>
              <w:t>Elevated handicap score; whisper missed</w:t>
            </w:r>
          </w:p>
        </w:tc>
        <w:tc>
          <w:tcPr>
            <w:tcW w:type="dxa" w:w="1036"/>
            <w:vAlign w:val="top"/>
          </w:tcPr>
          <w:p>
            <w:pPr>
              <w:spacing w:after="40" w:before="0" w:line="259" w:lineRule="auto"/>
            </w:pPr>
            <w:r>
              <w:rPr>
                <w:rFonts w:ascii="Calibri" w:hAnsi="Calibri"/>
                <w:b w:val="0"/>
                <w:i w:val="0"/>
                <w:color w:val="212121"/>
                <w:sz w:val="16"/>
              </w:rPr>
              <w:t>Quantifies functional/social impact and prompts referral</w:t>
            </w:r>
          </w:p>
        </w:tc>
        <w:tc>
          <w:tcPr>
            <w:tcW w:type="dxa" w:w="1036"/>
            <w:vAlign w:val="top"/>
          </w:tcPr>
          <w:p>
            <w:pPr>
              <w:spacing w:after="40" w:before="0" w:line="259" w:lineRule="auto"/>
            </w:pPr>
            <w:r>
              <w:rPr>
                <w:rFonts w:ascii="Calibri" w:hAnsi="Calibri"/>
                <w:b w:val="0"/>
                <w:i w:val="0"/>
                <w:color w:val="212121"/>
                <w:sz w:val="16"/>
              </w:rPr>
              <w:t>Community &amp; primary-care screening of elders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Useful where audiometry is not immediately available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Difficulty hearing / understanding speech, especially in noise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core disabling complaint (the 'cocktail-party' problem); listeners struggle even when volume seems adequate.</w:t>
            </w:r>
          </w:p>
        </w:tc>
      </w:tr>
      <w:tr>
        <w:trPr>
          <w:cantSplit/>
        </w:trPr>
        <w:tc>
          <w:tcPr>
            <w:tcW w:type="dxa" w:w="2304"/>
            <w:vAlign w:val="top"/>
          </w:tcPr>
          <w:p>
            <w:pPr>
              <w:spacing w:after="40" w:before="0" w:line="259" w:lineRule="auto"/>
            </w:pPr>
            <w:r>
              <w:rPr>
                <w:rFonts w:ascii="Calibri" w:hAnsi="Calibri"/>
                <w:b/>
                <w:i w:val="0"/>
                <w:color w:val="212121"/>
                <w:sz w:val="19"/>
              </w:rPr>
              <w:t>Frequently asking others to repeat themselves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reduced speech discrimination, especially with soft or rapid speech.</w:t>
            </w:r>
          </w:p>
        </w:tc>
      </w:tr>
      <w:tr>
        <w:trPr>
          <w:cantSplit/>
        </w:trPr>
        <w:tc>
          <w:tcPr>
            <w:tcW w:type="dxa" w:w="2304"/>
            <w:vAlign w:val="top"/>
          </w:tcPr>
          <w:p>
            <w:pPr>
              <w:spacing w:after="40" w:before="0" w:line="259" w:lineRule="auto"/>
            </w:pPr>
            <w:r>
              <w:rPr>
                <w:rFonts w:ascii="Calibri" w:hAnsi="Calibri"/>
                <w:b/>
                <w:i w:val="0"/>
                <w:color w:val="212121"/>
                <w:sz w:val="19"/>
              </w:rPr>
              <w:t>Turning up the television or radio volume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common early sign, often noticed by family members before the patient.</w:t>
            </w:r>
          </w:p>
        </w:tc>
      </w:tr>
      <w:tr>
        <w:trPr>
          <w:cantSplit/>
        </w:trPr>
        <w:tc>
          <w:tcPr>
            <w:tcW w:type="dxa" w:w="2304"/>
            <w:vAlign w:val="top"/>
          </w:tcPr>
          <w:p>
            <w:pPr>
              <w:spacing w:after="40" w:before="0" w:line="259" w:lineRule="auto"/>
            </w:pPr>
            <w:r>
              <w:rPr>
                <w:rFonts w:ascii="Calibri" w:hAnsi="Calibri"/>
                <w:b/>
                <w:i w:val="0"/>
                <w:color w:val="212121"/>
                <w:sz w:val="19"/>
              </w:rPr>
              <w:t>Speech sounds muffled or as if people are mumbling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high-frequency consonants (s, f, k, ch) blurs word clarity.</w:t>
            </w:r>
          </w:p>
        </w:tc>
      </w:tr>
      <w:tr>
        <w:trPr>
          <w:cantSplit/>
        </w:trPr>
        <w:tc>
          <w:tcPr>
            <w:tcW w:type="dxa" w:w="2304"/>
            <w:vAlign w:val="top"/>
          </w:tcPr>
          <w:p>
            <w:pPr>
              <w:spacing w:after="40" w:before="0" w:line="259" w:lineRule="auto"/>
            </w:pPr>
            <w:r>
              <w:rPr>
                <w:rFonts w:ascii="Calibri" w:hAnsi="Calibri"/>
                <w:b/>
                <w:i w:val="0"/>
                <w:color w:val="212121"/>
                <w:sz w:val="19"/>
              </w:rPr>
              <w:t>Difficulty hearing high-pitched sounds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Women's and children's voices, doorbells and phone tones are missed first (sensorineural loss).</w:t>
            </w:r>
          </w:p>
        </w:tc>
      </w:tr>
      <w:tr>
        <w:trPr>
          <w:cantSplit/>
        </w:trPr>
        <w:tc>
          <w:tcPr>
            <w:tcW w:type="dxa" w:w="2304"/>
            <w:vAlign w:val="top"/>
          </w:tcPr>
          <w:p>
            <w:pPr>
              <w:spacing w:after="40" w:before="0" w:line="259" w:lineRule="auto"/>
            </w:pPr>
            <w:r>
              <w:rPr>
                <w:rFonts w:ascii="Calibri" w:hAnsi="Calibri"/>
                <w:b/>
                <w:i w:val="0"/>
                <w:color w:val="212121"/>
                <w:sz w:val="19"/>
              </w:rPr>
              <w:t>Tinnitus (ringing or buzzing in the ears)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Frequently accompanies sensorineural loss and can be distressing, though it is non-specific.</w:t>
            </w:r>
          </w:p>
        </w:tc>
      </w:tr>
      <w:tr>
        <w:trPr>
          <w:cantSplit/>
        </w:trPr>
        <w:tc>
          <w:tcPr>
            <w:tcW w:type="dxa" w:w="2304"/>
            <w:vAlign w:val="top"/>
          </w:tcPr>
          <w:p>
            <w:pPr>
              <w:spacing w:after="40" w:before="0" w:line="259" w:lineRule="auto"/>
            </w:pPr>
            <w:r>
              <w:rPr>
                <w:rFonts w:ascii="Calibri" w:hAnsi="Calibri"/>
                <w:b/>
                <w:i w:val="0"/>
                <w:color w:val="212121"/>
                <w:sz w:val="19"/>
              </w:rPr>
              <w:t>Ear discharge (otorrhoea) and blocked-ear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Suggests a conductive cause such as chronic suppurative otitis media, effusion or wax.</w:t>
            </w:r>
          </w:p>
        </w:tc>
      </w:tr>
      <w:tr>
        <w:trPr>
          <w:cantSplit/>
        </w:trPr>
        <w:tc>
          <w:tcPr>
            <w:tcW w:type="dxa" w:w="2304"/>
            <w:vAlign w:val="top"/>
          </w:tcPr>
          <w:p>
            <w:pPr>
              <w:spacing w:after="40" w:before="0" w:line="259" w:lineRule="auto"/>
            </w:pPr>
            <w:r>
              <w:rPr>
                <w:rFonts w:ascii="Calibri" w:hAnsi="Calibri"/>
                <w:b/>
                <w:i w:val="0"/>
                <w:color w:val="212121"/>
                <w:sz w:val="19"/>
              </w:rPr>
              <w:t>Trouble hearing on the telephone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Absence of visual/lip cues and a narrowed frequency range make phone conversation especially hard.</w:t>
            </w:r>
          </w:p>
        </w:tc>
      </w:tr>
      <w:tr>
        <w:trPr>
          <w:cantSplit/>
        </w:trPr>
        <w:tc>
          <w:tcPr>
            <w:tcW w:type="dxa" w:w="2304"/>
            <w:vAlign w:val="top"/>
          </w:tcPr>
          <w:p>
            <w:pPr>
              <w:spacing w:after="40" w:before="0" w:line="259" w:lineRule="auto"/>
            </w:pPr>
            <w:r>
              <w:rPr>
                <w:rFonts w:ascii="Calibri" w:hAnsi="Calibri"/>
                <w:b/>
                <w:i w:val="0"/>
                <w:color w:val="212121"/>
                <w:sz w:val="19"/>
              </w:rPr>
              <w:t>Difficulty localising the source of sounds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Asymmetric or bilateral loss impairs the binaural cues used to locate sound; a safety hazard in traffic.</w:t>
            </w:r>
          </w:p>
        </w:tc>
      </w:tr>
      <w:tr>
        <w:trPr>
          <w:cantSplit/>
        </w:trPr>
        <w:tc>
          <w:tcPr>
            <w:tcW w:type="dxa" w:w="2304"/>
            <w:vAlign w:val="top"/>
          </w:tcPr>
          <w:p>
            <w:pPr>
              <w:spacing w:after="40" w:before="0" w:line="259" w:lineRule="auto"/>
            </w:pPr>
            <w:r>
              <w:rPr>
                <w:rFonts w:ascii="Calibri" w:hAnsi="Calibri"/>
                <w:b/>
                <w:i w:val="0"/>
                <w:color w:val="212121"/>
                <w:sz w:val="19"/>
              </w:rPr>
              <w:t>Delayed speech and language development (children)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cardinal feature of undetected pre-lingual loss; not responding to name or sounds and poor school performance.</w:t>
            </w:r>
          </w:p>
        </w:tc>
      </w:tr>
      <w:tr>
        <w:trPr>
          <w:cantSplit/>
        </w:trPr>
        <w:tc>
          <w:tcPr>
            <w:tcW w:type="dxa" w:w="2304"/>
            <w:vAlign w:val="top"/>
          </w:tcPr>
          <w:p>
            <w:pPr>
              <w:spacing w:after="40" w:before="0" w:line="259" w:lineRule="auto"/>
            </w:pPr>
            <w:r>
              <w:rPr>
                <w:rFonts w:ascii="Calibri" w:hAnsi="Calibri"/>
                <w:b/>
                <w:i w:val="0"/>
                <w:color w:val="212121"/>
                <w:sz w:val="19"/>
              </w:rPr>
              <w:t>Social withdrawal, listening fatigue and low mood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Embarrassment and effort of listening lead to isolation, anxiety and depression.</w:t>
            </w:r>
          </w:p>
        </w:tc>
      </w:tr>
      <w:tr>
        <w:trPr>
          <w:cantSplit/>
        </w:trPr>
        <w:tc>
          <w:tcPr>
            <w:tcW w:type="dxa" w:w="2304"/>
            <w:vAlign w:val="top"/>
          </w:tcPr>
          <w:p>
            <w:pPr>
              <w:spacing w:after="40" w:before="0" w:line="259" w:lineRule="auto"/>
            </w:pPr>
            <w:r>
              <w:rPr>
                <w:rFonts w:ascii="Calibri" w:hAnsi="Calibri"/>
                <w:b/>
                <w:i w:val="0"/>
                <w:color w:val="212121"/>
                <w:sz w:val="19"/>
              </w:rPr>
              <w:t>Sudden hearing loss in one ear over hours to days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Idiopathic sudden sensorineural hearing loss is an emergency requiring prompt corticosteroids.</w:t>
            </w:r>
          </w:p>
        </w:tc>
      </w:tr>
      <w:tr>
        <w:trPr>
          <w:cantSplit/>
        </w:trPr>
        <w:tc>
          <w:tcPr>
            <w:tcW w:type="dxa" w:w="2304"/>
            <w:vAlign w:val="top"/>
          </w:tcPr>
          <w:p>
            <w:pPr>
              <w:spacing w:after="40" w:before="0" w:line="259" w:lineRule="auto"/>
            </w:pPr>
            <w:r>
              <w:rPr>
                <w:rFonts w:ascii="Calibri" w:hAnsi="Calibri"/>
                <w:b/>
                <w:i w:val="0"/>
                <w:color w:val="212121"/>
                <w:sz w:val="19"/>
              </w:rPr>
              <w:t>Vertigo or imbalance with the hearing loss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inner-ear pathology (e.g. Ménière's disease, labyrinthitis) or, if progressive/unilateral, a vestibular schwannoma.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Elevated better-ear pure-tone thresholds on audiogram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&gt; 35 dB HL in the better ear (adults) confirms disabling hearing loss and grades severity.</w:t>
            </w:r>
          </w:p>
        </w:tc>
      </w:tr>
      <w:tr>
        <w:trPr>
          <w:cantSplit/>
        </w:trPr>
        <w:tc>
          <w:tcPr>
            <w:tcW w:type="dxa" w:w="3456"/>
            <w:vAlign w:val="top"/>
          </w:tcPr>
          <w:p>
            <w:pPr>
              <w:spacing w:after="40" w:before="0" w:line="259" w:lineRule="auto"/>
            </w:pPr>
            <w:r>
              <w:rPr>
                <w:rFonts w:ascii="Calibri" w:hAnsi="Calibri"/>
                <w:b/>
                <w:i w:val="0"/>
                <w:color w:val="212121"/>
                <w:sz w:val="19"/>
              </w:rPr>
              <w:t>Air–bone gap on audiometry (conductive)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Bone thresholds better than air indicate an outer/middle-ear cause; absent gap indicates sensorineural loss.</w:t>
            </w:r>
          </w:p>
        </w:tc>
      </w:tr>
      <w:tr>
        <w:trPr>
          <w:cantSplit/>
        </w:trPr>
        <w:tc>
          <w:tcPr>
            <w:tcW w:type="dxa" w:w="3456"/>
            <w:vAlign w:val="top"/>
          </w:tcPr>
          <w:p>
            <w:pPr>
              <w:spacing w:after="40" w:before="0" w:line="259" w:lineRule="auto"/>
            </w:pPr>
            <w:r>
              <w:rPr>
                <w:rFonts w:ascii="Calibri" w:hAnsi="Calibri"/>
                <w:b/>
                <w:i w:val="0"/>
                <w:color w:val="212121"/>
                <w:sz w:val="19"/>
              </w:rPr>
              <w:t>Abnormal Rinne / lateralising Weber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Rinne BC&gt;AC and Weber to the affected ear indicate conductive loss; Weber to the better ear suggests sensorineural.</w:t>
            </w:r>
          </w:p>
        </w:tc>
      </w:tr>
      <w:tr>
        <w:trPr>
          <w:cantSplit/>
        </w:trPr>
        <w:tc>
          <w:tcPr>
            <w:tcW w:type="dxa" w:w="3456"/>
            <w:vAlign w:val="top"/>
          </w:tcPr>
          <w:p>
            <w:pPr>
              <w:spacing w:after="40" w:before="0" w:line="259" w:lineRule="auto"/>
            </w:pPr>
            <w:r>
              <w:rPr>
                <w:rFonts w:ascii="Calibri" w:hAnsi="Calibri"/>
                <w:b/>
                <w:i w:val="0"/>
                <w:color w:val="212121"/>
                <w:sz w:val="19"/>
              </w:rPr>
              <w:t>Abnormal otoscopy — wax, perforation, discharge, retraction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Identifies cerumen impaction, chronic otitis media, effusion or cholesteatoma as treatable causes.</w:t>
            </w:r>
          </w:p>
        </w:tc>
      </w:tr>
      <w:tr>
        <w:trPr>
          <w:cantSplit/>
        </w:trPr>
        <w:tc>
          <w:tcPr>
            <w:tcW w:type="dxa" w:w="3456"/>
            <w:vAlign w:val="top"/>
          </w:tcPr>
          <w:p>
            <w:pPr>
              <w:spacing w:after="40" w:before="0" w:line="259" w:lineRule="auto"/>
            </w:pPr>
            <w:r>
              <w:rPr>
                <w:rFonts w:ascii="Calibri" w:hAnsi="Calibri"/>
                <w:b/>
                <w:i w:val="0"/>
                <w:color w:val="212121"/>
                <w:sz w:val="19"/>
              </w:rPr>
              <w:t>Type B or C tympanogram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Type B suggests effusion/perforation, type C negative middle-ear pressure — hallmarks of middle-ear disease.</w:t>
            </w:r>
          </w:p>
        </w:tc>
      </w:tr>
      <w:tr>
        <w:trPr>
          <w:cantSplit/>
        </w:trPr>
        <w:tc>
          <w:tcPr>
            <w:tcW w:type="dxa" w:w="3456"/>
            <w:vAlign w:val="top"/>
          </w:tcPr>
          <w:p>
            <w:pPr>
              <w:spacing w:after="40" w:before="0" w:line="259" w:lineRule="auto"/>
            </w:pPr>
            <w:r>
              <w:rPr>
                <w:rFonts w:ascii="Calibri" w:hAnsi="Calibri"/>
                <w:b/>
                <w:i w:val="0"/>
                <w:color w:val="212121"/>
                <w:sz w:val="19"/>
              </w:rPr>
              <w:t>Reduced/absent otoacoustic emissions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evidence of cochlear (outer-hair-cell) dysfunction; basis of newborn screening.</w:t>
            </w:r>
          </w:p>
        </w:tc>
      </w:tr>
      <w:tr>
        <w:trPr>
          <w:cantSplit/>
        </w:trPr>
        <w:tc>
          <w:tcPr>
            <w:tcW w:type="dxa" w:w="3456"/>
            <w:vAlign w:val="top"/>
          </w:tcPr>
          <w:p>
            <w:pPr>
              <w:spacing w:after="40" w:before="0" w:line="259" w:lineRule="auto"/>
            </w:pPr>
            <w:r>
              <w:rPr>
                <w:rFonts w:ascii="Calibri" w:hAnsi="Calibri"/>
                <w:b/>
                <w:i w:val="0"/>
                <w:color w:val="212121"/>
                <w:sz w:val="19"/>
              </w:rPr>
              <w:t>Elevated or absent ABR/BERA responses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Confirms threshold in infants and detects auditory neuropathy or retrocochlear lesions.</w:t>
            </w:r>
          </w:p>
        </w:tc>
      </w:tr>
      <w:tr>
        <w:trPr>
          <w:cantSplit/>
        </w:trPr>
        <w:tc>
          <w:tcPr>
            <w:tcW w:type="dxa" w:w="3456"/>
            <w:vAlign w:val="top"/>
          </w:tcPr>
          <w:p>
            <w:pPr>
              <w:spacing w:after="40" w:before="0" w:line="259" w:lineRule="auto"/>
            </w:pPr>
            <w:r>
              <w:rPr>
                <w:rFonts w:ascii="Calibri" w:hAnsi="Calibri"/>
                <w:b/>
                <w:i w:val="0"/>
                <w:color w:val="212121"/>
                <w:sz w:val="19"/>
              </w:rPr>
              <w:t>Failed whispered-voice / screening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Inability to repeat whispered words at arm's length is a simple bedside indicator.</w:t>
            </w:r>
          </w:p>
        </w:tc>
      </w:tr>
      <w:tr>
        <w:trPr>
          <w:cantSplit/>
        </w:trPr>
        <w:tc>
          <w:tcPr>
            <w:tcW w:type="dxa" w:w="3456"/>
            <w:vAlign w:val="top"/>
          </w:tcPr>
          <w:p>
            <w:pPr>
              <w:spacing w:after="40" w:before="0" w:line="259" w:lineRule="auto"/>
            </w:pPr>
            <w:r>
              <w:rPr>
                <w:rFonts w:ascii="Calibri" w:hAnsi="Calibri"/>
                <w:b/>
                <w:i w:val="0"/>
                <w:color w:val="212121"/>
                <w:sz w:val="19"/>
              </w:rPr>
              <w:t>Speaking with a raised voice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Patients with sensorineural loss cannot gauge their own loudness.</w:t>
            </w:r>
          </w:p>
        </w:tc>
      </w:tr>
      <w:tr>
        <w:trPr>
          <w:cantSplit/>
        </w:trPr>
        <w:tc>
          <w:tcPr>
            <w:tcW w:type="dxa" w:w="3456"/>
            <w:vAlign w:val="top"/>
          </w:tcPr>
          <w:p>
            <w:pPr>
              <w:spacing w:after="40" w:before="0" w:line="259" w:lineRule="auto"/>
            </w:pPr>
            <w:r>
              <w:rPr>
                <w:rFonts w:ascii="Calibri" w:hAnsi="Calibri"/>
                <w:b/>
                <w:i w:val="0"/>
                <w:color w:val="212121"/>
                <w:sz w:val="19"/>
              </w:rPr>
              <w:t>Absent startle / no response to sound (infant)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red flag for congenital hearing loss requiring urgent audiological assessment.</w:t>
            </w:r>
          </w:p>
        </w:tc>
      </w:tr>
      <w:tr>
        <w:trPr>
          <w:cantSplit/>
        </w:trPr>
        <w:tc>
          <w:tcPr>
            <w:tcW w:type="dxa" w:w="3456"/>
            <w:vAlign w:val="top"/>
          </w:tcPr>
          <w:p>
            <w:pPr>
              <w:spacing w:after="40" w:before="0" w:line="259" w:lineRule="auto"/>
            </w:pPr>
            <w:r>
              <w:rPr>
                <w:rFonts w:ascii="Calibri" w:hAnsi="Calibri"/>
                <w:b/>
                <w:i w:val="0"/>
                <w:color w:val="212121"/>
                <w:sz w:val="19"/>
              </w:rPr>
              <w:t>Cranial-nerve or otological signs of an underlying lesion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Facial weakness, nystagmus or a mass point to cholesteatoma, tumour or a syndromic cause.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communication and understanding of speech, especially in noise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Tinnitus and, in conductive disease, aural fullness and otorrhoea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speech, language and literacy development in children (pre-lingual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sound localisation and environmental-sound awareness</w:t>
            </w:r>
          </w:p>
        </w:tc>
        <w:tc>
          <w:tcPr>
            <w:tcW w:type="dxa" w:w="2980"/>
            <w:vAlign w:val="top"/>
          </w:tcPr>
          <w:p>
            <w:pPr>
              <w:spacing w:after="40" w:before="0" w:line="259" w:lineRule="auto"/>
            </w:pPr>
            <w:r>
              <w:rPr>
                <w:rFonts w:ascii="Calibri" w:hAnsi="Calibri"/>
                <w:b w:val="0"/>
                <w:i w:val="0"/>
                <w:color w:val="212121"/>
                <w:sz w:val="19"/>
              </w:rPr>
              <w:t>Direct consequences of the hearing deficit and its underlying ear disease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withdrawal, isolation and loneliness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listening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academic performance and reduced educational attainment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employment, productivity and income (large economic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Safety hazards — missed alarms, traffic and warning sounds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Complications of untreated ear disease (mastoiditis, cholesteatoma, meningitis)</w:t>
            </w:r>
          </w:p>
        </w:tc>
        <w:tc>
          <w:tcPr>
            <w:tcW w:type="dxa" w:w="2980"/>
            <w:vAlign w:val="top"/>
          </w:tcPr>
          <w:p>
            <w:pPr>
              <w:spacing w:after="40" w:before="0" w:line="259" w:lineRule="auto"/>
            </w:pPr>
            <w:r>
              <w:rPr>
                <w:rFonts w:ascii="Calibri" w:hAnsi="Calibri"/>
                <w:b w:val="0"/>
                <w:i w:val="0"/>
                <w:color w:val="212121"/>
                <w:sz w:val="19"/>
              </w:rPr>
              <w:t>Result from the functional, developmental and psychosocial impact of untreated hearing loss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cognitive decline and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language deprivation in children with untreated congenital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Frailty, falls and loss of independence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Lifelong unemployment, poverty and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 burden and reduced quality of life</w:t>
            </w:r>
          </w:p>
        </w:tc>
        <w:tc>
          <w:tcPr>
            <w:tcW w:type="dxa" w:w="2980"/>
            <w:vAlign w:val="top"/>
          </w:tcPr>
          <w:p>
            <w:pPr>
              <w:spacing w:after="40" w:before="0" w:line="259" w:lineRule="auto"/>
            </w:pPr>
            <w:r>
              <w:rPr>
                <w:rFonts w:ascii="Calibri" w:hAnsi="Calibri"/>
                <w:b w:val="0"/>
                <w:i w:val="0"/>
                <w:color w:val="212121"/>
                <w:sz w:val="19"/>
              </w:rPr>
              <w:t>Long-term, disabling outcomes of longstanding untreated loss — many reducible with early detection and rehabilitation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otitis media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suppurative otitis media and effusion are the leading cause of conductive (and mixed) hearing loss in India, particularly in children; largely preventable and treatable.</w:t>
            </w:r>
          </w:p>
          <w:p>
            <w:pPr>
              <w:spacing w:after="40" w:before="0" w:line="259" w:lineRule="auto"/>
            </w:pPr>
            <w:r>
              <w:rPr>
                <w:rFonts w:ascii="Calibri" w:hAnsi="Calibri"/>
                <w:b/>
                <w:i w:val="0"/>
                <w:color w:val="212121"/>
                <w:sz w:val="19"/>
              </w:rPr>
              <w:t>34.2% of hearing-loss cases (eastern India)</w:t>
            </w:r>
          </w:p>
        </w:tc>
      </w:tr>
      <w:tr>
        <w:trPr>
          <w:cantSplit/>
        </w:trPr>
        <w:tc>
          <w:tcPr>
            <w:tcW w:type="dxa" w:w="2232"/>
            <w:vAlign w:val="top"/>
          </w:tcPr>
          <w:p>
            <w:pPr>
              <w:spacing w:after="40" w:before="0" w:line="259" w:lineRule="auto"/>
            </w:pPr>
            <w:r>
              <w:rPr>
                <w:rFonts w:ascii="Calibri" w:hAnsi="Calibri"/>
                <w:b/>
                <w:i w:val="0"/>
                <w:color w:val="212121"/>
                <w:sz w:val="19"/>
              </w:rPr>
              <w:t>Tinnitus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Ringing or buzzing very commonly coexists with sensorineural loss and adds to distress and sleep disturbance.</w:t>
            </w:r>
          </w:p>
        </w:tc>
      </w:tr>
      <w:tr>
        <w:trPr>
          <w:cantSplit/>
        </w:trPr>
        <w:tc>
          <w:tcPr>
            <w:tcW w:type="dxa" w:w="2232"/>
            <w:vAlign w:val="top"/>
          </w:tcPr>
          <w:p>
            <w:pPr>
              <w:spacing w:after="40" w:before="0" w:line="259" w:lineRule="auto"/>
            </w:pPr>
            <w:r>
              <w:rPr>
                <w:rFonts w:ascii="Calibri" w:hAnsi="Calibri"/>
                <w:b/>
                <w:i w:val="0"/>
                <w:color w:val="212121"/>
                <w:sz w:val="19"/>
              </w:rPr>
              <w:t>Cognitive impairment / dementia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Hearing loss is the largest single potentially modifiable risk factor for dementia in midlife; treating it may lower risk, and it is independently associated with cognitive impairment in Indian cohorts.</w:t>
            </w:r>
          </w:p>
          <w:p>
            <w:pPr>
              <w:spacing w:after="40" w:before="0" w:line="259" w:lineRule="auto"/>
            </w:pPr>
            <w:r>
              <w:rPr>
                <w:rFonts w:ascii="Calibri" w:hAnsi="Calibri"/>
                <w:b/>
                <w:i w:val="0"/>
                <w:color w:val="212121"/>
                <w:sz w:val="19"/>
              </w:rPr>
              <w:t>~7% of dementia (population attributable fraction)</w:t>
            </w:r>
          </w:p>
        </w:tc>
      </w:tr>
      <w:tr>
        <w:trPr>
          <w:cantSplit/>
        </w:trPr>
        <w:tc>
          <w:tcPr>
            <w:tcW w:type="dxa" w:w="2232"/>
            <w:vAlign w:val="top"/>
          </w:tcPr>
          <w:p>
            <w:pPr>
              <w:spacing w:after="40" w:before="0" w:line="259" w:lineRule="auto"/>
            </w:pPr>
            <w:r>
              <w:rPr>
                <w:rFonts w:ascii="Calibri" w:hAnsi="Calibri"/>
                <w:b/>
                <w:i w:val="0"/>
                <w:color w:val="212121"/>
                <w:sz w:val="19"/>
              </w:rPr>
              <w:t>Depression &amp; social isolation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Communication difficulty drives withdrawal, loneliness and low mood; depression is a frequent, under-recognised consequence that also reduces hearing-aid use.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Microvascular and neural cochlear injury make hearing loss about twice as common in people with diabetes; even prediabetes raises risk.</w:t>
            </w:r>
          </w:p>
          <w:p>
            <w:pPr>
              <w:spacing w:after="40" w:before="0" w:line="259" w:lineRule="auto"/>
            </w:pPr>
            <w:r>
              <w:rPr>
                <w:rFonts w:ascii="Calibri" w:hAnsi="Calibri"/>
                <w:b/>
                <w:i w:val="0"/>
                <w:color w:val="212121"/>
                <w:sz w:val="19"/>
              </w:rPr>
              <w:t>~2× more common</w:t>
            </w:r>
          </w:p>
        </w:tc>
      </w:tr>
      <w:tr>
        <w:trPr>
          <w:cantSplit/>
        </w:trPr>
        <w:tc>
          <w:tcPr>
            <w:tcW w:type="dxa" w:w="2232"/>
            <w:vAlign w:val="top"/>
          </w:tcPr>
          <w:p>
            <w:pPr>
              <w:spacing w:after="40" w:before="0" w:line="259" w:lineRule="auto"/>
            </w:pPr>
            <w:r>
              <w:rPr>
                <w:rFonts w:ascii="Calibri" w:hAnsi="Calibri"/>
                <w:b/>
                <w:i w:val="0"/>
                <w:color w:val="212121"/>
                <w:sz w:val="19"/>
              </w:rPr>
              <w:t>Hypertension &amp; cardiovascular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Impaired end-arterial cochlear perfusion accelerates sensorineural loss; hypertension was significantly associated with hearing loss in Indian data.</w:t>
            </w:r>
          </w:p>
        </w:tc>
      </w:tr>
      <w:tr>
        <w:trPr>
          <w:cantSplit/>
        </w:trPr>
        <w:tc>
          <w:tcPr>
            <w:tcW w:type="dxa" w:w="2232"/>
            <w:vAlign w:val="top"/>
          </w:tcPr>
          <w:p>
            <w:pPr>
              <w:spacing w:after="40" w:before="0" w:line="259" w:lineRule="auto"/>
            </w:pPr>
            <w:r>
              <w:rPr>
                <w:rFonts w:ascii="Calibri" w:hAnsi="Calibri"/>
                <w:b/>
                <w:i w:val="0"/>
                <w:color w:val="212121"/>
                <w:sz w:val="19"/>
              </w:rPr>
              <w:t>Ototoxicity (MDR-TB therapy, chemotherapy)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Aminoglycosides, cisplatin and loop diuretics cause permanent hair-cell loss; a major, preventable iatrogenic cause given India's TB burden.</w:t>
            </w:r>
          </w:p>
          <w:p>
            <w:pPr>
              <w:spacing w:after="40" w:before="0" w:line="259" w:lineRule="auto"/>
            </w:pPr>
            <w:r>
              <w:rPr>
                <w:rFonts w:ascii="Calibri" w:hAnsi="Calibri"/>
                <w:b/>
                <w:i w:val="0"/>
                <w:color w:val="212121"/>
                <w:sz w:val="19"/>
              </w:rPr>
              <w:t>~40.6% of DR-TB patients</w:t>
            </w:r>
          </w:p>
        </w:tc>
      </w:tr>
      <w:tr>
        <w:trPr>
          <w:cantSplit/>
        </w:trPr>
        <w:tc>
          <w:tcPr>
            <w:tcW w:type="dxa" w:w="2232"/>
            <w:vAlign w:val="top"/>
          </w:tcPr>
          <w:p>
            <w:pPr>
              <w:spacing w:after="40" w:before="0" w:line="259" w:lineRule="auto"/>
            </w:pPr>
            <w:r>
              <w:rPr>
                <w:rFonts w:ascii="Calibri" w:hAnsi="Calibri"/>
                <w:b/>
                <w:i w:val="0"/>
                <w:color w:val="212121"/>
                <w:sz w:val="19"/>
              </w:rPr>
              <w:t>Vertigo &amp; balance disorders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Inner-ear disease (Ménière's, labyrinthitis) and age-related vestibular decline often coexist with hearing loss and raise fall risk.</w:t>
            </w:r>
          </w:p>
        </w:tc>
      </w:tr>
      <w:tr>
        <w:trPr>
          <w:cantSplit/>
        </w:trPr>
        <w:tc>
          <w:tcPr>
            <w:tcW w:type="dxa" w:w="2232"/>
            <w:vAlign w:val="top"/>
          </w:tcPr>
          <w:p>
            <w:pPr>
              <w:spacing w:after="40" w:before="0" w:line="259" w:lineRule="auto"/>
            </w:pPr>
            <w:r>
              <w:rPr>
                <w:rFonts w:ascii="Calibri" w:hAnsi="Calibri"/>
                <w:b/>
                <w:i w:val="0"/>
                <w:color w:val="212121"/>
                <w:sz w:val="19"/>
              </w:rPr>
              <w:t>Congenital rubella / cytomegalovirus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Intrauterine infection is a leading preventable cause of congenital sensorineural deafness; immunisation and antenatal care reduce it.</w:t>
            </w:r>
          </w:p>
        </w:tc>
      </w:tr>
      <w:tr>
        <w:trPr>
          <w:cantSplit/>
        </w:trPr>
        <w:tc>
          <w:tcPr>
            <w:tcW w:type="dxa" w:w="2232"/>
            <w:vAlign w:val="top"/>
          </w:tcPr>
          <w:p>
            <w:pPr>
              <w:spacing w:after="40" w:before="0" w:line="259" w:lineRule="auto"/>
            </w:pPr>
            <w:r>
              <w:rPr>
                <w:rFonts w:ascii="Calibri" w:hAnsi="Calibri"/>
                <w:b/>
                <w:i w:val="0"/>
                <w:color w:val="212121"/>
                <w:sz w:val="19"/>
              </w:rPr>
              <w:t>Falls &amp; fractures (elderly)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Reduced auditory awareness plus coexisting vestibular decline increase falls and injury in older adults.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universal newborn hearing screening (OAE/AABR) and follow the 1-3-6 goal — screen by 1 month, diagnose by 3, intervene by 6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immunisation (measles, mumps, rubella/MR, plus meningitis where indicated) and protect pregnancy from rubella and CMV.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safe listening — keep personal audio at ≤60% volume for ≤60 minutes a day and use hearing protection around loud noise.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safe ear care — never insert cotton buds or objects, and seek treatment for wax, ear pain or discharge rather than self-medicating.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ototoxic self-medication and inform doctors of any hearing concern before starting aminoglycosides, cisplatin or high-dose diuretics.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(difficulty following conversation, turning the TV up, a child not responding to sound) and seek timely audiometry.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newborns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Noise-exposed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TB/oncology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over 50</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reversible causes promptly — remove cerumen, treat ear infections, and repair perforations or manage cholesteatoma surgically.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hearing aids consistently once prescribed; early, regular use improves communication and may lower the risk of cognitive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cochlear implantation for severe-to-profound loss unresponsive to aids, ideally early in children to preserve language.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communication tactics — face the speaker, reduce background noise, good lighting for lip-reading, and ask for rephrasing.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assistive listening devices (amplified phones, TV loops, captioning) and sign language / speech-language therapy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sudden sensorineural hearing loss urgently with corticosteroids — it is a medical emergency.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diagnosed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Hearing-aid &amp; implant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pre-lingual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otitis media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at least 150 minutes/week of moderate aerobic activity to support cochlear microcirculation.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weight and central obesity to reduce the metabolic risk factors that damage hearing.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exercise with control of blood pressure, glucose and lipids for cardiovascular and cochlear protection.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overall physical function, which is associated with a lower likelihood of hearing loss in ageing.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diet rich in fruit, vegetables and antioxidants (vitamins A, C, E), associated with better hearing preservation.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folate, omega-3 fatty acids, iodine and vitamin B12 (green leafy vegetables, legumes, fish, iodised salt).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saturated fat, fried and ultra-processed foods that worsen dyslipidaemia and cochlear blood flow.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glycaemic control and a healthy weight through balanced, portion-controlled meals.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Micronutrient-deficient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vascular and metabolic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which aggravates cardiometabolic risk factors for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tinnitus-related sleep disturbance with sound therapy and good sleep hygiene.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metabolic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tinnitus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sleep apnoea</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tobacco causes cochlear hypoxia and oxidative stress and accelerates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raises hearing loss and, in children, chronic otitis media.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as smoking and noise act synergistically.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Noise-exposed smokers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or abstain, as chronic heavy use is linked to central auditory injury and worse thresholds.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the combination of heavy drinking and smoking, which is strongly associated with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alcohol-related nutritional deficiencies that can further harm the auditory system.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Heavy/chronic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men with combined smoking and alcohol use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people with hearing loss for depression and loneliness, which are common and under-recognised.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hearing rehabilitation and social participation, which improve mood and reduce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support groups and, where indicated, treatment for depression or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family and caregivers to maintain communication and reduce withdrawal, and support parents of deaf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depressive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deaf children</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mji.in/prevalence-of-hearing-loss-in-india/" TargetMode="External"/><Relationship Id="rId10" Type="http://schemas.openxmlformats.org/officeDocument/2006/relationships/hyperlink" Target="https://www.who.int/news-room/fact-sheets/detail/deafness-and-hearing-loss" TargetMode="External"/><Relationship Id="rId11" Type="http://schemas.openxmlformats.org/officeDocument/2006/relationships/hyperlink" Target="https://pmc.ncbi.nlm.nih.gov/articles/PMC12862173/" TargetMode="External"/><Relationship Id="rId12" Type="http://schemas.openxmlformats.org/officeDocument/2006/relationships/hyperlink" Target="https://www.alliedacademies.org/articles/hearing-in-india-all-aspects.pdf" TargetMode="External"/><Relationship Id="rId13" Type="http://schemas.openxmlformats.org/officeDocument/2006/relationships/hyperlink" Target="https://www.cdc.gov/diabetes/diabetes-complications/diabetes-and-hearing-loss.html" TargetMode="External"/><Relationship Id="rId14" Type="http://schemas.openxmlformats.org/officeDocument/2006/relationships/hyperlink" Target="https://pubmed.ncbi.nlm.nih.gov/340153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