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Acute Otitis Media</w:t>
      </w:r>
    </w:p>
    <w:p>
      <w:pPr>
        <w:spacing w:before="0" w:after="160"/>
      </w:pPr>
      <w:r>
        <w:rPr>
          <w:rFonts w:ascii="Calibri" w:hAnsi="Calibri"/>
          <w:b/>
          <w:i w:val="0"/>
          <w:color w:val="212121"/>
          <w:sz w:val="22"/>
        </w:rPr>
        <w:t xml:space="preserve">AKA </w:t>
      </w:r>
      <w:r>
        <w:rPr>
          <w:rFonts w:ascii="Calibri" w:hAnsi="Calibri"/>
          <w:b w:val="0"/>
          <w:i w:val="0"/>
          <w:color w:val="212121"/>
          <w:sz w:val="22"/>
        </w:rPr>
        <w:t>i.e., AOM, Acute suppurative otitis media (ASOM), Acute middle-ear infection, Ear infection, Middle-ear infection</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Acute otitis media (AOM) is the rapid-onset inflammation of the middle-ear cleft, defined by a middle-ear effusion together with signs and symptoms of acute middle-ear inflammation (a bulging, erythematous tympanic membrane, otalgia, or new-onset otorrhoea). It is one of the most common bacterial infections of early childhood and typically follows a viral upper-respiratory infection that causes Eustachian-tube dysfunction, allowing nasopharyngeal pathogens to ascend into the normally sterile middle ear. The short, horizontal and functionally immature Eustachian tube of infants explains the peak incidence between 6 and 24 months, and the great majority of cases are caused by Streptococcus pneumoniae, non-typeable Haemophilus influenzae and Moraxella catarrhalis.</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Acute otitis media is one of the commonest reasons Indian children are brought to primary-care and ENT clinics, though its acute, self-limiting nature means community cross-sectional surveys under-capture it. A systematic review and meta-analysis of Indian children under 18 years found a point-prevalence of acute suppurative otitis media of about 0.55% (95% CI 0.32–0.78), against a much larger background of chronic suppurative otitis media (3.78%) and otitis media with effusion (2.68%), with overall ear ailments affecting roughly 11.7% of children. The burden is strongly socially patterned: prevalence reached 19.6% in the lowest socioeconomic group versus 2.13% in the highest, and 9.9% in urban-slum children versus 4.6% in non-slum urban and 7% in rural children. Globally, 50–85% of children experience at least one episode of AOM by three years of age, with the peak between 6 and 24 months and a slight male predominance.</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Acute otitis media is a clinical diagnosis made on otoscopy, and (per the American Academy of Pediatrics) requires evidence of a middle-ear effusion together with acute inflammation. It is diagnosed on the basis of any of the following:</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moderate-to-severe bulging of the tympanic membrane, or new-onset otorrhoea not attributable to acute otitis externa;</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mild bulging of the tympanic membrane accompanied by recent (&lt; 48 h) onset of ear pain (holding, tugging or rubbing of the ear in a non-verbal child) or intense erythema of the drum;</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demonstrable middle-ear effusion — reduced or absent tympanic-membrane mobility on pneumatic otoscopy, an air–fluid level behind the drum, or otorrhoea (AOM should not be diagnosed without a middle-ear effusion);</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differentiation from otitis media with effusion (OME), in which an effusion is present without the bulging, marked erythema or acute symptoms of inflammation;</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severity grading — 'severe' AOM = moderate/severe otalgia, otalgia ≥ 48 h, or temperature ≥ 39 °C; 'non-severe' = mild otalgia &lt; 48 h with temperature &lt; 39 °C;</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tympanometry or acoustic reflectometry to confirm a middle-ear effusion when otoscopy is equivocal, and pneumatic otoscopy remains the reference bedside test.</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Acute otitis media is classified by severity, recurrence and the state of the tympanic membrane, and must be distinguished from its close relative otitis media with effusion:</w:t>
      </w:r>
    </w:p>
    <w:p>
      <w:pPr>
        <w:spacing w:before="0" w:after="80"/>
      </w:pPr>
      <w:r>
        <w:rPr>
          <w:rFonts w:ascii="Calibri" w:hAnsi="Calibri"/>
          <w:b w:val="0"/>
          <w:i w:val="0"/>
          <w:color w:val="212121"/>
          <w:sz w:val="21"/>
        </w:rPr>
        <w:t>(1) Non-severe AOM — a bulging, inflamed drum with mild otalgia of less than 48 hours and temperature below 39 °C, often amenable to initial observation (watchful waiting) in older children;</w:t>
      </w:r>
    </w:p>
    <w:p>
      <w:pPr>
        <w:spacing w:before="0" w:after="80"/>
      </w:pPr>
      <w:r>
        <w:rPr>
          <w:rFonts w:ascii="Calibri" w:hAnsi="Calibri"/>
          <w:b w:val="0"/>
          <w:i w:val="0"/>
          <w:color w:val="212121"/>
          <w:sz w:val="21"/>
        </w:rPr>
        <w:t>(2) Severe AOM — moderate-to-severe or prolonged (≥ 48 h) otalgia or temperature ≥ 39 °C, or a toxic/systemically unwell child, warranting prompt antibiotic therapy;</w:t>
      </w:r>
    </w:p>
    <w:p>
      <w:pPr>
        <w:spacing w:before="0" w:after="80"/>
      </w:pPr>
      <w:r>
        <w:rPr>
          <w:rFonts w:ascii="Calibri" w:hAnsi="Calibri"/>
          <w:b w:val="0"/>
          <w:i w:val="0"/>
          <w:color w:val="212121"/>
          <w:sz w:val="21"/>
        </w:rPr>
        <w:t>(3) Recurrent AOM — three or more well-documented, separate episodes in 6 months, or four or more in 12 months with at least one in the preceding 6 months; a trigger for further work-up and possible ventilation-tube (grommet) insertion;</w:t>
      </w:r>
    </w:p>
    <w:p>
      <w:pPr>
        <w:spacing w:before="0" w:after="80"/>
      </w:pPr>
      <w:r>
        <w:rPr>
          <w:rFonts w:ascii="Calibri" w:hAnsi="Calibri"/>
          <w:b w:val="0"/>
          <w:i w:val="0"/>
          <w:color w:val="212121"/>
          <w:sz w:val="21"/>
        </w:rPr>
        <w:t>(4) AOM with spontaneous perforation and otorrhoea — pressure necrosis of the drum releasing purulent discharge, which typically relieves the pain;</w:t>
      </w:r>
    </w:p>
    <w:p>
      <w:pPr>
        <w:spacing w:before="0" w:after="80"/>
      </w:pPr>
      <w:r>
        <w:rPr>
          <w:rFonts w:ascii="Calibri" w:hAnsi="Calibri"/>
          <w:b w:val="0"/>
          <w:i w:val="0"/>
          <w:color w:val="212121"/>
          <w:sz w:val="21"/>
        </w:rPr>
        <w:t>(5) Bullous myringitis — a variant with haemorrhagic or serous bullae on the tympanic membrane, often intensely painful;</w:t>
      </w:r>
    </w:p>
    <w:p>
      <w:pPr>
        <w:spacing w:before="0" w:after="80"/>
      </w:pPr>
      <w:r>
        <w:rPr>
          <w:rFonts w:ascii="Calibri" w:hAnsi="Calibri"/>
          <w:b w:val="0"/>
          <w:i w:val="0"/>
          <w:color w:val="212121"/>
          <w:sz w:val="21"/>
        </w:rPr>
        <w:t>(6) Otitis media with effusion (OME / 'glue ear') — a persistent middle-ear effusion without acute inflammation that commonly follows AOM and, if prolonged, causes conductive hearing loss; recurrent or unresolving disease can progress to chronic suppurative otitis media.</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Eustachian-tube dysfunction: The short, horizontal, floppy and functionally immature Eustachian tube of young children fails to ventilate and clear the middle ear, the central mechanism of AOM.</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Preceding viral upper-respiratory infection: Viral rhinosinusitis (RSV, rhinovirus, influenza, adenovirus) causes mucosal oedema and tubal obstruction and is the commonest immediate precipitant.</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Bacterial pathogens: Streptococcus pneumoniae, non-typeable Haemophilus influenzae and Moraxella catarrhalis account for the large majority of culturable cases, ascending from the nasopharynx.</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Nasopharyngeal colonisation: Dense early colonisation with pneumococcus and other otopathogens (favoured by crowding and day care) strongly predisposes to AOM.</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Immature or impaired host immunity: Infancy, prematurity, immunodeficiency and lack of protective breast-milk antibodies increase susceptibility.</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Environmental and mechanical factors: Passive tobacco smoke, overcrowding, day-care attendance, bottle- and supine-feeding, and pacifier use all raise risk.</w:t>
      </w:r>
    </w:p>
    <w:p>
      <w:pPr>
        <w:spacing w:after="60"/>
        <w:ind w:left="432" w:hanging="288"/>
      </w:pPr>
      <w:r>
        <w:rPr>
          <w:rFonts w:ascii="Calibri" w:hAnsi="Calibri"/>
          <w:b/>
          <w:i w:val="0"/>
          <w:color w:val="212121"/>
          <w:sz w:val="21"/>
        </w:rPr>
        <w:t xml:space="preserve">7. </w:t>
      </w:r>
      <w:r>
        <w:rPr>
          <w:rFonts w:ascii="Calibri" w:hAnsi="Calibri"/>
          <w:b w:val="0"/>
          <w:i w:val="0"/>
          <w:color w:val="212121"/>
          <w:sz w:val="21"/>
        </w:rPr>
        <w:t>Adenoid hypertrophy and biofilm: Enlarged, chronically infected adenoids obstruct the tube and act as a bacterial biofilm reservoir, especially in recurrent disease.</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Infants (6–24 months)</w:t>
            </w:r>
          </w:p>
        </w:tc>
        <w:tc>
          <w:tcPr>
            <w:tcW w:type="dxa" w:w="4276"/>
            <w:vAlign w:val="top"/>
          </w:tcPr>
          <w:p>
            <w:pPr>
              <w:spacing w:after="60" w:line="259" w:lineRule="auto"/>
            </w:pPr>
            <w:r>
              <w:rPr>
                <w:rFonts w:ascii="Calibri" w:hAnsi="Calibri"/>
                <w:b w:val="0"/>
                <w:i w:val="0"/>
                <w:color w:val="212121"/>
                <w:sz w:val="19"/>
              </w:rPr>
              <w:t>The peak-incidence group. The Eustachian tube is short, horizontal and poorly functional, the immune system is immature, and nasopharyngeal colonisation with otopathogens is dense, so any viral cold readily progresses to middle-ear infection.</w:t>
            </w:r>
          </w:p>
          <w:p>
            <w:pPr>
              <w:spacing w:after="40" w:before="60" w:line="259" w:lineRule="auto"/>
            </w:pPr>
            <w:r>
              <w:rPr>
                <w:rFonts w:ascii="Calibri" w:hAnsi="Calibri"/>
                <w:b w:val="0"/>
                <w:i w:val="0"/>
                <w:color w:val="212121"/>
                <w:sz w:val="19"/>
              </w:rPr>
              <w:t>AOM incidence peaks between 6 and 24 months, and 50–85% of children have had at least one episode by three years of age.</w:t>
            </w:r>
          </w:p>
          <w:p>
            <w:pPr>
              <w:spacing w:after="40" w:line="252" w:lineRule="auto"/>
            </w:pPr>
            <w:hyperlink r:id="rId9">
              <w:r>
                <w:rPr>
                  <w:rFonts w:ascii="Calibri" w:hAnsi="Calibri" w:cs="Calibri"/>
                  <w:sz w:val="18"/>
                  <w:color w:val="1155CC"/>
                  <w:u w:val="single"/>
                </w:rPr>
                <w:t xml:space="preserve">merckmanuals.com — otitis media (acute)</w:t>
              </w:r>
            </w:hyperlink>
          </w:p>
          <w:p>
            <w:pPr>
              <w:spacing w:before="60" w:after="40"/>
            </w:pPr>
            <w:r>
              <w:rPr>
                <w:rFonts w:ascii="Calibri" w:hAnsi="Calibri"/>
                <w:b w:val="0"/>
                <w:i w:val="0"/>
                <w:color w:val="5A5A5A"/>
                <w:sz w:val="18"/>
              </w:rPr>
              <w:t>#infants  #eustachiantube  #peakage  #middleear  #immature</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Toddlers &amp; pre-schoolers (2–5 years)</w:t>
            </w:r>
          </w:p>
        </w:tc>
        <w:tc>
          <w:tcPr>
            <w:tcW w:type="dxa" w:w="4276"/>
            <w:vAlign w:val="top"/>
          </w:tcPr>
          <w:p>
            <w:pPr>
              <w:spacing w:after="60" w:line="259" w:lineRule="auto"/>
            </w:pPr>
            <w:r>
              <w:rPr>
                <w:rFonts w:ascii="Calibri" w:hAnsi="Calibri"/>
                <w:b w:val="0"/>
                <w:i w:val="0"/>
                <w:color w:val="212121"/>
                <w:sz w:val="19"/>
              </w:rPr>
              <w:t>Risk remains high as children mix in crèches, playschools and crowded homes, repeatedly acquiring the viral colds and new pneumococcal serotypes that precipitate AOM before the Eustachian tube matures.</w:t>
            </w:r>
          </w:p>
          <w:p>
            <w:pPr>
              <w:spacing w:after="40" w:before="60" w:line="259" w:lineRule="auto"/>
            </w:pPr>
            <w:r>
              <w:rPr>
                <w:rFonts w:ascii="Calibri" w:hAnsi="Calibri"/>
                <w:b w:val="0"/>
                <w:i w:val="0"/>
                <w:color w:val="212121"/>
                <w:sz w:val="19"/>
              </w:rPr>
              <w:t>The largest number of episodes occurs in children aged roughly 2–4 years, coinciding with day-care exposure and frequent upper-respiratory infections.</w:t>
            </w:r>
          </w:p>
          <w:p>
            <w:pPr>
              <w:spacing w:after="40" w:line="252" w:lineRule="auto"/>
            </w:pPr>
            <w:hyperlink r:id="rId9">
              <w:r>
                <w:rPr>
                  <w:rFonts w:ascii="Calibri" w:hAnsi="Calibri" w:cs="Calibri"/>
                  <w:sz w:val="18"/>
                  <w:color w:val="1155CC"/>
                  <w:u w:val="single"/>
                </w:rPr>
                <w:t xml:space="preserve">merckmanuals.com — otitis media (acute)</w:t>
              </w:r>
            </w:hyperlink>
          </w:p>
          <w:p>
            <w:pPr>
              <w:spacing w:before="60" w:after="40"/>
            </w:pPr>
            <w:r>
              <w:rPr>
                <w:rFonts w:ascii="Calibri" w:hAnsi="Calibri"/>
                <w:b w:val="0"/>
                <w:i w:val="0"/>
                <w:color w:val="5A5A5A"/>
                <w:sz w:val="18"/>
              </w:rPr>
              <w:t>#toddlers  #daycare  #URI  #preschool  #recurrent</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Male children</w:t>
            </w:r>
          </w:p>
        </w:tc>
        <w:tc>
          <w:tcPr>
            <w:tcW w:type="dxa" w:w="4276"/>
            <w:vAlign w:val="top"/>
          </w:tcPr>
          <w:p>
            <w:pPr>
              <w:spacing w:after="60" w:line="259" w:lineRule="auto"/>
            </w:pPr>
            <w:r>
              <w:rPr>
                <w:rFonts w:ascii="Calibri" w:hAnsi="Calibri"/>
                <w:b w:val="0"/>
                <w:i w:val="0"/>
                <w:color w:val="212121"/>
                <w:sz w:val="19"/>
              </w:rPr>
              <w:t>Boys tend to have a slightly higher incidence of AOM than girls, attributed to differences in Eustachian-tube physiology and immune response, though Indian community ear-disease surveys have shown no strong sex association.</w:t>
            </w:r>
          </w:p>
          <w:p>
            <w:pPr>
              <w:spacing w:after="40" w:before="60" w:line="259" w:lineRule="auto"/>
            </w:pPr>
            <w:r>
              <w:rPr>
                <w:rFonts w:ascii="Calibri" w:hAnsi="Calibri"/>
                <w:b w:val="0"/>
                <w:i w:val="0"/>
                <w:color w:val="212121"/>
                <w:sz w:val="19"/>
              </w:rPr>
              <w:t>There is a consistent slight male predominance in acute otitis media across populations.</w:t>
            </w:r>
          </w:p>
          <w:p>
            <w:pPr>
              <w:spacing w:after="40" w:line="252" w:lineRule="auto"/>
            </w:pPr>
            <w:hyperlink r:id="rId9">
              <w:r>
                <w:rPr>
                  <w:rFonts w:ascii="Calibri" w:hAnsi="Calibri" w:cs="Calibri"/>
                  <w:sz w:val="18"/>
                  <w:color w:val="1155CC"/>
                  <w:u w:val="single"/>
                </w:rPr>
                <w:t xml:space="preserve">merckmanuals.com — otitis media (acute)</w:t>
              </w:r>
            </w:hyperlink>
          </w:p>
          <w:p>
            <w:pPr>
              <w:spacing w:before="60" w:after="40"/>
            </w:pPr>
            <w:r>
              <w:rPr>
                <w:rFonts w:ascii="Calibri" w:hAnsi="Calibri"/>
                <w:b w:val="0"/>
                <w:i w:val="0"/>
                <w:color w:val="5A5A5A"/>
                <w:sz w:val="18"/>
              </w:rPr>
              <w:t>#male  #sexdifference  #incidence  #boys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Children from low-income families</w:t>
            </w:r>
          </w:p>
        </w:tc>
        <w:tc>
          <w:tcPr>
            <w:tcW w:type="dxa" w:w="4276"/>
            <w:vAlign w:val="top"/>
          </w:tcPr>
          <w:p>
            <w:pPr>
              <w:spacing w:after="60" w:line="259" w:lineRule="auto"/>
            </w:pPr>
            <w:r>
              <w:rPr>
                <w:rFonts w:ascii="Calibri" w:hAnsi="Calibri"/>
                <w:b w:val="0"/>
                <w:i w:val="0"/>
                <w:color w:val="212121"/>
                <w:sz w:val="19"/>
              </w:rPr>
              <w:t>Poverty clusters the key drivers of AOM — overcrowding, indoor smoke, undernutrition, poor hygiene, incomplete vaccination and delayed care — so both incidence and complications are far higher in the poorest children.</w:t>
            </w:r>
          </w:p>
          <w:p>
            <w:pPr>
              <w:spacing w:after="40" w:before="60" w:line="259" w:lineRule="auto"/>
            </w:pPr>
            <w:r>
              <w:rPr>
                <w:rFonts w:ascii="Calibri" w:hAnsi="Calibri"/>
                <w:b w:val="0"/>
                <w:i w:val="0"/>
                <w:color w:val="212121"/>
                <w:sz w:val="19"/>
              </w:rPr>
              <w:t>In Indian surveys, ear-disease prevalence reached 19.6% in the lowest socioeconomic group versus 2.13% in the highest.</w:t>
            </w:r>
          </w:p>
          <w:p>
            <w:pPr>
              <w:spacing w:after="40" w:line="252" w:lineRule="auto"/>
            </w:pPr>
            <w:hyperlink r:id="rId10">
              <w:r>
                <w:rPr>
                  <w:rFonts w:ascii="Calibri" w:hAnsi="Calibri" w:cs="Calibri"/>
                  <w:sz w:val="18"/>
                  <w:color w:val="1155CC"/>
                  <w:u w:val="single"/>
                </w:rPr>
                <w:t xml:space="preserve">clinmedjournals.org — ear infections in Indian children</w:t>
              </w:r>
            </w:hyperlink>
          </w:p>
          <w:p>
            <w:pPr>
              <w:spacing w:before="60" w:after="40"/>
            </w:pPr>
            <w:r>
              <w:rPr>
                <w:rFonts w:ascii="Calibri" w:hAnsi="Calibri"/>
                <w:b w:val="0"/>
                <w:i w:val="0"/>
                <w:color w:val="5A5A5A"/>
                <w:sz w:val="18"/>
              </w:rPr>
              <w:t>#poverty  #overcrowding  #lowSES  #healthequity  #india</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Ethnicity / region</w:t>
            </w:r>
          </w:p>
        </w:tc>
        <w:tc>
          <w:tcPr>
            <w:tcW w:type="dxa" w:w="2160"/>
            <w:vAlign w:val="top"/>
          </w:tcPr>
          <w:p>
            <w:pPr>
              <w:spacing w:after="40" w:before="0" w:line="259" w:lineRule="auto"/>
            </w:pPr>
            <w:r>
              <w:rPr>
                <w:rFonts w:ascii="Calibri" w:hAnsi="Calibri"/>
                <w:b w:val="0"/>
                <w:i w:val="0"/>
                <w:color w:val="212121"/>
                <w:sz w:val="19"/>
              </w:rPr>
              <w:t>Urban-slum &amp; crowded-household children (India)</w:t>
            </w:r>
          </w:p>
        </w:tc>
        <w:tc>
          <w:tcPr>
            <w:tcW w:type="dxa" w:w="4276"/>
            <w:vAlign w:val="top"/>
          </w:tcPr>
          <w:p>
            <w:pPr>
              <w:spacing w:after="60" w:line="259" w:lineRule="auto"/>
            </w:pPr>
            <w:r>
              <w:rPr>
                <w:rFonts w:ascii="Calibri" w:hAnsi="Calibri"/>
                <w:b w:val="0"/>
                <w:i w:val="0"/>
                <w:color w:val="212121"/>
                <w:sz w:val="19"/>
              </w:rPr>
              <w:t>Dense living, shared bedrooms, high smoke exposure and rapid person-to-person spread of respiratory viruses and pneumococcus make ear infection markedly more common in slum children than in better-off urban peers.</w:t>
            </w:r>
          </w:p>
          <w:p>
            <w:pPr>
              <w:spacing w:after="40" w:before="60" w:line="259" w:lineRule="auto"/>
            </w:pPr>
            <w:r>
              <w:rPr>
                <w:rFonts w:ascii="Calibri" w:hAnsi="Calibri"/>
                <w:b w:val="0"/>
                <w:i w:val="0"/>
                <w:color w:val="212121"/>
                <w:sz w:val="19"/>
              </w:rPr>
              <w:t>A Delhi study found otitis media in 9.9% of urban-slum children compared with 4.6% in non-slum urban and 7% in rural children.</w:t>
            </w:r>
          </w:p>
          <w:p>
            <w:pPr>
              <w:spacing w:after="40" w:line="252" w:lineRule="auto"/>
            </w:pPr>
            <w:hyperlink r:id="rId10">
              <w:r>
                <w:rPr>
                  <w:rFonts w:ascii="Calibri" w:hAnsi="Calibri" w:cs="Calibri"/>
                  <w:sz w:val="18"/>
                  <w:color w:val="1155CC"/>
                  <w:u w:val="single"/>
                </w:rPr>
                <w:t xml:space="preserve">clinmedjournals.org — ear infections in Indian children</w:t>
              </w:r>
            </w:hyperlink>
          </w:p>
          <w:p>
            <w:pPr>
              <w:spacing w:before="60" w:after="40"/>
            </w:pPr>
            <w:r>
              <w:rPr>
                <w:rFonts w:ascii="Calibri" w:hAnsi="Calibri"/>
                <w:b w:val="0"/>
                <w:i w:val="0"/>
                <w:color w:val="5A5A5A"/>
                <w:sz w:val="18"/>
              </w:rPr>
              <w:t>#urbanslum  #crowding  #india  #delhi  #transmission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Season / climate</w:t>
            </w:r>
          </w:p>
        </w:tc>
        <w:tc>
          <w:tcPr>
            <w:tcW w:type="dxa" w:w="2160"/>
            <w:vAlign w:val="top"/>
          </w:tcPr>
          <w:p>
            <w:pPr>
              <w:spacing w:after="40" w:before="0" w:line="259" w:lineRule="auto"/>
            </w:pPr>
            <w:r>
              <w:rPr>
                <w:rFonts w:ascii="Calibri" w:hAnsi="Calibri"/>
                <w:b w:val="0"/>
                <w:i w:val="0"/>
                <w:color w:val="212121"/>
                <w:sz w:val="19"/>
              </w:rPr>
              <w:t>Children in winter &amp; monsoon URI seasons</w:t>
            </w:r>
          </w:p>
        </w:tc>
        <w:tc>
          <w:tcPr>
            <w:tcW w:type="dxa" w:w="4276"/>
            <w:vAlign w:val="top"/>
          </w:tcPr>
          <w:p>
            <w:pPr>
              <w:spacing w:after="60" w:line="259" w:lineRule="auto"/>
            </w:pPr>
            <w:r>
              <w:rPr>
                <w:rFonts w:ascii="Calibri" w:hAnsi="Calibri"/>
                <w:b w:val="0"/>
                <w:i w:val="0"/>
                <w:color w:val="212121"/>
                <w:sz w:val="19"/>
              </w:rPr>
              <w:t>AOM tracks the seasonal circulation of respiratory viruses; cold, damp and crowded indoor conditions in winter and the monsoon increase upper-respiratory infections and therefore middle-ear infections.</w:t>
            </w:r>
          </w:p>
          <w:p>
            <w:pPr>
              <w:spacing w:after="40" w:before="60" w:line="259" w:lineRule="auto"/>
            </w:pPr>
            <w:r>
              <w:rPr>
                <w:rFonts w:ascii="Calibri" w:hAnsi="Calibri"/>
                <w:b w:val="0"/>
                <w:i w:val="0"/>
                <w:color w:val="212121"/>
                <w:sz w:val="19"/>
              </w:rPr>
              <w:t>AOM incidence rises in the colder, high-URI months, mirroring the seasonal peaks of viral respiratory infection.</w:t>
            </w:r>
          </w:p>
          <w:p>
            <w:pPr>
              <w:spacing w:before="60" w:after="40"/>
            </w:pPr>
            <w:r>
              <w:rPr>
                <w:rFonts w:ascii="Calibri" w:hAnsi="Calibri"/>
                <w:b w:val="0"/>
                <w:i w:val="0"/>
                <w:color w:val="5A5A5A"/>
                <w:sz w:val="18"/>
              </w:rPr>
              <w:t>#winter  #monsoon  #seasonal  #viralURI  #respiratory</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Passive smoking</w:t>
            </w:r>
          </w:p>
        </w:tc>
        <w:tc>
          <w:tcPr>
            <w:tcW w:type="dxa" w:w="2160"/>
            <w:vAlign w:val="top"/>
          </w:tcPr>
          <w:p>
            <w:pPr>
              <w:spacing w:after="40" w:before="0" w:line="259" w:lineRule="auto"/>
            </w:pPr>
            <w:r>
              <w:rPr>
                <w:rFonts w:ascii="Calibri" w:hAnsi="Calibri"/>
                <w:b w:val="0"/>
                <w:i w:val="0"/>
                <w:color w:val="212121"/>
                <w:sz w:val="19"/>
              </w:rPr>
              <w:t>Children in tobacco-smoke households</w:t>
            </w:r>
          </w:p>
        </w:tc>
        <w:tc>
          <w:tcPr>
            <w:tcW w:type="dxa" w:w="4276"/>
            <w:vAlign w:val="top"/>
          </w:tcPr>
          <w:p>
            <w:pPr>
              <w:spacing w:after="60" w:line="259" w:lineRule="auto"/>
            </w:pPr>
            <w:r>
              <w:rPr>
                <w:rFonts w:ascii="Calibri" w:hAnsi="Calibri"/>
                <w:b w:val="0"/>
                <w:i w:val="0"/>
                <w:color w:val="212121"/>
                <w:sz w:val="19"/>
              </w:rPr>
              <w:t>Environmental tobacco smoke inflames and impairs the mucociliary clearance of the nasopharynx and Eustachian tube, promotes otopathogen colonisation, and is one of the strongest modifiable risk factors for AOM and recurrent AOM.</w:t>
            </w:r>
          </w:p>
          <w:p>
            <w:pPr>
              <w:spacing w:after="40" w:before="60" w:line="259" w:lineRule="auto"/>
            </w:pPr>
            <w:r>
              <w:rPr>
                <w:rFonts w:ascii="Calibri" w:hAnsi="Calibri"/>
                <w:b w:val="0"/>
                <w:i w:val="0"/>
                <w:color w:val="212121"/>
                <w:sz w:val="19"/>
              </w:rPr>
              <w:t>Passive (household) smoking is repeatedly identified among the key modifiable risk factors for otitis media in Indian children.</w:t>
            </w:r>
          </w:p>
          <w:p>
            <w:pPr>
              <w:spacing w:after="40" w:line="252" w:lineRule="auto"/>
            </w:pPr>
            <w:hyperlink r:id="rId10">
              <w:r>
                <w:rPr>
                  <w:rFonts w:ascii="Calibri" w:hAnsi="Calibri" w:cs="Calibri"/>
                  <w:sz w:val="18"/>
                  <w:color w:val="1155CC"/>
                  <w:u w:val="single"/>
                </w:rPr>
                <w:t xml:space="preserve">clinmedjournals.org — ear infections in Indian children</w:t>
              </w:r>
            </w:hyperlink>
          </w:p>
          <w:p>
            <w:pPr>
              <w:spacing w:before="60" w:after="40"/>
            </w:pPr>
            <w:r>
              <w:rPr>
                <w:rFonts w:ascii="Calibri" w:hAnsi="Calibri"/>
                <w:b w:val="0"/>
                <w:i w:val="0"/>
                <w:color w:val="5A5A5A"/>
                <w:sz w:val="18"/>
              </w:rPr>
              <w:t>#passivesmoking  #tobacco  #secondhandsmoke  #modifiable  #mucociliary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Day-care / crèche attendance</w:t>
            </w:r>
          </w:p>
        </w:tc>
        <w:tc>
          <w:tcPr>
            <w:tcW w:type="dxa" w:w="2160"/>
            <w:vAlign w:val="top"/>
          </w:tcPr>
          <w:p>
            <w:pPr>
              <w:spacing w:after="40" w:before="0" w:line="259" w:lineRule="auto"/>
            </w:pPr>
            <w:r>
              <w:rPr>
                <w:rFonts w:ascii="Calibri" w:hAnsi="Calibri"/>
                <w:b w:val="0"/>
                <w:i w:val="0"/>
                <w:color w:val="212121"/>
                <w:sz w:val="19"/>
              </w:rPr>
              <w:t>Children in group childcare</w:t>
            </w:r>
          </w:p>
        </w:tc>
        <w:tc>
          <w:tcPr>
            <w:tcW w:type="dxa" w:w="4276"/>
            <w:vAlign w:val="top"/>
          </w:tcPr>
          <w:p>
            <w:pPr>
              <w:spacing w:after="60" w:line="259" w:lineRule="auto"/>
            </w:pPr>
            <w:r>
              <w:rPr>
                <w:rFonts w:ascii="Calibri" w:hAnsi="Calibri"/>
                <w:b w:val="0"/>
                <w:i w:val="0"/>
                <w:color w:val="212121"/>
                <w:sz w:val="19"/>
              </w:rPr>
              <w:t>Group childcare vastly increases exposure to respiratory viruses and to new, sometimes resistant, otopathogen strains, driving up both first and recurrent episodes of AOM.</w:t>
            </w:r>
          </w:p>
          <w:p>
            <w:pPr>
              <w:spacing w:after="40" w:before="60" w:line="259" w:lineRule="auto"/>
            </w:pPr>
            <w:r>
              <w:rPr>
                <w:rFonts w:ascii="Calibri" w:hAnsi="Calibri"/>
                <w:b w:val="0"/>
                <w:i w:val="0"/>
                <w:color w:val="212121"/>
                <w:sz w:val="19"/>
              </w:rPr>
              <w:t>Day-care/crèche attendance is a well-established risk factor for acute and recurrent otitis media through increased respiratory-infection exposure.</w:t>
            </w:r>
          </w:p>
          <w:p>
            <w:pPr>
              <w:spacing w:after="40" w:line="252" w:lineRule="auto"/>
            </w:pPr>
            <w:hyperlink r:id="rId11">
              <w:r>
                <w:rPr>
                  <w:rFonts w:ascii="Calibri" w:hAnsi="Calibri" w:cs="Calibri"/>
                  <w:sz w:val="18"/>
                  <w:color w:val="1155CC"/>
                  <w:u w:val="single"/>
                </w:rPr>
                <w:t xml:space="preserve">ncbi.nlm.nih.gov — Acute Otitis Media (StatPearls)</w:t>
              </w:r>
            </w:hyperlink>
          </w:p>
          <w:p>
            <w:pPr>
              <w:spacing w:before="60" w:after="40"/>
            </w:pPr>
            <w:r>
              <w:rPr>
                <w:rFonts w:ascii="Calibri" w:hAnsi="Calibri"/>
                <w:b w:val="0"/>
                <w:i w:val="0"/>
                <w:color w:val="5A5A5A"/>
                <w:sz w:val="18"/>
              </w:rPr>
              <w:t>#daycare  #creche  #crossinfection  #recurrentAOM  #exposure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Feeding practice / posture</w:t>
            </w:r>
          </w:p>
        </w:tc>
        <w:tc>
          <w:tcPr>
            <w:tcW w:type="dxa" w:w="2160"/>
            <w:vAlign w:val="top"/>
          </w:tcPr>
          <w:p>
            <w:pPr>
              <w:spacing w:after="40" w:before="0" w:line="259" w:lineRule="auto"/>
            </w:pPr>
            <w:r>
              <w:rPr>
                <w:rFonts w:ascii="Calibri" w:hAnsi="Calibri"/>
                <w:b w:val="0"/>
                <w:i w:val="0"/>
                <w:color w:val="212121"/>
                <w:sz w:val="19"/>
              </w:rPr>
              <w:t>Bottle-propped, supine-fed &amp; pacifier-using infants</w:t>
            </w:r>
          </w:p>
        </w:tc>
        <w:tc>
          <w:tcPr>
            <w:tcW w:type="dxa" w:w="4276"/>
            <w:vAlign w:val="top"/>
          </w:tcPr>
          <w:p>
            <w:pPr>
              <w:spacing w:after="60" w:line="259" w:lineRule="auto"/>
            </w:pPr>
            <w:r>
              <w:rPr>
                <w:rFonts w:ascii="Calibri" w:hAnsi="Calibri"/>
                <w:b w:val="0"/>
                <w:i w:val="0"/>
                <w:color w:val="212121"/>
                <w:sz w:val="19"/>
              </w:rPr>
              <w:t>Feeding an infant lying flat (bottle-propping) lets milk and secretions reflux toward the Eustachian tube, and prolonged pacifier use promotes reflux and otopathogen carriage — both increasing AOM risk.</w:t>
            </w:r>
          </w:p>
          <w:p>
            <w:pPr>
              <w:spacing w:after="40" w:before="60" w:line="259" w:lineRule="auto"/>
            </w:pPr>
            <w:r>
              <w:rPr>
                <w:rFonts w:ascii="Calibri" w:hAnsi="Calibri"/>
                <w:b w:val="0"/>
                <w:i w:val="0"/>
                <w:color w:val="212121"/>
                <w:sz w:val="19"/>
              </w:rPr>
              <w:t>Supine bottle-feeding and continuous pacifier use are recognised, modifiable behavioural risk factors for AOM.</w:t>
            </w:r>
          </w:p>
          <w:p>
            <w:pPr>
              <w:spacing w:after="40" w:line="252" w:lineRule="auto"/>
            </w:pPr>
            <w:hyperlink r:id="rId11">
              <w:r>
                <w:rPr>
                  <w:rFonts w:ascii="Calibri" w:hAnsi="Calibri" w:cs="Calibri"/>
                  <w:sz w:val="18"/>
                  <w:color w:val="1155CC"/>
                  <w:u w:val="single"/>
                </w:rPr>
                <w:t xml:space="preserve">ncbi.nlm.nih.gov — Acute Otitis Media (StatPearls)</w:t>
              </w:r>
            </w:hyperlink>
          </w:p>
          <w:p>
            <w:pPr>
              <w:spacing w:before="60" w:after="40"/>
            </w:pPr>
            <w:r>
              <w:rPr>
                <w:rFonts w:ascii="Calibri" w:hAnsi="Calibri"/>
                <w:b w:val="0"/>
                <w:i w:val="0"/>
                <w:color w:val="5A5A5A"/>
                <w:sz w:val="18"/>
              </w:rPr>
              <w:t>#bottlepropping  #supinefeeding  #pacifier  #reflux  #feedingposture</w:t>
            </w:r>
          </w:p>
        </w:tc>
      </w:tr>
      <w:tr>
        <w:trPr>
          <w:cantSplit/>
        </w:trPr>
        <w:tc>
          <w:tcPr>
            <w:tcW w:type="dxa" w:w="1512"/>
            <w:vMerge w:val="restart"/>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Feeding / dietary preference</w:t>
            </w:r>
          </w:p>
        </w:tc>
        <w:tc>
          <w:tcPr>
            <w:tcW w:type="dxa" w:w="2160"/>
            <w:vAlign w:val="top"/>
          </w:tcPr>
          <w:p>
            <w:pPr>
              <w:spacing w:after="40" w:before="0" w:line="259" w:lineRule="auto"/>
            </w:pPr>
            <w:r>
              <w:rPr>
                <w:rFonts w:ascii="Calibri" w:hAnsi="Calibri"/>
                <w:b w:val="0"/>
                <w:i w:val="0"/>
                <w:color w:val="212121"/>
                <w:sz w:val="19"/>
              </w:rPr>
              <w:t>Formula-fed / non-breastfed infants</w:t>
            </w:r>
          </w:p>
        </w:tc>
        <w:tc>
          <w:tcPr>
            <w:tcW w:type="dxa" w:w="4276"/>
            <w:vAlign w:val="top"/>
          </w:tcPr>
          <w:p>
            <w:pPr>
              <w:spacing w:after="60" w:line="259" w:lineRule="auto"/>
            </w:pPr>
            <w:r>
              <w:rPr>
                <w:rFonts w:ascii="Calibri" w:hAnsi="Calibri"/>
                <w:b w:val="0"/>
                <w:i w:val="0"/>
                <w:color w:val="212121"/>
                <w:sz w:val="19"/>
              </w:rPr>
              <w:t>Breast milk supplies protective secretory IgA and other immune factors and, when given in the upright position, reduces middle-ear reflux; lack of breastfeeding removes this protection and raises AOM risk.</w:t>
            </w:r>
          </w:p>
          <w:p>
            <w:pPr>
              <w:spacing w:after="40" w:before="60" w:line="259" w:lineRule="auto"/>
            </w:pPr>
            <w:r>
              <w:rPr>
                <w:rFonts w:ascii="Calibri" w:hAnsi="Calibri"/>
                <w:b w:val="0"/>
                <w:i w:val="0"/>
                <w:color w:val="212121"/>
                <w:sz w:val="19"/>
              </w:rPr>
              <w:t>Lack of breastfeeding is a consistently identified risk factor for otitis media, and breastfeeding is protective against childhood AOM in systematic reviews.</w:t>
            </w:r>
          </w:p>
          <w:p>
            <w:pPr>
              <w:spacing w:after="40" w:line="252" w:lineRule="auto"/>
            </w:pPr>
            <w:hyperlink r:id="rId12">
              <w:r>
                <w:rPr>
                  <w:rFonts w:ascii="Calibri" w:hAnsi="Calibri" w:cs="Calibri"/>
                  <w:sz w:val="18"/>
                  <w:color w:val="1155CC"/>
                  <w:u w:val="single"/>
                </w:rPr>
                <w:t xml:space="preserve">onlinelibrary.wiley.com — breastfeeding &amp; AOM meta-analysis</w:t>
              </w:r>
            </w:hyperlink>
          </w:p>
          <w:p>
            <w:pPr>
              <w:spacing w:before="60" w:after="40"/>
            </w:pPr>
            <w:r>
              <w:rPr>
                <w:rFonts w:ascii="Calibri" w:hAnsi="Calibri"/>
                <w:b w:val="0"/>
                <w:i w:val="0"/>
                <w:color w:val="5A5A5A"/>
                <w:sz w:val="18"/>
              </w:rPr>
              <w:t>#breastfeeding  #formula  #secretoryIgA  #protective  #infantfeeding</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Micronutrient status</w:t>
            </w:r>
          </w:p>
        </w:tc>
        <w:tc>
          <w:tcPr>
            <w:tcW w:type="dxa" w:w="2160"/>
            <w:vAlign w:val="top"/>
          </w:tcPr>
          <w:p>
            <w:pPr>
              <w:spacing w:after="40" w:before="0" w:line="259" w:lineRule="auto"/>
            </w:pPr>
            <w:r>
              <w:rPr>
                <w:rFonts w:ascii="Calibri" w:hAnsi="Calibri"/>
                <w:b w:val="0"/>
                <w:i w:val="0"/>
                <w:color w:val="212121"/>
                <w:sz w:val="19"/>
              </w:rPr>
              <w:t>Vitamin D-deficient &amp; undernourished children</w:t>
            </w:r>
          </w:p>
        </w:tc>
        <w:tc>
          <w:tcPr>
            <w:tcW w:type="dxa" w:w="4276"/>
            <w:vAlign w:val="top"/>
          </w:tcPr>
          <w:p>
            <w:pPr>
              <w:spacing w:after="60" w:line="259" w:lineRule="auto"/>
            </w:pPr>
            <w:r>
              <w:rPr>
                <w:rFonts w:ascii="Calibri" w:hAnsi="Calibri"/>
                <w:b w:val="0"/>
                <w:i w:val="0"/>
                <w:color w:val="212121"/>
                <w:sz w:val="19"/>
              </w:rPr>
              <w:t>Vitamin D deficiency and general undernutrition (common in Indian children) impair mucosal and innate immunity, increasing susceptibility to respiratory infection and recurrent AOM.</w:t>
            </w:r>
          </w:p>
          <w:p>
            <w:pPr>
              <w:spacing w:after="40" w:before="60" w:line="259" w:lineRule="auto"/>
            </w:pPr>
            <w:r>
              <w:rPr>
                <w:rFonts w:ascii="Calibri" w:hAnsi="Calibri"/>
                <w:b w:val="0"/>
                <w:i w:val="0"/>
                <w:color w:val="212121"/>
                <w:sz w:val="19"/>
              </w:rPr>
              <w:t>Vitamin D supplementation has been shown to reduce the risk of acute otitis media in otitis-prone children, and low serum vitamin D is linked to recurrent otitis media.</w:t>
            </w:r>
          </w:p>
          <w:p>
            <w:pPr>
              <w:spacing w:after="40" w:line="252" w:lineRule="auto"/>
            </w:pPr>
            <w:hyperlink r:id="rId13">
              <w:r>
                <w:rPr>
                  <w:rFonts w:ascii="Calibri" w:hAnsi="Calibri" w:cs="Calibri"/>
                  <w:sz w:val="18"/>
                  <w:color w:val="1155CC"/>
                  <w:u w:val="single"/>
                </w:rPr>
                <w:t xml:space="preserve">pubmed.ncbi.nlm.nih.gov/23694840 — vitamin D &amp; AOM</w:t>
              </w:r>
            </w:hyperlink>
          </w:p>
          <w:p>
            <w:pPr>
              <w:spacing w:before="60" w:after="40"/>
            </w:pPr>
            <w:r>
              <w:rPr>
                <w:rFonts w:ascii="Calibri" w:hAnsi="Calibri"/>
                <w:b w:val="0"/>
                <w:i w:val="0"/>
                <w:color w:val="5A5A5A"/>
                <w:sz w:val="18"/>
              </w:rPr>
              <w:t>#vitaminD  #malnutrition  #micronutrient  #immunity  #recurrentAOM</w:t>
            </w:r>
          </w:p>
        </w:tc>
      </w:tr>
      <w:tr>
        <w:trPr>
          <w:cantSplit/>
        </w:trPr>
        <w:tc>
          <w:tcPr>
            <w:tcW w:type="dxa" w:w="1512"/>
            <w:vMerge w:val="restart"/>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Family history</w:t>
            </w:r>
          </w:p>
        </w:tc>
        <w:tc>
          <w:tcPr>
            <w:tcW w:type="dxa" w:w="2160"/>
            <w:vAlign w:val="top"/>
          </w:tcPr>
          <w:p>
            <w:pPr>
              <w:spacing w:after="40" w:before="0" w:line="259" w:lineRule="auto"/>
            </w:pPr>
            <w:r>
              <w:rPr>
                <w:rFonts w:ascii="Calibri" w:hAnsi="Calibri"/>
                <w:b w:val="0"/>
                <w:i w:val="0"/>
                <w:color w:val="212121"/>
                <w:sz w:val="19"/>
              </w:rPr>
              <w:t>Children with a family history of recurrent AOM</w:t>
            </w:r>
          </w:p>
        </w:tc>
        <w:tc>
          <w:tcPr>
            <w:tcW w:type="dxa" w:w="4276"/>
            <w:vAlign w:val="top"/>
          </w:tcPr>
          <w:p>
            <w:pPr>
              <w:spacing w:after="60" w:line="259" w:lineRule="auto"/>
            </w:pPr>
            <w:r>
              <w:rPr>
                <w:rFonts w:ascii="Calibri" w:hAnsi="Calibri"/>
                <w:b w:val="0"/>
                <w:i w:val="0"/>
                <w:color w:val="212121"/>
                <w:sz w:val="19"/>
              </w:rPr>
              <w:t>Otitis proneness clusters in families through inherited Eustachian-tube anatomy and immune-response traits; a sibling or parental history of recurrent ear infection markedly raises a child's risk.</w:t>
            </w:r>
          </w:p>
          <w:p>
            <w:pPr>
              <w:spacing w:after="40" w:before="60" w:line="259" w:lineRule="auto"/>
            </w:pPr>
            <w:r>
              <w:rPr>
                <w:rFonts w:ascii="Calibri" w:hAnsi="Calibri"/>
                <w:b w:val="0"/>
                <w:i w:val="0"/>
                <w:color w:val="212121"/>
                <w:sz w:val="19"/>
              </w:rPr>
              <w:t>A family history of recurrent AOM is an established risk factor, reflecting heritable Eustachian-tube and immune susceptibility.</w:t>
            </w:r>
          </w:p>
          <w:p>
            <w:pPr>
              <w:spacing w:after="40" w:line="252" w:lineRule="auto"/>
            </w:pPr>
            <w:hyperlink r:id="rId11">
              <w:r>
                <w:rPr>
                  <w:rFonts w:ascii="Calibri" w:hAnsi="Calibri" w:cs="Calibri"/>
                  <w:sz w:val="18"/>
                  <w:color w:val="1155CC"/>
                  <w:u w:val="single"/>
                </w:rPr>
                <w:t xml:space="preserve">ncbi.nlm.nih.gov — Acute Otitis Media (StatPearls)</w:t>
              </w:r>
            </w:hyperlink>
          </w:p>
          <w:p>
            <w:pPr>
              <w:spacing w:before="60" w:after="40"/>
            </w:pPr>
            <w:r>
              <w:rPr>
                <w:rFonts w:ascii="Calibri" w:hAnsi="Calibri"/>
                <w:b w:val="0"/>
                <w:i w:val="0"/>
                <w:color w:val="5A5A5A"/>
                <w:sz w:val="18"/>
              </w:rPr>
              <w:t>#familyhistory  #otitisprone  #heritable  #eustachiantube  #susceptibility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Craniofacial / congenital anomaly</w:t>
            </w:r>
          </w:p>
        </w:tc>
        <w:tc>
          <w:tcPr>
            <w:tcW w:type="dxa" w:w="2160"/>
            <w:vAlign w:val="top"/>
          </w:tcPr>
          <w:p>
            <w:pPr>
              <w:spacing w:after="40" w:before="0" w:line="259" w:lineRule="auto"/>
            </w:pPr>
            <w:r>
              <w:rPr>
                <w:rFonts w:ascii="Calibri" w:hAnsi="Calibri"/>
                <w:b w:val="0"/>
                <w:i w:val="0"/>
                <w:color w:val="212121"/>
                <w:sz w:val="19"/>
              </w:rPr>
              <w:t>Children with cleft palate or Down syndrome</w:t>
            </w:r>
          </w:p>
        </w:tc>
        <w:tc>
          <w:tcPr>
            <w:tcW w:type="dxa" w:w="4276"/>
            <w:vAlign w:val="top"/>
          </w:tcPr>
          <w:p>
            <w:pPr>
              <w:spacing w:after="60" w:line="259" w:lineRule="auto"/>
            </w:pPr>
            <w:r>
              <w:rPr>
                <w:rFonts w:ascii="Calibri" w:hAnsi="Calibri"/>
                <w:b w:val="0"/>
                <w:i w:val="0"/>
                <w:color w:val="212121"/>
                <w:sz w:val="19"/>
              </w:rPr>
              <w:t>Cleft palate disrupts the tensor-veli-palatini muscle that opens the Eustachian tube, and Down syndrome combines midface hypoplasia, hypotonia and immune differences — so middle-ear effusion and AOM are almost universal.</w:t>
            </w:r>
          </w:p>
          <w:p>
            <w:pPr>
              <w:spacing w:after="40" w:before="60" w:line="259" w:lineRule="auto"/>
            </w:pPr>
            <w:r>
              <w:rPr>
                <w:rFonts w:ascii="Calibri" w:hAnsi="Calibri"/>
                <w:b w:val="0"/>
                <w:i w:val="0"/>
                <w:color w:val="212121"/>
                <w:sz w:val="19"/>
              </w:rPr>
              <w:t>Otitis media with effusion occurs in nearly all children with cleft palate and is very common in Down syndrome.</w:t>
            </w:r>
          </w:p>
          <w:p>
            <w:pPr>
              <w:spacing w:before="60" w:after="40"/>
            </w:pPr>
            <w:r>
              <w:rPr>
                <w:rFonts w:ascii="Calibri" w:hAnsi="Calibri"/>
                <w:b w:val="0"/>
                <w:i w:val="0"/>
                <w:color w:val="5A5A5A"/>
                <w:sz w:val="18"/>
              </w:rPr>
              <w:t>#cleftpalate  #downsyndrome  #craniofacial  #tensorvelipalatini  #congenital</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Recurrent URI / allergic rhinitis</w:t>
            </w:r>
          </w:p>
        </w:tc>
        <w:tc>
          <w:tcPr>
            <w:tcW w:type="dxa" w:w="2160"/>
            <w:vAlign w:val="top"/>
          </w:tcPr>
          <w:p>
            <w:pPr>
              <w:spacing w:after="40" w:before="0" w:line="259" w:lineRule="auto"/>
            </w:pPr>
            <w:r>
              <w:rPr>
                <w:rFonts w:ascii="Calibri" w:hAnsi="Calibri"/>
                <w:b w:val="0"/>
                <w:i w:val="0"/>
                <w:color w:val="212121"/>
                <w:sz w:val="19"/>
              </w:rPr>
              <w:t>Children with frequent colds or allergic rhinitis</w:t>
            </w:r>
          </w:p>
        </w:tc>
        <w:tc>
          <w:tcPr>
            <w:tcW w:type="dxa" w:w="4276"/>
            <w:vAlign w:val="top"/>
          </w:tcPr>
          <w:p>
            <w:pPr>
              <w:spacing w:after="60" w:line="259" w:lineRule="auto"/>
            </w:pPr>
            <w:r>
              <w:rPr>
                <w:rFonts w:ascii="Calibri" w:hAnsi="Calibri"/>
                <w:b w:val="0"/>
                <w:i w:val="0"/>
                <w:color w:val="212121"/>
                <w:sz w:val="19"/>
              </w:rPr>
              <w:t>Recurrent viral colds and allergic nasal inflammation cause repeated Eustachian-tube oedema and obstruction, the immediate pathway to AOM; the upper-respiratory infection is the single commonest precipitant.</w:t>
            </w:r>
          </w:p>
          <w:p>
            <w:pPr>
              <w:spacing w:after="40" w:before="60" w:line="259" w:lineRule="auto"/>
            </w:pPr>
            <w:r>
              <w:rPr>
                <w:rFonts w:ascii="Calibri" w:hAnsi="Calibri"/>
                <w:b w:val="0"/>
                <w:i w:val="0"/>
                <w:color w:val="212121"/>
                <w:sz w:val="19"/>
              </w:rPr>
              <w:t>A preceding upper-respiratory tract infection is the most common risk factor and precipitant of acute otitis media.</w:t>
            </w:r>
          </w:p>
          <w:p>
            <w:pPr>
              <w:spacing w:after="40" w:line="252" w:lineRule="auto"/>
            </w:pPr>
            <w:hyperlink r:id="rId11">
              <w:r>
                <w:rPr>
                  <w:rFonts w:ascii="Calibri" w:hAnsi="Calibri" w:cs="Calibri"/>
                  <w:sz w:val="18"/>
                  <w:color w:val="1155CC"/>
                  <w:u w:val="single"/>
                </w:rPr>
                <w:t xml:space="preserve">ncbi.nlm.nih.gov — Acute Otitis Media (StatPearls)</w:t>
              </w:r>
            </w:hyperlink>
          </w:p>
          <w:p>
            <w:pPr>
              <w:spacing w:before="60" w:after="40"/>
            </w:pPr>
            <w:r>
              <w:rPr>
                <w:rFonts w:ascii="Calibri" w:hAnsi="Calibri"/>
                <w:b w:val="0"/>
                <w:i w:val="0"/>
                <w:color w:val="5A5A5A"/>
                <w:sz w:val="18"/>
              </w:rPr>
              <w:t>#URI  #allergicrhinitis  #commoncold  #eustachianoedema  #precipitant</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Adenoid hypertrophy</w:t>
            </w:r>
          </w:p>
        </w:tc>
        <w:tc>
          <w:tcPr>
            <w:tcW w:type="dxa" w:w="2160"/>
            <w:vAlign w:val="top"/>
          </w:tcPr>
          <w:p>
            <w:pPr>
              <w:spacing w:after="40" w:before="0" w:line="259" w:lineRule="auto"/>
            </w:pPr>
            <w:r>
              <w:rPr>
                <w:rFonts w:ascii="Calibri" w:hAnsi="Calibri"/>
                <w:b w:val="0"/>
                <w:i w:val="0"/>
                <w:color w:val="212121"/>
                <w:sz w:val="19"/>
              </w:rPr>
              <w:t>Children with enlarged / infected adenoids</w:t>
            </w:r>
          </w:p>
        </w:tc>
        <w:tc>
          <w:tcPr>
            <w:tcW w:type="dxa" w:w="4276"/>
            <w:vAlign w:val="top"/>
          </w:tcPr>
          <w:p>
            <w:pPr>
              <w:spacing w:after="60" w:line="259" w:lineRule="auto"/>
            </w:pPr>
            <w:r>
              <w:rPr>
                <w:rFonts w:ascii="Calibri" w:hAnsi="Calibri"/>
                <w:b w:val="0"/>
                <w:i w:val="0"/>
                <w:color w:val="212121"/>
                <w:sz w:val="19"/>
              </w:rPr>
              <w:t>Enlarged adenoids mechanically obstruct the Eustachian-tube opening and harbour a bacterial biofilm reservoir, driving both effusion and recurrent AOM.</w:t>
            </w:r>
          </w:p>
          <w:p>
            <w:pPr>
              <w:spacing w:after="40" w:before="60" w:line="259" w:lineRule="auto"/>
            </w:pPr>
            <w:r>
              <w:rPr>
                <w:rFonts w:ascii="Calibri" w:hAnsi="Calibri"/>
                <w:b w:val="0"/>
                <w:i w:val="0"/>
                <w:color w:val="212121"/>
                <w:sz w:val="19"/>
              </w:rPr>
              <w:t>Adenoid hypertrophy is a recognised risk factor for AOM, and adenoidectomy is used in selected children with recurrent disease.</w:t>
            </w:r>
          </w:p>
          <w:p>
            <w:pPr>
              <w:spacing w:after="40" w:line="252" w:lineRule="auto"/>
            </w:pPr>
            <w:hyperlink r:id="rId11">
              <w:r>
                <w:rPr>
                  <w:rFonts w:ascii="Calibri" w:hAnsi="Calibri" w:cs="Calibri"/>
                  <w:sz w:val="18"/>
                  <w:color w:val="1155CC"/>
                  <w:u w:val="single"/>
                </w:rPr>
                <w:t xml:space="preserve">ncbi.nlm.nih.gov — Acute Otitis Media (StatPearls)</w:t>
              </w:r>
            </w:hyperlink>
          </w:p>
          <w:p>
            <w:pPr>
              <w:spacing w:before="60" w:after="40"/>
            </w:pPr>
            <w:r>
              <w:rPr>
                <w:rFonts w:ascii="Calibri" w:hAnsi="Calibri"/>
                <w:b w:val="0"/>
                <w:i w:val="0"/>
                <w:color w:val="5A5A5A"/>
                <w:sz w:val="18"/>
              </w:rPr>
              <w:t>#adenoids  #biofilm  #obstruction  #recurrentAOM  #adenoidectomy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Gastro-oesophageal reflux</w:t>
            </w:r>
          </w:p>
        </w:tc>
        <w:tc>
          <w:tcPr>
            <w:tcW w:type="dxa" w:w="2160"/>
            <w:vAlign w:val="top"/>
          </w:tcPr>
          <w:p>
            <w:pPr>
              <w:spacing w:after="40" w:before="0" w:line="259" w:lineRule="auto"/>
            </w:pPr>
            <w:r>
              <w:rPr>
                <w:rFonts w:ascii="Calibri" w:hAnsi="Calibri"/>
                <w:b w:val="0"/>
                <w:i w:val="0"/>
                <w:color w:val="212121"/>
                <w:sz w:val="19"/>
              </w:rPr>
              <w:t>Infants with significant GERD</w:t>
            </w:r>
          </w:p>
        </w:tc>
        <w:tc>
          <w:tcPr>
            <w:tcW w:type="dxa" w:w="4276"/>
            <w:vAlign w:val="top"/>
          </w:tcPr>
          <w:p>
            <w:pPr>
              <w:spacing w:after="60" w:line="259" w:lineRule="auto"/>
            </w:pPr>
            <w:r>
              <w:rPr>
                <w:rFonts w:ascii="Calibri" w:hAnsi="Calibri"/>
                <w:b w:val="0"/>
                <w:i w:val="0"/>
                <w:color w:val="212121"/>
                <w:sz w:val="19"/>
              </w:rPr>
              <w:t>Reflux of gastric contents into the nasopharynx irritates and inflames the Eustachian-tube orifice, and pepsin has been detected in middle-ear effusions, linking GERD to AOM and OME.</w:t>
            </w:r>
          </w:p>
          <w:p>
            <w:pPr>
              <w:spacing w:after="40" w:before="60" w:line="259" w:lineRule="auto"/>
            </w:pPr>
            <w:r>
              <w:rPr>
                <w:rFonts w:ascii="Calibri" w:hAnsi="Calibri"/>
                <w:b w:val="0"/>
                <w:i w:val="0"/>
                <w:color w:val="212121"/>
                <w:sz w:val="19"/>
              </w:rPr>
              <w:t>Gastro-oesophageal reflux is listed among the contributory risk factors for acute otitis media.</w:t>
            </w:r>
          </w:p>
          <w:p>
            <w:pPr>
              <w:spacing w:after="40" w:line="252" w:lineRule="auto"/>
            </w:pPr>
            <w:hyperlink r:id="rId11">
              <w:r>
                <w:rPr>
                  <w:rFonts w:ascii="Calibri" w:hAnsi="Calibri" w:cs="Calibri"/>
                  <w:sz w:val="18"/>
                  <w:color w:val="1155CC"/>
                  <w:u w:val="single"/>
                </w:rPr>
                <w:t xml:space="preserve">ncbi.nlm.nih.gov — Acute Otitis Media (StatPearls)</w:t>
              </w:r>
            </w:hyperlink>
          </w:p>
          <w:p>
            <w:pPr>
              <w:spacing w:before="60" w:after="40"/>
            </w:pPr>
            <w:r>
              <w:rPr>
                <w:rFonts w:ascii="Calibri" w:hAnsi="Calibri"/>
                <w:b w:val="0"/>
                <w:i w:val="0"/>
                <w:color w:val="5A5A5A"/>
                <w:sz w:val="18"/>
              </w:rPr>
              <w:t>#GERD  #reflux  #pepsin  #nasopharynx  #infants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Immunodeficiency</w:t>
            </w:r>
          </w:p>
        </w:tc>
        <w:tc>
          <w:tcPr>
            <w:tcW w:type="dxa" w:w="2160"/>
            <w:vAlign w:val="top"/>
          </w:tcPr>
          <w:p>
            <w:pPr>
              <w:spacing w:after="40" w:before="0" w:line="259" w:lineRule="auto"/>
            </w:pPr>
            <w:r>
              <w:rPr>
                <w:rFonts w:ascii="Calibri" w:hAnsi="Calibri"/>
                <w:b w:val="0"/>
                <w:i w:val="0"/>
                <w:color w:val="212121"/>
                <w:sz w:val="19"/>
              </w:rPr>
              <w:t>Immunocompromised children (primary or HIV)</w:t>
            </w:r>
          </w:p>
        </w:tc>
        <w:tc>
          <w:tcPr>
            <w:tcW w:type="dxa" w:w="4276"/>
            <w:vAlign w:val="top"/>
          </w:tcPr>
          <w:p>
            <w:pPr>
              <w:spacing w:after="60" w:line="259" w:lineRule="auto"/>
            </w:pPr>
            <w:r>
              <w:rPr>
                <w:rFonts w:ascii="Calibri" w:hAnsi="Calibri"/>
                <w:b w:val="0"/>
                <w:i w:val="0"/>
                <w:color w:val="212121"/>
                <w:sz w:val="19"/>
              </w:rPr>
              <w:t>Antibody deficiencies, HIV and other immune defects impair clearance of otopathogens, producing more frequent, severe and treatment-resistant episodes of AOM.</w:t>
            </w:r>
          </w:p>
          <w:p>
            <w:pPr>
              <w:spacing w:after="40" w:before="60" w:line="259" w:lineRule="auto"/>
            </w:pPr>
            <w:r>
              <w:rPr>
                <w:rFonts w:ascii="Calibri" w:hAnsi="Calibri"/>
                <w:b w:val="0"/>
                <w:i w:val="0"/>
                <w:color w:val="212121"/>
                <w:sz w:val="19"/>
              </w:rPr>
              <w:t>Immunodeficiency is an established risk factor for recurrent and severe acute otitis media.</w:t>
            </w:r>
          </w:p>
          <w:p>
            <w:pPr>
              <w:spacing w:after="40" w:line="252" w:lineRule="auto"/>
            </w:pPr>
            <w:hyperlink r:id="rId11">
              <w:r>
                <w:rPr>
                  <w:rFonts w:ascii="Calibri" w:hAnsi="Calibri" w:cs="Calibri"/>
                  <w:sz w:val="18"/>
                  <w:color w:val="1155CC"/>
                  <w:u w:val="single"/>
                </w:rPr>
                <w:t xml:space="preserve">ncbi.nlm.nih.gov — Acute Otitis Media (StatPearls)</w:t>
              </w:r>
            </w:hyperlink>
          </w:p>
          <w:p>
            <w:pPr>
              <w:spacing w:before="60" w:after="40"/>
            </w:pPr>
            <w:r>
              <w:rPr>
                <w:rFonts w:ascii="Calibri" w:hAnsi="Calibri"/>
                <w:b w:val="0"/>
                <w:i w:val="0"/>
                <w:color w:val="5A5A5A"/>
                <w:sz w:val="18"/>
              </w:rPr>
              <w:t>#immunodeficiency  #HIV  #antibodydeficiency  #recurrent  #severeAOM</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Physical activity has no direct role in AOM; any effect is indirect, through general health and avoidance of prolonged crowded indoor exposure during the respiratory-infection season.</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Feeding is central: breastfeeding supplies protective secretory IgA and reduces AOM risk, whereas formula/bottle-feeding, supine feeding and micronutrient (e.g. vitamin D) deficiency increase it.</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Sleep is disturbed by ear pain during acute episodes, but sleep patterns are not a primary cause; upright positioning before sleep and treating night-time otalgia help symptomatically.</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Passive (household and in-utero) tobacco smoke impairs mucociliary clearance and Eustachian-tube function and is one of the strongest modifiable risk factors for AOM and recurrent AOM.</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Alcohol is not a factor for the child; the only relevant, indirect link is maternal alcohol use in pregnancy affecting infant health, which is not established as an AOM risk.</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No causal link; recurrent AOM and its pain, hearing loss and disturbed sleep can distress children and parents, and parental stress may reduce optimal care-seeking.</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Bath or swimming water does not enter the intact middle ear and does not cause AOM (it is relevant to otitis externa); with a perforation or grommet, water precautions may be advised.</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 — caffeine has no relevance to acute otitis media in children.</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Hand and respiratory hygiene and reduced overcrowding cut transmission of the respiratory viruses and otopathogens that precede AOM; poor hygiene and crowding are linked to higher prevalence in Indian children.</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The dominant drivers are a preceding viral upper-respiratory infection, day-care attendance, passive smoke, bottle/supine feeding, pacifier use, incomplete pneumococcal vaccination and the cold/monsoon season.</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Feeding position matters: supine bottle-feeding ('bottle-propping') encourages reflux of milk toward the Eustachian tube, whereas upright or semi-upright feeding is protective.</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Household tobacco-smoke exposure</w:t>
            </w:r>
          </w:p>
        </w:tc>
        <w:tc>
          <w:tcPr>
            <w:tcW w:type="dxa" w:w="1655"/>
            <w:vAlign w:val="top"/>
          </w:tcPr>
          <w:p>
            <w:pPr>
              <w:spacing w:after="40" w:before="0" w:line="259" w:lineRule="auto"/>
            </w:pPr>
            <w:r>
              <w:rPr>
                <w:rFonts w:ascii="Calibri" w:hAnsi="Calibri"/>
                <w:b w:val="0"/>
                <w:i w:val="0"/>
                <w:color w:val="212121"/>
                <w:sz w:val="19"/>
              </w:rPr>
              <w:t>Infants &amp; young children</w:t>
            </w:r>
          </w:p>
        </w:tc>
        <w:tc>
          <w:tcPr>
            <w:tcW w:type="dxa" w:w="1512"/>
            <w:vAlign w:val="top"/>
          </w:tcPr>
          <w:p>
            <w:pPr>
              <w:spacing w:after="40" w:before="0" w:line="259" w:lineRule="auto"/>
            </w:pPr>
            <w:r>
              <w:rPr>
                <w:rFonts w:ascii="Calibri" w:hAnsi="Calibri"/>
                <w:b w:val="0"/>
                <w:i w:val="0"/>
                <w:color w:val="212121"/>
                <w:sz w:val="19"/>
              </w:rPr>
              <w:t>Zero (smoke-free home &amp; car)</w:t>
            </w:r>
          </w:p>
        </w:tc>
        <w:tc>
          <w:tcPr>
            <w:tcW w:type="dxa" w:w="1512"/>
            <w:vAlign w:val="top"/>
          </w:tcPr>
          <w:p>
            <w:pPr>
              <w:spacing w:after="40" w:before="0" w:line="259" w:lineRule="auto"/>
            </w:pPr>
            <w:r>
              <w:rPr>
                <w:rFonts w:ascii="Calibri" w:hAnsi="Calibri"/>
                <w:b w:val="0"/>
                <w:i w:val="0"/>
                <w:color w:val="212121"/>
                <w:sz w:val="19"/>
              </w:rPr>
              <w:t>Any household smoker / in-utero exposure</w:t>
            </w:r>
          </w:p>
        </w:tc>
        <w:tc>
          <w:tcPr>
            <w:tcW w:type="dxa" w:w="1468"/>
            <w:vAlign w:val="top"/>
          </w:tcPr>
          <w:p>
            <w:pPr>
              <w:spacing w:after="60" w:line="259" w:lineRule="auto"/>
            </w:pPr>
            <w:r>
              <w:rPr>
                <w:rFonts w:ascii="Calibri" w:hAnsi="Calibri"/>
                <w:b w:val="0"/>
                <w:i w:val="0"/>
                <w:color w:val="212121"/>
                <w:sz w:val="19"/>
              </w:rPr>
              <w:t>Passive smoke is a leading modifiable driver of AOM and recurrent AOM</w:t>
            </w:r>
          </w:p>
          <w:p>
            <w:pPr>
              <w:spacing w:after="40" w:line="252" w:lineRule="auto"/>
            </w:pPr>
            <w:hyperlink r:id="rId10">
              <w:r>
                <w:rPr>
                  <w:rFonts w:ascii="Calibri" w:hAnsi="Calibri" w:cs="Calibri"/>
                  <w:sz w:val="18"/>
                  <w:color w:val="1155CC"/>
                  <w:u w:val="single"/>
                </w:rPr>
                <w:t xml:space="preserve">https://clinmedjournals.org/articles/iaphcm/international-archives-of-public-health-and-community-medicine-iaphcm-6-080.pdf</w:t>
              </w:r>
            </w:hyperlink>
          </w:p>
        </w:tc>
      </w:tr>
      <w:tr>
        <w:trPr>
          <w:cantSplit/>
        </w:trPr>
        <w:tc>
          <w:tcPr>
            <w:tcW w:type="dxa" w:w="1512"/>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Breastfeeding duration</w:t>
            </w:r>
          </w:p>
        </w:tc>
        <w:tc>
          <w:tcPr>
            <w:tcW w:type="dxa" w:w="1655"/>
            <w:vAlign w:val="top"/>
          </w:tcPr>
          <w:p>
            <w:pPr>
              <w:spacing w:after="40" w:before="0" w:line="259" w:lineRule="auto"/>
            </w:pPr>
            <w:r>
              <w:rPr>
                <w:rFonts w:ascii="Calibri" w:hAnsi="Calibri"/>
                <w:b w:val="0"/>
                <w:i w:val="0"/>
                <w:color w:val="212121"/>
                <w:sz w:val="19"/>
              </w:rPr>
              <w:t>Infants</w:t>
            </w:r>
          </w:p>
        </w:tc>
        <w:tc>
          <w:tcPr>
            <w:tcW w:type="dxa" w:w="1512"/>
            <w:vAlign w:val="top"/>
          </w:tcPr>
          <w:p>
            <w:pPr>
              <w:spacing w:after="40" w:before="0" w:line="259" w:lineRule="auto"/>
            </w:pPr>
            <w:r>
              <w:rPr>
                <w:rFonts w:ascii="Calibri" w:hAnsi="Calibri"/>
                <w:b w:val="0"/>
                <w:i w:val="0"/>
                <w:color w:val="212121"/>
                <w:sz w:val="19"/>
              </w:rPr>
              <w:t>Exclusive breastfeeding ≥ 6 months</w:t>
            </w:r>
          </w:p>
        </w:tc>
        <w:tc>
          <w:tcPr>
            <w:tcW w:type="dxa" w:w="1512"/>
            <w:vAlign w:val="top"/>
          </w:tcPr>
          <w:p>
            <w:pPr>
              <w:spacing w:after="40" w:before="0" w:line="259" w:lineRule="auto"/>
            </w:pPr>
            <w:r>
              <w:rPr>
                <w:rFonts w:ascii="Calibri" w:hAnsi="Calibri"/>
                <w:b w:val="0"/>
                <w:i w:val="0"/>
                <w:color w:val="212121"/>
                <w:sz w:val="19"/>
              </w:rPr>
              <w:t>Not breastfed / early formula introduction</w:t>
            </w:r>
          </w:p>
        </w:tc>
        <w:tc>
          <w:tcPr>
            <w:tcW w:type="dxa" w:w="1468"/>
            <w:vAlign w:val="top"/>
          </w:tcPr>
          <w:p>
            <w:pPr>
              <w:spacing w:after="60" w:line="259" w:lineRule="auto"/>
            </w:pPr>
            <w:r>
              <w:rPr>
                <w:rFonts w:ascii="Calibri" w:hAnsi="Calibri"/>
                <w:b w:val="0"/>
                <w:i w:val="0"/>
                <w:color w:val="212121"/>
                <w:sz w:val="19"/>
              </w:rPr>
              <w:t>Breast milk provides secretory IgA and is protective against AOM</w:t>
            </w:r>
          </w:p>
          <w:p>
            <w:pPr>
              <w:spacing w:after="40" w:line="252" w:lineRule="auto"/>
            </w:pPr>
            <w:hyperlink r:id="rId12">
              <w:r>
                <w:rPr>
                  <w:rFonts w:ascii="Calibri" w:hAnsi="Calibri" w:cs="Calibri"/>
                  <w:sz w:val="18"/>
                  <w:color w:val="1155CC"/>
                  <w:u w:val="single"/>
                </w:rPr>
                <w:t xml:space="preserve">https://onlinelibrary.wiley.com/doi/10.1111/apa.13151</w:t>
              </w:r>
            </w:hyperlink>
          </w:p>
        </w:tc>
      </w:tr>
      <w:tr>
        <w:trPr>
          <w:cantSplit/>
        </w:trPr>
        <w:tc>
          <w:tcPr>
            <w:tcW w:type="dxa" w:w="1512"/>
            <w:vAlign w:val="center"/>
          </w:tcPr>
          <w:p>
            <w:pPr>
              <w:spacing w:after="40"/>
            </w:pPr>
            <w:r>
              <w:rPr>
                <w:rFonts w:ascii="Calibri" w:hAnsi="Calibri"/>
                <w:b w:val="0"/>
                <w:i w:val="0"/>
                <w:color w:val="212121"/>
                <w:sz w:val="19"/>
              </w:rPr>
              <w:t>Posture</w:t>
            </w:r>
          </w:p>
        </w:tc>
        <w:tc>
          <w:tcPr>
            <w:tcW w:type="dxa" w:w="1944"/>
            <w:vAlign w:val="top"/>
          </w:tcPr>
          <w:p>
            <w:pPr>
              <w:spacing w:after="40" w:before="0" w:line="259" w:lineRule="auto"/>
            </w:pPr>
            <w:r>
              <w:rPr>
                <w:rFonts w:ascii="Calibri" w:hAnsi="Calibri"/>
                <w:b w:val="0"/>
                <w:i w:val="0"/>
                <w:color w:val="212121"/>
                <w:sz w:val="19"/>
              </w:rPr>
              <w:t>Feeding position</w:t>
            </w:r>
          </w:p>
        </w:tc>
        <w:tc>
          <w:tcPr>
            <w:tcW w:type="dxa" w:w="1655"/>
            <w:vAlign w:val="top"/>
          </w:tcPr>
          <w:p>
            <w:pPr>
              <w:spacing w:after="40" w:before="0" w:line="259" w:lineRule="auto"/>
            </w:pPr>
            <w:r>
              <w:rPr>
                <w:rFonts w:ascii="Calibri" w:hAnsi="Calibri"/>
                <w:b w:val="0"/>
                <w:i w:val="0"/>
                <w:color w:val="212121"/>
                <w:sz w:val="19"/>
              </w:rPr>
              <w:t>Bottle-fed infants</w:t>
            </w:r>
          </w:p>
        </w:tc>
        <w:tc>
          <w:tcPr>
            <w:tcW w:type="dxa" w:w="1512"/>
            <w:vAlign w:val="top"/>
          </w:tcPr>
          <w:p>
            <w:pPr>
              <w:spacing w:after="40" w:before="0" w:line="259" w:lineRule="auto"/>
            </w:pPr>
            <w:r>
              <w:rPr>
                <w:rFonts w:ascii="Calibri" w:hAnsi="Calibri"/>
                <w:b w:val="0"/>
                <w:i w:val="0"/>
                <w:color w:val="212121"/>
                <w:sz w:val="19"/>
              </w:rPr>
              <w:t>Upright / semi-upright feeding</w:t>
            </w:r>
          </w:p>
        </w:tc>
        <w:tc>
          <w:tcPr>
            <w:tcW w:type="dxa" w:w="1512"/>
            <w:vAlign w:val="top"/>
          </w:tcPr>
          <w:p>
            <w:pPr>
              <w:spacing w:after="40" w:before="0" w:line="259" w:lineRule="auto"/>
            </w:pPr>
            <w:r>
              <w:rPr>
                <w:rFonts w:ascii="Calibri" w:hAnsi="Calibri"/>
                <w:b w:val="0"/>
                <w:i w:val="0"/>
                <w:color w:val="212121"/>
                <w:sz w:val="19"/>
              </w:rPr>
              <w:t>Supine feeding / bottle-propping</w:t>
            </w:r>
          </w:p>
        </w:tc>
        <w:tc>
          <w:tcPr>
            <w:tcW w:type="dxa" w:w="1468"/>
            <w:vAlign w:val="top"/>
          </w:tcPr>
          <w:p>
            <w:pPr>
              <w:spacing w:after="40" w:before="0" w:line="259" w:lineRule="auto"/>
            </w:pPr>
            <w:r>
              <w:rPr>
                <w:rFonts w:ascii="Calibri" w:hAnsi="Calibri"/>
                <w:b w:val="0"/>
                <w:i w:val="0"/>
                <w:color w:val="212121"/>
                <w:sz w:val="19"/>
              </w:rPr>
              <w:t>Flat feeding refluxes milk toward the Eustachian tube</w:t>
            </w:r>
          </w:p>
        </w:tc>
      </w:tr>
      <w:tr>
        <w:trPr>
          <w:cantSplit/>
        </w:trPr>
        <w:tc>
          <w:tcPr>
            <w:tcW w:type="dxa" w:w="1512"/>
            <w:vMerge w:val="restart"/>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Day-care / crèche attendance</w:t>
            </w:r>
          </w:p>
        </w:tc>
        <w:tc>
          <w:tcPr>
            <w:tcW w:type="dxa" w:w="1655"/>
            <w:vAlign w:val="top"/>
          </w:tcPr>
          <w:p>
            <w:pPr>
              <w:spacing w:after="40" w:before="0" w:line="259" w:lineRule="auto"/>
            </w:pPr>
            <w:r>
              <w:rPr>
                <w:rFonts w:ascii="Calibri" w:hAnsi="Calibri"/>
                <w:b w:val="0"/>
                <w:i w:val="0"/>
                <w:color w:val="212121"/>
                <w:sz w:val="19"/>
              </w:rPr>
              <w:t>Infants &amp; toddlers</w:t>
            </w:r>
          </w:p>
        </w:tc>
        <w:tc>
          <w:tcPr>
            <w:tcW w:type="dxa" w:w="1512"/>
            <w:vAlign w:val="top"/>
          </w:tcPr>
          <w:p>
            <w:pPr>
              <w:spacing w:after="40" w:before="0" w:line="259" w:lineRule="auto"/>
            </w:pPr>
            <w:r>
              <w:rPr>
                <w:rFonts w:ascii="Calibri" w:hAnsi="Calibri"/>
                <w:b w:val="0"/>
                <w:i w:val="0"/>
                <w:color w:val="212121"/>
                <w:sz w:val="19"/>
              </w:rPr>
              <w:t>Home or small-group care in first 1–2 years</w:t>
            </w:r>
          </w:p>
        </w:tc>
        <w:tc>
          <w:tcPr>
            <w:tcW w:type="dxa" w:w="1512"/>
            <w:vAlign w:val="top"/>
          </w:tcPr>
          <w:p>
            <w:pPr>
              <w:spacing w:after="40" w:before="0" w:line="259" w:lineRule="auto"/>
            </w:pPr>
            <w:r>
              <w:rPr>
                <w:rFonts w:ascii="Calibri" w:hAnsi="Calibri"/>
                <w:b w:val="0"/>
                <w:i w:val="0"/>
                <w:color w:val="212121"/>
                <w:sz w:val="19"/>
              </w:rPr>
              <w:t>Large-group day care</w:t>
            </w:r>
          </w:p>
        </w:tc>
        <w:tc>
          <w:tcPr>
            <w:tcW w:type="dxa" w:w="1468"/>
            <w:vAlign w:val="top"/>
          </w:tcPr>
          <w:p>
            <w:pPr>
              <w:spacing w:after="40" w:before="0" w:line="259" w:lineRule="auto"/>
            </w:pPr>
            <w:r>
              <w:rPr>
                <w:rFonts w:ascii="Calibri" w:hAnsi="Calibri"/>
                <w:b w:val="0"/>
                <w:i w:val="0"/>
                <w:color w:val="212121"/>
                <w:sz w:val="19"/>
              </w:rPr>
              <w:t>Group care multiplies respiratory-infection and otopathogen exposure</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Pacifier use</w:t>
            </w:r>
          </w:p>
        </w:tc>
        <w:tc>
          <w:tcPr>
            <w:tcW w:type="dxa" w:w="1655"/>
            <w:vAlign w:val="top"/>
          </w:tcPr>
          <w:p>
            <w:pPr>
              <w:spacing w:after="40" w:before="0" w:line="259" w:lineRule="auto"/>
            </w:pPr>
            <w:r>
              <w:rPr>
                <w:rFonts w:ascii="Calibri" w:hAnsi="Calibri"/>
                <w:b w:val="0"/>
                <w:i w:val="0"/>
                <w:color w:val="212121"/>
                <w:sz w:val="19"/>
              </w:rPr>
              <w:t>Infants &gt; 6–12 months</w:t>
            </w:r>
          </w:p>
        </w:tc>
        <w:tc>
          <w:tcPr>
            <w:tcW w:type="dxa" w:w="1512"/>
            <w:vAlign w:val="top"/>
          </w:tcPr>
          <w:p>
            <w:pPr>
              <w:spacing w:after="40" w:before="0" w:line="259" w:lineRule="auto"/>
            </w:pPr>
            <w:r>
              <w:rPr>
                <w:rFonts w:ascii="Calibri" w:hAnsi="Calibri"/>
                <w:b w:val="0"/>
                <w:i w:val="0"/>
                <w:color w:val="212121"/>
                <w:sz w:val="19"/>
              </w:rPr>
              <w:t>Limited / weaning after 6–12 months</w:t>
            </w:r>
          </w:p>
        </w:tc>
        <w:tc>
          <w:tcPr>
            <w:tcW w:type="dxa" w:w="1512"/>
            <w:vAlign w:val="top"/>
          </w:tcPr>
          <w:p>
            <w:pPr>
              <w:spacing w:after="40" w:before="0" w:line="259" w:lineRule="auto"/>
            </w:pPr>
            <w:r>
              <w:rPr>
                <w:rFonts w:ascii="Calibri" w:hAnsi="Calibri"/>
                <w:b w:val="0"/>
                <w:i w:val="0"/>
                <w:color w:val="212121"/>
                <w:sz w:val="19"/>
              </w:rPr>
              <w:t>Continuous/prolonged pacifier use</w:t>
            </w:r>
          </w:p>
        </w:tc>
        <w:tc>
          <w:tcPr>
            <w:tcW w:type="dxa" w:w="1468"/>
            <w:vAlign w:val="top"/>
          </w:tcPr>
          <w:p>
            <w:pPr>
              <w:spacing w:after="40" w:before="0" w:line="259" w:lineRule="auto"/>
            </w:pPr>
            <w:r>
              <w:rPr>
                <w:rFonts w:ascii="Calibri" w:hAnsi="Calibri"/>
                <w:b w:val="0"/>
                <w:i w:val="0"/>
                <w:color w:val="212121"/>
                <w:sz w:val="19"/>
              </w:rPr>
              <w:t>Prolonged use promotes reflux and otopathogen carriage</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Pneumococcal vaccination status</w:t>
            </w:r>
          </w:p>
        </w:tc>
        <w:tc>
          <w:tcPr>
            <w:tcW w:type="dxa" w:w="1655"/>
            <w:vAlign w:val="top"/>
          </w:tcPr>
          <w:p>
            <w:pPr>
              <w:spacing w:after="40" w:before="0" w:line="259" w:lineRule="auto"/>
            </w:pPr>
            <w:r>
              <w:rPr>
                <w:rFonts w:ascii="Calibri" w:hAnsi="Calibri"/>
                <w:b w:val="0"/>
                <w:i w:val="0"/>
                <w:color w:val="212121"/>
                <w:sz w:val="19"/>
              </w:rPr>
              <w:t>Infants &amp; children</w:t>
            </w:r>
          </w:p>
        </w:tc>
        <w:tc>
          <w:tcPr>
            <w:tcW w:type="dxa" w:w="1512"/>
            <w:vAlign w:val="top"/>
          </w:tcPr>
          <w:p>
            <w:pPr>
              <w:spacing w:after="40" w:before="0" w:line="259" w:lineRule="auto"/>
            </w:pPr>
            <w:r>
              <w:rPr>
                <w:rFonts w:ascii="Calibri" w:hAnsi="Calibri"/>
                <w:b w:val="0"/>
                <w:i w:val="0"/>
                <w:color w:val="212121"/>
                <w:sz w:val="19"/>
              </w:rPr>
              <w:t>Age-appropriate PCV (UIP schedule) complete</w:t>
            </w:r>
          </w:p>
        </w:tc>
        <w:tc>
          <w:tcPr>
            <w:tcW w:type="dxa" w:w="1512"/>
            <w:vAlign w:val="top"/>
          </w:tcPr>
          <w:p>
            <w:pPr>
              <w:spacing w:after="40" w:before="0" w:line="259" w:lineRule="auto"/>
            </w:pPr>
            <w:r>
              <w:rPr>
                <w:rFonts w:ascii="Calibri" w:hAnsi="Calibri"/>
                <w:b w:val="0"/>
                <w:i w:val="0"/>
                <w:color w:val="212121"/>
                <w:sz w:val="19"/>
              </w:rPr>
              <w:t>Unvaccinated / incomplete PCV</w:t>
            </w:r>
          </w:p>
        </w:tc>
        <w:tc>
          <w:tcPr>
            <w:tcW w:type="dxa" w:w="1468"/>
            <w:vAlign w:val="top"/>
          </w:tcPr>
          <w:p>
            <w:pPr>
              <w:spacing w:after="60" w:line="259" w:lineRule="auto"/>
            </w:pPr>
            <w:r>
              <w:rPr>
                <w:rFonts w:ascii="Calibri" w:hAnsi="Calibri"/>
                <w:b w:val="0"/>
                <w:i w:val="0"/>
                <w:color w:val="212121"/>
                <w:sz w:val="19"/>
              </w:rPr>
              <w:t>PCV reduces pneumococcal AOM; now nationwide in India's UIP</w:t>
            </w:r>
          </w:p>
          <w:p>
            <w:pPr>
              <w:spacing w:after="40" w:line="252" w:lineRule="auto"/>
            </w:pPr>
            <w:hyperlink r:id="rId14">
              <w:r>
                <w:rPr>
                  <w:rFonts w:ascii="Calibri" w:hAnsi="Calibri" w:cs="Calibri"/>
                  <w:sz w:val="18"/>
                  <w:color w:val="1155CC"/>
                  <w:u w:val="single"/>
                </w:rPr>
                <w:t xml:space="preserve">https://www.gavi.org/news/media-room/india-completes-national-introduction-pneumococcal-conjugate-vaccine</w:t>
              </w:r>
            </w:hyperlink>
          </w:p>
        </w:tc>
      </w:tr>
      <w:tr>
        <w:trPr>
          <w:cantSplit/>
        </w:trPr>
        <w:tc>
          <w:tcPr>
            <w:tcW w:type="dxa" w:w="1512"/>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Serum 25-hydroxyvitamin D</w:t>
            </w:r>
          </w:p>
        </w:tc>
        <w:tc>
          <w:tcPr>
            <w:tcW w:type="dxa" w:w="1655"/>
            <w:vAlign w:val="top"/>
          </w:tcPr>
          <w:p>
            <w:pPr>
              <w:spacing w:after="40" w:before="0" w:line="259" w:lineRule="auto"/>
            </w:pPr>
            <w:r>
              <w:rPr>
                <w:rFonts w:ascii="Calibri" w:hAnsi="Calibri"/>
                <w:b w:val="0"/>
                <w:i w:val="0"/>
                <w:color w:val="212121"/>
                <w:sz w:val="19"/>
              </w:rPr>
              <w:t>Otitis-prone children</w:t>
            </w:r>
          </w:p>
        </w:tc>
        <w:tc>
          <w:tcPr>
            <w:tcW w:type="dxa" w:w="1512"/>
            <w:vAlign w:val="top"/>
          </w:tcPr>
          <w:p>
            <w:pPr>
              <w:spacing w:after="40" w:before="0" w:line="259" w:lineRule="auto"/>
            </w:pPr>
            <w:r>
              <w:rPr>
                <w:rFonts w:ascii="Calibri" w:hAnsi="Calibri"/>
                <w:b w:val="0"/>
                <w:i w:val="0"/>
                <w:color w:val="212121"/>
                <w:sz w:val="19"/>
              </w:rPr>
              <w:t>≥ 30 ng/mL (sufficient)</w:t>
            </w:r>
          </w:p>
        </w:tc>
        <w:tc>
          <w:tcPr>
            <w:tcW w:type="dxa" w:w="1512"/>
            <w:vAlign w:val="top"/>
          </w:tcPr>
          <w:p>
            <w:pPr>
              <w:spacing w:after="40" w:before="0" w:line="259" w:lineRule="auto"/>
            </w:pPr>
            <w:r>
              <w:rPr>
                <w:rFonts w:ascii="Calibri" w:hAnsi="Calibri"/>
                <w:b w:val="0"/>
                <w:i w:val="0"/>
                <w:color w:val="212121"/>
                <w:sz w:val="19"/>
              </w:rPr>
              <w:t>&lt; 20 ng/mL (deficient)</w:t>
            </w:r>
          </w:p>
        </w:tc>
        <w:tc>
          <w:tcPr>
            <w:tcW w:type="dxa" w:w="1468"/>
            <w:vAlign w:val="top"/>
          </w:tcPr>
          <w:p>
            <w:pPr>
              <w:spacing w:after="60" w:line="259" w:lineRule="auto"/>
            </w:pPr>
            <w:r>
              <w:rPr>
                <w:rFonts w:ascii="Calibri" w:hAnsi="Calibri"/>
                <w:b w:val="0"/>
                <w:i w:val="0"/>
                <w:color w:val="212121"/>
                <w:sz w:val="19"/>
              </w:rPr>
              <w:t>Deficiency linked to recurrent AOM; supplementation reduces episodes in otitis-prone children</w:t>
            </w:r>
          </w:p>
          <w:p>
            <w:pPr>
              <w:spacing w:after="40" w:line="252" w:lineRule="auto"/>
            </w:pPr>
            <w:hyperlink r:id="rId13">
              <w:r>
                <w:rPr>
                  <w:rFonts w:ascii="Calibri" w:hAnsi="Calibri" w:cs="Calibri"/>
                  <w:sz w:val="18"/>
                  <w:color w:val="1155CC"/>
                  <w:u w:val="single"/>
                </w:rPr>
                <w:t xml:space="preserve">https://pubmed.ncbi.nlm.nih.gov/23694840/</w:t>
              </w:r>
            </w:hyperlink>
          </w:p>
        </w:tc>
      </w:tr>
      <w:tr>
        <w:trPr>
          <w:cantSplit/>
        </w:trPr>
        <w:tc>
          <w:tcPr>
            <w:tcW w:type="dxa" w:w="1512"/>
            <w:vAlign w:val="center"/>
          </w:tcPr>
          <w:p>
            <w:pPr>
              <w:spacing w:after="40"/>
            </w:pPr>
            <w:r>
              <w:rPr>
                <w:rFonts w:ascii="Calibri" w:hAnsi="Calibri"/>
                <w:b w:val="0"/>
                <w:i w:val="0"/>
                <w:color w:val="212121"/>
                <w:sz w:val="19"/>
              </w:rPr>
              <w:t>Hygiene</w:t>
            </w:r>
          </w:p>
        </w:tc>
        <w:tc>
          <w:tcPr>
            <w:tcW w:type="dxa" w:w="1944"/>
            <w:vAlign w:val="top"/>
          </w:tcPr>
          <w:p>
            <w:pPr>
              <w:spacing w:after="40" w:before="0" w:line="259" w:lineRule="auto"/>
            </w:pPr>
            <w:r>
              <w:rPr>
                <w:rFonts w:ascii="Calibri" w:hAnsi="Calibri"/>
                <w:b w:val="0"/>
                <w:i w:val="0"/>
                <w:color w:val="212121"/>
                <w:sz w:val="19"/>
              </w:rPr>
              <w:t>Household crowding</w:t>
            </w:r>
          </w:p>
        </w:tc>
        <w:tc>
          <w:tcPr>
            <w:tcW w:type="dxa" w:w="1655"/>
            <w:vAlign w:val="top"/>
          </w:tcPr>
          <w:p>
            <w:pPr>
              <w:spacing w:after="40" w:before="0" w:line="259" w:lineRule="auto"/>
            </w:pPr>
            <w:r>
              <w:rPr>
                <w:rFonts w:ascii="Calibri" w:hAnsi="Calibri"/>
                <w:b w:val="0"/>
                <w:i w:val="0"/>
                <w:color w:val="212121"/>
                <w:sz w:val="19"/>
              </w:rPr>
              <w:t>Children in shared dwellings</w:t>
            </w:r>
          </w:p>
        </w:tc>
        <w:tc>
          <w:tcPr>
            <w:tcW w:type="dxa" w:w="1512"/>
            <w:vAlign w:val="top"/>
          </w:tcPr>
          <w:p>
            <w:pPr>
              <w:spacing w:after="40" w:before="0" w:line="259" w:lineRule="auto"/>
            </w:pPr>
            <w:r>
              <w:rPr>
                <w:rFonts w:ascii="Calibri" w:hAnsi="Calibri"/>
                <w:b w:val="0"/>
                <w:i w:val="0"/>
                <w:color w:val="212121"/>
                <w:sz w:val="19"/>
              </w:rPr>
              <w:t>Adequate space / good ventilation</w:t>
            </w:r>
          </w:p>
        </w:tc>
        <w:tc>
          <w:tcPr>
            <w:tcW w:type="dxa" w:w="1512"/>
            <w:vAlign w:val="top"/>
          </w:tcPr>
          <w:p>
            <w:pPr>
              <w:spacing w:after="40" w:before="0" w:line="259" w:lineRule="auto"/>
            </w:pPr>
            <w:r>
              <w:rPr>
                <w:rFonts w:ascii="Calibri" w:hAnsi="Calibri"/>
                <w:b w:val="0"/>
                <w:i w:val="0"/>
                <w:color w:val="212121"/>
                <w:sz w:val="19"/>
              </w:rPr>
              <w:t>Overcrowding, shared bedrooms</w:t>
            </w:r>
          </w:p>
        </w:tc>
        <w:tc>
          <w:tcPr>
            <w:tcW w:type="dxa" w:w="1468"/>
            <w:vAlign w:val="top"/>
          </w:tcPr>
          <w:p>
            <w:pPr>
              <w:spacing w:after="60" w:line="259" w:lineRule="auto"/>
            </w:pPr>
            <w:r>
              <w:rPr>
                <w:rFonts w:ascii="Calibri" w:hAnsi="Calibri"/>
                <w:b w:val="0"/>
                <w:i w:val="0"/>
                <w:color w:val="212121"/>
                <w:sz w:val="19"/>
              </w:rPr>
              <w:t>Crowding accelerates spread of the viruses and bacteria that precede AOM</w:t>
            </w:r>
          </w:p>
          <w:p>
            <w:pPr>
              <w:spacing w:after="40" w:line="252" w:lineRule="auto"/>
            </w:pPr>
            <w:hyperlink r:id="rId10">
              <w:r>
                <w:rPr>
                  <w:rFonts w:ascii="Calibri" w:hAnsi="Calibri" w:cs="Calibri"/>
                  <w:sz w:val="18"/>
                  <w:color w:val="1155CC"/>
                  <w:u w:val="single"/>
                </w:rPr>
                <w:t xml:space="preserve">https://clinmedjournals.org/articles/iaphcm/international-archives-of-public-health-and-community-medicine-iaphcm-6-080.pdf</w:t>
              </w:r>
            </w:hyperlink>
          </w:p>
        </w:tc>
      </w:tr>
      <w:tr>
        <w:trPr>
          <w:cantSplit/>
        </w:trPr>
        <w:tc>
          <w:tcPr>
            <w:tcW w:type="dxa" w:w="1512"/>
            <w:vMerge w:val="restart"/>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Recurrent-AOM frequency</w:t>
            </w:r>
          </w:p>
        </w:tc>
        <w:tc>
          <w:tcPr>
            <w:tcW w:type="dxa" w:w="1655"/>
            <w:vAlign w:val="top"/>
          </w:tcPr>
          <w:p>
            <w:pPr>
              <w:spacing w:after="40" w:before="0" w:line="259" w:lineRule="auto"/>
            </w:pPr>
            <w:r>
              <w:rPr>
                <w:rFonts w:ascii="Calibri" w:hAnsi="Calibri"/>
                <w:b w:val="0"/>
                <w:i w:val="0"/>
                <w:color w:val="212121"/>
                <w:sz w:val="19"/>
              </w:rPr>
              <w:t>Otitis-prone children</w:t>
            </w:r>
          </w:p>
        </w:tc>
        <w:tc>
          <w:tcPr>
            <w:tcW w:type="dxa" w:w="1512"/>
            <w:vAlign w:val="top"/>
          </w:tcPr>
          <w:p>
            <w:pPr>
              <w:spacing w:after="40" w:before="0" w:line="259" w:lineRule="auto"/>
            </w:pPr>
            <w:r>
              <w:rPr>
                <w:rFonts w:ascii="Calibri" w:hAnsi="Calibri"/>
                <w:b w:val="0"/>
                <w:i w:val="0"/>
                <w:color w:val="212121"/>
                <w:sz w:val="19"/>
              </w:rPr>
              <w:t>&lt; 3 episodes / 6 months</w:t>
            </w:r>
          </w:p>
        </w:tc>
        <w:tc>
          <w:tcPr>
            <w:tcW w:type="dxa" w:w="1512"/>
            <w:vAlign w:val="top"/>
          </w:tcPr>
          <w:p>
            <w:pPr>
              <w:spacing w:after="40" w:before="0" w:line="259" w:lineRule="auto"/>
            </w:pPr>
            <w:r>
              <w:rPr>
                <w:rFonts w:ascii="Calibri" w:hAnsi="Calibri"/>
                <w:b w:val="0"/>
                <w:i w:val="0"/>
                <w:color w:val="212121"/>
                <w:sz w:val="19"/>
              </w:rPr>
              <w:t>≥ 3 in 6 months or ≥ 4 in 12 months (≥ 1 in last 6 months)</w:t>
            </w:r>
          </w:p>
        </w:tc>
        <w:tc>
          <w:tcPr>
            <w:tcW w:type="dxa" w:w="1468"/>
            <w:vAlign w:val="top"/>
          </w:tcPr>
          <w:p>
            <w:pPr>
              <w:spacing w:after="60" w:line="259" w:lineRule="auto"/>
            </w:pPr>
            <w:r>
              <w:rPr>
                <w:rFonts w:ascii="Calibri" w:hAnsi="Calibri"/>
                <w:b w:val="0"/>
                <w:i w:val="0"/>
                <w:color w:val="212121"/>
                <w:sz w:val="19"/>
              </w:rPr>
              <w:t>Defines recurrent AOM and prompts ENT referral / grommet consideration</w:t>
            </w:r>
          </w:p>
          <w:p>
            <w:pPr>
              <w:spacing w:after="40" w:line="252" w:lineRule="auto"/>
            </w:pPr>
            <w:hyperlink r:id="rId15">
              <w:r>
                <w:rPr>
                  <w:rFonts w:ascii="Calibri" w:hAnsi="Calibri" w:cs="Calibri"/>
                  <w:sz w:val="18"/>
                  <w:color w:val="1155CC"/>
                  <w:u w:val="single"/>
                </w:rPr>
                <w:t xml:space="preserve">https://www.childrensmn.org/References/cds/otitis-media-guideline.pdf</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Body temperature (severity marker)</w:t>
            </w:r>
          </w:p>
        </w:tc>
        <w:tc>
          <w:tcPr>
            <w:tcW w:type="dxa" w:w="1655"/>
            <w:vAlign w:val="top"/>
          </w:tcPr>
          <w:p>
            <w:pPr>
              <w:spacing w:after="40" w:before="0" w:line="259" w:lineRule="auto"/>
            </w:pPr>
            <w:r>
              <w:rPr>
                <w:rFonts w:ascii="Calibri" w:hAnsi="Calibri"/>
                <w:b w:val="0"/>
                <w:i w:val="0"/>
                <w:color w:val="212121"/>
                <w:sz w:val="19"/>
              </w:rPr>
              <w:t>Children with AOM</w:t>
            </w:r>
          </w:p>
        </w:tc>
        <w:tc>
          <w:tcPr>
            <w:tcW w:type="dxa" w:w="1512"/>
            <w:vAlign w:val="top"/>
          </w:tcPr>
          <w:p>
            <w:pPr>
              <w:spacing w:after="40" w:before="0" w:line="259" w:lineRule="auto"/>
            </w:pPr>
            <w:r>
              <w:rPr>
                <w:rFonts w:ascii="Calibri" w:hAnsi="Calibri"/>
                <w:b w:val="0"/>
                <w:i w:val="0"/>
                <w:color w:val="212121"/>
                <w:sz w:val="19"/>
              </w:rPr>
              <w:t>&lt; 39 °C (non-severe)</w:t>
            </w:r>
          </w:p>
        </w:tc>
        <w:tc>
          <w:tcPr>
            <w:tcW w:type="dxa" w:w="1512"/>
            <w:vAlign w:val="top"/>
          </w:tcPr>
          <w:p>
            <w:pPr>
              <w:spacing w:after="40" w:before="0" w:line="259" w:lineRule="auto"/>
            </w:pPr>
            <w:r>
              <w:rPr>
                <w:rFonts w:ascii="Calibri" w:hAnsi="Calibri"/>
                <w:b w:val="0"/>
                <w:i w:val="0"/>
                <w:color w:val="212121"/>
                <w:sz w:val="19"/>
              </w:rPr>
              <w:t>≥ 39 °C or otalgia ≥ 48 h (severe)</w:t>
            </w:r>
          </w:p>
        </w:tc>
        <w:tc>
          <w:tcPr>
            <w:tcW w:type="dxa" w:w="1468"/>
            <w:vAlign w:val="top"/>
          </w:tcPr>
          <w:p>
            <w:pPr>
              <w:spacing w:after="60" w:line="259" w:lineRule="auto"/>
            </w:pPr>
            <w:r>
              <w:rPr>
                <w:rFonts w:ascii="Calibri" w:hAnsi="Calibri"/>
                <w:b w:val="0"/>
                <w:i w:val="0"/>
                <w:color w:val="212121"/>
                <w:sz w:val="19"/>
              </w:rPr>
              <w:t>Severity grading guides antibiotics versus watchful waiting</w:t>
            </w:r>
          </w:p>
          <w:p>
            <w:pPr>
              <w:spacing w:after="40" w:line="252" w:lineRule="auto"/>
            </w:pPr>
            <w:hyperlink r:id="rId15">
              <w:r>
                <w:rPr>
                  <w:rFonts w:ascii="Calibri" w:hAnsi="Calibri" w:cs="Calibri"/>
                  <w:sz w:val="18"/>
                  <w:color w:val="1155CC"/>
                  <w:u w:val="single"/>
                </w:rPr>
                <w:t xml:space="preserve">https://www.childrensmn.org/References/cds/otitis-media-guideline.pdf</w:t>
              </w:r>
            </w:hyperlink>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Otologic</w:t>
            </w:r>
          </w:p>
        </w:tc>
        <w:tc>
          <w:tcPr>
            <w:tcW w:type="dxa" w:w="1036"/>
            <w:vAlign w:val="top"/>
          </w:tcPr>
          <w:p>
            <w:pPr>
              <w:spacing w:after="40" w:before="0" w:line="259" w:lineRule="auto"/>
            </w:pPr>
            <w:r>
              <w:rPr>
                <w:rFonts w:ascii="Calibri" w:hAnsi="Calibri"/>
                <w:b w:val="0"/>
                <w:i w:val="0"/>
                <w:color w:val="212121"/>
                <w:sz w:val="16"/>
              </w:rPr>
              <w:t>Middle-ear compliance / effusion</w:t>
            </w:r>
          </w:p>
        </w:tc>
        <w:tc>
          <w:tcPr>
            <w:tcW w:type="dxa" w:w="892"/>
            <w:vAlign w:val="top"/>
          </w:tcPr>
          <w:p>
            <w:pPr>
              <w:spacing w:after="40" w:before="0" w:line="259" w:lineRule="auto"/>
            </w:pPr>
            <w:r>
              <w:rPr>
                <w:rFonts w:ascii="Calibri" w:hAnsi="Calibri"/>
                <w:b w:val="0"/>
                <w:i w:val="0"/>
                <w:color w:val="212121"/>
                <w:sz w:val="16"/>
              </w:rPr>
              <w:t>Tympanometry</w:t>
            </w:r>
          </w:p>
        </w:tc>
        <w:tc>
          <w:tcPr>
            <w:tcW w:type="dxa" w:w="950"/>
            <w:vAlign w:val="top"/>
          </w:tcPr>
          <w:p>
            <w:pPr>
              <w:spacing w:after="40" w:before="0" w:line="259" w:lineRule="auto"/>
            </w:pPr>
            <w:r>
              <w:rPr>
                <w:rFonts w:ascii="Calibri" w:hAnsi="Calibri"/>
                <w:b w:val="0"/>
                <w:i w:val="0"/>
                <w:color w:val="212121"/>
                <w:sz w:val="16"/>
              </w:rPr>
              <w:t>Type A (normal peak)</w:t>
            </w:r>
          </w:p>
        </w:tc>
        <w:tc>
          <w:tcPr>
            <w:tcW w:type="dxa" w:w="950"/>
            <w:vAlign w:val="top"/>
          </w:tcPr>
          <w:p>
            <w:pPr>
              <w:spacing w:after="40" w:before="0" w:line="259" w:lineRule="auto"/>
            </w:pPr>
            <w:r>
              <w:rPr>
                <w:rFonts w:ascii="Calibri" w:hAnsi="Calibri"/>
                <w:b w:val="0"/>
                <w:i w:val="0"/>
                <w:color w:val="212121"/>
                <w:sz w:val="16"/>
              </w:rPr>
              <w:t>Type B (flat) — middle-ear effusion</w:t>
            </w:r>
          </w:p>
        </w:tc>
        <w:tc>
          <w:tcPr>
            <w:tcW w:type="dxa" w:w="1036"/>
            <w:vAlign w:val="top"/>
          </w:tcPr>
          <w:p>
            <w:pPr>
              <w:spacing w:after="40" w:before="0" w:line="259" w:lineRule="auto"/>
            </w:pPr>
            <w:r>
              <w:rPr>
                <w:rFonts w:ascii="Calibri" w:hAnsi="Calibri"/>
                <w:b w:val="0"/>
                <w:i w:val="0"/>
                <w:color w:val="212121"/>
                <w:sz w:val="16"/>
              </w:rPr>
              <w:t>Confirms a middle-ear effusion when otoscopy is equivocal</w:t>
            </w:r>
          </w:p>
        </w:tc>
        <w:tc>
          <w:tcPr>
            <w:tcW w:type="dxa" w:w="1036"/>
            <w:vAlign w:val="top"/>
          </w:tcPr>
          <w:p>
            <w:pPr>
              <w:spacing w:after="40" w:before="0" w:line="259" w:lineRule="auto"/>
            </w:pPr>
            <w:r>
              <w:rPr>
                <w:rFonts w:ascii="Calibri" w:hAnsi="Calibri"/>
                <w:b w:val="0"/>
                <w:i w:val="0"/>
                <w:color w:val="212121"/>
                <w:sz w:val="16"/>
              </w:rPr>
              <w:t>Children with equivocal otoscopy, suspected OME</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Complements pneumatic otoscopy</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Otologic</w:t>
            </w:r>
          </w:p>
        </w:tc>
        <w:tc>
          <w:tcPr>
            <w:tcW w:type="dxa" w:w="1036"/>
            <w:vAlign w:val="top"/>
          </w:tcPr>
          <w:p>
            <w:pPr>
              <w:spacing w:after="40" w:before="0" w:line="259" w:lineRule="auto"/>
            </w:pPr>
            <w:r>
              <w:rPr>
                <w:rFonts w:ascii="Calibri" w:hAnsi="Calibri"/>
                <w:b w:val="0"/>
                <w:i w:val="0"/>
                <w:color w:val="212121"/>
                <w:sz w:val="16"/>
              </w:rPr>
              <w:t>Tympanic-membrane mobility</w:t>
            </w:r>
          </w:p>
        </w:tc>
        <w:tc>
          <w:tcPr>
            <w:tcW w:type="dxa" w:w="892"/>
            <w:vAlign w:val="top"/>
          </w:tcPr>
          <w:p>
            <w:pPr>
              <w:spacing w:after="40" w:before="0" w:line="259" w:lineRule="auto"/>
            </w:pPr>
            <w:r>
              <w:rPr>
                <w:rFonts w:ascii="Calibri" w:hAnsi="Calibri"/>
                <w:b w:val="0"/>
                <w:i w:val="0"/>
                <w:color w:val="212121"/>
                <w:sz w:val="16"/>
              </w:rPr>
              <w:t>Pneumatic otoscopy</w:t>
            </w:r>
          </w:p>
        </w:tc>
        <w:tc>
          <w:tcPr>
            <w:tcW w:type="dxa" w:w="950"/>
            <w:vAlign w:val="top"/>
          </w:tcPr>
          <w:p>
            <w:pPr>
              <w:spacing w:after="40" w:before="0" w:line="259" w:lineRule="auto"/>
            </w:pPr>
            <w:r>
              <w:rPr>
                <w:rFonts w:ascii="Calibri" w:hAnsi="Calibri"/>
                <w:b w:val="0"/>
                <w:i w:val="0"/>
                <w:color w:val="212121"/>
                <w:sz w:val="16"/>
              </w:rPr>
              <w:t>Mobile, translucent drum</w:t>
            </w:r>
          </w:p>
        </w:tc>
        <w:tc>
          <w:tcPr>
            <w:tcW w:type="dxa" w:w="950"/>
            <w:vAlign w:val="top"/>
          </w:tcPr>
          <w:p>
            <w:pPr>
              <w:spacing w:after="40" w:before="0" w:line="259" w:lineRule="auto"/>
            </w:pPr>
            <w:r>
              <w:rPr>
                <w:rFonts w:ascii="Calibri" w:hAnsi="Calibri"/>
                <w:b w:val="0"/>
                <w:i w:val="0"/>
                <w:color w:val="212121"/>
                <w:sz w:val="16"/>
              </w:rPr>
              <w:t>Reduced/absent mobility, bulging opaque drum</w:t>
            </w:r>
          </w:p>
        </w:tc>
        <w:tc>
          <w:tcPr>
            <w:tcW w:type="dxa" w:w="1036"/>
            <w:vAlign w:val="top"/>
          </w:tcPr>
          <w:p>
            <w:pPr>
              <w:spacing w:after="40" w:before="0" w:line="259" w:lineRule="auto"/>
            </w:pPr>
            <w:r>
              <w:rPr>
                <w:rFonts w:ascii="Calibri" w:hAnsi="Calibri"/>
                <w:b w:val="0"/>
                <w:i w:val="0"/>
                <w:color w:val="212121"/>
                <w:sz w:val="16"/>
              </w:rPr>
              <w:t>Reference bedside test for middle-ear effusion and AOM</w:t>
            </w:r>
          </w:p>
        </w:tc>
        <w:tc>
          <w:tcPr>
            <w:tcW w:type="dxa" w:w="1036"/>
            <w:vAlign w:val="top"/>
          </w:tcPr>
          <w:p>
            <w:pPr>
              <w:spacing w:after="40" w:before="0" w:line="259" w:lineRule="auto"/>
            </w:pPr>
            <w:r>
              <w:rPr>
                <w:rFonts w:ascii="Calibri" w:hAnsi="Calibri"/>
                <w:b w:val="0"/>
                <w:i w:val="0"/>
                <w:color w:val="212121"/>
                <w:sz w:val="16"/>
              </w:rPr>
              <w:t>All children with suspected AOM</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Gold standard</w:t>
            </w:r>
          </w:p>
        </w:tc>
        <w:tc>
          <w:tcPr>
            <w:tcW w:type="dxa" w:w="720"/>
            <w:vAlign w:val="top"/>
          </w:tcPr>
          <w:p>
            <w:pPr>
              <w:spacing w:after="40" w:before="0" w:line="259" w:lineRule="auto"/>
            </w:pPr>
            <w:r>
              <w:rPr>
                <w:rFonts w:ascii="Calibri" w:hAnsi="Calibri"/>
                <w:b w:val="0"/>
                <w:i w:val="0"/>
                <w:color w:val="212121"/>
                <w:sz w:val="16"/>
              </w:rPr>
              <w:t>Requires an adequate seal and cerumen removal</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Microbiology</w:t>
            </w:r>
          </w:p>
        </w:tc>
        <w:tc>
          <w:tcPr>
            <w:tcW w:type="dxa" w:w="1036"/>
            <w:vAlign w:val="top"/>
          </w:tcPr>
          <w:p>
            <w:pPr>
              <w:spacing w:after="40" w:before="0" w:line="259" w:lineRule="auto"/>
            </w:pPr>
            <w:r>
              <w:rPr>
                <w:rFonts w:ascii="Calibri" w:hAnsi="Calibri"/>
                <w:b w:val="0"/>
                <w:i w:val="0"/>
                <w:color w:val="212121"/>
                <w:sz w:val="16"/>
              </w:rPr>
              <w:t>Middle-ear fluid culture</w:t>
            </w:r>
          </w:p>
        </w:tc>
        <w:tc>
          <w:tcPr>
            <w:tcW w:type="dxa" w:w="892"/>
            <w:vAlign w:val="top"/>
          </w:tcPr>
          <w:p>
            <w:pPr>
              <w:spacing w:after="40" w:before="0" w:line="259" w:lineRule="auto"/>
            </w:pPr>
            <w:r>
              <w:rPr>
                <w:rFonts w:ascii="Calibri" w:hAnsi="Calibri"/>
                <w:b w:val="0"/>
                <w:i w:val="0"/>
                <w:color w:val="212121"/>
                <w:sz w:val="16"/>
              </w:rPr>
              <w:t>Tympanocentesis / otorrhoea swab</w:t>
            </w:r>
          </w:p>
        </w:tc>
        <w:tc>
          <w:tcPr>
            <w:tcW w:type="dxa" w:w="950"/>
            <w:vAlign w:val="top"/>
          </w:tcPr>
          <w:p>
            <w:pPr>
              <w:spacing w:after="40" w:before="0" w:line="259" w:lineRule="auto"/>
            </w:pPr>
            <w:r>
              <w:rPr>
                <w:rFonts w:ascii="Calibri" w:hAnsi="Calibri"/>
                <w:b w:val="0"/>
                <w:i w:val="0"/>
                <w:color w:val="212121"/>
                <w:sz w:val="16"/>
              </w:rPr>
              <w:t>Sterile</w:t>
            </w:r>
          </w:p>
        </w:tc>
        <w:tc>
          <w:tcPr>
            <w:tcW w:type="dxa" w:w="950"/>
            <w:vAlign w:val="top"/>
          </w:tcPr>
          <w:p>
            <w:pPr>
              <w:spacing w:after="40" w:before="0" w:line="259" w:lineRule="auto"/>
            </w:pPr>
            <w:r>
              <w:rPr>
                <w:rFonts w:ascii="Calibri" w:hAnsi="Calibri"/>
                <w:b w:val="0"/>
                <w:i w:val="0"/>
                <w:color w:val="212121"/>
                <w:sz w:val="16"/>
              </w:rPr>
              <w:t>S. pneumoniae, non-typeable H. influenzae, M. catarrhalis</w:t>
            </w:r>
          </w:p>
        </w:tc>
        <w:tc>
          <w:tcPr>
            <w:tcW w:type="dxa" w:w="1036"/>
            <w:vAlign w:val="top"/>
          </w:tcPr>
          <w:p>
            <w:pPr>
              <w:spacing w:after="40" w:before="0" w:line="259" w:lineRule="auto"/>
            </w:pPr>
            <w:r>
              <w:rPr>
                <w:rFonts w:ascii="Calibri" w:hAnsi="Calibri"/>
                <w:b w:val="0"/>
                <w:i w:val="0"/>
                <w:color w:val="212121"/>
                <w:sz w:val="16"/>
              </w:rPr>
              <w:t>Identifies pathogen and resistance in severe, refractory or complicated cases</w:t>
            </w:r>
          </w:p>
        </w:tc>
        <w:tc>
          <w:tcPr>
            <w:tcW w:type="dxa" w:w="1036"/>
            <w:vAlign w:val="top"/>
          </w:tcPr>
          <w:p>
            <w:pPr>
              <w:spacing w:after="40" w:before="0" w:line="259" w:lineRule="auto"/>
            </w:pPr>
            <w:r>
              <w:rPr>
                <w:rFonts w:ascii="Calibri" w:hAnsi="Calibri"/>
                <w:b w:val="0"/>
                <w:i w:val="0"/>
                <w:color w:val="212121"/>
                <w:sz w:val="16"/>
              </w:rPr>
              <w:t>Treatment failure, neonates, immunocompromised, complications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Selective</w:t>
            </w:r>
          </w:p>
        </w:tc>
        <w:tc>
          <w:tcPr>
            <w:tcW w:type="dxa" w:w="720"/>
            <w:vAlign w:val="top"/>
          </w:tcPr>
          <w:p>
            <w:pPr>
              <w:spacing w:after="40" w:before="0" w:line="259" w:lineRule="auto"/>
            </w:pPr>
            <w:r>
              <w:rPr>
                <w:rFonts w:ascii="Calibri" w:hAnsi="Calibri"/>
                <w:b w:val="0"/>
                <w:i w:val="0"/>
                <w:color w:val="212121"/>
                <w:sz w:val="16"/>
              </w:rPr>
              <w:t>Not routine; reserved for refractory/severe disease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Audiological</w:t>
            </w:r>
          </w:p>
        </w:tc>
        <w:tc>
          <w:tcPr>
            <w:tcW w:type="dxa" w:w="1036"/>
            <w:vAlign w:val="top"/>
          </w:tcPr>
          <w:p>
            <w:pPr>
              <w:spacing w:after="40" w:before="0" w:line="259" w:lineRule="auto"/>
            </w:pPr>
            <w:r>
              <w:rPr>
                <w:rFonts w:ascii="Calibri" w:hAnsi="Calibri"/>
                <w:b w:val="0"/>
                <w:i w:val="0"/>
                <w:color w:val="212121"/>
                <w:sz w:val="16"/>
              </w:rPr>
              <w:t>Hearing thresholds / impedance</w:t>
            </w:r>
          </w:p>
        </w:tc>
        <w:tc>
          <w:tcPr>
            <w:tcW w:type="dxa" w:w="892"/>
            <w:vAlign w:val="top"/>
          </w:tcPr>
          <w:p>
            <w:pPr>
              <w:spacing w:after="40" w:before="0" w:line="259" w:lineRule="auto"/>
            </w:pPr>
            <w:r>
              <w:rPr>
                <w:rFonts w:ascii="Calibri" w:hAnsi="Calibri"/>
                <w:b w:val="0"/>
                <w:i w:val="0"/>
                <w:color w:val="212121"/>
                <w:sz w:val="16"/>
              </w:rPr>
              <w:t>Audiometry / impedance</w:t>
            </w:r>
          </w:p>
        </w:tc>
        <w:tc>
          <w:tcPr>
            <w:tcW w:type="dxa" w:w="950"/>
            <w:vAlign w:val="top"/>
          </w:tcPr>
          <w:p>
            <w:pPr>
              <w:spacing w:after="40" w:before="0" w:line="259" w:lineRule="auto"/>
            </w:pPr>
            <w:r>
              <w:rPr>
                <w:rFonts w:ascii="Calibri" w:hAnsi="Calibri"/>
                <w:b w:val="0"/>
                <w:i w:val="0"/>
                <w:color w:val="212121"/>
                <w:sz w:val="16"/>
              </w:rPr>
              <w:t>Normal thresholds, Type A</w:t>
            </w:r>
          </w:p>
        </w:tc>
        <w:tc>
          <w:tcPr>
            <w:tcW w:type="dxa" w:w="950"/>
            <w:vAlign w:val="top"/>
          </w:tcPr>
          <w:p>
            <w:pPr>
              <w:spacing w:after="40" w:before="0" w:line="259" w:lineRule="auto"/>
            </w:pPr>
            <w:r>
              <w:rPr>
                <w:rFonts w:ascii="Calibri" w:hAnsi="Calibri"/>
                <w:b w:val="0"/>
                <w:i w:val="0"/>
                <w:color w:val="212121"/>
                <w:sz w:val="16"/>
              </w:rPr>
              <w:t>Conductive hearing loss with Type B</w:t>
            </w:r>
          </w:p>
        </w:tc>
        <w:tc>
          <w:tcPr>
            <w:tcW w:type="dxa" w:w="1036"/>
            <w:vAlign w:val="top"/>
          </w:tcPr>
          <w:p>
            <w:pPr>
              <w:spacing w:after="40" w:before="0" w:line="259" w:lineRule="auto"/>
            </w:pPr>
            <w:r>
              <w:rPr>
                <w:rFonts w:ascii="Calibri" w:hAnsi="Calibri"/>
                <w:b w:val="0"/>
                <w:i w:val="0"/>
                <w:color w:val="212121"/>
                <w:sz w:val="16"/>
              </w:rPr>
              <w:t>Quantifies conductive loss from effusion, especially persistent OME</w:t>
            </w:r>
          </w:p>
        </w:tc>
        <w:tc>
          <w:tcPr>
            <w:tcW w:type="dxa" w:w="1036"/>
            <w:vAlign w:val="top"/>
          </w:tcPr>
          <w:p>
            <w:pPr>
              <w:spacing w:after="40" w:before="0" w:line="259" w:lineRule="auto"/>
            </w:pPr>
            <w:r>
              <w:rPr>
                <w:rFonts w:ascii="Calibri" w:hAnsi="Calibri"/>
                <w:b w:val="0"/>
                <w:i w:val="0"/>
                <w:color w:val="212121"/>
                <w:sz w:val="16"/>
              </w:rPr>
              <w:t>Recurrent AOM, persistent effusion, speech-delay concern</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Guides grommet decisions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Haematology</w:t>
            </w:r>
          </w:p>
        </w:tc>
        <w:tc>
          <w:tcPr>
            <w:tcW w:type="dxa" w:w="1036"/>
            <w:vAlign w:val="top"/>
          </w:tcPr>
          <w:p>
            <w:pPr>
              <w:spacing w:after="40" w:before="0" w:line="259" w:lineRule="auto"/>
            </w:pPr>
            <w:r>
              <w:rPr>
                <w:rFonts w:ascii="Calibri" w:hAnsi="Calibri"/>
                <w:b w:val="0"/>
                <w:i w:val="0"/>
                <w:color w:val="212121"/>
                <w:sz w:val="16"/>
              </w:rPr>
              <w:t>CBC, CRP / ESR</w:t>
            </w:r>
          </w:p>
        </w:tc>
        <w:tc>
          <w:tcPr>
            <w:tcW w:type="dxa" w:w="892"/>
            <w:vAlign w:val="top"/>
          </w:tcPr>
          <w:p>
            <w:pPr>
              <w:spacing w:after="40" w:before="0" w:line="259" w:lineRule="auto"/>
            </w:pPr>
            <w:r>
              <w:rPr>
                <w:rFonts w:ascii="Calibri" w:hAnsi="Calibri"/>
                <w:b w:val="0"/>
                <w:i w:val="0"/>
                <w:color w:val="212121"/>
                <w:sz w:val="16"/>
              </w:rPr>
              <w:t>Blood inflammatory markers</w:t>
            </w:r>
          </w:p>
        </w:tc>
        <w:tc>
          <w:tcPr>
            <w:tcW w:type="dxa" w:w="950"/>
            <w:vAlign w:val="top"/>
          </w:tcPr>
          <w:p>
            <w:pPr>
              <w:spacing w:after="40" w:before="0" w:line="259" w:lineRule="auto"/>
            </w:pPr>
            <w:r>
              <w:rPr>
                <w:rFonts w:ascii="Calibri" w:hAnsi="Calibri"/>
                <w:b w:val="0"/>
                <w:i w:val="0"/>
                <w:color w:val="212121"/>
                <w:sz w:val="16"/>
              </w:rPr>
              <w:t>Normal counts / CRP</w:t>
            </w:r>
          </w:p>
        </w:tc>
        <w:tc>
          <w:tcPr>
            <w:tcW w:type="dxa" w:w="950"/>
            <w:vAlign w:val="top"/>
          </w:tcPr>
          <w:p>
            <w:pPr>
              <w:spacing w:after="40" w:before="0" w:line="259" w:lineRule="auto"/>
            </w:pPr>
            <w:r>
              <w:rPr>
                <w:rFonts w:ascii="Calibri" w:hAnsi="Calibri"/>
                <w:b w:val="0"/>
                <w:i w:val="0"/>
                <w:color w:val="212121"/>
                <w:sz w:val="16"/>
              </w:rPr>
              <w:t>Leukocytosis, raised CRP</w:t>
            </w:r>
          </w:p>
        </w:tc>
        <w:tc>
          <w:tcPr>
            <w:tcW w:type="dxa" w:w="1036"/>
            <w:vAlign w:val="top"/>
          </w:tcPr>
          <w:p>
            <w:pPr>
              <w:spacing w:after="40" w:before="0" w:line="259" w:lineRule="auto"/>
            </w:pPr>
            <w:r>
              <w:rPr>
                <w:rFonts w:ascii="Calibri" w:hAnsi="Calibri"/>
                <w:b w:val="0"/>
                <w:i w:val="0"/>
                <w:color w:val="212121"/>
                <w:sz w:val="16"/>
              </w:rPr>
              <w:t>Non-specific; supports systemic infection or complication, not diagnosis of AOM</w:t>
            </w:r>
          </w:p>
        </w:tc>
        <w:tc>
          <w:tcPr>
            <w:tcW w:type="dxa" w:w="1036"/>
            <w:vAlign w:val="top"/>
          </w:tcPr>
          <w:p>
            <w:pPr>
              <w:spacing w:after="40" w:before="0" w:line="259" w:lineRule="auto"/>
            </w:pPr>
            <w:r>
              <w:rPr>
                <w:rFonts w:ascii="Calibri" w:hAnsi="Calibri"/>
                <w:b w:val="0"/>
                <w:i w:val="0"/>
                <w:color w:val="212121"/>
                <w:sz w:val="16"/>
              </w:rPr>
              <w:t>Toxic child, suspected mastoiditis/intracranial spread</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Adjunct</w:t>
            </w:r>
          </w:p>
        </w:tc>
        <w:tc>
          <w:tcPr>
            <w:tcW w:type="dxa" w:w="720"/>
            <w:vAlign w:val="top"/>
          </w:tcPr>
          <w:p>
            <w:pPr>
              <w:spacing w:after="40" w:before="0" w:line="259" w:lineRule="auto"/>
            </w:pPr>
            <w:r>
              <w:rPr>
                <w:rFonts w:ascii="Calibri" w:hAnsi="Calibri"/>
                <w:b w:val="0"/>
                <w:i w:val="0"/>
                <w:color w:val="212121"/>
                <w:sz w:val="16"/>
              </w:rPr>
              <w:t>Interpret with clinical picture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Imaging</w:t>
            </w:r>
          </w:p>
        </w:tc>
        <w:tc>
          <w:tcPr>
            <w:tcW w:type="dxa" w:w="1036"/>
            <w:vAlign w:val="top"/>
          </w:tcPr>
          <w:p>
            <w:pPr>
              <w:spacing w:after="40" w:before="0" w:line="259" w:lineRule="auto"/>
            </w:pPr>
            <w:r>
              <w:rPr>
                <w:rFonts w:ascii="Calibri" w:hAnsi="Calibri"/>
                <w:b w:val="0"/>
                <w:i w:val="0"/>
                <w:color w:val="212121"/>
                <w:sz w:val="16"/>
              </w:rPr>
              <w:t>Temporal-bone CT / MRI brain</w:t>
            </w:r>
          </w:p>
        </w:tc>
        <w:tc>
          <w:tcPr>
            <w:tcW w:type="dxa" w:w="892"/>
            <w:vAlign w:val="top"/>
          </w:tcPr>
          <w:p>
            <w:pPr>
              <w:spacing w:after="40" w:before="0" w:line="259" w:lineRule="auto"/>
            </w:pPr>
            <w:r>
              <w:rPr>
                <w:rFonts w:ascii="Calibri" w:hAnsi="Calibri"/>
                <w:b w:val="0"/>
                <w:i w:val="0"/>
                <w:color w:val="212121"/>
                <w:sz w:val="16"/>
              </w:rPr>
              <w:t>CT / MRI</w:t>
            </w:r>
          </w:p>
        </w:tc>
        <w:tc>
          <w:tcPr>
            <w:tcW w:type="dxa" w:w="950"/>
            <w:vAlign w:val="top"/>
          </w:tcPr>
          <w:p>
            <w:pPr>
              <w:spacing w:after="40" w:before="0" w:line="259" w:lineRule="auto"/>
            </w:pPr>
            <w:r>
              <w:rPr>
                <w:rFonts w:ascii="Calibri" w:hAnsi="Calibri"/>
                <w:b w:val="0"/>
                <w:i w:val="0"/>
                <w:color w:val="212121"/>
                <w:sz w:val="16"/>
              </w:rPr>
              <w:t>Clear mastoid air cells, no intracranial focus</w:t>
            </w:r>
          </w:p>
        </w:tc>
        <w:tc>
          <w:tcPr>
            <w:tcW w:type="dxa" w:w="950"/>
            <w:vAlign w:val="top"/>
          </w:tcPr>
          <w:p>
            <w:pPr>
              <w:spacing w:after="40" w:before="0" w:line="259" w:lineRule="auto"/>
            </w:pPr>
            <w:r>
              <w:rPr>
                <w:rFonts w:ascii="Calibri" w:hAnsi="Calibri"/>
                <w:b w:val="0"/>
                <w:i w:val="0"/>
                <w:color w:val="212121"/>
                <w:sz w:val="16"/>
              </w:rPr>
              <w:t>Mastoid coalescence, abscess, sinus thrombosis</w:t>
            </w:r>
          </w:p>
        </w:tc>
        <w:tc>
          <w:tcPr>
            <w:tcW w:type="dxa" w:w="1036"/>
            <w:vAlign w:val="top"/>
          </w:tcPr>
          <w:p>
            <w:pPr>
              <w:spacing w:after="40" w:before="0" w:line="259" w:lineRule="auto"/>
            </w:pPr>
            <w:r>
              <w:rPr>
                <w:rFonts w:ascii="Calibri" w:hAnsi="Calibri"/>
                <w:b w:val="0"/>
                <w:i w:val="0"/>
                <w:color w:val="212121"/>
                <w:sz w:val="16"/>
              </w:rPr>
              <w:t>Detects mastoiditis and intracranial complications</w:t>
            </w:r>
          </w:p>
        </w:tc>
        <w:tc>
          <w:tcPr>
            <w:tcW w:type="dxa" w:w="1036"/>
            <w:vAlign w:val="top"/>
          </w:tcPr>
          <w:p>
            <w:pPr>
              <w:spacing w:after="40" w:before="0" w:line="259" w:lineRule="auto"/>
            </w:pPr>
            <w:r>
              <w:rPr>
                <w:rFonts w:ascii="Calibri" w:hAnsi="Calibri"/>
                <w:b w:val="0"/>
                <w:i w:val="0"/>
                <w:color w:val="212121"/>
                <w:sz w:val="16"/>
              </w:rPr>
              <w:t>Suspected mastoiditis, meningitis, focal neurology</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Selective</w:t>
            </w:r>
          </w:p>
        </w:tc>
        <w:tc>
          <w:tcPr>
            <w:tcW w:type="dxa" w:w="720"/>
            <w:vAlign w:val="top"/>
          </w:tcPr>
          <w:p>
            <w:pPr>
              <w:spacing w:after="40" w:before="0" w:line="259" w:lineRule="auto"/>
            </w:pPr>
            <w:r>
              <w:rPr>
                <w:rFonts w:ascii="Calibri" w:hAnsi="Calibri"/>
                <w:b w:val="0"/>
                <w:i w:val="0"/>
                <w:color w:val="212121"/>
                <w:sz w:val="16"/>
              </w:rPr>
              <w:t>Only when a complication is suspected</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Chief complaints</w:t>
            </w:r>
          </w:p>
        </w:tc>
        <w:tc>
          <w:tcPr>
            <w:tcW w:type="dxa" w:w="979"/>
            <w:vAlign w:val="top"/>
          </w:tcPr>
          <w:p>
            <w:pPr>
              <w:spacing w:after="40" w:before="0" w:line="259" w:lineRule="auto"/>
            </w:pPr>
            <w:r>
              <w:rPr>
                <w:rFonts w:ascii="Calibri" w:hAnsi="Calibri"/>
                <w:b w:val="0"/>
                <w:i w:val="0"/>
                <w:color w:val="212121"/>
                <w:sz w:val="16"/>
              </w:rPr>
              <w:t>Otalgia, ear-tugging, fever, irritability, poor feeding</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Acute ear pain/tugging with fever or fussiness</w:t>
            </w:r>
          </w:p>
        </w:tc>
        <w:tc>
          <w:tcPr>
            <w:tcW w:type="dxa" w:w="1036"/>
            <w:vAlign w:val="top"/>
          </w:tcPr>
          <w:p>
            <w:pPr>
              <w:spacing w:after="40" w:before="0" w:line="259" w:lineRule="auto"/>
            </w:pPr>
            <w:r>
              <w:rPr>
                <w:rFonts w:ascii="Calibri" w:hAnsi="Calibri"/>
                <w:b w:val="0"/>
                <w:i w:val="0"/>
                <w:color w:val="212121"/>
                <w:sz w:val="16"/>
              </w:rPr>
              <w:t>Cardinal presentation of AOM, especially after a cold</w:t>
            </w:r>
          </w:p>
        </w:tc>
        <w:tc>
          <w:tcPr>
            <w:tcW w:type="dxa" w:w="1036"/>
            <w:vAlign w:val="top"/>
          </w:tcPr>
          <w:p>
            <w:pPr>
              <w:spacing w:after="40" w:before="0" w:line="259" w:lineRule="auto"/>
            </w:pPr>
            <w:r>
              <w:rPr>
                <w:rFonts w:ascii="Calibri" w:hAnsi="Calibri"/>
                <w:b w:val="0"/>
                <w:i w:val="0"/>
                <w:color w:val="212121"/>
                <w:sz w:val="16"/>
              </w:rPr>
              <w:t>Infants and young children with a recent URI</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Non-verbal infants tug/rub the ear</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Preceding illness</w:t>
            </w:r>
          </w:p>
        </w:tc>
        <w:tc>
          <w:tcPr>
            <w:tcW w:type="dxa" w:w="979"/>
            <w:vAlign w:val="top"/>
          </w:tcPr>
          <w:p>
            <w:pPr>
              <w:spacing w:after="40" w:before="0" w:line="259" w:lineRule="auto"/>
            </w:pPr>
            <w:r>
              <w:rPr>
                <w:rFonts w:ascii="Calibri" w:hAnsi="Calibri"/>
                <w:b w:val="0"/>
                <w:i w:val="0"/>
                <w:color w:val="212121"/>
                <w:sz w:val="16"/>
              </w:rPr>
              <w:t>Recent upper-respiratory infection / cold</w:t>
            </w:r>
          </w:p>
        </w:tc>
        <w:tc>
          <w:tcPr>
            <w:tcW w:type="dxa" w:w="950"/>
            <w:vAlign w:val="top"/>
          </w:tcPr>
          <w:p>
            <w:pPr>
              <w:spacing w:after="40" w:before="0" w:line="259" w:lineRule="auto"/>
            </w:pPr>
            <w:r>
              <w:rPr>
                <w:rFonts w:ascii="Calibri" w:hAnsi="Calibri"/>
                <w:b w:val="0"/>
                <w:i w:val="0"/>
                <w:color w:val="212121"/>
                <w:sz w:val="16"/>
              </w:rPr>
              <w:t>No recent URI</w:t>
            </w:r>
          </w:p>
        </w:tc>
        <w:tc>
          <w:tcPr>
            <w:tcW w:type="dxa" w:w="950"/>
            <w:vAlign w:val="top"/>
          </w:tcPr>
          <w:p>
            <w:pPr>
              <w:spacing w:after="40" w:before="0" w:line="259" w:lineRule="auto"/>
            </w:pPr>
            <w:r>
              <w:rPr>
                <w:rFonts w:ascii="Calibri" w:hAnsi="Calibri"/>
                <w:b w:val="0"/>
                <w:i w:val="0"/>
                <w:color w:val="212121"/>
                <w:sz w:val="16"/>
              </w:rPr>
              <w:t>Cough, coryza in the preceding days</w:t>
            </w:r>
          </w:p>
        </w:tc>
        <w:tc>
          <w:tcPr>
            <w:tcW w:type="dxa" w:w="1036"/>
            <w:vAlign w:val="top"/>
          </w:tcPr>
          <w:p>
            <w:pPr>
              <w:spacing w:after="40" w:before="0" w:line="259" w:lineRule="auto"/>
            </w:pPr>
            <w:r>
              <w:rPr>
                <w:rFonts w:ascii="Calibri" w:hAnsi="Calibri"/>
                <w:b w:val="0"/>
                <w:i w:val="0"/>
                <w:color w:val="212121"/>
                <w:sz w:val="16"/>
              </w:rPr>
              <w:t>URI is the commonest precipitant of AOM</w:t>
            </w:r>
          </w:p>
        </w:tc>
        <w:tc>
          <w:tcPr>
            <w:tcW w:type="dxa" w:w="1036"/>
            <w:vAlign w:val="top"/>
          </w:tcPr>
          <w:p>
            <w:pPr>
              <w:spacing w:after="40" w:before="0" w:line="259" w:lineRule="auto"/>
            </w:pPr>
            <w:r>
              <w:rPr>
                <w:rFonts w:ascii="Calibri" w:hAnsi="Calibri"/>
                <w:b w:val="0"/>
                <w:i w:val="0"/>
                <w:color w:val="212121"/>
                <w:sz w:val="16"/>
              </w:rPr>
              <w:t>Day-care children, siblings of URI cases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Establishes the viral trigger</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Risk-exposure &amp; recurrence history</w:t>
            </w:r>
          </w:p>
        </w:tc>
        <w:tc>
          <w:tcPr>
            <w:tcW w:type="dxa" w:w="979"/>
            <w:vAlign w:val="top"/>
          </w:tcPr>
          <w:p>
            <w:pPr>
              <w:spacing w:after="40" w:before="0" w:line="259" w:lineRule="auto"/>
            </w:pPr>
            <w:r>
              <w:rPr>
                <w:rFonts w:ascii="Calibri" w:hAnsi="Calibri"/>
                <w:b w:val="0"/>
                <w:i w:val="0"/>
                <w:color w:val="212121"/>
                <w:sz w:val="16"/>
              </w:rPr>
              <w:t>Passive smoke, feeding practice, day care, prior episodes, vaccination</w:t>
            </w:r>
          </w:p>
        </w:tc>
        <w:tc>
          <w:tcPr>
            <w:tcW w:type="dxa" w:w="950"/>
            <w:vAlign w:val="top"/>
          </w:tcPr>
          <w:p>
            <w:pPr>
              <w:spacing w:after="40" w:before="0" w:line="259" w:lineRule="auto"/>
            </w:pPr>
            <w:r>
              <w:rPr>
                <w:rFonts w:ascii="Calibri" w:hAnsi="Calibri"/>
                <w:b w:val="0"/>
                <w:i w:val="0"/>
                <w:color w:val="212121"/>
                <w:sz w:val="16"/>
              </w:rPr>
              <w:t>Low-risk profile, PCV complete</w:t>
            </w:r>
          </w:p>
        </w:tc>
        <w:tc>
          <w:tcPr>
            <w:tcW w:type="dxa" w:w="950"/>
            <w:vAlign w:val="top"/>
          </w:tcPr>
          <w:p>
            <w:pPr>
              <w:spacing w:after="40" w:before="0" w:line="259" w:lineRule="auto"/>
            </w:pPr>
            <w:r>
              <w:rPr>
                <w:rFonts w:ascii="Calibri" w:hAnsi="Calibri"/>
                <w:b w:val="0"/>
                <w:i w:val="0"/>
                <w:color w:val="212121"/>
                <w:sz w:val="16"/>
              </w:rPr>
              <w:t>Smoke exposure, bottle-propping, recurrent episodes</w:t>
            </w:r>
          </w:p>
        </w:tc>
        <w:tc>
          <w:tcPr>
            <w:tcW w:type="dxa" w:w="1036"/>
            <w:vAlign w:val="top"/>
          </w:tcPr>
          <w:p>
            <w:pPr>
              <w:spacing w:after="40" w:before="0" w:line="259" w:lineRule="auto"/>
            </w:pPr>
            <w:r>
              <w:rPr>
                <w:rFonts w:ascii="Calibri" w:hAnsi="Calibri"/>
                <w:b w:val="0"/>
                <w:i w:val="0"/>
                <w:color w:val="212121"/>
                <w:sz w:val="16"/>
              </w:rPr>
              <w:t>Identifies modifiable drivers and recurrent AOM</w:t>
            </w:r>
          </w:p>
        </w:tc>
        <w:tc>
          <w:tcPr>
            <w:tcW w:type="dxa" w:w="1036"/>
            <w:vAlign w:val="top"/>
          </w:tcPr>
          <w:p>
            <w:pPr>
              <w:spacing w:after="40" w:before="0" w:line="259" w:lineRule="auto"/>
            </w:pPr>
            <w:r>
              <w:rPr>
                <w:rFonts w:ascii="Calibri" w:hAnsi="Calibri"/>
                <w:b w:val="0"/>
                <w:i w:val="0"/>
                <w:color w:val="212121"/>
                <w:sz w:val="16"/>
              </w:rPr>
              <w:t>Otitis-prone children, smoke-exposed households</w:t>
            </w:r>
          </w:p>
        </w:tc>
        <w:tc>
          <w:tcPr>
            <w:tcW w:type="dxa" w:w="720"/>
            <w:vAlign w:val="top"/>
          </w:tcPr>
          <w:p>
            <w:pPr>
              <w:spacing w:after="40" w:before="0" w:line="259" w:lineRule="auto"/>
            </w:pPr>
            <w:r>
              <w:rPr>
                <w:rFonts w:ascii="Calibri" w:hAnsi="Calibri"/>
                <w:b w:val="0"/>
                <w:i w:val="0"/>
                <w:color w:val="212121"/>
                <w:sz w:val="16"/>
              </w:rPr>
              <w:t>Provoking factors; Food; Smoking</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Directs prevention counselling</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Examination</w:t>
            </w:r>
          </w:p>
        </w:tc>
        <w:tc>
          <w:tcPr>
            <w:tcW w:type="dxa" w:w="950"/>
            <w:vAlign w:val="top"/>
          </w:tcPr>
          <w:p>
            <w:pPr>
              <w:spacing w:after="40" w:before="0" w:line="259" w:lineRule="auto"/>
            </w:pPr>
            <w:r>
              <w:rPr>
                <w:rFonts w:ascii="Calibri" w:hAnsi="Calibri"/>
                <w:b w:val="0"/>
                <w:i w:val="0"/>
                <w:color w:val="212121"/>
                <w:sz w:val="16"/>
              </w:rPr>
              <w:t>Otoscopy</w:t>
            </w:r>
          </w:p>
        </w:tc>
        <w:tc>
          <w:tcPr>
            <w:tcW w:type="dxa" w:w="979"/>
            <w:vAlign w:val="top"/>
          </w:tcPr>
          <w:p>
            <w:pPr>
              <w:spacing w:after="40" w:before="0" w:line="259" w:lineRule="auto"/>
            </w:pPr>
            <w:r>
              <w:rPr>
                <w:rFonts w:ascii="Calibri" w:hAnsi="Calibri"/>
                <w:b w:val="0"/>
                <w:i w:val="0"/>
                <w:color w:val="212121"/>
                <w:sz w:val="16"/>
              </w:rPr>
              <w:t>Tympanic-membrane appearance</w:t>
            </w:r>
          </w:p>
        </w:tc>
        <w:tc>
          <w:tcPr>
            <w:tcW w:type="dxa" w:w="950"/>
            <w:vAlign w:val="top"/>
          </w:tcPr>
          <w:p>
            <w:pPr>
              <w:spacing w:after="40" w:before="0" w:line="259" w:lineRule="auto"/>
            </w:pPr>
            <w:r>
              <w:rPr>
                <w:rFonts w:ascii="Calibri" w:hAnsi="Calibri"/>
                <w:b w:val="0"/>
                <w:i w:val="0"/>
                <w:color w:val="212121"/>
                <w:sz w:val="16"/>
              </w:rPr>
              <w:t>Translucent, neutral, mobile drum</w:t>
            </w:r>
          </w:p>
        </w:tc>
        <w:tc>
          <w:tcPr>
            <w:tcW w:type="dxa" w:w="950"/>
            <w:vAlign w:val="top"/>
          </w:tcPr>
          <w:p>
            <w:pPr>
              <w:spacing w:after="40" w:before="0" w:line="259" w:lineRule="auto"/>
            </w:pPr>
            <w:r>
              <w:rPr>
                <w:rFonts w:ascii="Calibri" w:hAnsi="Calibri"/>
                <w:b w:val="0"/>
                <w:i w:val="0"/>
                <w:color w:val="212121"/>
                <w:sz w:val="16"/>
              </w:rPr>
              <w:t>Bulging, erythematous, opaque drum ± loss of landmarks</w:t>
            </w:r>
          </w:p>
        </w:tc>
        <w:tc>
          <w:tcPr>
            <w:tcW w:type="dxa" w:w="1036"/>
            <w:vAlign w:val="top"/>
          </w:tcPr>
          <w:p>
            <w:pPr>
              <w:spacing w:after="40" w:before="0" w:line="259" w:lineRule="auto"/>
            </w:pPr>
            <w:r>
              <w:rPr>
                <w:rFonts w:ascii="Calibri" w:hAnsi="Calibri"/>
                <w:b w:val="0"/>
                <w:i w:val="0"/>
                <w:color w:val="212121"/>
                <w:sz w:val="16"/>
              </w:rPr>
              <w:t>Direct diagnostic sign of AOM</w:t>
            </w:r>
          </w:p>
        </w:tc>
        <w:tc>
          <w:tcPr>
            <w:tcW w:type="dxa" w:w="1036"/>
            <w:vAlign w:val="top"/>
          </w:tcPr>
          <w:p>
            <w:pPr>
              <w:spacing w:after="40" w:before="0" w:line="259" w:lineRule="auto"/>
            </w:pPr>
            <w:r>
              <w:rPr>
                <w:rFonts w:ascii="Calibri" w:hAnsi="Calibri"/>
                <w:b w:val="0"/>
                <w:i w:val="0"/>
                <w:color w:val="212121"/>
                <w:sz w:val="16"/>
              </w:rPr>
              <w:t>All children with ear symptoms</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Gold standard</w:t>
            </w:r>
          </w:p>
        </w:tc>
        <w:tc>
          <w:tcPr>
            <w:tcW w:type="dxa" w:w="720"/>
            <w:vAlign w:val="top"/>
          </w:tcPr>
          <w:p>
            <w:pPr>
              <w:spacing w:after="40" w:before="0" w:line="259" w:lineRule="auto"/>
            </w:pPr>
            <w:r>
              <w:rPr>
                <w:rFonts w:ascii="Calibri" w:hAnsi="Calibri"/>
                <w:b w:val="0"/>
                <w:i w:val="0"/>
                <w:color w:val="212121"/>
                <w:sz w:val="16"/>
              </w:rPr>
              <w:t>Clear cerumen first for a proper view</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Examination</w:t>
            </w:r>
          </w:p>
        </w:tc>
        <w:tc>
          <w:tcPr>
            <w:tcW w:type="dxa" w:w="950"/>
            <w:vAlign w:val="top"/>
          </w:tcPr>
          <w:p>
            <w:pPr>
              <w:spacing w:after="40" w:before="0" w:line="259" w:lineRule="auto"/>
            </w:pPr>
            <w:r>
              <w:rPr>
                <w:rFonts w:ascii="Calibri" w:hAnsi="Calibri"/>
                <w:b w:val="0"/>
                <w:i w:val="0"/>
                <w:color w:val="212121"/>
                <w:sz w:val="16"/>
              </w:rPr>
              <w:t>Otorrhoea / perforation check</w:t>
            </w:r>
          </w:p>
        </w:tc>
        <w:tc>
          <w:tcPr>
            <w:tcW w:type="dxa" w:w="979"/>
            <w:vAlign w:val="top"/>
          </w:tcPr>
          <w:p>
            <w:pPr>
              <w:spacing w:after="40" w:before="0" w:line="259" w:lineRule="auto"/>
            </w:pPr>
            <w:r>
              <w:rPr>
                <w:rFonts w:ascii="Calibri" w:hAnsi="Calibri"/>
                <w:b w:val="0"/>
                <w:i w:val="0"/>
                <w:color w:val="212121"/>
                <w:sz w:val="16"/>
              </w:rPr>
              <w:t>Discharge and drum integrity</w:t>
            </w:r>
          </w:p>
        </w:tc>
        <w:tc>
          <w:tcPr>
            <w:tcW w:type="dxa" w:w="950"/>
            <w:vAlign w:val="top"/>
          </w:tcPr>
          <w:p>
            <w:pPr>
              <w:spacing w:after="40" w:before="0" w:line="259" w:lineRule="auto"/>
            </w:pPr>
            <w:r>
              <w:rPr>
                <w:rFonts w:ascii="Calibri" w:hAnsi="Calibri"/>
                <w:b w:val="0"/>
                <w:i w:val="0"/>
                <w:color w:val="212121"/>
                <w:sz w:val="16"/>
              </w:rPr>
              <w:t>Intact drum, dry canal</w:t>
            </w:r>
          </w:p>
        </w:tc>
        <w:tc>
          <w:tcPr>
            <w:tcW w:type="dxa" w:w="950"/>
            <w:vAlign w:val="top"/>
          </w:tcPr>
          <w:p>
            <w:pPr>
              <w:spacing w:after="40" w:before="0" w:line="259" w:lineRule="auto"/>
            </w:pPr>
            <w:r>
              <w:rPr>
                <w:rFonts w:ascii="Calibri" w:hAnsi="Calibri"/>
                <w:b w:val="0"/>
                <w:i w:val="0"/>
                <w:color w:val="212121"/>
                <w:sz w:val="16"/>
              </w:rPr>
              <w:t>Purulent otorrhoea through a perforation</w:t>
            </w:r>
          </w:p>
        </w:tc>
        <w:tc>
          <w:tcPr>
            <w:tcW w:type="dxa" w:w="1036"/>
            <w:vAlign w:val="top"/>
          </w:tcPr>
          <w:p>
            <w:pPr>
              <w:spacing w:after="40" w:before="0" w:line="259" w:lineRule="auto"/>
            </w:pPr>
            <w:r>
              <w:rPr>
                <w:rFonts w:ascii="Calibri" w:hAnsi="Calibri"/>
                <w:b w:val="0"/>
                <w:i w:val="0"/>
                <w:color w:val="212121"/>
                <w:sz w:val="16"/>
              </w:rPr>
              <w:t>Indicates AOM with spontaneous perforation</w:t>
            </w:r>
          </w:p>
        </w:tc>
        <w:tc>
          <w:tcPr>
            <w:tcW w:type="dxa" w:w="1036"/>
            <w:vAlign w:val="top"/>
          </w:tcPr>
          <w:p>
            <w:pPr>
              <w:spacing w:after="40" w:before="0" w:line="259" w:lineRule="auto"/>
            </w:pPr>
            <w:r>
              <w:rPr>
                <w:rFonts w:ascii="Calibri" w:hAnsi="Calibri"/>
                <w:b w:val="0"/>
                <w:i w:val="0"/>
                <w:color w:val="212121"/>
                <w:sz w:val="16"/>
              </w:rPr>
              <w:t>Children with sudden pain relief then discharge</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Distinguish from otitis externa</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Examination</w:t>
            </w:r>
          </w:p>
        </w:tc>
        <w:tc>
          <w:tcPr>
            <w:tcW w:type="dxa" w:w="950"/>
            <w:vAlign w:val="top"/>
          </w:tcPr>
          <w:p>
            <w:pPr>
              <w:spacing w:after="40" w:before="0" w:line="259" w:lineRule="auto"/>
            </w:pPr>
            <w:r>
              <w:rPr>
                <w:rFonts w:ascii="Calibri" w:hAnsi="Calibri"/>
                <w:b w:val="0"/>
                <w:i w:val="0"/>
                <w:color w:val="212121"/>
                <w:sz w:val="16"/>
              </w:rPr>
              <w:t>Complication survey</w:t>
            </w:r>
          </w:p>
        </w:tc>
        <w:tc>
          <w:tcPr>
            <w:tcW w:type="dxa" w:w="979"/>
            <w:vAlign w:val="top"/>
          </w:tcPr>
          <w:p>
            <w:pPr>
              <w:spacing w:after="40" w:before="0" w:line="259" w:lineRule="auto"/>
            </w:pPr>
            <w:r>
              <w:rPr>
                <w:rFonts w:ascii="Calibri" w:hAnsi="Calibri"/>
                <w:b w:val="0"/>
                <w:i w:val="0"/>
                <w:color w:val="212121"/>
                <w:sz w:val="16"/>
              </w:rPr>
              <w:t>Post-auricular / mastoid &amp; neuro exam</w:t>
            </w:r>
          </w:p>
        </w:tc>
        <w:tc>
          <w:tcPr>
            <w:tcW w:type="dxa" w:w="950"/>
            <w:vAlign w:val="top"/>
          </w:tcPr>
          <w:p>
            <w:pPr>
              <w:spacing w:after="40" w:before="0" w:line="259" w:lineRule="auto"/>
            </w:pPr>
            <w:r>
              <w:rPr>
                <w:rFonts w:ascii="Calibri" w:hAnsi="Calibri"/>
                <w:b w:val="0"/>
                <w:i w:val="0"/>
                <w:color w:val="212121"/>
                <w:sz w:val="16"/>
              </w:rPr>
              <w:t>No swelling, normal neurology</w:t>
            </w:r>
          </w:p>
        </w:tc>
        <w:tc>
          <w:tcPr>
            <w:tcW w:type="dxa" w:w="950"/>
            <w:vAlign w:val="top"/>
          </w:tcPr>
          <w:p>
            <w:pPr>
              <w:spacing w:after="40" w:before="0" w:line="259" w:lineRule="auto"/>
            </w:pPr>
            <w:r>
              <w:rPr>
                <w:rFonts w:ascii="Calibri" w:hAnsi="Calibri"/>
                <w:b w:val="0"/>
                <w:i w:val="0"/>
                <w:color w:val="212121"/>
                <w:sz w:val="16"/>
              </w:rPr>
              <w:t>Post-auricular swelling, protruding pinna, neck stiffness, facial weakness</w:t>
            </w:r>
          </w:p>
        </w:tc>
        <w:tc>
          <w:tcPr>
            <w:tcW w:type="dxa" w:w="1036"/>
            <w:vAlign w:val="top"/>
          </w:tcPr>
          <w:p>
            <w:pPr>
              <w:spacing w:after="40" w:before="0" w:line="259" w:lineRule="auto"/>
            </w:pPr>
            <w:r>
              <w:rPr>
                <w:rFonts w:ascii="Calibri" w:hAnsi="Calibri"/>
                <w:b w:val="0"/>
                <w:i w:val="0"/>
                <w:color w:val="212121"/>
                <w:sz w:val="16"/>
              </w:rPr>
              <w:t>Screens for mastoiditis and intracranial spread</w:t>
            </w:r>
          </w:p>
        </w:tc>
        <w:tc>
          <w:tcPr>
            <w:tcW w:type="dxa" w:w="1036"/>
            <w:vAlign w:val="top"/>
          </w:tcPr>
          <w:p>
            <w:pPr>
              <w:spacing w:after="40" w:before="0" w:line="259" w:lineRule="auto"/>
            </w:pPr>
            <w:r>
              <w:rPr>
                <w:rFonts w:ascii="Calibri" w:hAnsi="Calibri"/>
                <w:b w:val="0"/>
                <w:i w:val="0"/>
                <w:color w:val="212121"/>
                <w:sz w:val="16"/>
              </w:rPr>
              <w:t>Severe, prolonged or toxic presentations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Red flags mandate urgent imaging/referral</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Ear pain (otalgia)</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The hallmark symptom, from pressure of the effusion on the inflamed, bulging tympanic membrane.</w:t>
            </w:r>
          </w:p>
        </w:tc>
      </w:tr>
      <w:tr>
        <w:trPr>
          <w:cantSplit/>
        </w:trPr>
        <w:tc>
          <w:tcPr>
            <w:tcW w:type="dxa" w:w="2304"/>
            <w:vAlign w:val="top"/>
          </w:tcPr>
          <w:p>
            <w:pPr>
              <w:spacing w:after="40" w:before="0" w:line="259" w:lineRule="auto"/>
            </w:pPr>
            <w:r>
              <w:rPr>
                <w:rFonts w:ascii="Calibri" w:hAnsi="Calibri"/>
                <w:b/>
                <w:i w:val="0"/>
                <w:color w:val="212121"/>
                <w:sz w:val="19"/>
              </w:rPr>
              <w:t>Ear tugging, rubbing or holding (non-verbal infants)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The way pre-verbal children signal ear pain; often noticed by parents.</w:t>
            </w:r>
          </w:p>
        </w:tc>
      </w:tr>
      <w:tr>
        <w:trPr>
          <w:cantSplit/>
        </w:trPr>
        <w:tc>
          <w:tcPr>
            <w:tcW w:type="dxa" w:w="2304"/>
            <w:vAlign w:val="top"/>
          </w:tcPr>
          <w:p>
            <w:pPr>
              <w:spacing w:after="40" w:before="0" w:line="259" w:lineRule="auto"/>
            </w:pPr>
            <w:r>
              <w:rPr>
                <w:rFonts w:ascii="Calibri" w:hAnsi="Calibri"/>
                <w:b/>
                <w:i w:val="0"/>
                <w:color w:val="212121"/>
                <w:sz w:val="19"/>
              </w:rPr>
              <w:t>Fever</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Usually low-grade to moderate; a temperature ≥ 39 °C indicates severe AOM.</w:t>
            </w:r>
          </w:p>
        </w:tc>
      </w:tr>
      <w:tr>
        <w:trPr>
          <w:cantSplit/>
        </w:trPr>
        <w:tc>
          <w:tcPr>
            <w:tcW w:type="dxa" w:w="2304"/>
            <w:vAlign w:val="top"/>
          </w:tcPr>
          <w:p>
            <w:pPr>
              <w:spacing w:after="40" w:before="0" w:line="259" w:lineRule="auto"/>
            </w:pPr>
            <w:r>
              <w:rPr>
                <w:rFonts w:ascii="Calibri" w:hAnsi="Calibri"/>
                <w:b/>
                <w:i w:val="0"/>
                <w:color w:val="212121"/>
                <w:sz w:val="19"/>
              </w:rPr>
              <w:t>Irritability and inconsolable crying</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Reflects pain and systemic upset, often worse when lying down.</w:t>
            </w:r>
          </w:p>
        </w:tc>
      </w:tr>
      <w:tr>
        <w:trPr>
          <w:cantSplit/>
        </w:trPr>
        <w:tc>
          <w:tcPr>
            <w:tcW w:type="dxa" w:w="2304"/>
            <w:vAlign w:val="top"/>
          </w:tcPr>
          <w:p>
            <w:pPr>
              <w:spacing w:after="40" w:before="0" w:line="259" w:lineRule="auto"/>
            </w:pPr>
            <w:r>
              <w:rPr>
                <w:rFonts w:ascii="Calibri" w:hAnsi="Calibri"/>
                <w:b/>
                <w:i w:val="0"/>
                <w:color w:val="212121"/>
                <w:sz w:val="19"/>
              </w:rPr>
              <w:t>Poor feeding / refusal to feed</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Sucking and swallowing change middle-ear pressure and aggravate the pain.</w:t>
            </w:r>
          </w:p>
        </w:tc>
      </w:tr>
      <w:tr>
        <w:trPr>
          <w:cantSplit/>
        </w:trPr>
        <w:tc>
          <w:tcPr>
            <w:tcW w:type="dxa" w:w="2304"/>
            <w:vAlign w:val="top"/>
          </w:tcPr>
          <w:p>
            <w:pPr>
              <w:spacing w:after="40" w:before="0" w:line="259" w:lineRule="auto"/>
            </w:pPr>
            <w:r>
              <w:rPr>
                <w:rFonts w:ascii="Calibri" w:hAnsi="Calibri"/>
                <w:b/>
                <w:i w:val="0"/>
                <w:color w:val="212121"/>
                <w:sz w:val="19"/>
              </w:rPr>
              <w:t>Disturbed or interrupted sleep</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Ear pain characteristically worsens when the child lies flat at night.</w:t>
            </w:r>
          </w:p>
        </w:tc>
      </w:tr>
      <w:tr>
        <w:trPr>
          <w:cantSplit/>
        </w:trPr>
        <w:tc>
          <w:tcPr>
            <w:tcW w:type="dxa" w:w="2304"/>
            <w:vAlign w:val="top"/>
          </w:tcPr>
          <w:p>
            <w:pPr>
              <w:spacing w:after="40" w:before="0" w:line="259" w:lineRule="auto"/>
            </w:pPr>
            <w:r>
              <w:rPr>
                <w:rFonts w:ascii="Calibri" w:hAnsi="Calibri"/>
                <w:b/>
                <w:i w:val="0"/>
                <w:color w:val="212121"/>
                <w:sz w:val="19"/>
              </w:rPr>
              <w:t>Preceding cold symptoms (runny nose, cough)</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The viral upper-respiratory infection that triggers AOM usually comes first.</w:t>
            </w:r>
          </w:p>
        </w:tc>
      </w:tr>
      <w:tr>
        <w:trPr>
          <w:cantSplit/>
        </w:trPr>
        <w:tc>
          <w:tcPr>
            <w:tcW w:type="dxa" w:w="2304"/>
            <w:vAlign w:val="top"/>
          </w:tcPr>
          <w:p>
            <w:pPr>
              <w:spacing w:after="40" w:before="0" w:line="259" w:lineRule="auto"/>
            </w:pPr>
            <w:r>
              <w:rPr>
                <w:rFonts w:ascii="Calibri" w:hAnsi="Calibri"/>
                <w:b/>
                <w:i w:val="0"/>
                <w:color w:val="212121"/>
                <w:sz w:val="19"/>
              </w:rPr>
              <w:t>Reduced hearing / not responding to sounds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Conductive hearing loss from the middle-ear effusion; may be noticed by parents.</w:t>
            </w:r>
          </w:p>
        </w:tc>
      </w:tr>
      <w:tr>
        <w:trPr>
          <w:cantSplit/>
        </w:trPr>
        <w:tc>
          <w:tcPr>
            <w:tcW w:type="dxa" w:w="2304"/>
            <w:vAlign w:val="top"/>
          </w:tcPr>
          <w:p>
            <w:pPr>
              <w:spacing w:after="40" w:before="0" w:line="259" w:lineRule="auto"/>
            </w:pPr>
            <w:r>
              <w:rPr>
                <w:rFonts w:ascii="Calibri" w:hAnsi="Calibri"/>
                <w:b/>
                <w:i w:val="0"/>
                <w:color w:val="212121"/>
                <w:sz w:val="19"/>
              </w:rPr>
              <w:t>Ear discharge (otorrhoea)</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Purulent discharge appears if the drum perforates, typically relieving the pain.</w:t>
            </w:r>
          </w:p>
        </w:tc>
      </w:tr>
      <w:tr>
        <w:trPr>
          <w:cantSplit/>
        </w:trPr>
        <w:tc>
          <w:tcPr>
            <w:tcW w:type="dxa" w:w="2304"/>
            <w:vAlign w:val="top"/>
          </w:tcPr>
          <w:p>
            <w:pPr>
              <w:spacing w:after="40" w:before="0" w:line="259" w:lineRule="auto"/>
            </w:pPr>
            <w:r>
              <w:rPr>
                <w:rFonts w:ascii="Calibri" w:hAnsi="Calibri"/>
                <w:b/>
                <w:i w:val="0"/>
                <w:color w:val="212121"/>
                <w:sz w:val="19"/>
              </w:rPr>
              <w:t>Vomiting and/or diarrhoea</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Common accompaniments of infection and fever in young children.</w:t>
            </w:r>
          </w:p>
        </w:tc>
      </w:tr>
      <w:tr>
        <w:trPr>
          <w:cantSplit/>
        </w:trPr>
        <w:tc>
          <w:tcPr>
            <w:tcW w:type="dxa" w:w="2304"/>
            <w:vAlign w:val="top"/>
          </w:tcPr>
          <w:p>
            <w:pPr>
              <w:spacing w:after="40" w:before="0" w:line="259" w:lineRule="auto"/>
            </w:pPr>
            <w:r>
              <w:rPr>
                <w:rFonts w:ascii="Calibri" w:hAnsi="Calibri"/>
                <w:b/>
                <w:i w:val="0"/>
                <w:color w:val="212121"/>
                <w:sz w:val="19"/>
              </w:rPr>
              <w:t>Unsteadiness / balance disturbance</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Middle-ear pressure changes and mild labyrinthine irritation can affect balance.</w:t>
            </w:r>
          </w:p>
        </w:tc>
      </w:tr>
      <w:tr>
        <w:trPr>
          <w:cantSplit/>
        </w:trPr>
        <w:tc>
          <w:tcPr>
            <w:tcW w:type="dxa" w:w="2304"/>
            <w:vAlign w:val="top"/>
          </w:tcPr>
          <w:p>
            <w:pPr>
              <w:spacing w:after="40" w:before="0" w:line="259" w:lineRule="auto"/>
            </w:pPr>
            <w:r>
              <w:rPr>
                <w:rFonts w:ascii="Calibri" w:hAnsi="Calibri"/>
                <w:b/>
                <w:i w:val="0"/>
                <w:color w:val="212121"/>
                <w:sz w:val="19"/>
              </w:rPr>
              <w:t>Vertigo or facial weakness</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Suggest inner-ear or facial-nerve involvement and a possible complication.</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Bulging tympanic membrane</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Moderate-to-severe bulging is the most specific otoscopic sign of AOM.</w:t>
            </w:r>
          </w:p>
        </w:tc>
      </w:tr>
      <w:tr>
        <w:trPr>
          <w:cantSplit/>
        </w:trPr>
        <w:tc>
          <w:tcPr>
            <w:tcW w:type="dxa" w:w="3456"/>
            <w:vAlign w:val="top"/>
          </w:tcPr>
          <w:p>
            <w:pPr>
              <w:spacing w:after="40" w:before="0" w:line="259" w:lineRule="auto"/>
            </w:pPr>
            <w:r>
              <w:rPr>
                <w:rFonts w:ascii="Calibri" w:hAnsi="Calibri"/>
                <w:b/>
                <w:i w:val="0"/>
                <w:color w:val="212121"/>
                <w:sz w:val="19"/>
              </w:rPr>
              <w:t>Erythematous / injected tympanic membrane</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Redness from inflammation; must be intense (not merely from crying) to be meaningful.</w:t>
            </w:r>
          </w:p>
        </w:tc>
      </w:tr>
      <w:tr>
        <w:trPr>
          <w:cantSplit/>
        </w:trPr>
        <w:tc>
          <w:tcPr>
            <w:tcW w:type="dxa" w:w="3456"/>
            <w:vAlign w:val="top"/>
          </w:tcPr>
          <w:p>
            <w:pPr>
              <w:spacing w:after="40" w:before="0" w:line="259" w:lineRule="auto"/>
            </w:pPr>
            <w:r>
              <w:rPr>
                <w:rFonts w:ascii="Calibri" w:hAnsi="Calibri"/>
                <w:b/>
                <w:i w:val="0"/>
                <w:color w:val="212121"/>
                <w:sz w:val="19"/>
              </w:rPr>
              <w:t>Loss of tympanic-membrane landmarks &amp; light reflex</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The handle of malleus and cone of light are obscured by the tense, opaque drum.</w:t>
            </w:r>
          </w:p>
        </w:tc>
      </w:tr>
      <w:tr>
        <w:trPr>
          <w:cantSplit/>
        </w:trPr>
        <w:tc>
          <w:tcPr>
            <w:tcW w:type="dxa" w:w="3456"/>
            <w:vAlign w:val="top"/>
          </w:tcPr>
          <w:p>
            <w:pPr>
              <w:spacing w:after="40" w:before="0" w:line="259" w:lineRule="auto"/>
            </w:pPr>
            <w:r>
              <w:rPr>
                <w:rFonts w:ascii="Calibri" w:hAnsi="Calibri"/>
                <w:b/>
                <w:i w:val="0"/>
                <w:color w:val="212121"/>
                <w:sz w:val="19"/>
              </w:rPr>
              <w:t>Reduced / absent tympanic-membrane mobility</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Demonstrated on pneumatic otoscopy — a key indicator of middle-ear effusion.</w:t>
            </w:r>
          </w:p>
        </w:tc>
      </w:tr>
      <w:tr>
        <w:trPr>
          <w:cantSplit/>
        </w:trPr>
        <w:tc>
          <w:tcPr>
            <w:tcW w:type="dxa" w:w="3456"/>
            <w:vAlign w:val="top"/>
          </w:tcPr>
          <w:p>
            <w:pPr>
              <w:spacing w:after="40" w:before="0" w:line="259" w:lineRule="auto"/>
            </w:pPr>
            <w:r>
              <w:rPr>
                <w:rFonts w:ascii="Calibri" w:hAnsi="Calibri"/>
                <w:b/>
                <w:i w:val="0"/>
                <w:color w:val="212121"/>
                <w:sz w:val="19"/>
              </w:rPr>
              <w:t>Middle-ear effusion / air–fluid level</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Fluid or bubbles behind the drum, the sine qua non of AOM.</w:t>
            </w:r>
          </w:p>
        </w:tc>
      </w:tr>
      <w:tr>
        <w:trPr>
          <w:cantSplit/>
        </w:trPr>
        <w:tc>
          <w:tcPr>
            <w:tcW w:type="dxa" w:w="3456"/>
            <w:vAlign w:val="top"/>
          </w:tcPr>
          <w:p>
            <w:pPr>
              <w:spacing w:after="40" w:before="0" w:line="259" w:lineRule="auto"/>
            </w:pPr>
            <w:r>
              <w:rPr>
                <w:rFonts w:ascii="Calibri" w:hAnsi="Calibri"/>
                <w:b/>
                <w:i w:val="0"/>
                <w:color w:val="212121"/>
                <w:sz w:val="19"/>
              </w:rPr>
              <w:t>Type B (flat) tympanogram</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Objective confirmation of a middle-ear effusion.</w:t>
            </w:r>
          </w:p>
        </w:tc>
      </w:tr>
      <w:tr>
        <w:trPr>
          <w:cantSplit/>
        </w:trPr>
        <w:tc>
          <w:tcPr>
            <w:tcW w:type="dxa" w:w="3456"/>
            <w:vAlign w:val="top"/>
          </w:tcPr>
          <w:p>
            <w:pPr>
              <w:spacing w:after="40" w:before="0" w:line="259" w:lineRule="auto"/>
            </w:pPr>
            <w:r>
              <w:rPr>
                <w:rFonts w:ascii="Calibri" w:hAnsi="Calibri"/>
                <w:b/>
                <w:i w:val="0"/>
                <w:color w:val="212121"/>
                <w:sz w:val="19"/>
              </w:rPr>
              <w:t>Purulent otorrhoea with tympanic perforation</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Discharge through a ruptured drum; pain typically eases afterwards.</w:t>
            </w:r>
          </w:p>
        </w:tc>
      </w:tr>
      <w:tr>
        <w:trPr>
          <w:cantSplit/>
        </w:trPr>
        <w:tc>
          <w:tcPr>
            <w:tcW w:type="dxa" w:w="3456"/>
            <w:vAlign w:val="top"/>
          </w:tcPr>
          <w:p>
            <w:pPr>
              <w:spacing w:after="40" w:before="0" w:line="259" w:lineRule="auto"/>
            </w:pPr>
            <w:r>
              <w:rPr>
                <w:rFonts w:ascii="Calibri" w:hAnsi="Calibri"/>
                <w:b/>
                <w:i w:val="0"/>
                <w:color w:val="212121"/>
                <w:sz w:val="19"/>
              </w:rPr>
              <w:t>Bullae on the tympanic membrane (bullous myringitis)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Blisters on the drum in a painful variant of AOM.</w:t>
            </w:r>
          </w:p>
        </w:tc>
      </w:tr>
      <w:tr>
        <w:trPr>
          <w:cantSplit/>
        </w:trPr>
        <w:tc>
          <w:tcPr>
            <w:tcW w:type="dxa" w:w="3456"/>
            <w:vAlign w:val="top"/>
          </w:tcPr>
          <w:p>
            <w:pPr>
              <w:spacing w:after="40" w:before="0" w:line="259" w:lineRule="auto"/>
            </w:pPr>
            <w:r>
              <w:rPr>
                <w:rFonts w:ascii="Calibri" w:hAnsi="Calibri"/>
                <w:b/>
                <w:i w:val="0"/>
                <w:color w:val="212121"/>
                <w:sz w:val="19"/>
              </w:rPr>
              <w:t>Conductive hearing loss on testing</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Air–bone gap from the effusion; usually resolves as the ear clears.</w:t>
            </w:r>
          </w:p>
        </w:tc>
      </w:tr>
      <w:tr>
        <w:trPr>
          <w:cantSplit/>
        </w:trPr>
        <w:tc>
          <w:tcPr>
            <w:tcW w:type="dxa" w:w="3456"/>
            <w:vAlign w:val="top"/>
          </w:tcPr>
          <w:p>
            <w:pPr>
              <w:spacing w:after="40" w:before="0" w:line="259" w:lineRule="auto"/>
            </w:pPr>
            <w:r>
              <w:rPr>
                <w:rFonts w:ascii="Calibri" w:hAnsi="Calibri"/>
                <w:b/>
                <w:i w:val="0"/>
                <w:color w:val="212121"/>
                <w:sz w:val="19"/>
              </w:rPr>
              <w:t>Post-auricular swelling, tenderness &amp; protruding pinna</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Points to acute mastoiditis — a suppurative complication needing urgent care.</w:t>
            </w:r>
          </w:p>
        </w:tc>
      </w:tr>
      <w:tr>
        <w:trPr>
          <w:cantSplit/>
        </w:trPr>
        <w:tc>
          <w:tcPr>
            <w:tcW w:type="dxa" w:w="3456"/>
            <w:vAlign w:val="top"/>
          </w:tcPr>
          <w:p>
            <w:pPr>
              <w:spacing w:after="40" w:before="0" w:line="259" w:lineRule="auto"/>
            </w:pPr>
            <w:r>
              <w:rPr>
                <w:rFonts w:ascii="Calibri" w:hAnsi="Calibri"/>
                <w:b/>
                <w:i w:val="0"/>
                <w:color w:val="212121"/>
                <w:sz w:val="19"/>
              </w:rPr>
              <w:t>Facial-nerve palsy</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Facial weakness from spread to the nerve within the temporal bone.</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Tympanic-membrane perforation with otorrhoea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Acute mastoiditis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Facial-nerve palsy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Acute labyrinthitis (vertigo, sensorineural loss)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Conductive hearing loss during the acute episode</w:t>
            </w:r>
          </w:p>
        </w:tc>
        <w:tc>
          <w:tcPr>
            <w:tcW w:type="dxa" w:w="2980"/>
            <w:vAlign w:val="top"/>
          </w:tcPr>
          <w:p>
            <w:pPr>
              <w:spacing w:after="40" w:before="0" w:line="259" w:lineRule="auto"/>
            </w:pPr>
            <w:r>
              <w:rPr>
                <w:rFonts w:ascii="Calibri" w:hAnsi="Calibri"/>
                <w:b w:val="0"/>
                <w:i w:val="0"/>
                <w:color w:val="212121"/>
                <w:sz w:val="19"/>
              </w:rPr>
              <w:t>Direct, largely intratemporal consequences of the acute middle-ear infection itself</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Recurrent acute otitis media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Persistent otitis media with effusion ('glue ear')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suppurative otitis media (CSOM)</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Cholesteatoma and ossicular erosion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Tympanosclerosis / retraction pockets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Petrositis</w:t>
            </w:r>
          </w:p>
        </w:tc>
        <w:tc>
          <w:tcPr>
            <w:tcW w:type="dxa" w:w="2980"/>
            <w:vAlign w:val="top"/>
          </w:tcPr>
          <w:p>
            <w:pPr>
              <w:spacing w:after="40" w:before="0" w:line="259" w:lineRule="auto"/>
            </w:pPr>
            <w:r>
              <w:rPr>
                <w:rFonts w:ascii="Calibri" w:hAnsi="Calibri"/>
                <w:b w:val="0"/>
                <w:i w:val="0"/>
                <w:color w:val="212121"/>
                <w:sz w:val="19"/>
              </w:rPr>
              <w:t>Result from repeated or unresolving infection and chronic middle-ear damage</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Meningitis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Intracranial abscess (brain, subdural or extradural)</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Lateral (sigmoid) sinus thrombosis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Permanent sensorineural or mixed hearing loss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Speech, language and learning delay from chronic hearing loss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Death (rare, from intracranial complications)</w:t>
            </w:r>
          </w:p>
        </w:tc>
        <w:tc>
          <w:tcPr>
            <w:tcW w:type="dxa" w:w="2980"/>
            <w:vAlign w:val="top"/>
          </w:tcPr>
          <w:p>
            <w:pPr>
              <w:spacing w:after="40" w:before="0" w:line="259" w:lineRule="auto"/>
            </w:pPr>
            <w:r>
              <w:rPr>
                <w:rFonts w:ascii="Calibri" w:hAnsi="Calibri"/>
                <w:b w:val="0"/>
                <w:i w:val="0"/>
                <w:color w:val="212121"/>
                <w:sz w:val="19"/>
              </w:rPr>
              <w:t>Longstanding, disabling or life-threatening outcomes, largely preventable with timely treatment and hearing rehabilitation</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Upper respiratory tract infection</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A preceding viral URI is the commonest precipitant and near-constant companion of AOM.</w:t>
            </w:r>
          </w:p>
        </w:tc>
      </w:tr>
      <w:tr>
        <w:trPr>
          <w:cantSplit/>
        </w:trPr>
        <w:tc>
          <w:tcPr>
            <w:tcW w:type="dxa" w:w="2232"/>
            <w:vAlign w:val="top"/>
          </w:tcPr>
          <w:p>
            <w:pPr>
              <w:spacing w:after="40" w:before="0" w:line="259" w:lineRule="auto"/>
            </w:pPr>
            <w:r>
              <w:rPr>
                <w:rFonts w:ascii="Calibri" w:hAnsi="Calibri"/>
                <w:b/>
                <w:i w:val="0"/>
                <w:color w:val="212121"/>
                <w:sz w:val="19"/>
              </w:rPr>
              <w:t>Otitis media with effusion ('glue ear')</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Very commonly follows an AOM episode and, if persistent, causes conductive hearing loss.</w:t>
            </w:r>
          </w:p>
        </w:tc>
      </w:tr>
      <w:tr>
        <w:trPr>
          <w:cantSplit/>
        </w:trPr>
        <w:tc>
          <w:tcPr>
            <w:tcW w:type="dxa" w:w="2232"/>
            <w:vAlign w:val="top"/>
          </w:tcPr>
          <w:p>
            <w:pPr>
              <w:spacing w:after="40" w:before="0" w:line="259" w:lineRule="auto"/>
            </w:pPr>
            <w:r>
              <w:rPr>
                <w:rFonts w:ascii="Calibri" w:hAnsi="Calibri"/>
                <w:b/>
                <w:i w:val="0"/>
                <w:color w:val="212121"/>
                <w:sz w:val="19"/>
              </w:rPr>
              <w:t>Allergic rhinitis</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Predisposes To</w:t>
            </w:r>
          </w:p>
        </w:tc>
        <w:tc>
          <w:tcPr>
            <w:tcW w:type="dxa" w:w="4852"/>
            <w:vAlign w:val="top"/>
          </w:tcPr>
          <w:p>
            <w:pPr>
              <w:spacing w:after="40" w:before="0" w:line="259" w:lineRule="auto"/>
            </w:pPr>
            <w:r>
              <w:rPr>
                <w:rFonts w:ascii="Calibri" w:hAnsi="Calibri"/>
                <w:b w:val="0"/>
                <w:i w:val="0"/>
                <w:color w:val="212121"/>
                <w:sz w:val="19"/>
              </w:rPr>
              <w:t>Chronic nasal inflammation obstructs the Eustachian tube and predisposes to recurrent AOM and effusion.</w:t>
            </w:r>
          </w:p>
        </w:tc>
      </w:tr>
      <w:tr>
        <w:trPr>
          <w:cantSplit/>
        </w:trPr>
        <w:tc>
          <w:tcPr>
            <w:tcW w:type="dxa" w:w="2232"/>
            <w:vAlign w:val="top"/>
          </w:tcPr>
          <w:p>
            <w:pPr>
              <w:spacing w:after="40" w:before="0" w:line="259" w:lineRule="auto"/>
            </w:pPr>
            <w:r>
              <w:rPr>
                <w:rFonts w:ascii="Calibri" w:hAnsi="Calibri"/>
                <w:b/>
                <w:i w:val="0"/>
                <w:color w:val="212121"/>
                <w:sz w:val="19"/>
              </w:rPr>
              <w:t>Adenoid hypertrophy</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Obstructs tubal ventilation and acts as a biofilm reservoir, especially in recurrent disease.</w:t>
            </w:r>
          </w:p>
        </w:tc>
      </w:tr>
      <w:tr>
        <w:trPr>
          <w:cantSplit/>
        </w:trPr>
        <w:tc>
          <w:tcPr>
            <w:tcW w:type="dxa" w:w="2232"/>
            <w:vAlign w:val="top"/>
          </w:tcPr>
          <w:p>
            <w:pPr>
              <w:spacing w:after="40" w:before="0" w:line="259" w:lineRule="auto"/>
            </w:pPr>
            <w:r>
              <w:rPr>
                <w:rFonts w:ascii="Calibri" w:hAnsi="Calibri"/>
                <w:b/>
                <w:i w:val="0"/>
                <w:color w:val="212121"/>
                <w:sz w:val="19"/>
              </w:rPr>
              <w:t>Cleft palate / craniofacial anomaly</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Disrupted Eustachian-tube muscle function makes middle-ear effusion and AOM almost universal.</w:t>
            </w:r>
          </w:p>
        </w:tc>
      </w:tr>
      <w:tr>
        <w:trPr>
          <w:cantSplit/>
        </w:trPr>
        <w:tc>
          <w:tcPr>
            <w:tcW w:type="dxa" w:w="2232"/>
            <w:vAlign w:val="top"/>
          </w:tcPr>
          <w:p>
            <w:pPr>
              <w:spacing w:after="40" w:before="0" w:line="259" w:lineRule="auto"/>
            </w:pPr>
            <w:r>
              <w:rPr>
                <w:rFonts w:ascii="Calibri" w:hAnsi="Calibri"/>
                <w:b/>
                <w:i w:val="0"/>
                <w:color w:val="212121"/>
                <w:sz w:val="19"/>
              </w:rPr>
              <w:t>Vitamin D deficiency</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Impaired mucosal immunity is linked to recurrent AOM; supplementation reduces episodes in otitis-prone children.</w:t>
            </w:r>
          </w:p>
        </w:tc>
      </w:tr>
      <w:tr>
        <w:trPr>
          <w:cantSplit/>
        </w:trPr>
        <w:tc>
          <w:tcPr>
            <w:tcW w:type="dxa" w:w="2232"/>
            <w:vAlign w:val="top"/>
          </w:tcPr>
          <w:p>
            <w:pPr>
              <w:spacing w:after="40" w:before="0" w:line="259" w:lineRule="auto"/>
            </w:pPr>
            <w:r>
              <w:rPr>
                <w:rFonts w:ascii="Calibri" w:hAnsi="Calibri"/>
                <w:b/>
                <w:i w:val="0"/>
                <w:color w:val="212121"/>
                <w:sz w:val="19"/>
              </w:rPr>
              <w:t>Iron-deficiency anaemia / undernutrition</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Common in Indian children and associated with weakened immunity and more frequent infections.</w:t>
            </w:r>
          </w:p>
        </w:tc>
      </w:tr>
      <w:tr>
        <w:trPr>
          <w:cantSplit/>
        </w:trPr>
        <w:tc>
          <w:tcPr>
            <w:tcW w:type="dxa" w:w="2232"/>
            <w:vAlign w:val="top"/>
          </w:tcPr>
          <w:p>
            <w:pPr>
              <w:spacing w:after="40" w:before="0" w:line="259" w:lineRule="auto"/>
            </w:pPr>
            <w:r>
              <w:rPr>
                <w:rFonts w:ascii="Calibri" w:hAnsi="Calibri"/>
                <w:b/>
                <w:i w:val="0"/>
                <w:color w:val="212121"/>
                <w:sz w:val="19"/>
              </w:rPr>
              <w:t>Asthma / atopy</w:t>
            </w:r>
          </w:p>
        </w:tc>
        <w:tc>
          <w:tcPr>
            <w:tcW w:type="dxa" w:w="2520"/>
            <w:vAlign w:val="top"/>
          </w:tcPr>
          <w:p>
            <w:pPr>
              <w:spacing w:after="40" w:before="0" w:line="259" w:lineRule="auto"/>
            </w:pPr>
            <w:r>
              <w:rPr>
                <w:rFonts w:ascii="Calibri" w:hAnsi="Calibri"/>
                <w:b w:val="0"/>
                <w:i w:val="0"/>
                <w:color w:val="212121"/>
                <w:sz w:val="18"/>
              </w:rPr>
              <w:t>Shared Pathophysiology</w:t>
            </w:r>
          </w:p>
        </w:tc>
        <w:tc>
          <w:tcPr>
            <w:tcW w:type="dxa" w:w="4852"/>
            <w:vAlign w:val="top"/>
          </w:tcPr>
          <w:p>
            <w:pPr>
              <w:spacing w:after="40" w:before="0" w:line="259" w:lineRule="auto"/>
            </w:pPr>
            <w:r>
              <w:rPr>
                <w:rFonts w:ascii="Calibri" w:hAnsi="Calibri"/>
                <w:b w:val="0"/>
                <w:i w:val="0"/>
                <w:color w:val="212121"/>
                <w:sz w:val="19"/>
              </w:rPr>
              <w:t>Shared allergic-inflammatory pathways are associated with more otitis media.</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Merge w:val="restart"/>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Complete age-appropriate pneumococcal (PCV) and Hib vaccination on the national immunisation schedule to cut bacterial AOM.</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Breastfeed exclusively for the first 6 months and continue thereafter, feeding the baby held upright rather than lying flat.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the home and car completely smoke-free and avoid exposing the child to any tobacco smoke.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Practise good hand and respiratory hygiene, reduce overcrowding, and limit large-group day care in the first year where possible.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bottle-propping, supine feeding and prolonged pacifier use.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Do NOT pour oils, breast milk or traditional drops into the ear and avoid self-medicating with leftover antibiotics — seek proper assessment.</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parents/caregivers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Infants and toddlers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Otitis-prone children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Smoke-exposed households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Day-care attendees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Give adequate analgesia (paracetamol or ibuprofen by weight) for ear pain, which is the child's main symptom.</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Follow the clinician's plan — either watchful waiting for 48–72 h in non-severe AOM or a full course of the prescribed antibiotic (usually high-dose amoxicillin).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Complete the entire antibiotic course even if the child improves, and attend follow-up to confirm resolution.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Return urgently if there is high fever, severe or worsening pain, ear discharge, swelling or redness behind the ear, neck stiffness, drowsiness or facial weakness.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Arrange ENT review and a hearing check for recurrent AOM or a persistent effusion beyond about 3 months.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Children with diagnosed AOM</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Parents managing at home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Recurrent-AOM children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Children with persistent effusion</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Encourage healthy outdoor play and good general fitness to support immunity.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During peak respiratory-infection seasons, favour well-ventilated or outdoor settings over crowded indoor spaces.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children with active colds away from group activities to limit spread.</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young children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Day-care attendees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Children in crowded homes</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Breastfeed exclusively for 6 months for its protective secretory-IgA effect against ear infection.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Feed infants in an upright or semi-upright position and never prop the bottle for a lying-down baby.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Ensure adequate vitamin D (supplementation as advised) and a balanced, nutrient-rich diet to support immunity.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Wean prolonged pacifier and bottle use in the second year to reduce reflux and otopathogen carriage.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Infants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Bottle-fed babies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Vitamin D-deficient / undernourished children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Otitis-prone children</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During an episode, keep the child's head slightly elevated and settle them semi-upright, as lying flat worsens ear pain.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Give timely analgesia before bedtime to reduce night-time pain and improve sleep.</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feeding the infant lying flat just before sleep.</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Children with acute AOM</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Infants with disturbed sleep</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Bottle-fed infants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Eliminate all household and in-car tobacco smoke — passive smoke is a leading modifiable cause of AOM and recurrent AOM.</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Support parental/caregiver smoking cessation and avoid smoking during pregnancy.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children away from indoor biomass and other smoke exposure that irritates the airway.</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Children in smoking households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Infants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Otitis-prone children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Pregnant mothers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Alcohol is not a factor for the child; advise mothers to avoid alcohol in pregnancy and while breastfeeding for overall infant health.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Focus preventive effort on the established drivers — vaccination, breastfeeding, smoke avoidance and hygiene.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Pregnant / breastfeeding mothers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Caregivers</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Reassure anxious parents that most AOM is self-limiting and that pain relief is the priority.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Support families of children with recurrent AOM, whose disturbed sleep, pain and hearing difficulty can be stressful.</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Ensure hearing is checked and rehabilitated when effusion persists, to protect speech, learning and confidence.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Parents/caregivers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Recurrent-AOM families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Children with hearing loss</w:t>
            </w:r>
          </w:p>
        </w:tc>
        <w:tc>
          <w:tcPr>
            <w:tcW w:type="dxa" w:w="1036"/>
            <w:vAlign w:val="top"/>
          </w:tcPr>
          <w:p>
            <w:pPr>
              <w:spacing w:after="40" w:before="0" w:line="259" w:lineRule="auto"/>
            </w:pPr>
            <w:r>
              <w:rPr>
                <w:rFonts w:ascii="Calibri" w:hAnsi="Calibri"/>
                <w:b w:val="0"/>
                <w:i w:val="0"/>
                <w:color w:val="212121"/>
                <w:sz w:val="19"/>
              </w:rPr>
              <w:t>Medium</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merckmanuals.com/professional/ear-nose-and-throat-disorders/middle-ear-and-tympanic-membrane-disorders/otitis-media-acute" TargetMode="External"/><Relationship Id="rId10" Type="http://schemas.openxmlformats.org/officeDocument/2006/relationships/hyperlink" Target="https://clinmedjournals.org/articles/iaphcm/international-archives-of-public-health-and-community-medicine-iaphcm-6-080.pdf" TargetMode="External"/><Relationship Id="rId11" Type="http://schemas.openxmlformats.org/officeDocument/2006/relationships/hyperlink" Target="https://www.ncbi.nlm.nih.gov/books/NBK470332/" TargetMode="External"/><Relationship Id="rId12" Type="http://schemas.openxmlformats.org/officeDocument/2006/relationships/hyperlink" Target="https://onlinelibrary.wiley.com/doi/10.1111/apa.13151" TargetMode="External"/><Relationship Id="rId13" Type="http://schemas.openxmlformats.org/officeDocument/2006/relationships/hyperlink" Target="https://pubmed.ncbi.nlm.nih.gov/23694840/" TargetMode="External"/><Relationship Id="rId14" Type="http://schemas.openxmlformats.org/officeDocument/2006/relationships/hyperlink" Target="https://www.gavi.org/news/media-room/india-completes-national-introduction-pneumococcal-conjugate-vaccine" TargetMode="External"/><Relationship Id="rId15" Type="http://schemas.openxmlformats.org/officeDocument/2006/relationships/hyperlink" Target="https://www.childrensmn.org/References/cds/otitis-media-guideline.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