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Suppurative Otitis Media</w:t>
      </w:r>
    </w:p>
    <w:p>
      <w:pPr>
        <w:spacing w:before="0" w:after="160"/>
      </w:pPr>
      <w:r>
        <w:rPr>
          <w:rFonts w:ascii="Calibri" w:hAnsi="Calibri"/>
          <w:b/>
          <w:i w:val="0"/>
          <w:color w:val="212121"/>
          <w:sz w:val="22"/>
        </w:rPr>
        <w:t xml:space="preserve">AKA </w:t>
      </w:r>
      <w:r>
        <w:rPr>
          <w:rFonts w:ascii="Calibri" w:hAnsi="Calibri"/>
          <w:b w:val="0"/>
          <w:i w:val="0"/>
          <w:color w:val="212121"/>
          <w:sz w:val="22"/>
        </w:rPr>
        <w:t>i.e., CSOM, Chronic Otitis Media (COM), Chronic ear infection, Running/Discharging ear, “Kaan behna” (colloquial North Indian), Tubotympanic (“safe”) or atticoantral (“unsafe”)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suppurative otitis media (CSOM) is a long-standing inflammation of the middle-ear cleft and mastoid air-cell system in which the tympanic membrane is permanently perforated and the ear discharges pus (otorrhoea) persistently or recurrently, classically for more than 2–6 weeks. It typically follows unresolved or recurrent acute otitis media and is a leading cause of preventable, acquired conductive hearing loss, especially in children of low- and middle-income countries. Disease is broadly described as “safe” (tubotympanic / mucosal) or “unsafe” (atticoantral / squamous), the latter frequently associated with cholesteatoma and a risk of serious intracranial and extracranial complications.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CSOM is one of the commonest causes of preventable, acquired hearing loss in India, which the WHO classifies among countries with the highest CSOM burden (&gt;4%). The ICMR pooled paediatric prevalence is about 3.78% (95% CI 2.72–4.84); community surveys report 4–7% — 4.26% among Delhi children (rising to 7.2% in urban slums), ~6% in rural Tamil Nadu and 5.2% in rural Karnataka. In a large 12-state tele-otology screening of over 8 lakh Indians, CSOM accounted for ~18% of all detected ear disease. Globally an estimated 297 million people (~3.8%) are affected, about 85% of them in low- and middle-income countries.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CSOM is primarily a clinical diagnosis made on otoscopy/otomicroscopy and supported by audiometry, microbiology and imaging. It is suggested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persistent or recurrent ear discharge (otorrhoea) through a non-intact tympanic membrane for more than 2–6 weeks (chronic/recurrent course);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permanent tympanic-membrane perforation on otoscopy/otomicroscopy — central (pars tensa) in tubotympanic “safe” disease, or attic/marginal (posterosuperior) in atticoantral “unsafe”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or absence of cholesteatoma (white keratin debris in the attic) and/or granulation tissue or aural polyp;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conductive (or mixed) hearing loss on tuning-fork tests and pure-tone audiometry, with an air–bone gap;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ear-swab culture and sensitivity to identify pathogens (commonly Pseudomonas aeruginosa, Staphylococcus aureus, Proteus) and guide topical/systemic therapy;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high-resolution CT (HRCT) of the temporal bone and/or diffusion-weighted MRI when cholesteatoma, ossicular erosion, mastoid disease, surgical planning or a suspected complication needs to be defined.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CSOM is classified by the site and nature of disease and by its activity:</w:t>
      </w:r>
    </w:p>
    <w:p>
      <w:pPr>
        <w:spacing w:before="0" w:after="80"/>
      </w:pPr>
      <w:r>
        <w:rPr>
          <w:rFonts w:ascii="Calibri" w:hAnsi="Calibri"/>
          <w:b w:val="0"/>
          <w:i w:val="0"/>
          <w:color w:val="212121"/>
          <w:sz w:val="21"/>
        </w:rPr>
        <w:t>(1) Tubotympanic type (“safe” / benign / mucosal disease) — confined to the anteroinferior mesotympanum and Eustachian tube, with a central perforation of the pars tensa, mucoid non-foul discharge and no cholesteatoma; it carries a low risk of serious complications;</w:t>
      </w:r>
    </w:p>
    <w:p>
      <w:pPr>
        <w:spacing w:before="0" w:after="80"/>
      </w:pPr>
      <w:r>
        <w:rPr>
          <w:rFonts w:ascii="Calibri" w:hAnsi="Calibri"/>
          <w:b w:val="0"/>
          <w:i w:val="0"/>
          <w:color w:val="212121"/>
          <w:sz w:val="21"/>
        </w:rPr>
        <w:t>(2) Atticoantral type (“unsafe” / dangerous / squamous disease) — involves the posterosuperior attic and antrum with an attic or marginal perforation, and is associated with cholesteatoma and/or granulation tissue and scanty, foul-smelling discharge; bone erosion gives a high risk of intracranial and extracranial complications;</w:t>
      </w:r>
    </w:p>
    <w:p>
      <w:pPr>
        <w:spacing w:before="0" w:after="80"/>
      </w:pPr>
      <w:r>
        <w:rPr>
          <w:rFonts w:ascii="Calibri" w:hAnsi="Calibri"/>
          <w:b w:val="0"/>
          <w:i w:val="0"/>
          <w:color w:val="212121"/>
          <w:sz w:val="21"/>
        </w:rPr>
        <w:t>(3) Activity status — each type is further described as active (discharging, with mucosal inflammation or cholesteatoma) or inactive/quiescent (dry central perforation, retraction pocket, or healed/tympanosclerotic ear), which guides medical versus surgical management.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Recurrent or inadequately treated acute otitis media: unresolved AOM leaves a persistent perforation and ongoing middle-ear infection that fails to heal.</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Eustachian-tube dysfunction: poor middle-ear ventilation and drainage (worse with the short, horizontal infant tube, cleft palate or nasopharyngeal disease) predisposes to effusion and chronic infection.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Nasopharyngeal and upper-airway disease: recurrent URTIs, adenoid hypertrophy, allergic rhinitis, chronic rhinosinusitis and a deviated septum act as reservoirs for ascending infection.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Bacterial infection and biofilm: Pseudomonas aeruginosa, Staphylococcus aureus, Proteus and anaerobes sustain chronic mucosal infection and form biofilms that resist antibiotic therapy.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Adverse socioeconomic and environmental conditions: overcrowding, malnutrition, poor hygiene, indoor biomass/tobacco smoke and limited access to ENT care perpetuate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Trauma, unsafe ear-cleaning and water contamination: instrumentation with buds/hairpins/oils and entry of contaminated water through a perforation reactivate discharge.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Cholesteatoma: keratinising squamous epithelium trapped in the middle ear erodes bone, perpetuates infection and defines “unsafe”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(peak burden)</w:t>
            </w:r>
          </w:p>
        </w:tc>
        <w:tc>
          <w:tcPr>
            <w:tcW w:type="dxa" w:w="4276"/>
            <w:vAlign w:val="top"/>
          </w:tcPr>
          <w:p>
            <w:pPr>
              <w:spacing w:after="60" w:line="259" w:lineRule="auto"/>
            </w:pPr>
            <w:r>
              <w:rPr>
                <w:rFonts w:ascii="Calibri" w:hAnsi="Calibri"/>
                <w:b w:val="0"/>
                <w:i w:val="0"/>
                <w:color w:val="212121"/>
                <w:sz w:val="19"/>
              </w:rPr>
              <w:t>Childhood is the peak-incidence period: the Eustachian tube is short, horizontal and poorly functional, immunity is immature and nasopharyngeal otopathogen colonisation is dense, so colds readily progress to middle-ear infection that may become chronic.</w:t>
            </w:r>
          </w:p>
          <w:p>
            <w:pPr>
              <w:spacing w:after="40" w:before="60" w:line="259" w:lineRule="auto"/>
            </w:pPr>
            <w:r>
              <w:rPr>
                <w:rFonts w:ascii="Calibri" w:hAnsi="Calibri"/>
                <w:b w:val="0"/>
                <w:i w:val="0"/>
                <w:color w:val="212121"/>
                <w:sz w:val="19"/>
              </w:rPr>
              <w:t>The ICMR pooled paediatric prevalence of CSOM in India is 3.78% (95% CI 2.72–4.84); a Delhi door-to-door survey of 3000 children found CSOM in 4.26% (up to 7.2% in urban slums).</w:t>
            </w:r>
          </w:p>
          <w:p>
            <w:pPr>
              <w:spacing w:after="40" w:line="252" w:lineRule="auto"/>
            </w:pPr>
            <w:hyperlink r:id="rId9">
              <w:r>
                <w:rPr>
                  <w:rFonts w:ascii="Calibri" w:hAnsi="Calibri" w:cs="Calibri"/>
                  <w:sz w:val="18"/>
                  <w:color w:val="1155CC"/>
                  <w:u w:val="single"/>
                </w:rPr>
                <w:t xml:space="preserve">pubmed.ncbi.nlm.nih.gov/37206774 — ICMR meta-analysis</w:t>
              </w:r>
            </w:hyperlink>
          </w:p>
          <w:p>
            <w:pPr>
              <w:spacing w:before="60" w:after="40"/>
            </w:pPr>
            <w:r>
              <w:rPr>
                <w:rFonts w:ascii="Calibri" w:hAnsi="Calibri"/>
                <w:b w:val="0"/>
                <w:i w:val="0"/>
                <w:color w:val="5A5A5A"/>
                <w:sz w:val="18"/>
              </w:rPr>
              <w:t>#CSOM  #children  #eustachiantube  #runningear  #Indiaburden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Disease often persists or recurs from childhood; adults present with long-standing perforation, recurrent discharge, hearing loss and, in “unsafe” disease, cholesteatoma requiring surgery.</w:t>
            </w:r>
          </w:p>
          <w:p>
            <w:pPr>
              <w:spacing w:after="40" w:before="60" w:line="259" w:lineRule="auto"/>
            </w:pPr>
            <w:r>
              <w:rPr>
                <w:rFonts w:ascii="Calibri" w:hAnsi="Calibri"/>
                <w:b w:val="0"/>
                <w:i w:val="0"/>
                <w:color w:val="212121"/>
                <w:sz w:val="19"/>
              </w:rPr>
              <w:t>In a tertiary-hospital bacteriology series, 86.8% of CSOM patients were under 40 years, with the peak in the 10–19-year group (31.9%).</w:t>
            </w:r>
          </w:p>
          <w:p>
            <w:pPr>
              <w:spacing w:after="40" w:line="252" w:lineRule="auto"/>
            </w:pPr>
            <w:hyperlink r:id="rId10">
              <w:r>
                <w:rPr>
                  <w:rFonts w:ascii="Calibri" w:hAnsi="Calibri" w:cs="Calibri"/>
                  <w:sz w:val="18"/>
                  <w:color w:val="1155CC"/>
                  <w:u w:val="single"/>
                </w:rPr>
                <w:t xml:space="preserve">pubmed.ncbi.nlm.nih.gov/23120410 — CSOM bacteriology (Burdwan)</w:t>
              </w:r>
            </w:hyperlink>
          </w:p>
          <w:p>
            <w:pPr>
              <w:spacing w:before="60" w:after="40"/>
            </w:pPr>
            <w:r>
              <w:rPr>
                <w:rFonts w:ascii="Calibri" w:hAnsi="Calibri"/>
                <w:b w:val="0"/>
                <w:i w:val="0"/>
                <w:color w:val="5A5A5A"/>
                <w:sz w:val="18"/>
              </w:rPr>
              <w:t>#adults  #persistentdisease  #cholesteatoma  #hearingloss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Decades of discharge and repeated infection add a sensorineural component to the conductive loss, and long-standing squamous disease carries higher surgical and complication risk.</w:t>
            </w:r>
          </w:p>
          <w:p>
            <w:pPr>
              <w:spacing w:after="40" w:before="60" w:line="259" w:lineRule="auto"/>
            </w:pPr>
            <w:r>
              <w:rPr>
                <w:rFonts w:ascii="Calibri" w:hAnsi="Calibri"/>
                <w:b w:val="0"/>
                <w:i w:val="0"/>
                <w:color w:val="212121"/>
                <w:sz w:val="19"/>
              </w:rPr>
              <w:t>Sensorineural hearing loss was found in 71.4% of CSOM patients whose ear discharge had lasted more than 5 years.</w:t>
            </w:r>
          </w:p>
          <w:p>
            <w:pPr>
              <w:spacing w:after="40" w:line="252" w:lineRule="auto"/>
            </w:pPr>
            <w:hyperlink r:id="rId11">
              <w:r>
                <w:rPr>
                  <w:rFonts w:ascii="Calibri" w:hAnsi="Calibri" w:cs="Calibri"/>
                  <w:sz w:val="18"/>
                  <w:color w:val="1155CC"/>
                  <w:u w:val="single"/>
                </w:rPr>
                <w:t xml:space="preserve">pubmed.ncbi.nlm.nih.gov/32219073 — cochlear dysfunction in COM</w:t>
              </w:r>
            </w:hyperlink>
          </w:p>
          <w:p>
            <w:pPr>
              <w:spacing w:before="60" w:after="40"/>
            </w:pPr>
            <w:r>
              <w:rPr>
                <w:rFonts w:ascii="Calibri" w:hAnsi="Calibri"/>
                <w:b w:val="0"/>
                <w:i w:val="0"/>
                <w:color w:val="5A5A5A"/>
                <w:sz w:val="18"/>
              </w:rPr>
              <w:t>#elderly  #mixedhearingloss  #SNHL  #chronicity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 (complicated disease)</w:t>
            </w:r>
          </w:p>
        </w:tc>
        <w:tc>
          <w:tcPr>
            <w:tcW w:type="dxa" w:w="4276"/>
            <w:vAlign w:val="top"/>
          </w:tcPr>
          <w:p>
            <w:pPr>
              <w:spacing w:after="60" w:line="259" w:lineRule="auto"/>
            </w:pPr>
            <w:r>
              <w:rPr>
                <w:rFonts w:ascii="Calibri" w:hAnsi="Calibri"/>
                <w:b w:val="0"/>
                <w:i w:val="0"/>
                <w:color w:val="212121"/>
                <w:sz w:val="19"/>
              </w:rPr>
              <w:t>Overall sex distribution is roughly equal, but complicated CSOM shows a male predominance, attributed to later presentation and greater environmental exposure in boys/men.</w:t>
            </w:r>
          </w:p>
          <w:p>
            <w:pPr>
              <w:spacing w:after="40" w:before="60" w:line="259" w:lineRule="auto"/>
            </w:pPr>
            <w:r>
              <w:rPr>
                <w:rFonts w:ascii="Calibri" w:hAnsi="Calibri"/>
                <w:b w:val="0"/>
                <w:i w:val="0"/>
                <w:color w:val="212121"/>
                <w:sz w:val="19"/>
              </w:rPr>
              <w:t>In a comparison of 187 ears, the complicated-CSOM group had a higher male predominance and younger age than the uncomplicated group.</w:t>
            </w:r>
          </w:p>
          <w:p>
            <w:pPr>
              <w:spacing w:after="40" w:line="252" w:lineRule="auto"/>
            </w:pPr>
            <w:hyperlink r:id="rId12">
              <w:r>
                <w:rPr>
                  <w:rFonts w:ascii="Calibri" w:hAnsi="Calibri" w:cs="Calibri"/>
                  <w:sz w:val="18"/>
                  <w:color w:val="1155CC"/>
                  <w:u w:val="single"/>
                </w:rPr>
                <w:t xml:space="preserve">pubmed.ncbi.nlm.nih.gov/17666139 — complicated vs uncomplicated CSOM</w:t>
              </w:r>
            </w:hyperlink>
          </w:p>
          <w:p>
            <w:pPr>
              <w:spacing w:before="60" w:after="40"/>
            </w:pPr>
            <w:r>
              <w:rPr>
                <w:rFonts w:ascii="Calibri" w:hAnsi="Calibri"/>
                <w:b w:val="0"/>
                <w:i w:val="0"/>
                <w:color w:val="5A5A5A"/>
                <w:sz w:val="18"/>
              </w:rPr>
              <w:t>#male  #complications  #latepresentation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urban-slum households</w:t>
            </w:r>
          </w:p>
        </w:tc>
        <w:tc>
          <w:tcPr>
            <w:tcW w:type="dxa" w:w="4276"/>
            <w:vAlign w:val="top"/>
          </w:tcPr>
          <w:p>
            <w:pPr>
              <w:spacing w:after="60" w:line="259" w:lineRule="auto"/>
            </w:pPr>
            <w:r>
              <w:rPr>
                <w:rFonts w:ascii="Calibri" w:hAnsi="Calibri"/>
                <w:b w:val="0"/>
                <w:i w:val="0"/>
                <w:color w:val="212121"/>
                <w:sz w:val="19"/>
              </w:rPr>
              <w:t>Poverty clusters the key drivers of CSOM — overcrowding, malnutrition, poor hygiene, indoor smoke and delayed access to ENT care — so infection is more frequent and less likely to be treated early.</w:t>
            </w:r>
          </w:p>
          <w:p>
            <w:pPr>
              <w:spacing w:after="40" w:before="60" w:line="259" w:lineRule="auto"/>
            </w:pPr>
            <w:r>
              <w:rPr>
                <w:rFonts w:ascii="Calibri" w:hAnsi="Calibri"/>
                <w:b w:val="0"/>
                <w:i w:val="0"/>
                <w:color w:val="212121"/>
                <w:sz w:val="19"/>
              </w:rPr>
              <w:t>CSOM prevalence among Delhi children was 7.2% in urban slums versus 3% in rural and 2.6% in non-slum urban areas.</w:t>
            </w:r>
          </w:p>
          <w:p>
            <w:pPr>
              <w:spacing w:after="40" w:line="252" w:lineRule="auto"/>
            </w:pPr>
            <w:hyperlink r:id="rId13">
              <w:r>
                <w:rPr>
                  <w:rFonts w:ascii="Calibri" w:hAnsi="Calibri" w:cs="Calibri"/>
                  <w:sz w:val="18"/>
                  <w:color w:val="1155CC"/>
                  <w:u w:val="single"/>
                </w:rPr>
                <w:t xml:space="preserve">pubmed.ncbi.nlm.nih.gov/25465454 — slum vs non-slum otitis media</w:t>
              </w:r>
            </w:hyperlink>
          </w:p>
          <w:p>
            <w:pPr>
              <w:spacing w:before="60" w:after="40"/>
            </w:pPr>
            <w:r>
              <w:rPr>
                <w:rFonts w:ascii="Calibri" w:hAnsi="Calibri"/>
                <w:b w:val="0"/>
                <w:i w:val="0"/>
                <w:color w:val="5A5A5A"/>
                <w:sz w:val="18"/>
              </w:rPr>
              <w:t>#poverty  #slums  #overcrowding  #healthinequity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&amp; peri-urban India</w:t>
            </w:r>
          </w:p>
        </w:tc>
        <w:tc>
          <w:tcPr>
            <w:tcW w:type="dxa" w:w="4276"/>
            <w:vAlign w:val="top"/>
          </w:tcPr>
          <w:p>
            <w:pPr>
              <w:spacing w:after="60" w:line="259" w:lineRule="auto"/>
            </w:pPr>
            <w:r>
              <w:rPr>
                <w:rFonts w:ascii="Calibri" w:hAnsi="Calibri"/>
                <w:b w:val="0"/>
                <w:i w:val="0"/>
                <w:color w:val="212121"/>
                <w:sz w:val="19"/>
              </w:rPr>
              <w:t>Rural and slum populations face poor sanitation, biomass-fuel smoke, water contamination and scarce ENT services, so perforations discharge longer and progress to unsafe disease.</w:t>
            </w:r>
          </w:p>
          <w:p>
            <w:pPr>
              <w:spacing w:after="40" w:before="60" w:line="259" w:lineRule="auto"/>
            </w:pPr>
            <w:r>
              <w:rPr>
                <w:rFonts w:ascii="Calibri" w:hAnsi="Calibri"/>
                <w:b w:val="0"/>
                <w:i w:val="0"/>
                <w:color w:val="212121"/>
                <w:sz w:val="19"/>
              </w:rPr>
              <w:t>In Delhi, otitis media affected 9.9% of urban-slum, 7% of rural and 4.6% of non-slum-urban children.</w:t>
            </w:r>
          </w:p>
          <w:p>
            <w:pPr>
              <w:spacing w:after="40" w:line="252" w:lineRule="auto"/>
            </w:pPr>
            <w:hyperlink r:id="rId13">
              <w:r>
                <w:rPr>
                  <w:rFonts w:ascii="Calibri" w:hAnsi="Calibri" w:cs="Calibri"/>
                  <w:sz w:val="18"/>
                  <w:color w:val="1155CC"/>
                  <w:u w:val="single"/>
                </w:rPr>
                <w:t xml:space="preserve">pubmed.ncbi.nlm.nih.gov/25465454 — Delhi area comparison</w:t>
              </w:r>
            </w:hyperlink>
          </w:p>
          <w:p>
            <w:pPr>
              <w:spacing w:before="60" w:after="40"/>
            </w:pPr>
            <w:r>
              <w:rPr>
                <w:rFonts w:ascii="Calibri" w:hAnsi="Calibri"/>
                <w:b w:val="0"/>
                <w:i w:val="0"/>
                <w:color w:val="5A5A5A"/>
                <w:sz w:val="18"/>
              </w:rPr>
              <w:t>#rural  #sanitation  #ENTaccess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North-East &amp; Himalayan populations (e.g., Sikkim)</w:t>
            </w:r>
          </w:p>
        </w:tc>
        <w:tc>
          <w:tcPr>
            <w:tcW w:type="dxa" w:w="4276"/>
            <w:vAlign w:val="top"/>
          </w:tcPr>
          <w:p>
            <w:pPr>
              <w:spacing w:after="60" w:line="259" w:lineRule="auto"/>
            </w:pPr>
            <w:r>
              <w:rPr>
                <w:rFonts w:ascii="Calibri" w:hAnsi="Calibri"/>
                <w:b w:val="0"/>
                <w:i w:val="0"/>
                <w:color w:val="212121"/>
                <w:sz w:val="19"/>
              </w:rPr>
              <w:t>Unique ethnic, dietary and high-altitude/geographic factors, together with limited specialist access, give parts of the Indian North-East and Himalaya a distinctive and substantial CSOM burden.</w:t>
            </w:r>
          </w:p>
          <w:p>
            <w:pPr>
              <w:spacing w:after="40" w:before="60" w:line="259" w:lineRule="auto"/>
            </w:pPr>
            <w:r>
              <w:rPr>
                <w:rFonts w:ascii="Calibri" w:hAnsi="Calibri"/>
                <w:b w:val="0"/>
                <w:i w:val="0"/>
                <w:color w:val="212121"/>
                <w:sz w:val="19"/>
              </w:rPr>
              <w:t>A dedicated Sikkim study identified low socioeconomic status, malnutrition, crowded households, family history and passive smoking as the principal risk factors in that population.</w:t>
            </w:r>
          </w:p>
          <w:p>
            <w:pPr>
              <w:spacing w:after="40" w:line="252" w:lineRule="auto"/>
            </w:pPr>
            <w:hyperlink r:id="rId14">
              <w:r>
                <w:rPr>
                  <w:rFonts w:ascii="Calibri" w:hAnsi="Calibri" w:cs="Calibri"/>
                  <w:sz w:val="18"/>
                  <w:color w:val="1155CC"/>
                  <w:u w:val="single"/>
                </w:rPr>
                <w:t xml:space="preserve">pubmed.ncbi.nlm.nih.gov/36742467 — CSOM burden in Sikkim</w:t>
              </w:r>
            </w:hyperlink>
          </w:p>
          <w:p>
            <w:pPr>
              <w:spacing w:before="60" w:after="40"/>
            </w:pPr>
            <w:r>
              <w:rPr>
                <w:rFonts w:ascii="Calibri" w:hAnsi="Calibri"/>
                <w:b w:val="0"/>
                <w:i w:val="0"/>
                <w:color w:val="5A5A5A"/>
                <w:sz w:val="18"/>
              </w:rPr>
              <w:t>#northeastIndia  #Sikkim  #altitude  #ethnicity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season</w:t>
            </w:r>
          </w:p>
        </w:tc>
        <w:tc>
          <w:tcPr>
            <w:tcW w:type="dxa" w:w="2160"/>
            <w:vAlign w:val="top"/>
          </w:tcPr>
          <w:p>
            <w:pPr>
              <w:spacing w:after="40" w:before="0" w:line="259" w:lineRule="auto"/>
            </w:pPr>
            <w:r>
              <w:rPr>
                <w:rFonts w:ascii="Calibri" w:hAnsi="Calibri"/>
                <w:b w:val="0"/>
                <w:i w:val="0"/>
                <w:color w:val="212121"/>
                <w:sz w:val="19"/>
              </w:rPr>
              <w:t>Humid &amp; monsoon-belt regions</w:t>
            </w:r>
          </w:p>
        </w:tc>
        <w:tc>
          <w:tcPr>
            <w:tcW w:type="dxa" w:w="4276"/>
            <w:vAlign w:val="top"/>
          </w:tcPr>
          <w:p>
            <w:pPr>
              <w:spacing w:after="60" w:line="259" w:lineRule="auto"/>
            </w:pPr>
            <w:r>
              <w:rPr>
                <w:rFonts w:ascii="Calibri" w:hAnsi="Calibri"/>
                <w:b w:val="0"/>
                <w:i w:val="0"/>
                <w:color w:val="212121"/>
                <w:sz w:val="19"/>
              </w:rPr>
              <w:t>Warm, humid and monsoon conditions promote water exposure and flourishing of environmental Pseudomonas, driving seasonal reactivation of ear discharge.</w:t>
            </w:r>
          </w:p>
          <w:p>
            <w:pPr>
              <w:spacing w:after="40" w:before="60" w:line="259" w:lineRule="auto"/>
            </w:pPr>
            <w:r>
              <w:rPr>
                <w:rFonts w:ascii="Calibri" w:hAnsi="Calibri"/>
                <w:b w:val="0"/>
                <w:i w:val="0"/>
                <w:color w:val="212121"/>
                <w:sz w:val="19"/>
              </w:rPr>
              <w:t>Aerobic and anaerobic isolation rates from CSOM ears peaked during the July–September monsoon, with Pseudomonas linked to rain-water contamination.</w:t>
            </w:r>
          </w:p>
          <w:p>
            <w:pPr>
              <w:spacing w:after="40" w:line="252" w:lineRule="auto"/>
            </w:pPr>
            <w:hyperlink r:id="rId10">
              <w:r>
                <w:rPr>
                  <w:rFonts w:ascii="Calibri" w:hAnsi="Calibri" w:cs="Calibri"/>
                  <w:sz w:val="18"/>
                  <w:color w:val="1155CC"/>
                  <w:u w:val="single"/>
                </w:rPr>
                <w:t xml:space="preserve">pubmed.ncbi.nlm.nih.gov/23120410 — seasonal bacteriology</w:t>
              </w:r>
            </w:hyperlink>
          </w:p>
          <w:p>
            <w:pPr>
              <w:spacing w:before="60" w:after="40"/>
            </w:pPr>
            <w:r>
              <w:rPr>
                <w:rFonts w:ascii="Calibri" w:hAnsi="Calibri"/>
                <w:b w:val="0"/>
                <w:i w:val="0"/>
                <w:color w:val="5A5A5A"/>
                <w:sz w:val="18"/>
              </w:rPr>
              <w:t>#monsoon  #humidity  #pseudomonas  #waterexposure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Ear-cleaning practices</w:t>
            </w:r>
          </w:p>
        </w:tc>
        <w:tc>
          <w:tcPr>
            <w:tcW w:type="dxa" w:w="2160"/>
            <w:vAlign w:val="top"/>
          </w:tcPr>
          <w:p>
            <w:pPr>
              <w:spacing w:after="40" w:before="0" w:line="259" w:lineRule="auto"/>
            </w:pPr>
            <w:r>
              <w:rPr>
                <w:rFonts w:ascii="Calibri" w:hAnsi="Calibri"/>
                <w:b w:val="0"/>
                <w:i w:val="0"/>
                <w:color w:val="212121"/>
                <w:sz w:val="19"/>
              </w:rPr>
              <w:t>Users of cotton buds, hairpins, oils, traditional drops</w:t>
            </w:r>
          </w:p>
        </w:tc>
        <w:tc>
          <w:tcPr>
            <w:tcW w:type="dxa" w:w="4276"/>
            <w:vAlign w:val="top"/>
          </w:tcPr>
          <w:p>
            <w:pPr>
              <w:spacing w:after="60" w:line="259" w:lineRule="auto"/>
            </w:pPr>
            <w:r>
              <w:rPr>
                <w:rFonts w:ascii="Calibri" w:hAnsi="Calibri"/>
                <w:b w:val="0"/>
                <w:i w:val="0"/>
                <w:color w:val="212121"/>
                <w:sz w:val="19"/>
              </w:rPr>
              <w:t>Self-instrumentation and instillation of oils or unsterile drops traumatise the canal/drum, introduce organisms and reactivate discharge; it is a recognised behavioural predictor of CSOM.</w:t>
            </w:r>
          </w:p>
          <w:p>
            <w:pPr>
              <w:spacing w:after="40" w:before="60" w:line="259" w:lineRule="auto"/>
            </w:pPr>
            <w:r>
              <w:rPr>
                <w:rFonts w:ascii="Calibri" w:hAnsi="Calibri"/>
                <w:b w:val="0"/>
                <w:i w:val="0"/>
                <w:color w:val="212121"/>
                <w:sz w:val="19"/>
              </w:rPr>
              <w:t>In a Karnataka school survey a history of cleaning the ear with various materials was present in 7.4% of children and was an independent predictor of CSOM.</w:t>
            </w:r>
          </w:p>
          <w:p>
            <w:pPr>
              <w:spacing w:after="40" w:line="252" w:lineRule="auto"/>
            </w:pPr>
            <w:hyperlink r:id="rId15">
              <w:r>
                <w:rPr>
                  <w:rFonts w:ascii="Calibri" w:hAnsi="Calibri" w:cs="Calibri"/>
                  <w:sz w:val="18"/>
                  <w:color w:val="1155CC"/>
                  <w:u w:val="single"/>
                </w:rPr>
                <w:t xml:space="preserve">pubmed.ncbi.nlm.nih.gov/31750215 — Belagavi school survey</w:t>
              </w:r>
            </w:hyperlink>
          </w:p>
          <w:p>
            <w:pPr>
              <w:spacing w:before="60" w:after="40"/>
            </w:pPr>
            <w:r>
              <w:rPr>
                <w:rFonts w:ascii="Calibri" w:hAnsi="Calibri"/>
                <w:b w:val="0"/>
                <w:i w:val="0"/>
                <w:color w:val="5A5A5A"/>
                <w:sz w:val="18"/>
              </w:rPr>
              <w:t>#cottonbuds  #earcleaning  #trauma  #traditionaldrops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Water exposure</w:t>
            </w:r>
          </w:p>
        </w:tc>
        <w:tc>
          <w:tcPr>
            <w:tcW w:type="dxa" w:w="2160"/>
            <w:vAlign w:val="top"/>
          </w:tcPr>
          <w:p>
            <w:pPr>
              <w:spacing w:after="40" w:before="0" w:line="259" w:lineRule="auto"/>
            </w:pPr>
            <w:r>
              <w:rPr>
                <w:rFonts w:ascii="Calibri" w:hAnsi="Calibri"/>
                <w:b w:val="0"/>
                <w:i w:val="0"/>
                <w:color w:val="212121"/>
                <w:sz w:val="19"/>
              </w:rPr>
              <w:t>Swimmers &amp; bathers in contaminated water</w:t>
            </w:r>
          </w:p>
        </w:tc>
        <w:tc>
          <w:tcPr>
            <w:tcW w:type="dxa" w:w="4276"/>
            <w:vAlign w:val="top"/>
          </w:tcPr>
          <w:p>
            <w:pPr>
              <w:spacing w:after="60" w:line="259" w:lineRule="auto"/>
            </w:pPr>
            <w:r>
              <w:rPr>
                <w:rFonts w:ascii="Calibri" w:hAnsi="Calibri"/>
                <w:b w:val="0"/>
                <w:i w:val="0"/>
                <w:color w:val="212121"/>
                <w:sz w:val="19"/>
              </w:rPr>
              <w:t>Entry of contaminated water through a perforation reintroduces bacteria (especially Pseudomonas) into the middle ear and is a major provoking factor for reactivation of otorrhoea; keeping the ear dry is central to control.</w:t>
            </w:r>
          </w:p>
          <w:p>
            <w:pPr>
              <w:spacing w:after="40" w:before="60" w:line="259" w:lineRule="auto"/>
            </w:pPr>
            <w:r>
              <w:rPr>
                <w:rFonts w:ascii="Calibri" w:hAnsi="Calibri"/>
                <w:b w:val="0"/>
                <w:i w:val="0"/>
                <w:color w:val="212121"/>
                <w:sz w:val="19"/>
              </w:rPr>
              <w:t>CSOM ears are classically colonised by Pseudomonas aeruginosa (up to ~64% of isolates), an organism linked to water contamination.</w:t>
            </w:r>
          </w:p>
          <w:p>
            <w:pPr>
              <w:spacing w:after="40" w:line="252" w:lineRule="auto"/>
            </w:pPr>
            <w:hyperlink r:id="rId10">
              <w:r>
                <w:rPr>
                  <w:rFonts w:ascii="Calibri" w:hAnsi="Calibri" w:cs="Calibri"/>
                  <w:sz w:val="18"/>
                  <w:color w:val="1155CC"/>
                  <w:u w:val="single"/>
                </w:rPr>
                <w:t xml:space="preserve">pubmed.ncbi.nlm.nih.gov/23120410 — CSOM microbiology</w:t>
              </w:r>
            </w:hyperlink>
          </w:p>
          <w:p>
            <w:pPr>
              <w:spacing w:before="60" w:after="40"/>
            </w:pPr>
            <w:r>
              <w:rPr>
                <w:rFonts w:ascii="Calibri" w:hAnsi="Calibri"/>
                <w:b w:val="0"/>
                <w:i w:val="0"/>
                <w:color w:val="5A5A5A"/>
                <w:sz w:val="18"/>
              </w:rPr>
              <w:t>#waterentry  #swimming  #pseudomonas  #keepdry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Passive smoking / indoor air pollution</w:t>
            </w:r>
          </w:p>
        </w:tc>
        <w:tc>
          <w:tcPr>
            <w:tcW w:type="dxa" w:w="2160"/>
            <w:vAlign w:val="top"/>
          </w:tcPr>
          <w:p>
            <w:pPr>
              <w:spacing w:after="40" w:before="0" w:line="259" w:lineRule="auto"/>
            </w:pPr>
            <w:r>
              <w:rPr>
                <w:rFonts w:ascii="Calibri" w:hAnsi="Calibri"/>
                <w:b w:val="0"/>
                <w:i w:val="0"/>
                <w:color w:val="212121"/>
                <w:sz w:val="19"/>
              </w:rPr>
              <w:t>Children in smoking or biomass-fuel homes</w:t>
            </w:r>
          </w:p>
        </w:tc>
        <w:tc>
          <w:tcPr>
            <w:tcW w:type="dxa" w:w="4276"/>
            <w:vAlign w:val="top"/>
          </w:tcPr>
          <w:p>
            <w:pPr>
              <w:spacing w:after="60" w:line="259" w:lineRule="auto"/>
            </w:pPr>
            <w:r>
              <w:rPr>
                <w:rFonts w:ascii="Calibri" w:hAnsi="Calibri"/>
                <w:b w:val="0"/>
                <w:i w:val="0"/>
                <w:color w:val="212121"/>
                <w:sz w:val="19"/>
              </w:rPr>
              <w:t>Tobacco and biomass (wood/charcoal) smoke irritate the respiratory and middle-ear mucosa and impair Eustachian-tube function, increasing the risk of otitis media — highly relevant to Indian solid-fuel kitchens.</w:t>
            </w:r>
          </w:p>
          <w:p>
            <w:pPr>
              <w:spacing w:after="40" w:before="60" w:line="259" w:lineRule="auto"/>
            </w:pPr>
            <w:r>
              <w:rPr>
                <w:rFonts w:ascii="Calibri" w:hAnsi="Calibri"/>
                <w:b w:val="0"/>
                <w:i w:val="0"/>
                <w:color w:val="212121"/>
                <w:sz w:val="19"/>
              </w:rPr>
              <w:t>Otitis-media risk rose with exposure to household wood smoke (OR 1.85), charcoal smoke (OR 1.50) and tobacco smoke (OR 1.51) in a case-control study.</w:t>
            </w:r>
          </w:p>
          <w:p>
            <w:pPr>
              <w:spacing w:after="40" w:line="252" w:lineRule="auto"/>
            </w:pPr>
            <w:hyperlink r:id="rId16">
              <w:r>
                <w:rPr>
                  <w:rFonts w:ascii="Calibri" w:hAnsi="Calibri" w:cs="Calibri"/>
                  <w:sz w:val="18"/>
                  <w:color w:val="1155CC"/>
                  <w:u w:val="single"/>
                </w:rPr>
                <w:t xml:space="preserve">pubmed.ncbi.nlm.nih.gov/15105407 — household smoke &amp; otitis media</w:t>
              </w:r>
            </w:hyperlink>
          </w:p>
          <w:p>
            <w:pPr>
              <w:spacing w:before="60" w:after="40"/>
            </w:pPr>
            <w:r>
              <w:rPr>
                <w:rFonts w:ascii="Calibri" w:hAnsi="Calibri"/>
                <w:b w:val="0"/>
                <w:i w:val="0"/>
                <w:color w:val="5A5A5A"/>
                <w:sz w:val="18"/>
              </w:rPr>
              <w:t>#passivesmoking  #biomass  #indoorairpollution  #chulha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Overcrowding</w:t>
            </w:r>
          </w:p>
        </w:tc>
        <w:tc>
          <w:tcPr>
            <w:tcW w:type="dxa" w:w="2160"/>
            <w:vAlign w:val="top"/>
          </w:tcPr>
          <w:p>
            <w:pPr>
              <w:spacing w:after="40" w:before="0" w:line="259" w:lineRule="auto"/>
            </w:pPr>
            <w:r>
              <w:rPr>
                <w:rFonts w:ascii="Calibri" w:hAnsi="Calibri"/>
                <w:b w:val="0"/>
                <w:i w:val="0"/>
                <w:color w:val="212121"/>
                <w:sz w:val="19"/>
              </w:rPr>
              <w:t>Large / crowded households</w:t>
            </w:r>
          </w:p>
        </w:tc>
        <w:tc>
          <w:tcPr>
            <w:tcW w:type="dxa" w:w="4276"/>
            <w:vAlign w:val="top"/>
          </w:tcPr>
          <w:p>
            <w:pPr>
              <w:spacing w:after="60" w:line="259" w:lineRule="auto"/>
            </w:pPr>
            <w:r>
              <w:rPr>
                <w:rFonts w:ascii="Calibri" w:hAnsi="Calibri"/>
                <w:b w:val="0"/>
                <w:i w:val="0"/>
                <w:color w:val="212121"/>
                <w:sz w:val="19"/>
              </w:rPr>
              <w:t>Crowding increases transmission of the respiratory viruses and bacteria that seed middle-ear infection and reflects the wider socioeconomic risk cluster.</w:t>
            </w:r>
          </w:p>
          <w:p>
            <w:pPr>
              <w:spacing w:after="40" w:before="60" w:line="259" w:lineRule="auto"/>
            </w:pPr>
            <w:r>
              <w:rPr>
                <w:rFonts w:ascii="Calibri" w:hAnsi="Calibri"/>
                <w:b w:val="0"/>
                <w:i w:val="0"/>
                <w:color w:val="212121"/>
                <w:sz w:val="19"/>
              </w:rPr>
              <w:t>Overcrowding was documented in 61% (22/36) of children found to have CSOM in a Karnataka survey; crowding carried an OR of ~1.49 for otitis media in a case-control study.</w:t>
            </w:r>
          </w:p>
          <w:p>
            <w:pPr>
              <w:spacing w:after="40" w:line="252" w:lineRule="auto"/>
            </w:pPr>
            <w:hyperlink r:id="rId15">
              <w:r>
                <w:rPr>
                  <w:rFonts w:ascii="Calibri" w:hAnsi="Calibri" w:cs="Calibri"/>
                  <w:sz w:val="18"/>
                  <w:color w:val="1155CC"/>
                  <w:u w:val="single"/>
                </w:rPr>
                <w:t xml:space="preserve">pubmed.ncbi.nlm.nih.gov/31750215 — Belagavi survey</w:t>
              </w:r>
            </w:hyperlink>
          </w:p>
          <w:p>
            <w:pPr>
              <w:spacing w:before="60" w:after="40"/>
            </w:pPr>
            <w:r>
              <w:rPr>
                <w:rFonts w:ascii="Calibri" w:hAnsi="Calibri"/>
                <w:b w:val="0"/>
                <w:i w:val="0"/>
                <w:color w:val="5A5A5A"/>
                <w:sz w:val="18"/>
              </w:rPr>
              <w:t>#overcrowding  #transmission  #householdsize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Infant feeding</w:t>
            </w:r>
          </w:p>
        </w:tc>
        <w:tc>
          <w:tcPr>
            <w:tcW w:type="dxa" w:w="2160"/>
            <w:vAlign w:val="top"/>
          </w:tcPr>
          <w:p>
            <w:pPr>
              <w:spacing w:after="40" w:before="0" w:line="259" w:lineRule="auto"/>
            </w:pPr>
            <w:r>
              <w:rPr>
                <w:rFonts w:ascii="Calibri" w:hAnsi="Calibri"/>
                <w:b w:val="0"/>
                <w:i w:val="0"/>
                <w:color w:val="212121"/>
                <w:sz w:val="19"/>
              </w:rPr>
              <w:t>Short/absent breastfeeding; supine bottle-feeding</w:t>
            </w:r>
          </w:p>
        </w:tc>
        <w:tc>
          <w:tcPr>
            <w:tcW w:type="dxa" w:w="4276"/>
            <w:vAlign w:val="top"/>
          </w:tcPr>
          <w:p>
            <w:pPr>
              <w:spacing w:after="60" w:line="259" w:lineRule="auto"/>
            </w:pPr>
            <w:r>
              <w:rPr>
                <w:rFonts w:ascii="Calibri" w:hAnsi="Calibri"/>
                <w:b w:val="0"/>
                <w:i w:val="0"/>
                <w:color w:val="212121"/>
                <w:sz w:val="19"/>
              </w:rPr>
              <w:t>Breast milk confers passive immunity and IgA against otopathogens; short or absent breastfeeding and feeding a baby lying flat (which refluxes milk toward the Eustachian tube) raise otitis-media risk.</w:t>
            </w:r>
          </w:p>
          <w:p>
            <w:pPr>
              <w:spacing w:after="40" w:before="60" w:line="259" w:lineRule="auto"/>
            </w:pPr>
            <w:r>
              <w:rPr>
                <w:rFonts w:ascii="Calibri" w:hAnsi="Calibri"/>
                <w:b w:val="0"/>
                <w:i w:val="0"/>
                <w:color w:val="212121"/>
                <w:sz w:val="19"/>
              </w:rPr>
              <w:t>Short-duration breastfeeding was associated with an OR of 1.47 for otitis media in a case-control study.</w:t>
            </w:r>
          </w:p>
          <w:p>
            <w:pPr>
              <w:spacing w:after="40" w:line="252" w:lineRule="auto"/>
            </w:pPr>
            <w:hyperlink r:id="rId16">
              <w:r>
                <w:rPr>
                  <w:rFonts w:ascii="Calibri" w:hAnsi="Calibri" w:cs="Calibri"/>
                  <w:sz w:val="18"/>
                  <w:color w:val="1155CC"/>
                  <w:u w:val="single"/>
                </w:rPr>
                <w:t xml:space="preserve">pubmed.ncbi.nlm.nih.gov/15105407 — breastfeeding &amp; otitis media</w:t>
              </w:r>
            </w:hyperlink>
          </w:p>
          <w:p>
            <w:pPr>
              <w:spacing w:before="60" w:after="40"/>
            </w:pPr>
            <w:r>
              <w:rPr>
                <w:rFonts w:ascii="Calibri" w:hAnsi="Calibri"/>
                <w:b w:val="0"/>
                <w:i w:val="0"/>
                <w:color w:val="5A5A5A"/>
                <w:sz w:val="18"/>
              </w:rPr>
              <w:t>#breastfeeding  #bottlefeeding  #supinefeeding  #passiveimmunity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 / micronutrients</w:t>
            </w:r>
          </w:p>
        </w:tc>
        <w:tc>
          <w:tcPr>
            <w:tcW w:type="dxa" w:w="2160"/>
            <w:vAlign w:val="top"/>
          </w:tcPr>
          <w:p>
            <w:pPr>
              <w:spacing w:after="40" w:before="0" w:line="259" w:lineRule="auto"/>
            </w:pPr>
            <w:r>
              <w:rPr>
                <w:rFonts w:ascii="Calibri" w:hAnsi="Calibri"/>
                <w:b w:val="0"/>
                <w:i w:val="0"/>
                <w:color w:val="212121"/>
                <w:sz w:val="19"/>
              </w:rPr>
              <w:t>Undernourished children (low vitamin A / zinc / iron)</w:t>
            </w:r>
          </w:p>
        </w:tc>
        <w:tc>
          <w:tcPr>
            <w:tcW w:type="dxa" w:w="4276"/>
            <w:vAlign w:val="top"/>
          </w:tcPr>
          <w:p>
            <w:pPr>
              <w:spacing w:after="60" w:line="259" w:lineRule="auto"/>
            </w:pPr>
            <w:r>
              <w:rPr>
                <w:rFonts w:ascii="Calibri" w:hAnsi="Calibri"/>
                <w:b w:val="0"/>
                <w:i w:val="0"/>
                <w:color w:val="212121"/>
                <w:sz w:val="19"/>
              </w:rPr>
              <w:t>Protein-energy malnutrition and micronutrient deficiency impair mucosal and cell-mediated immunity, increasing susceptibility to and persistence of middle-ear infection.</w:t>
            </w:r>
          </w:p>
          <w:p>
            <w:pPr>
              <w:spacing w:after="40" w:before="60" w:line="259" w:lineRule="auto"/>
            </w:pPr>
            <w:r>
              <w:rPr>
                <w:rFonts w:ascii="Calibri" w:hAnsi="Calibri"/>
                <w:b w:val="0"/>
                <w:i w:val="0"/>
                <w:color w:val="212121"/>
                <w:sz w:val="19"/>
              </w:rPr>
              <w:t>Malnutrition is a recognised CSOM risk factor; a Cochrane review notes ~164 million people worldwide have otitis-media–related hearing loss, ~90% in low-income countries, and evaluated zinc for prevention.</w:t>
            </w:r>
          </w:p>
          <w:p>
            <w:pPr>
              <w:spacing w:after="40" w:line="252" w:lineRule="auto"/>
            </w:pPr>
            <w:hyperlink r:id="rId17">
              <w:r>
                <w:rPr>
                  <w:rFonts w:ascii="Calibri" w:hAnsi="Calibri" w:cs="Calibri"/>
                  <w:sz w:val="18"/>
                  <w:color w:val="1155CC"/>
                  <w:u w:val="single"/>
                </w:rPr>
                <w:t xml:space="preserve">pubmed.ncbi.nlm.nih.gov/24974096 — Cochrane zinc/otitis media</w:t>
              </w:r>
            </w:hyperlink>
          </w:p>
          <w:p>
            <w:pPr>
              <w:spacing w:before="60" w:after="40"/>
            </w:pPr>
            <w:r>
              <w:rPr>
                <w:rFonts w:ascii="Calibri" w:hAnsi="Calibri"/>
                <w:b w:val="0"/>
                <w:i w:val="0"/>
                <w:color w:val="5A5A5A"/>
                <w:sz w:val="18"/>
              </w:rPr>
              <w:t>#malnutrition  #vitaminA  #zinc  #immunity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Craniofacial anomalies</w:t>
            </w:r>
          </w:p>
        </w:tc>
        <w:tc>
          <w:tcPr>
            <w:tcW w:type="dxa" w:w="2160"/>
            <w:vAlign w:val="top"/>
          </w:tcPr>
          <w:p>
            <w:pPr>
              <w:spacing w:after="40" w:before="0" w:line="259" w:lineRule="auto"/>
            </w:pPr>
            <w:r>
              <w:rPr>
                <w:rFonts w:ascii="Calibri" w:hAnsi="Calibri"/>
                <w:b w:val="0"/>
                <w:i w:val="0"/>
                <w:color w:val="212121"/>
                <w:sz w:val="19"/>
              </w:rPr>
              <w:t>Cleft palate, Down syndrome, craniofacial syndromes</w:t>
            </w:r>
          </w:p>
        </w:tc>
        <w:tc>
          <w:tcPr>
            <w:tcW w:type="dxa" w:w="4276"/>
            <w:vAlign w:val="top"/>
          </w:tcPr>
          <w:p>
            <w:pPr>
              <w:spacing w:after="60" w:line="259" w:lineRule="auto"/>
            </w:pPr>
            <w:r>
              <w:rPr>
                <w:rFonts w:ascii="Calibri" w:hAnsi="Calibri"/>
                <w:b w:val="0"/>
                <w:i w:val="0"/>
                <w:color w:val="212121"/>
                <w:sz w:val="19"/>
              </w:rPr>
              <w:t>Structural and functional Eustachian-tube abnormalities in cleft palate, Down syndrome and other craniofacial syndromes cause chronic middle-ear effusion and infection from infancy.</w:t>
            </w:r>
          </w:p>
          <w:p>
            <w:pPr>
              <w:spacing w:after="40" w:before="60" w:line="259" w:lineRule="auto"/>
            </w:pPr>
            <w:r>
              <w:rPr>
                <w:rFonts w:ascii="Calibri" w:hAnsi="Calibri"/>
                <w:b w:val="0"/>
                <w:i w:val="0"/>
                <w:color w:val="212121"/>
                <w:sz w:val="19"/>
              </w:rPr>
              <w:t>Persistent Eustachian-tube dysfunction was strongly associated with otitis media (OR ~3.06 in older children) in a case-control analysis.</w:t>
            </w:r>
          </w:p>
          <w:p>
            <w:pPr>
              <w:spacing w:after="40" w:line="252" w:lineRule="auto"/>
            </w:pPr>
            <w:hyperlink r:id="rId16">
              <w:r>
                <w:rPr>
                  <w:rFonts w:ascii="Calibri" w:hAnsi="Calibri" w:cs="Calibri"/>
                  <w:sz w:val="18"/>
                  <w:color w:val="1155CC"/>
                  <w:u w:val="single"/>
                </w:rPr>
                <w:t xml:space="preserve">pubmed.ncbi.nlm.nih.gov/15105407 — Eustachian-tube dysfunction</w:t>
              </w:r>
            </w:hyperlink>
          </w:p>
          <w:p>
            <w:pPr>
              <w:spacing w:before="60" w:after="40"/>
            </w:pPr>
            <w:r>
              <w:rPr>
                <w:rFonts w:ascii="Calibri" w:hAnsi="Calibri"/>
                <w:b w:val="0"/>
                <w:i w:val="0"/>
                <w:color w:val="5A5A5A"/>
                <w:sz w:val="18"/>
              </w:rPr>
              <w:t>#cleftpalate  #Downsyndrome  #eustachiandysfunction  #craniofacial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chronic ear disease</w:t>
            </w:r>
          </w:p>
        </w:tc>
        <w:tc>
          <w:tcPr>
            <w:tcW w:type="dxa" w:w="4276"/>
            <w:vAlign w:val="top"/>
          </w:tcPr>
          <w:p>
            <w:pPr>
              <w:spacing w:after="60" w:line="259" w:lineRule="auto"/>
            </w:pPr>
            <w:r>
              <w:rPr>
                <w:rFonts w:ascii="Calibri" w:hAnsi="Calibri"/>
                <w:b w:val="0"/>
                <w:i w:val="0"/>
                <w:color w:val="212121"/>
                <w:sz w:val="19"/>
              </w:rPr>
              <w:t>Inherited Eustachian-tube anatomy and immune traits cluster CSOM within families, independent of shared environment.</w:t>
            </w:r>
          </w:p>
          <w:p>
            <w:pPr>
              <w:spacing w:after="40" w:before="60" w:line="259" w:lineRule="auto"/>
            </w:pPr>
            <w:r>
              <w:rPr>
                <w:rFonts w:ascii="Calibri" w:hAnsi="Calibri"/>
                <w:b w:val="0"/>
                <w:i w:val="0"/>
                <w:color w:val="212121"/>
                <w:sz w:val="19"/>
              </w:rPr>
              <w:t>Family history was identified among the core risk factors for CSOM in a dedicated Indian (Sikkim) study.</w:t>
            </w:r>
          </w:p>
          <w:p>
            <w:pPr>
              <w:spacing w:after="40" w:line="252" w:lineRule="auto"/>
            </w:pPr>
            <w:hyperlink r:id="rId14">
              <w:r>
                <w:rPr>
                  <w:rFonts w:ascii="Calibri" w:hAnsi="Calibri" w:cs="Calibri"/>
                  <w:sz w:val="18"/>
                  <w:color w:val="1155CC"/>
                  <w:u w:val="single"/>
                </w:rPr>
                <w:t xml:space="preserve">pubmed.ncbi.nlm.nih.gov/36742467 — CSOM risk factors</w:t>
              </w:r>
            </w:hyperlink>
          </w:p>
          <w:p>
            <w:pPr>
              <w:spacing w:before="60" w:after="40"/>
            </w:pPr>
            <w:r>
              <w:rPr>
                <w:rFonts w:ascii="Calibri" w:hAnsi="Calibri"/>
                <w:b w:val="0"/>
                <w:i w:val="0"/>
                <w:color w:val="5A5A5A"/>
                <w:sz w:val="18"/>
              </w:rPr>
              <w:t>#familyhistory  #inheritedanatomy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Allergic rhinitis / chronic rhinosinusitis</w:t>
            </w:r>
          </w:p>
        </w:tc>
        <w:tc>
          <w:tcPr>
            <w:tcW w:type="dxa" w:w="2160"/>
            <w:vAlign w:val="top"/>
          </w:tcPr>
          <w:p>
            <w:pPr>
              <w:spacing w:after="40" w:before="0" w:line="259" w:lineRule="auto"/>
            </w:pPr>
            <w:r>
              <w:rPr>
                <w:rFonts w:ascii="Calibri" w:hAnsi="Calibri"/>
                <w:b w:val="0"/>
                <w:i w:val="0"/>
                <w:color w:val="212121"/>
                <w:sz w:val="19"/>
              </w:rPr>
              <w:t>Patients with chronic nasal inflammation</w:t>
            </w:r>
          </w:p>
        </w:tc>
        <w:tc>
          <w:tcPr>
            <w:tcW w:type="dxa" w:w="4276"/>
            <w:vAlign w:val="top"/>
          </w:tcPr>
          <w:p>
            <w:pPr>
              <w:spacing w:after="60" w:line="259" w:lineRule="auto"/>
            </w:pPr>
            <w:r>
              <w:rPr>
                <w:rFonts w:ascii="Calibri" w:hAnsi="Calibri"/>
                <w:b w:val="0"/>
                <w:i w:val="0"/>
                <w:color w:val="212121"/>
                <w:sz w:val="19"/>
              </w:rPr>
              <w:t>Allergic and infective nasal disease causes mucosal oedema and Eustachian-tube obstruction, promoting middle-ear effusion and chronic infection.</w:t>
            </w:r>
          </w:p>
          <w:p>
            <w:pPr>
              <w:spacing w:after="40" w:before="60" w:line="259" w:lineRule="auto"/>
            </w:pPr>
            <w:r>
              <w:rPr>
                <w:rFonts w:ascii="Calibri" w:hAnsi="Calibri"/>
                <w:b w:val="0"/>
                <w:i w:val="0"/>
                <w:color w:val="212121"/>
                <w:sz w:val="19"/>
              </w:rPr>
              <w:t>Otitis media is a recognised comorbidity of allergic rhinitis and chronic rhinosinusitis, which act as persistent nasopharyngeal infection foci.</w:t>
            </w:r>
          </w:p>
          <w:p>
            <w:pPr>
              <w:spacing w:after="40" w:line="252" w:lineRule="auto"/>
            </w:pPr>
            <w:hyperlink r:id="rId18">
              <w:r>
                <w:rPr>
                  <w:rFonts w:ascii="Calibri" w:hAnsi="Calibri" w:cs="Calibri"/>
                  <w:sz w:val="18"/>
                  <w:color w:val="1155CC"/>
                  <w:u w:val="single"/>
                </w:rPr>
                <w:t xml:space="preserve">pubmed.ncbi.nlm.nih.gov/37727177 — CSOM comprehensive review</w:t>
              </w:r>
            </w:hyperlink>
          </w:p>
          <w:p>
            <w:pPr>
              <w:spacing w:before="60" w:after="40"/>
            </w:pPr>
            <w:r>
              <w:rPr>
                <w:rFonts w:ascii="Calibri" w:hAnsi="Calibri"/>
                <w:b w:val="0"/>
                <w:i w:val="0"/>
                <w:color w:val="5A5A5A"/>
                <w:sz w:val="18"/>
              </w:rPr>
              <w:t>#allergicrhinitis  #sinusitis  #ETobstruction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Adenoid hypertrophy / recurrent URTI</w:t>
            </w:r>
          </w:p>
        </w:tc>
        <w:tc>
          <w:tcPr>
            <w:tcW w:type="dxa" w:w="2160"/>
            <w:vAlign w:val="top"/>
          </w:tcPr>
          <w:p>
            <w:pPr>
              <w:spacing w:after="40" w:before="0" w:line="259" w:lineRule="auto"/>
            </w:pPr>
            <w:r>
              <w:rPr>
                <w:rFonts w:ascii="Calibri" w:hAnsi="Calibri"/>
                <w:b w:val="0"/>
                <w:i w:val="0"/>
                <w:color w:val="212121"/>
                <w:sz w:val="19"/>
              </w:rPr>
              <w:t>Children with adenoids &amp; recurrent colds</w:t>
            </w:r>
          </w:p>
        </w:tc>
        <w:tc>
          <w:tcPr>
            <w:tcW w:type="dxa" w:w="4276"/>
            <w:vAlign w:val="top"/>
          </w:tcPr>
          <w:p>
            <w:pPr>
              <w:spacing w:after="60" w:line="259" w:lineRule="auto"/>
            </w:pPr>
            <w:r>
              <w:rPr>
                <w:rFonts w:ascii="Calibri" w:hAnsi="Calibri"/>
                <w:b w:val="0"/>
                <w:i w:val="0"/>
                <w:color w:val="212121"/>
                <w:sz w:val="19"/>
              </w:rPr>
              <w:t>Enlarged adenoids obstruct and infect the Eustachian-tube opening; recurrent upper-respiratory infections repeatedly seed the middle ear.</w:t>
            </w:r>
          </w:p>
          <w:p>
            <w:pPr>
              <w:spacing w:after="40" w:before="60" w:line="259" w:lineRule="auto"/>
            </w:pPr>
            <w:r>
              <w:rPr>
                <w:rFonts w:ascii="Calibri" w:hAnsi="Calibri"/>
                <w:b w:val="0"/>
                <w:i w:val="0"/>
                <w:color w:val="212121"/>
                <w:sz w:val="19"/>
              </w:rPr>
              <w:t>Recurrent respiratory-tract infection was present in 9.3% of children and was an independent predictor of CSOM in a Karnataka school survey.</w:t>
            </w:r>
          </w:p>
          <w:p>
            <w:pPr>
              <w:spacing w:after="40" w:line="252" w:lineRule="auto"/>
            </w:pPr>
            <w:hyperlink r:id="rId15">
              <w:r>
                <w:rPr>
                  <w:rFonts w:ascii="Calibri" w:hAnsi="Calibri" w:cs="Calibri"/>
                  <w:sz w:val="18"/>
                  <w:color w:val="1155CC"/>
                  <w:u w:val="single"/>
                </w:rPr>
                <w:t xml:space="preserve">pubmed.ncbi.nlm.nih.gov/31750215 — predictors of CSOM</w:t>
              </w:r>
            </w:hyperlink>
          </w:p>
          <w:p>
            <w:pPr>
              <w:spacing w:before="60" w:after="40"/>
            </w:pPr>
            <w:r>
              <w:rPr>
                <w:rFonts w:ascii="Calibri" w:hAnsi="Calibri"/>
                <w:b w:val="0"/>
                <w:i w:val="0"/>
                <w:color w:val="5A5A5A"/>
                <w:sz w:val="18"/>
              </w:rPr>
              <w:t>#adenoids  #recurrentURTI  #children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Cholesteatoma (unsafe disease)</w:t>
            </w:r>
          </w:p>
        </w:tc>
        <w:tc>
          <w:tcPr>
            <w:tcW w:type="dxa" w:w="2160"/>
            <w:vAlign w:val="top"/>
          </w:tcPr>
          <w:p>
            <w:pPr>
              <w:spacing w:after="40" w:before="0" w:line="259" w:lineRule="auto"/>
            </w:pPr>
            <w:r>
              <w:rPr>
                <w:rFonts w:ascii="Calibri" w:hAnsi="Calibri"/>
                <w:b w:val="0"/>
                <w:i w:val="0"/>
                <w:color w:val="212121"/>
                <w:sz w:val="19"/>
              </w:rPr>
              <w:t>Patients with attic/marginal perforation</w:t>
            </w:r>
          </w:p>
        </w:tc>
        <w:tc>
          <w:tcPr>
            <w:tcW w:type="dxa" w:w="4276"/>
            <w:vAlign w:val="top"/>
          </w:tcPr>
          <w:p>
            <w:pPr>
              <w:spacing w:after="60" w:line="259" w:lineRule="auto"/>
            </w:pPr>
            <w:r>
              <w:rPr>
                <w:rFonts w:ascii="Calibri" w:hAnsi="Calibri"/>
                <w:b w:val="0"/>
                <w:i w:val="0"/>
                <w:color w:val="212121"/>
                <w:sz w:val="19"/>
              </w:rPr>
              <w:t>Cholesteatoma is keratinising squamous epithelium that erodes ossicles and bone, sustains infection and drives the intracranial/extracranial complications of “unsafe” CSOM.</w:t>
            </w:r>
          </w:p>
          <w:p>
            <w:pPr>
              <w:spacing w:after="40" w:before="60" w:line="259" w:lineRule="auto"/>
            </w:pPr>
            <w:r>
              <w:rPr>
                <w:rFonts w:ascii="Calibri" w:hAnsi="Calibri"/>
                <w:b w:val="0"/>
                <w:i w:val="0"/>
                <w:color w:val="212121"/>
                <w:sz w:val="19"/>
              </w:rPr>
              <w:t>Cholesteatoma was the operative finding in essentially all complicated CSOM cases in one surgical series; cholesteatomatous disease was present in ~1.2% of rural South-Indian children overall.</w:t>
            </w:r>
          </w:p>
          <w:p>
            <w:pPr>
              <w:spacing w:after="40" w:line="252" w:lineRule="auto"/>
            </w:pPr>
            <w:hyperlink r:id="rId19">
              <w:r>
                <w:rPr>
                  <w:rFonts w:ascii="Calibri" w:hAnsi="Calibri" w:cs="Calibri"/>
                  <w:sz w:val="18"/>
                  <w:color w:val="1155CC"/>
                  <w:u w:val="single"/>
                </w:rPr>
                <w:t xml:space="preserve">pubmed.ncbi.nlm.nih.gov/25513869 — complications of CSOM</w:t>
              </w:r>
            </w:hyperlink>
          </w:p>
          <w:p>
            <w:pPr>
              <w:spacing w:before="60" w:after="40"/>
            </w:pPr>
            <w:r>
              <w:rPr>
                <w:rFonts w:ascii="Calibri" w:hAnsi="Calibri"/>
                <w:b w:val="0"/>
                <w:i w:val="0"/>
                <w:color w:val="5A5A5A"/>
                <w:sz w:val="18"/>
              </w:rPr>
              <w:t>#cholesteatoma  #unsafedisease  #boneerosion  #complications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 immunocompromise</w:t>
            </w:r>
          </w:p>
        </w:tc>
        <w:tc>
          <w:tcPr>
            <w:tcW w:type="dxa" w:w="2160"/>
            <w:vAlign w:val="top"/>
          </w:tcPr>
          <w:p>
            <w:pPr>
              <w:spacing w:after="40" w:before="0" w:line="259" w:lineRule="auto"/>
            </w:pPr>
            <w:r>
              <w:rPr>
                <w:rFonts w:ascii="Calibri" w:hAnsi="Calibri"/>
                <w:b w:val="0"/>
                <w:i w:val="0"/>
                <w:color w:val="212121"/>
                <w:sz w:val="19"/>
              </w:rPr>
              <w:t>Diabetics, HIV, immunosuppressed</w:t>
            </w:r>
          </w:p>
        </w:tc>
        <w:tc>
          <w:tcPr>
            <w:tcW w:type="dxa" w:w="4276"/>
            <w:vAlign w:val="top"/>
          </w:tcPr>
          <w:p>
            <w:pPr>
              <w:spacing w:after="60" w:line="259" w:lineRule="auto"/>
            </w:pPr>
            <w:r>
              <w:rPr>
                <w:rFonts w:ascii="Calibri" w:hAnsi="Calibri"/>
                <w:b w:val="0"/>
                <w:i w:val="0"/>
                <w:color w:val="212121"/>
                <w:sz w:val="19"/>
              </w:rPr>
              <w:t>Impaired immunity and microangiopathy predispose to severe, resistant or atypical infection (including a risk of skull-base osteomyelitis / necrotising otitis) and poorer healing.</w:t>
            </w:r>
          </w:p>
          <w:p>
            <w:pPr>
              <w:spacing w:after="40" w:before="60" w:line="259" w:lineRule="auto"/>
            </w:pPr>
            <w:r>
              <w:rPr>
                <w:rFonts w:ascii="Calibri" w:hAnsi="Calibri"/>
                <w:b w:val="0"/>
                <w:i w:val="0"/>
                <w:color w:val="212121"/>
                <w:sz w:val="19"/>
              </w:rPr>
              <w:t>Diabetes and immunocompromise are recognised in clinical practice as risk factors for severe and treatment-refractory ear infection (general clinical statement).</w:t>
            </w:r>
          </w:p>
          <w:p>
            <w:pPr>
              <w:spacing w:before="60" w:after="40"/>
            </w:pPr>
            <w:r>
              <w:rPr>
                <w:rFonts w:ascii="Calibri" w:hAnsi="Calibri"/>
                <w:b w:val="0"/>
                <w:i w:val="0"/>
                <w:color w:val="5A5A5A"/>
                <w:sz w:val="18"/>
              </w:rPr>
              <w:t>#diabetes  #immunocompromise  #resistantinfection  #necrotisingotitis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direct causal role in CSOM; any benefit is indirect, through general health and immunity. Swimming/diving, however, is a specific provoking exposure for water entry through a perforation.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Under-nutrition and micronutrient deficiency (vitamin A, zinc, iron) and short breastfeeding impair mucosal immunity and raise otitis-media risk; adequate nutrition and ≥6 months of breastfeeding are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little direct role in CSOM causation, though otalgia and discharge disturb sleep during exacerbations and chronic hearing loss can impair rest and daytime functioning.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tobacco smoke, and household biomass smoke, irritate the middle-ear/Eustachian-tube mucosa and increase otitis-media risk (tobacco OR ~1.51; wood-smoke OR ~1.85).</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association with CSOM; heavy alcohol use may impair immunity and general health but is not an established driver of chronic ear disease.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CSOM-related hearing loss carries social stigma and can impair communication, schooling and quality of life; the relationship is a consequence rather than a cause of disease.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Entry of contaminated water through the perforation is a leading provoking factor for reactivation of discharge (Pseudomonas-rich); strict dry-ear precautions are central to control.</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CSOM; not a relevant risk or protective factor.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Poor aural and general hygiene, unsafe ear-cleaning and inadequate hand/nasal hygiene promote infection and reactivation; keeping the ear clean and dry is a cornerstone of management.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Upper-respiratory infections, entry of water/swimming, and ear trauma (buds, hairpins, oils) are the main triggers of acute exacerbations of otorrhoea in an established CSOM ear.</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Feeding an infant supine (lying flat) or bottle-propping refluxes milk toward the Eustachian tube and predisposes to middle-ear infection; upright feeding is advised. Otherwise posture has little role in adults.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Dry-ear precaution during bathing/swimming</w:t>
            </w:r>
          </w:p>
        </w:tc>
        <w:tc>
          <w:tcPr>
            <w:tcW w:type="dxa" w:w="1655"/>
            <w:vAlign w:val="top"/>
          </w:tcPr>
          <w:p>
            <w:pPr>
              <w:spacing w:after="40" w:before="0" w:line="259" w:lineRule="auto"/>
            </w:pPr>
            <w:r>
              <w:rPr>
                <w:rFonts w:ascii="Calibri" w:hAnsi="Calibri"/>
                <w:b w:val="0"/>
                <w:i w:val="0"/>
                <w:color w:val="212121"/>
                <w:sz w:val="19"/>
              </w:rPr>
              <w:t>All CSOM patients</w:t>
            </w:r>
          </w:p>
        </w:tc>
        <w:tc>
          <w:tcPr>
            <w:tcW w:type="dxa" w:w="1512"/>
            <w:vAlign w:val="top"/>
          </w:tcPr>
          <w:p>
            <w:pPr>
              <w:spacing w:after="40" w:before="0" w:line="259" w:lineRule="auto"/>
            </w:pPr>
            <w:r>
              <w:rPr>
                <w:rFonts w:ascii="Calibri" w:hAnsi="Calibri"/>
                <w:b w:val="0"/>
                <w:i w:val="0"/>
                <w:color w:val="212121"/>
                <w:sz w:val="19"/>
              </w:rPr>
              <w:t>Ear kept dry (cotton with petroleum jelly / ear-plug; no swimming while discharging)</w:t>
            </w:r>
          </w:p>
        </w:tc>
        <w:tc>
          <w:tcPr>
            <w:tcW w:type="dxa" w:w="1512"/>
            <w:vAlign w:val="top"/>
          </w:tcPr>
          <w:p>
            <w:pPr>
              <w:spacing w:after="40" w:before="0" w:line="259" w:lineRule="auto"/>
            </w:pPr>
            <w:r>
              <w:rPr>
                <w:rFonts w:ascii="Calibri" w:hAnsi="Calibri"/>
                <w:b w:val="0"/>
                <w:i w:val="0"/>
                <w:color w:val="212121"/>
                <w:sz w:val="19"/>
              </w:rPr>
              <w:t>Water entry through perforation; unprotected swimming/diving</w:t>
            </w:r>
          </w:p>
        </w:tc>
        <w:tc>
          <w:tcPr>
            <w:tcW w:type="dxa" w:w="1468"/>
            <w:vAlign w:val="top"/>
          </w:tcPr>
          <w:p>
            <w:pPr>
              <w:spacing w:after="60" w:line="259" w:lineRule="auto"/>
            </w:pPr>
            <w:r>
              <w:rPr>
                <w:rFonts w:ascii="Calibri" w:hAnsi="Calibri"/>
                <w:b w:val="0"/>
                <w:i w:val="0"/>
                <w:color w:val="212121"/>
                <w:sz w:val="19"/>
              </w:rPr>
              <w:t>Water entry reactivates discharge, classically with Pseudomonas</w:t>
            </w:r>
          </w:p>
          <w:p>
            <w:pPr>
              <w:spacing w:after="40" w:line="252" w:lineRule="auto"/>
            </w:pPr>
            <w:hyperlink r:id="rId10">
              <w:r>
                <w:rPr>
                  <w:rFonts w:ascii="Calibri" w:hAnsi="Calibri" w:cs="Calibri"/>
                  <w:sz w:val="18"/>
                  <w:color w:val="1155CC"/>
                  <w:u w:val="single"/>
                </w:rPr>
                <w:t xml:space="preserve">https://pubmed.ncbi.nlm.nih.gov/23120410/</w:t>
              </w:r>
            </w:hyperlink>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tobacco-smoke exposure</w:t>
            </w:r>
          </w:p>
        </w:tc>
        <w:tc>
          <w:tcPr>
            <w:tcW w:type="dxa" w:w="1655"/>
            <w:vAlign w:val="top"/>
          </w:tcPr>
          <w:p>
            <w:pPr>
              <w:spacing w:after="40" w:before="0" w:line="259" w:lineRule="auto"/>
            </w:pPr>
            <w:r>
              <w:rPr>
                <w:rFonts w:ascii="Calibri" w:hAnsi="Calibri"/>
                <w:b w:val="0"/>
                <w:i w:val="0"/>
                <w:color w:val="212121"/>
                <w:sz w:val="19"/>
              </w:rPr>
              <w:t>Children &amp; adults with CSOM</w:t>
            </w:r>
          </w:p>
        </w:tc>
        <w:tc>
          <w:tcPr>
            <w:tcW w:type="dxa" w:w="1512"/>
            <w:vAlign w:val="top"/>
          </w:tcPr>
          <w:p>
            <w:pPr>
              <w:spacing w:after="40" w:before="0" w:line="259" w:lineRule="auto"/>
            </w:pPr>
            <w:r>
              <w:rPr>
                <w:rFonts w:ascii="Calibri" w:hAnsi="Calibri"/>
                <w:b w:val="0"/>
                <w:i w:val="0"/>
                <w:color w:val="212121"/>
                <w:sz w:val="19"/>
              </w:rPr>
              <w:t>Zero (smoke-free home)</w:t>
            </w:r>
          </w:p>
        </w:tc>
        <w:tc>
          <w:tcPr>
            <w:tcW w:type="dxa" w:w="1512"/>
            <w:vAlign w:val="top"/>
          </w:tcPr>
          <w:p>
            <w:pPr>
              <w:spacing w:after="40" w:before="0" w:line="259" w:lineRule="auto"/>
            </w:pPr>
            <w:r>
              <w:rPr>
                <w:rFonts w:ascii="Calibri" w:hAnsi="Calibri"/>
                <w:b w:val="0"/>
                <w:i w:val="0"/>
                <w:color w:val="212121"/>
                <w:sz w:val="19"/>
              </w:rPr>
              <w:t>Any household smoker / passive exposure</w:t>
            </w:r>
          </w:p>
        </w:tc>
        <w:tc>
          <w:tcPr>
            <w:tcW w:type="dxa" w:w="1468"/>
            <w:vAlign w:val="top"/>
          </w:tcPr>
          <w:p>
            <w:pPr>
              <w:spacing w:after="60" w:line="259" w:lineRule="auto"/>
            </w:pPr>
            <w:r>
              <w:rPr>
                <w:rFonts w:ascii="Calibri" w:hAnsi="Calibri"/>
                <w:b w:val="0"/>
                <w:i w:val="0"/>
                <w:color w:val="212121"/>
                <w:sz w:val="19"/>
              </w:rPr>
              <w:t>Passive smoke raises otitis-media risk (OR ~1.51)</w:t>
            </w:r>
          </w:p>
          <w:p>
            <w:pPr>
              <w:spacing w:after="40" w:line="252" w:lineRule="auto"/>
            </w:pPr>
            <w:hyperlink r:id="rId16">
              <w:r>
                <w:rPr>
                  <w:rFonts w:ascii="Calibri" w:hAnsi="Calibri" w:cs="Calibri"/>
                  <w:sz w:val="18"/>
                  <w:color w:val="1155CC"/>
                  <w:u w:val="single"/>
                </w:rPr>
                <w:t xml:space="preserve">https://pubmed.ncbi.nlm.nih.gov/15105407/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Indoor biomass (solid-fuel) cooking smoke</w:t>
            </w:r>
          </w:p>
        </w:tc>
        <w:tc>
          <w:tcPr>
            <w:tcW w:type="dxa" w:w="1655"/>
            <w:vAlign w:val="top"/>
          </w:tcPr>
          <w:p>
            <w:pPr>
              <w:spacing w:after="40" w:before="0" w:line="259" w:lineRule="auto"/>
            </w:pPr>
            <w:r>
              <w:rPr>
                <w:rFonts w:ascii="Calibri" w:hAnsi="Calibri"/>
                <w:b w:val="0"/>
                <w:i w:val="0"/>
                <w:color w:val="212121"/>
                <w:sz w:val="19"/>
              </w:rPr>
              <w:t>Rural/low-income households</w:t>
            </w:r>
          </w:p>
        </w:tc>
        <w:tc>
          <w:tcPr>
            <w:tcW w:type="dxa" w:w="1512"/>
            <w:vAlign w:val="top"/>
          </w:tcPr>
          <w:p>
            <w:pPr>
              <w:spacing w:after="40" w:before="0" w:line="259" w:lineRule="auto"/>
            </w:pPr>
            <w:r>
              <w:rPr>
                <w:rFonts w:ascii="Calibri" w:hAnsi="Calibri"/>
                <w:b w:val="0"/>
                <w:i w:val="0"/>
                <w:color w:val="212121"/>
                <w:sz w:val="19"/>
              </w:rPr>
              <w:t>Clean fuel / chimney stove / ventilated kitchen</w:t>
            </w:r>
          </w:p>
        </w:tc>
        <w:tc>
          <w:tcPr>
            <w:tcW w:type="dxa" w:w="1512"/>
            <w:vAlign w:val="top"/>
          </w:tcPr>
          <w:p>
            <w:pPr>
              <w:spacing w:after="40" w:before="0" w:line="259" w:lineRule="auto"/>
            </w:pPr>
            <w:r>
              <w:rPr>
                <w:rFonts w:ascii="Calibri" w:hAnsi="Calibri"/>
                <w:b w:val="0"/>
                <w:i w:val="0"/>
                <w:color w:val="212121"/>
                <w:sz w:val="19"/>
              </w:rPr>
              <w:t>Unvented wood or charcoal cooking smoke</w:t>
            </w:r>
          </w:p>
        </w:tc>
        <w:tc>
          <w:tcPr>
            <w:tcW w:type="dxa" w:w="1468"/>
            <w:vAlign w:val="top"/>
          </w:tcPr>
          <w:p>
            <w:pPr>
              <w:spacing w:after="60" w:line="259" w:lineRule="auto"/>
            </w:pPr>
            <w:r>
              <w:rPr>
                <w:rFonts w:ascii="Calibri" w:hAnsi="Calibri"/>
                <w:b w:val="0"/>
                <w:i w:val="0"/>
                <w:color w:val="212121"/>
                <w:sz w:val="19"/>
              </w:rPr>
              <w:t>Wood-smoke OR ~1.85, charcoal ~1.50 for otitis media</w:t>
            </w:r>
          </w:p>
          <w:p>
            <w:pPr>
              <w:spacing w:after="40" w:line="252" w:lineRule="auto"/>
            </w:pPr>
            <w:hyperlink r:id="rId16">
              <w:r>
                <w:rPr>
                  <w:rFonts w:ascii="Calibri" w:hAnsi="Calibri" w:cs="Calibri"/>
                  <w:sz w:val="18"/>
                  <w:color w:val="1155CC"/>
                  <w:u w:val="single"/>
                </w:rPr>
                <w:t xml:space="preserve">https://pubmed.ncbi.nlm.nih.gov/15105407/</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Ear-cleaning practice</w:t>
            </w:r>
          </w:p>
        </w:tc>
        <w:tc>
          <w:tcPr>
            <w:tcW w:type="dxa" w:w="1655"/>
            <w:vAlign w:val="top"/>
          </w:tcPr>
          <w:p>
            <w:pPr>
              <w:spacing w:after="40" w:before="0" w:line="259" w:lineRule="auto"/>
            </w:pPr>
            <w:r>
              <w:rPr>
                <w:rFonts w:ascii="Calibri" w:hAnsi="Calibri"/>
                <w:b w:val="0"/>
                <w:i w:val="0"/>
                <w:color w:val="212121"/>
                <w:sz w:val="19"/>
              </w:rPr>
              <w:t>Children &amp; adults</w:t>
            </w:r>
          </w:p>
        </w:tc>
        <w:tc>
          <w:tcPr>
            <w:tcW w:type="dxa" w:w="1512"/>
            <w:vAlign w:val="top"/>
          </w:tcPr>
          <w:p>
            <w:pPr>
              <w:spacing w:after="40" w:before="0" w:line="259" w:lineRule="auto"/>
            </w:pPr>
            <w:r>
              <w:rPr>
                <w:rFonts w:ascii="Calibri" w:hAnsi="Calibri"/>
                <w:b w:val="0"/>
                <w:i w:val="0"/>
                <w:color w:val="212121"/>
                <w:sz w:val="19"/>
              </w:rPr>
              <w:t>No insertion of buds/hairpins/oils; clinician-led cleaning</w:t>
            </w:r>
          </w:p>
        </w:tc>
        <w:tc>
          <w:tcPr>
            <w:tcW w:type="dxa" w:w="1512"/>
            <w:vAlign w:val="top"/>
          </w:tcPr>
          <w:p>
            <w:pPr>
              <w:spacing w:after="40" w:before="0" w:line="259" w:lineRule="auto"/>
            </w:pPr>
            <w:r>
              <w:rPr>
                <w:rFonts w:ascii="Calibri" w:hAnsi="Calibri"/>
                <w:b w:val="0"/>
                <w:i w:val="0"/>
                <w:color w:val="212121"/>
                <w:sz w:val="19"/>
              </w:rPr>
              <w:t>Self-instrumentation or traditional drops</w:t>
            </w:r>
          </w:p>
        </w:tc>
        <w:tc>
          <w:tcPr>
            <w:tcW w:type="dxa" w:w="1468"/>
            <w:vAlign w:val="top"/>
          </w:tcPr>
          <w:p>
            <w:pPr>
              <w:spacing w:after="60" w:line="259" w:lineRule="auto"/>
            </w:pPr>
            <w:r>
              <w:rPr>
                <w:rFonts w:ascii="Calibri" w:hAnsi="Calibri"/>
                <w:b w:val="0"/>
                <w:i w:val="0"/>
                <w:color w:val="212121"/>
                <w:sz w:val="19"/>
              </w:rPr>
              <w:t>Ear-cleaning history is an independent predictor of CSOM (7.4%)</w:t>
            </w:r>
          </w:p>
          <w:p>
            <w:pPr>
              <w:spacing w:after="40" w:line="252" w:lineRule="auto"/>
            </w:pPr>
            <w:hyperlink r:id="rId15">
              <w:r>
                <w:rPr>
                  <w:rFonts w:ascii="Calibri" w:hAnsi="Calibri" w:cs="Calibri"/>
                  <w:sz w:val="18"/>
                  <w:color w:val="1155CC"/>
                  <w:u w:val="single"/>
                </w:rPr>
                <w:t xml:space="preserve">https://pubmed.ncbi.nlm.nih.gov/31750215/</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Exclusive breastfeeding duration</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 6 months exclusive</w:t>
            </w:r>
          </w:p>
        </w:tc>
        <w:tc>
          <w:tcPr>
            <w:tcW w:type="dxa" w:w="1512"/>
            <w:vAlign w:val="top"/>
          </w:tcPr>
          <w:p>
            <w:pPr>
              <w:spacing w:after="40" w:before="0" w:line="259" w:lineRule="auto"/>
            </w:pPr>
            <w:r>
              <w:rPr>
                <w:rFonts w:ascii="Calibri" w:hAnsi="Calibri"/>
                <w:b w:val="0"/>
                <w:i w:val="0"/>
                <w:color w:val="212121"/>
                <w:sz w:val="19"/>
              </w:rPr>
              <w:t>&lt; 4 months / not breastfed</w:t>
            </w:r>
          </w:p>
        </w:tc>
        <w:tc>
          <w:tcPr>
            <w:tcW w:type="dxa" w:w="1468"/>
            <w:vAlign w:val="top"/>
          </w:tcPr>
          <w:p>
            <w:pPr>
              <w:spacing w:after="60" w:line="259" w:lineRule="auto"/>
            </w:pPr>
            <w:r>
              <w:rPr>
                <w:rFonts w:ascii="Calibri" w:hAnsi="Calibri"/>
                <w:b w:val="0"/>
                <w:i w:val="0"/>
                <w:color w:val="212121"/>
                <w:sz w:val="19"/>
              </w:rPr>
              <w:t>Short breastfeeding OR ~1.47 for otitis media</w:t>
            </w:r>
          </w:p>
          <w:p>
            <w:pPr>
              <w:spacing w:after="40" w:line="252" w:lineRule="auto"/>
            </w:pPr>
            <w:hyperlink r:id="rId16">
              <w:r>
                <w:rPr>
                  <w:rFonts w:ascii="Calibri" w:hAnsi="Calibri" w:cs="Calibri"/>
                  <w:sz w:val="18"/>
                  <w:color w:val="1155CC"/>
                  <w:u w:val="single"/>
                </w:rPr>
                <w:t xml:space="preserve">https://pubmed.ncbi.nlm.nih.gov/15105407/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Nutritional status (weight/height-for-age)</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Normal for age (no stunting/wasting)</w:t>
            </w:r>
          </w:p>
        </w:tc>
        <w:tc>
          <w:tcPr>
            <w:tcW w:type="dxa" w:w="1512"/>
            <w:vAlign w:val="top"/>
          </w:tcPr>
          <w:p>
            <w:pPr>
              <w:spacing w:after="40" w:before="0" w:line="259" w:lineRule="auto"/>
            </w:pPr>
            <w:r>
              <w:rPr>
                <w:rFonts w:ascii="Calibri" w:hAnsi="Calibri"/>
                <w:b w:val="0"/>
                <w:i w:val="0"/>
                <w:color w:val="212121"/>
                <w:sz w:val="19"/>
              </w:rPr>
              <w:t>Underweight / stunted / micronutrient-deficient</w:t>
            </w:r>
          </w:p>
        </w:tc>
        <w:tc>
          <w:tcPr>
            <w:tcW w:type="dxa" w:w="1468"/>
            <w:vAlign w:val="top"/>
          </w:tcPr>
          <w:p>
            <w:pPr>
              <w:spacing w:after="60" w:line="259" w:lineRule="auto"/>
            </w:pPr>
            <w:r>
              <w:rPr>
                <w:rFonts w:ascii="Calibri" w:hAnsi="Calibri"/>
                <w:b w:val="0"/>
                <w:i w:val="0"/>
                <w:color w:val="212121"/>
                <w:sz w:val="19"/>
              </w:rPr>
              <w:t>Malnutrition impairs mucosal immunity and prolongs disease</w:t>
            </w:r>
          </w:p>
          <w:p>
            <w:pPr>
              <w:spacing w:after="40" w:line="252" w:lineRule="auto"/>
            </w:pPr>
            <w:hyperlink r:id="rId14">
              <w:r>
                <w:rPr>
                  <w:rFonts w:ascii="Calibri" w:hAnsi="Calibri" w:cs="Calibri"/>
                  <w:sz w:val="18"/>
                  <w:color w:val="1155CC"/>
                  <w:u w:val="single"/>
                </w:rPr>
                <w:t xml:space="preserve">https://pubmed.ncbi.nlm.nih.gov/36742467/</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Upper-respiratory-infection episodes per year</w:t>
            </w:r>
          </w:p>
        </w:tc>
        <w:tc>
          <w:tcPr>
            <w:tcW w:type="dxa" w:w="1655"/>
            <w:vAlign w:val="top"/>
          </w:tcPr>
          <w:p>
            <w:pPr>
              <w:spacing w:after="40" w:before="0" w:line="259" w:lineRule="auto"/>
            </w:pPr>
            <w:r>
              <w:rPr>
                <w:rFonts w:ascii="Calibri" w:hAnsi="Calibri"/>
                <w:b w:val="0"/>
                <w:i w:val="0"/>
                <w:color w:val="212121"/>
                <w:sz w:val="19"/>
              </w:rPr>
              <w:t>Children with CSOM</w:t>
            </w:r>
          </w:p>
        </w:tc>
        <w:tc>
          <w:tcPr>
            <w:tcW w:type="dxa" w:w="1512"/>
            <w:vAlign w:val="top"/>
          </w:tcPr>
          <w:p>
            <w:pPr>
              <w:spacing w:after="40" w:before="0" w:line="259" w:lineRule="auto"/>
            </w:pPr>
            <w:r>
              <w:rPr>
                <w:rFonts w:ascii="Calibri" w:hAnsi="Calibri"/>
                <w:b w:val="0"/>
                <w:i w:val="0"/>
                <w:color w:val="212121"/>
                <w:sz w:val="19"/>
              </w:rPr>
              <w:t>≤ 3–4 self-limited colds/year</w:t>
            </w:r>
          </w:p>
        </w:tc>
        <w:tc>
          <w:tcPr>
            <w:tcW w:type="dxa" w:w="1512"/>
            <w:vAlign w:val="top"/>
          </w:tcPr>
          <w:p>
            <w:pPr>
              <w:spacing w:after="40" w:before="0" w:line="259" w:lineRule="auto"/>
            </w:pPr>
            <w:r>
              <w:rPr>
                <w:rFonts w:ascii="Calibri" w:hAnsi="Calibri"/>
                <w:b w:val="0"/>
                <w:i w:val="0"/>
                <w:color w:val="212121"/>
                <w:sz w:val="19"/>
              </w:rPr>
              <w:t>Recurrent/frequent URTIs (≥ 6/year)</w:t>
            </w:r>
          </w:p>
        </w:tc>
        <w:tc>
          <w:tcPr>
            <w:tcW w:type="dxa" w:w="1468"/>
            <w:vAlign w:val="top"/>
          </w:tcPr>
          <w:p>
            <w:pPr>
              <w:spacing w:after="60" w:line="259" w:lineRule="auto"/>
            </w:pPr>
            <w:r>
              <w:rPr>
                <w:rFonts w:ascii="Calibri" w:hAnsi="Calibri"/>
                <w:b w:val="0"/>
                <w:i w:val="0"/>
                <w:color w:val="212121"/>
                <w:sz w:val="19"/>
              </w:rPr>
              <w:t>Recurrent RTI is an independent predictor of CSOM (9.3%)</w:t>
            </w:r>
          </w:p>
          <w:p>
            <w:pPr>
              <w:spacing w:after="40" w:line="252" w:lineRule="auto"/>
            </w:pPr>
            <w:hyperlink r:id="rId15">
              <w:r>
                <w:rPr>
                  <w:rFonts w:ascii="Calibri" w:hAnsi="Calibri" w:cs="Calibri"/>
                  <w:sz w:val="18"/>
                  <w:color w:val="1155CC"/>
                  <w:u w:val="single"/>
                </w:rPr>
                <w:t xml:space="preserve">https://pubmed.ncbi.nlm.nih.gov/31750215/</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Household overcrowding (persons per room)</w:t>
            </w:r>
          </w:p>
        </w:tc>
        <w:tc>
          <w:tcPr>
            <w:tcW w:type="dxa" w:w="1655"/>
            <w:vAlign w:val="top"/>
          </w:tcPr>
          <w:p>
            <w:pPr>
              <w:spacing w:after="40" w:before="0" w:line="259" w:lineRule="auto"/>
            </w:pPr>
            <w:r>
              <w:rPr>
                <w:rFonts w:ascii="Calibri" w:hAnsi="Calibri"/>
                <w:b w:val="0"/>
                <w:i w:val="0"/>
                <w:color w:val="212121"/>
                <w:sz w:val="19"/>
              </w:rPr>
              <w:t>Low-income households</w:t>
            </w:r>
          </w:p>
        </w:tc>
        <w:tc>
          <w:tcPr>
            <w:tcW w:type="dxa" w:w="1512"/>
            <w:vAlign w:val="top"/>
          </w:tcPr>
          <w:p>
            <w:pPr>
              <w:spacing w:after="40" w:before="0" w:line="259" w:lineRule="auto"/>
            </w:pPr>
            <w:r>
              <w:rPr>
                <w:rFonts w:ascii="Calibri" w:hAnsi="Calibri"/>
                <w:b w:val="0"/>
                <w:i w:val="0"/>
                <w:color w:val="212121"/>
                <w:sz w:val="19"/>
              </w:rPr>
              <w:t>&lt; 2 persons/room</w:t>
            </w:r>
          </w:p>
        </w:tc>
        <w:tc>
          <w:tcPr>
            <w:tcW w:type="dxa" w:w="1512"/>
            <w:vAlign w:val="top"/>
          </w:tcPr>
          <w:p>
            <w:pPr>
              <w:spacing w:after="40" w:before="0" w:line="259" w:lineRule="auto"/>
            </w:pPr>
            <w:r>
              <w:rPr>
                <w:rFonts w:ascii="Calibri" w:hAnsi="Calibri"/>
                <w:b w:val="0"/>
                <w:i w:val="0"/>
                <w:color w:val="212121"/>
                <w:sz w:val="19"/>
              </w:rPr>
              <w:t>≥ 3 persons/room (overcrowding)</w:t>
            </w:r>
          </w:p>
        </w:tc>
        <w:tc>
          <w:tcPr>
            <w:tcW w:type="dxa" w:w="1468"/>
            <w:vAlign w:val="top"/>
          </w:tcPr>
          <w:p>
            <w:pPr>
              <w:spacing w:after="60" w:line="259" w:lineRule="auto"/>
            </w:pPr>
            <w:r>
              <w:rPr>
                <w:rFonts w:ascii="Calibri" w:hAnsi="Calibri"/>
                <w:b w:val="0"/>
                <w:i w:val="0"/>
                <w:color w:val="212121"/>
                <w:sz w:val="19"/>
              </w:rPr>
              <w:t>Overcrowding in 61% of CSOM children; OR ~1.49</w:t>
            </w:r>
          </w:p>
          <w:p>
            <w:pPr>
              <w:spacing w:after="40" w:line="252" w:lineRule="auto"/>
            </w:pPr>
            <w:hyperlink r:id="rId15">
              <w:r>
                <w:rPr>
                  <w:rFonts w:ascii="Calibri" w:hAnsi="Calibri" w:cs="Calibri"/>
                  <w:sz w:val="18"/>
                  <w:color w:val="1155CC"/>
                  <w:u w:val="single"/>
                </w:rPr>
                <w:t xml:space="preserve">https://pubmed.ncbi.nlm.nih.gov/31750215/</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Pure-tone average / hearing threshold</w:t>
            </w:r>
          </w:p>
        </w:tc>
        <w:tc>
          <w:tcPr>
            <w:tcW w:type="dxa" w:w="1655"/>
            <w:vAlign w:val="top"/>
          </w:tcPr>
          <w:p>
            <w:pPr>
              <w:spacing w:after="40" w:before="0" w:line="259" w:lineRule="auto"/>
            </w:pPr>
            <w:r>
              <w:rPr>
                <w:rFonts w:ascii="Calibri" w:hAnsi="Calibri"/>
                <w:b w:val="0"/>
                <w:i w:val="0"/>
                <w:color w:val="212121"/>
                <w:sz w:val="19"/>
              </w:rPr>
              <w:t>All CSOM patients</w:t>
            </w:r>
          </w:p>
        </w:tc>
        <w:tc>
          <w:tcPr>
            <w:tcW w:type="dxa" w:w="1512"/>
            <w:vAlign w:val="top"/>
          </w:tcPr>
          <w:p>
            <w:pPr>
              <w:spacing w:after="40" w:before="0" w:line="259" w:lineRule="auto"/>
            </w:pPr>
            <w:r>
              <w:rPr>
                <w:rFonts w:ascii="Calibri" w:hAnsi="Calibri"/>
                <w:b w:val="0"/>
                <w:i w:val="0"/>
                <w:color w:val="212121"/>
                <w:sz w:val="19"/>
              </w:rPr>
              <w:t>≤ 25 dB HL</w:t>
            </w:r>
          </w:p>
        </w:tc>
        <w:tc>
          <w:tcPr>
            <w:tcW w:type="dxa" w:w="1512"/>
            <w:vAlign w:val="top"/>
          </w:tcPr>
          <w:p>
            <w:pPr>
              <w:spacing w:after="40" w:before="0" w:line="259" w:lineRule="auto"/>
            </w:pPr>
            <w:r>
              <w:rPr>
                <w:rFonts w:ascii="Calibri" w:hAnsi="Calibri"/>
                <w:b w:val="0"/>
                <w:i w:val="0"/>
                <w:color w:val="212121"/>
                <w:sz w:val="19"/>
              </w:rPr>
              <w:t>&gt; 25–40 dB HL (disabling hearing loss)</w:t>
            </w:r>
          </w:p>
        </w:tc>
        <w:tc>
          <w:tcPr>
            <w:tcW w:type="dxa" w:w="1468"/>
            <w:vAlign w:val="top"/>
          </w:tcPr>
          <w:p>
            <w:pPr>
              <w:spacing w:after="60" w:line="259" w:lineRule="auto"/>
            </w:pPr>
            <w:r>
              <w:rPr>
                <w:rFonts w:ascii="Calibri" w:hAnsi="Calibri"/>
                <w:b w:val="0"/>
                <w:i w:val="0"/>
                <w:color w:val="212121"/>
                <w:sz w:val="19"/>
              </w:rPr>
              <w:t>Disabling loss (&gt;25–30 dB) affects ~62% of CSOM sufferers globally</w:t>
            </w:r>
          </w:p>
          <w:p>
            <w:pPr>
              <w:spacing w:after="40" w:line="252" w:lineRule="auto"/>
            </w:pPr>
            <w:hyperlink r:id="rId20">
              <w:r>
                <w:rPr>
                  <w:rFonts w:ascii="Calibri" w:hAnsi="Calibri" w:cs="Calibri"/>
                  <w:sz w:val="18"/>
                  <w:color w:val="1155CC"/>
                  <w:u w:val="single"/>
                </w:rPr>
                <w:t xml:space="preserve">https://pubmed.ncbi.nlm.nih.gov/40178730/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Duration of ear discharge (chronicity)</w:t>
            </w:r>
          </w:p>
        </w:tc>
        <w:tc>
          <w:tcPr>
            <w:tcW w:type="dxa" w:w="1655"/>
            <w:vAlign w:val="top"/>
          </w:tcPr>
          <w:p>
            <w:pPr>
              <w:spacing w:after="40" w:before="0" w:line="259" w:lineRule="auto"/>
            </w:pPr>
            <w:r>
              <w:rPr>
                <w:rFonts w:ascii="Calibri" w:hAnsi="Calibri"/>
                <w:b w:val="0"/>
                <w:i w:val="0"/>
                <w:color w:val="212121"/>
                <w:sz w:val="19"/>
              </w:rPr>
              <w:t>Long-standing CSOM</w:t>
            </w:r>
          </w:p>
        </w:tc>
        <w:tc>
          <w:tcPr>
            <w:tcW w:type="dxa" w:w="1512"/>
            <w:vAlign w:val="top"/>
          </w:tcPr>
          <w:p>
            <w:pPr>
              <w:spacing w:after="40" w:before="0" w:line="259" w:lineRule="auto"/>
            </w:pPr>
            <w:r>
              <w:rPr>
                <w:rFonts w:ascii="Calibri" w:hAnsi="Calibri"/>
                <w:b w:val="0"/>
                <w:i w:val="0"/>
                <w:color w:val="212121"/>
                <w:sz w:val="19"/>
              </w:rPr>
              <w:t>Dry, inactive ear</w:t>
            </w:r>
          </w:p>
        </w:tc>
        <w:tc>
          <w:tcPr>
            <w:tcW w:type="dxa" w:w="1512"/>
            <w:vAlign w:val="top"/>
          </w:tcPr>
          <w:p>
            <w:pPr>
              <w:spacing w:after="40" w:before="0" w:line="259" w:lineRule="auto"/>
            </w:pPr>
            <w:r>
              <w:rPr>
                <w:rFonts w:ascii="Calibri" w:hAnsi="Calibri"/>
                <w:b w:val="0"/>
                <w:i w:val="0"/>
                <w:color w:val="212121"/>
                <w:sz w:val="19"/>
              </w:rPr>
              <w:t>Continuous otorrhoea &gt; 5 years</w:t>
            </w:r>
          </w:p>
        </w:tc>
        <w:tc>
          <w:tcPr>
            <w:tcW w:type="dxa" w:w="1468"/>
            <w:vAlign w:val="top"/>
          </w:tcPr>
          <w:p>
            <w:pPr>
              <w:spacing w:after="60" w:line="259" w:lineRule="auto"/>
            </w:pPr>
            <w:r>
              <w:rPr>
                <w:rFonts w:ascii="Calibri" w:hAnsi="Calibri"/>
                <w:b w:val="0"/>
                <w:i w:val="0"/>
                <w:color w:val="212121"/>
                <w:sz w:val="19"/>
              </w:rPr>
              <w:t>Discharge &gt; 5 years linked to SNHL in 71.4% of cases</w:t>
            </w:r>
          </w:p>
          <w:p>
            <w:pPr>
              <w:spacing w:after="40" w:line="252" w:lineRule="auto"/>
            </w:pPr>
            <w:hyperlink r:id="rId11">
              <w:r>
                <w:rPr>
                  <w:rFonts w:ascii="Calibri" w:hAnsi="Calibri" w:cs="Calibri"/>
                  <w:sz w:val="18"/>
                  <w:color w:val="1155CC"/>
                  <w:u w:val="single"/>
                </w:rPr>
                <w:t xml:space="preserve">https://pubmed.ncbi.nlm.nih.gov/32219073/</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Ear-swab culture &amp; antibiotic sensitivity</w:t>
            </w:r>
          </w:p>
        </w:tc>
        <w:tc>
          <w:tcPr>
            <w:tcW w:type="dxa" w:w="892"/>
            <w:vAlign w:val="top"/>
          </w:tcPr>
          <w:p>
            <w:pPr>
              <w:spacing w:after="40" w:before="0" w:line="259" w:lineRule="auto"/>
            </w:pPr>
            <w:r>
              <w:rPr>
                <w:rFonts w:ascii="Calibri" w:hAnsi="Calibri"/>
                <w:b w:val="0"/>
                <w:i w:val="0"/>
                <w:color w:val="212121"/>
                <w:sz w:val="16"/>
              </w:rPr>
              <w:t>Aural swab C/S</w:t>
            </w:r>
          </w:p>
        </w:tc>
        <w:tc>
          <w:tcPr>
            <w:tcW w:type="dxa" w:w="950"/>
            <w:vAlign w:val="top"/>
          </w:tcPr>
          <w:p>
            <w:pPr>
              <w:spacing w:after="40" w:before="0" w:line="259" w:lineRule="auto"/>
            </w:pPr>
            <w:r>
              <w:rPr>
                <w:rFonts w:ascii="Calibri" w:hAnsi="Calibri"/>
                <w:b w:val="0"/>
                <w:i w:val="0"/>
                <w:color w:val="212121"/>
                <w:sz w:val="16"/>
              </w:rPr>
              <w:t>No pathogenic growth / sterile</w:t>
            </w:r>
          </w:p>
        </w:tc>
        <w:tc>
          <w:tcPr>
            <w:tcW w:type="dxa" w:w="950"/>
            <w:vAlign w:val="top"/>
          </w:tcPr>
          <w:p>
            <w:pPr>
              <w:spacing w:after="40" w:before="0" w:line="259" w:lineRule="auto"/>
            </w:pPr>
            <w:r>
              <w:rPr>
                <w:rFonts w:ascii="Calibri" w:hAnsi="Calibri"/>
                <w:b w:val="0"/>
                <w:i w:val="0"/>
                <w:color w:val="212121"/>
                <w:sz w:val="16"/>
              </w:rPr>
              <w:t>Growth of Pseudomonas aeruginosa, S. aureus, Proteus or anaerobes</w:t>
            </w:r>
          </w:p>
        </w:tc>
        <w:tc>
          <w:tcPr>
            <w:tcW w:type="dxa" w:w="1036"/>
            <w:vAlign w:val="top"/>
          </w:tcPr>
          <w:p>
            <w:pPr>
              <w:spacing w:after="40" w:before="0" w:line="259" w:lineRule="auto"/>
            </w:pPr>
            <w:r>
              <w:rPr>
                <w:rFonts w:ascii="Calibri" w:hAnsi="Calibri"/>
                <w:b w:val="0"/>
                <w:i w:val="0"/>
                <w:color w:val="212121"/>
                <w:sz w:val="16"/>
              </w:rPr>
              <w:t>Identifies causative organism and guides topical/systemic therapy in an era of resistance</w:t>
            </w:r>
          </w:p>
        </w:tc>
        <w:tc>
          <w:tcPr>
            <w:tcW w:type="dxa" w:w="1036"/>
            <w:vAlign w:val="top"/>
          </w:tcPr>
          <w:p>
            <w:pPr>
              <w:spacing w:after="40" w:before="0" w:line="259" w:lineRule="auto"/>
            </w:pPr>
            <w:r>
              <w:rPr>
                <w:rFonts w:ascii="Calibri" w:hAnsi="Calibri"/>
                <w:b w:val="0"/>
                <w:i w:val="0"/>
                <w:color w:val="212121"/>
                <w:sz w:val="16"/>
              </w:rPr>
              <w:t>Active discharging CSOM, refractory or complicated cases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Diagnostic / therapeutic</w:t>
            </w:r>
          </w:p>
        </w:tc>
        <w:tc>
          <w:tcPr>
            <w:tcW w:type="dxa" w:w="720"/>
            <w:vAlign w:val="top"/>
          </w:tcPr>
          <w:p>
            <w:pPr>
              <w:spacing w:after="40" w:before="0" w:line="259" w:lineRule="auto"/>
            </w:pPr>
            <w:r>
              <w:rPr>
                <w:rFonts w:ascii="Calibri" w:hAnsi="Calibri"/>
                <w:b w:val="0"/>
                <w:i w:val="0"/>
                <w:color w:val="212121"/>
                <w:sz w:val="16"/>
              </w:rPr>
              <w:t>Pseudomonas (up to ~64%) and S. aureus are the commonest isolates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Otologic / audiology</w:t>
            </w:r>
          </w:p>
        </w:tc>
        <w:tc>
          <w:tcPr>
            <w:tcW w:type="dxa" w:w="1036"/>
            <w:vAlign w:val="top"/>
          </w:tcPr>
          <w:p>
            <w:pPr>
              <w:spacing w:after="40" w:before="0" w:line="259" w:lineRule="auto"/>
            </w:pPr>
            <w:r>
              <w:rPr>
                <w:rFonts w:ascii="Calibri" w:hAnsi="Calibri"/>
                <w:b w:val="0"/>
                <w:i w:val="0"/>
                <w:color w:val="212121"/>
                <w:sz w:val="16"/>
              </w:rPr>
              <w:t>Air–bone gap &amp; pure-tone average</w:t>
            </w:r>
          </w:p>
        </w:tc>
        <w:tc>
          <w:tcPr>
            <w:tcW w:type="dxa" w:w="892"/>
            <w:vAlign w:val="top"/>
          </w:tcPr>
          <w:p>
            <w:pPr>
              <w:spacing w:after="40" w:before="0" w:line="259" w:lineRule="auto"/>
            </w:pPr>
            <w:r>
              <w:rPr>
                <w:rFonts w:ascii="Calibri" w:hAnsi="Calibri"/>
                <w:b w:val="0"/>
                <w:i w:val="0"/>
                <w:color w:val="212121"/>
                <w:sz w:val="16"/>
              </w:rPr>
              <w:t>Pure-tone audiometry (PTA)</w:t>
            </w:r>
          </w:p>
        </w:tc>
        <w:tc>
          <w:tcPr>
            <w:tcW w:type="dxa" w:w="950"/>
            <w:vAlign w:val="top"/>
          </w:tcPr>
          <w:p>
            <w:pPr>
              <w:spacing w:after="40" w:before="0" w:line="259" w:lineRule="auto"/>
            </w:pPr>
            <w:r>
              <w:rPr>
                <w:rFonts w:ascii="Calibri" w:hAnsi="Calibri"/>
                <w:b w:val="0"/>
                <w:i w:val="0"/>
                <w:color w:val="212121"/>
                <w:sz w:val="16"/>
              </w:rPr>
              <w:t>≤ 25 dB HL, no significant air–bone gap</w:t>
            </w:r>
          </w:p>
        </w:tc>
        <w:tc>
          <w:tcPr>
            <w:tcW w:type="dxa" w:w="950"/>
            <w:vAlign w:val="top"/>
          </w:tcPr>
          <w:p>
            <w:pPr>
              <w:spacing w:after="40" w:before="0" w:line="259" w:lineRule="auto"/>
            </w:pPr>
            <w:r>
              <w:rPr>
                <w:rFonts w:ascii="Calibri" w:hAnsi="Calibri"/>
                <w:b w:val="0"/>
                <w:i w:val="0"/>
                <w:color w:val="212121"/>
                <w:sz w:val="16"/>
              </w:rPr>
              <w:t>Conductive loss (air–bone gap) or mixed/sensorineural loss</w:t>
            </w:r>
          </w:p>
        </w:tc>
        <w:tc>
          <w:tcPr>
            <w:tcW w:type="dxa" w:w="1036"/>
            <w:vAlign w:val="top"/>
          </w:tcPr>
          <w:p>
            <w:pPr>
              <w:spacing w:after="40" w:before="0" w:line="259" w:lineRule="auto"/>
            </w:pPr>
            <w:r>
              <w:rPr>
                <w:rFonts w:ascii="Calibri" w:hAnsi="Calibri"/>
                <w:b w:val="0"/>
                <w:i w:val="0"/>
                <w:color w:val="212121"/>
                <w:sz w:val="16"/>
              </w:rPr>
              <w:t>Quantifies and characterises hearing loss; detects a sensorineural component in long-standing disease</w:t>
            </w:r>
          </w:p>
        </w:tc>
        <w:tc>
          <w:tcPr>
            <w:tcW w:type="dxa" w:w="1036"/>
            <w:vAlign w:val="top"/>
          </w:tcPr>
          <w:p>
            <w:pPr>
              <w:spacing w:after="40" w:before="0" w:line="259" w:lineRule="auto"/>
            </w:pPr>
            <w:r>
              <w:rPr>
                <w:rFonts w:ascii="Calibri" w:hAnsi="Calibri"/>
                <w:b w:val="0"/>
                <w:i w:val="0"/>
                <w:color w:val="212121"/>
                <w:sz w:val="16"/>
              </w:rPr>
              <w:t>All CSOM patients, pre-operative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SNHL in up to 71.4% when discharge exceeds 5 years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Otologic</w:t>
            </w:r>
          </w:p>
        </w:tc>
        <w:tc>
          <w:tcPr>
            <w:tcW w:type="dxa" w:w="1036"/>
            <w:vAlign w:val="top"/>
          </w:tcPr>
          <w:p>
            <w:pPr>
              <w:spacing w:after="40" w:before="0" w:line="259" w:lineRule="auto"/>
            </w:pPr>
            <w:r>
              <w:rPr>
                <w:rFonts w:ascii="Calibri" w:hAnsi="Calibri"/>
                <w:b w:val="0"/>
                <w:i w:val="0"/>
                <w:color w:val="212121"/>
                <w:sz w:val="16"/>
              </w:rPr>
              <w:t>Middle-ear/canal status</w:t>
            </w:r>
          </w:p>
        </w:tc>
        <w:tc>
          <w:tcPr>
            <w:tcW w:type="dxa" w:w="892"/>
            <w:vAlign w:val="top"/>
          </w:tcPr>
          <w:p>
            <w:pPr>
              <w:spacing w:after="40" w:before="0" w:line="259" w:lineRule="auto"/>
            </w:pPr>
            <w:r>
              <w:rPr>
                <w:rFonts w:ascii="Calibri" w:hAnsi="Calibri"/>
                <w:b w:val="0"/>
                <w:i w:val="0"/>
                <w:color w:val="212121"/>
                <w:sz w:val="16"/>
              </w:rPr>
              <w:t>Tympanometry &amp; ear-canal volume</w:t>
            </w:r>
          </w:p>
        </w:tc>
        <w:tc>
          <w:tcPr>
            <w:tcW w:type="dxa" w:w="950"/>
            <w:vAlign w:val="top"/>
          </w:tcPr>
          <w:p>
            <w:pPr>
              <w:spacing w:after="40" w:before="0" w:line="259" w:lineRule="auto"/>
            </w:pPr>
            <w:r>
              <w:rPr>
                <w:rFonts w:ascii="Calibri" w:hAnsi="Calibri"/>
                <w:b w:val="0"/>
                <w:i w:val="0"/>
                <w:color w:val="212121"/>
                <w:sz w:val="16"/>
              </w:rPr>
              <w:t>Type A (intact drum)</w:t>
            </w:r>
          </w:p>
        </w:tc>
        <w:tc>
          <w:tcPr>
            <w:tcW w:type="dxa" w:w="950"/>
            <w:vAlign w:val="top"/>
          </w:tcPr>
          <w:p>
            <w:pPr>
              <w:spacing w:after="40" w:before="0" w:line="259" w:lineRule="auto"/>
            </w:pPr>
            <w:r>
              <w:rPr>
                <w:rFonts w:ascii="Calibri" w:hAnsi="Calibri"/>
                <w:b w:val="0"/>
                <w:i w:val="0"/>
                <w:color w:val="212121"/>
                <w:sz w:val="16"/>
              </w:rPr>
              <w:t>Large canal volume / non-measurable (perforation); Type B with effusion</w:t>
            </w:r>
          </w:p>
        </w:tc>
        <w:tc>
          <w:tcPr>
            <w:tcW w:type="dxa" w:w="1036"/>
            <w:vAlign w:val="top"/>
          </w:tcPr>
          <w:p>
            <w:pPr>
              <w:spacing w:after="40" w:before="0" w:line="259" w:lineRule="auto"/>
            </w:pPr>
            <w:r>
              <w:rPr>
                <w:rFonts w:ascii="Calibri" w:hAnsi="Calibri"/>
                <w:b w:val="0"/>
                <w:i w:val="0"/>
                <w:color w:val="212121"/>
                <w:sz w:val="16"/>
              </w:rPr>
              <w:t>Documents perforation and, post-repair, middle-ear ventilation</w:t>
            </w:r>
          </w:p>
        </w:tc>
        <w:tc>
          <w:tcPr>
            <w:tcW w:type="dxa" w:w="1036"/>
            <w:vAlign w:val="top"/>
          </w:tcPr>
          <w:p>
            <w:pPr>
              <w:spacing w:after="40" w:before="0" w:line="259" w:lineRule="auto"/>
            </w:pPr>
            <w:r>
              <w:rPr>
                <w:rFonts w:ascii="Calibri" w:hAnsi="Calibri"/>
                <w:b w:val="0"/>
                <w:i w:val="0"/>
                <w:color w:val="212121"/>
                <w:sz w:val="16"/>
              </w:rPr>
              <w:t>CSOM with equivocal drum, post-tympanoplasty follow-up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Limited value while the drum is perforated; useful post-operatively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Mastoid pneumatisation, ossicular &amp; bony erosion, cholesteatoma</w:t>
            </w:r>
          </w:p>
        </w:tc>
        <w:tc>
          <w:tcPr>
            <w:tcW w:type="dxa" w:w="892"/>
            <w:vAlign w:val="top"/>
          </w:tcPr>
          <w:p>
            <w:pPr>
              <w:spacing w:after="40" w:before="0" w:line="259" w:lineRule="auto"/>
            </w:pPr>
            <w:r>
              <w:rPr>
                <w:rFonts w:ascii="Calibri" w:hAnsi="Calibri"/>
                <w:b w:val="0"/>
                <w:i w:val="0"/>
                <w:color w:val="212121"/>
                <w:sz w:val="16"/>
              </w:rPr>
              <w:t>HRCT temporal bone</w:t>
            </w:r>
          </w:p>
        </w:tc>
        <w:tc>
          <w:tcPr>
            <w:tcW w:type="dxa" w:w="950"/>
            <w:vAlign w:val="top"/>
          </w:tcPr>
          <w:p>
            <w:pPr>
              <w:spacing w:after="40" w:before="0" w:line="259" w:lineRule="auto"/>
            </w:pPr>
            <w:r>
              <w:rPr>
                <w:rFonts w:ascii="Calibri" w:hAnsi="Calibri"/>
                <w:b w:val="0"/>
                <w:i w:val="0"/>
                <w:color w:val="212121"/>
                <w:sz w:val="16"/>
              </w:rPr>
              <w:t>Well-pneumatised mastoid, intact ossicles/scutum</w:t>
            </w:r>
          </w:p>
        </w:tc>
        <w:tc>
          <w:tcPr>
            <w:tcW w:type="dxa" w:w="950"/>
            <w:vAlign w:val="top"/>
          </w:tcPr>
          <w:p>
            <w:pPr>
              <w:spacing w:after="40" w:before="0" w:line="259" w:lineRule="auto"/>
            </w:pPr>
            <w:r>
              <w:rPr>
                <w:rFonts w:ascii="Calibri" w:hAnsi="Calibri"/>
                <w:b w:val="0"/>
                <w:i w:val="0"/>
                <w:color w:val="212121"/>
                <w:sz w:val="16"/>
              </w:rPr>
              <w:t>Soft-tissue in attic/antrum, scutum/ossicular erosion, sclerotic mastoid</w:t>
            </w:r>
          </w:p>
        </w:tc>
        <w:tc>
          <w:tcPr>
            <w:tcW w:type="dxa" w:w="1036"/>
            <w:vAlign w:val="top"/>
          </w:tcPr>
          <w:p>
            <w:pPr>
              <w:spacing w:after="40" w:before="0" w:line="259" w:lineRule="auto"/>
            </w:pPr>
            <w:r>
              <w:rPr>
                <w:rFonts w:ascii="Calibri" w:hAnsi="Calibri"/>
                <w:b w:val="0"/>
                <w:i w:val="0"/>
                <w:color w:val="212121"/>
                <w:sz w:val="16"/>
              </w:rPr>
              <w:t>Defines disease extent, cholesteatoma and complications; maps surgical anatomy</w:t>
            </w:r>
          </w:p>
        </w:tc>
        <w:tc>
          <w:tcPr>
            <w:tcW w:type="dxa" w:w="1036"/>
            <w:vAlign w:val="top"/>
          </w:tcPr>
          <w:p>
            <w:pPr>
              <w:spacing w:after="40" w:before="0" w:line="259" w:lineRule="auto"/>
            </w:pPr>
            <w:r>
              <w:rPr>
                <w:rFonts w:ascii="Calibri" w:hAnsi="Calibri"/>
                <w:b w:val="0"/>
                <w:i w:val="0"/>
                <w:color w:val="212121"/>
                <w:sz w:val="16"/>
              </w:rPr>
              <w:t>Atticoantral/unsafe disease, suspected complication, surgical planning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(unsafe disease)</w:t>
            </w:r>
          </w:p>
        </w:tc>
        <w:tc>
          <w:tcPr>
            <w:tcW w:type="dxa" w:w="720"/>
            <w:vAlign w:val="top"/>
          </w:tcPr>
          <w:p>
            <w:pPr>
              <w:spacing w:after="40" w:before="0" w:line="259" w:lineRule="auto"/>
            </w:pPr>
            <w:r>
              <w:rPr>
                <w:rFonts w:ascii="Calibri" w:hAnsi="Calibri"/>
                <w:b w:val="0"/>
                <w:i w:val="0"/>
                <w:color w:val="212121"/>
                <w:sz w:val="16"/>
              </w:rPr>
              <w:t>Does not by itself distinguish cholesteatoma from granulation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Residual/recurrent cholesteatoma, intracranial spread</w:t>
            </w:r>
          </w:p>
        </w:tc>
        <w:tc>
          <w:tcPr>
            <w:tcW w:type="dxa" w:w="892"/>
            <w:vAlign w:val="top"/>
          </w:tcPr>
          <w:p>
            <w:pPr>
              <w:spacing w:after="40" w:before="0" w:line="259" w:lineRule="auto"/>
            </w:pPr>
            <w:r>
              <w:rPr>
                <w:rFonts w:ascii="Calibri" w:hAnsi="Calibri"/>
                <w:b w:val="0"/>
                <w:i w:val="0"/>
                <w:color w:val="212121"/>
                <w:sz w:val="16"/>
              </w:rPr>
              <w:t>Diffusion-weighted MRI (non-EPI DWI)</w:t>
            </w:r>
          </w:p>
        </w:tc>
        <w:tc>
          <w:tcPr>
            <w:tcW w:type="dxa" w:w="950"/>
            <w:vAlign w:val="top"/>
          </w:tcPr>
          <w:p>
            <w:pPr>
              <w:spacing w:after="40" w:before="0" w:line="259" w:lineRule="auto"/>
            </w:pPr>
            <w:r>
              <w:rPr>
                <w:rFonts w:ascii="Calibri" w:hAnsi="Calibri"/>
                <w:b w:val="0"/>
                <w:i w:val="0"/>
                <w:color w:val="212121"/>
                <w:sz w:val="16"/>
              </w:rPr>
              <w:t>No restricted diffusion</w:t>
            </w:r>
          </w:p>
        </w:tc>
        <w:tc>
          <w:tcPr>
            <w:tcW w:type="dxa" w:w="950"/>
            <w:vAlign w:val="top"/>
          </w:tcPr>
          <w:p>
            <w:pPr>
              <w:spacing w:after="40" w:before="0" w:line="259" w:lineRule="auto"/>
            </w:pPr>
            <w:r>
              <w:rPr>
                <w:rFonts w:ascii="Calibri" w:hAnsi="Calibri"/>
                <w:b w:val="0"/>
                <w:i w:val="0"/>
                <w:color w:val="212121"/>
                <w:sz w:val="16"/>
              </w:rPr>
              <w:t>Focal restricted diffusion (cholesteatoma); dural/venous or brain involvement</w:t>
            </w:r>
          </w:p>
        </w:tc>
        <w:tc>
          <w:tcPr>
            <w:tcW w:type="dxa" w:w="1036"/>
            <w:vAlign w:val="top"/>
          </w:tcPr>
          <w:p>
            <w:pPr>
              <w:spacing w:after="40" w:before="0" w:line="259" w:lineRule="auto"/>
            </w:pPr>
            <w:r>
              <w:rPr>
                <w:rFonts w:ascii="Calibri" w:hAnsi="Calibri"/>
                <w:b w:val="0"/>
                <w:i w:val="0"/>
                <w:color w:val="212121"/>
                <w:sz w:val="16"/>
              </w:rPr>
              <w:t>Confirms cholesteatoma and detects intracranial complications without a second-look operation</w:t>
            </w:r>
          </w:p>
        </w:tc>
        <w:tc>
          <w:tcPr>
            <w:tcW w:type="dxa" w:w="1036"/>
            <w:vAlign w:val="top"/>
          </w:tcPr>
          <w:p>
            <w:pPr>
              <w:spacing w:after="40" w:before="0" w:line="259" w:lineRule="auto"/>
            </w:pPr>
            <w:r>
              <w:rPr>
                <w:rFonts w:ascii="Calibri" w:hAnsi="Calibri"/>
                <w:b w:val="0"/>
                <w:i w:val="0"/>
                <w:color w:val="212121"/>
                <w:sz w:val="16"/>
              </w:rPr>
              <w:t>Suspected/recurrent cholesteatoma, suspected intracranial complication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Complements HRCT; avoids radiation on follow-up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Total/differential count, ESR, CRP</w:t>
            </w:r>
          </w:p>
        </w:tc>
        <w:tc>
          <w:tcPr>
            <w:tcW w:type="dxa" w:w="892"/>
            <w:vAlign w:val="top"/>
          </w:tcPr>
          <w:p>
            <w:pPr>
              <w:spacing w:after="40" w:before="0" w:line="259" w:lineRule="auto"/>
            </w:pPr>
            <w:r>
              <w:rPr>
                <w:rFonts w:ascii="Calibri" w:hAnsi="Calibri"/>
                <w:b w:val="0"/>
                <w:i w:val="0"/>
                <w:color w:val="212121"/>
                <w:sz w:val="16"/>
              </w:rPr>
              <w:t>CBC &amp; inflammatory markers</w:t>
            </w:r>
          </w:p>
        </w:tc>
        <w:tc>
          <w:tcPr>
            <w:tcW w:type="dxa" w:w="950"/>
            <w:vAlign w:val="top"/>
          </w:tcPr>
          <w:p>
            <w:pPr>
              <w:spacing w:after="40" w:before="0" w:line="259" w:lineRule="auto"/>
            </w:pPr>
            <w:r>
              <w:rPr>
                <w:rFonts w:ascii="Calibri" w:hAnsi="Calibri"/>
                <w:b w:val="0"/>
                <w:i w:val="0"/>
                <w:color w:val="212121"/>
                <w:sz w:val="16"/>
              </w:rPr>
              <w:t>Normal counts and markers</w:t>
            </w:r>
          </w:p>
        </w:tc>
        <w:tc>
          <w:tcPr>
            <w:tcW w:type="dxa" w:w="950"/>
            <w:vAlign w:val="top"/>
          </w:tcPr>
          <w:p>
            <w:pPr>
              <w:spacing w:after="40" w:before="0" w:line="259" w:lineRule="auto"/>
            </w:pPr>
            <w:r>
              <w:rPr>
                <w:rFonts w:ascii="Calibri" w:hAnsi="Calibri"/>
                <w:b w:val="0"/>
                <w:i w:val="0"/>
                <w:color w:val="212121"/>
                <w:sz w:val="16"/>
              </w:rPr>
              <w:t>Leucocytosis / raised ESR–CRP</w:t>
            </w:r>
          </w:p>
        </w:tc>
        <w:tc>
          <w:tcPr>
            <w:tcW w:type="dxa" w:w="1036"/>
            <w:vAlign w:val="top"/>
          </w:tcPr>
          <w:p>
            <w:pPr>
              <w:spacing w:after="40" w:before="0" w:line="259" w:lineRule="auto"/>
            </w:pPr>
            <w:r>
              <w:rPr>
                <w:rFonts w:ascii="Calibri" w:hAnsi="Calibri"/>
                <w:b w:val="0"/>
                <w:i w:val="0"/>
                <w:color w:val="212121"/>
                <w:sz w:val="16"/>
              </w:rPr>
              <w:t>Flags acute exacerbation or a developing complication (mastoiditis, intracranial sepsis)</w:t>
            </w:r>
          </w:p>
        </w:tc>
        <w:tc>
          <w:tcPr>
            <w:tcW w:type="dxa" w:w="1036"/>
            <w:vAlign w:val="top"/>
          </w:tcPr>
          <w:p>
            <w:pPr>
              <w:spacing w:after="40" w:before="0" w:line="259" w:lineRule="auto"/>
            </w:pPr>
            <w:r>
              <w:rPr>
                <w:rFonts w:ascii="Calibri" w:hAnsi="Calibri"/>
                <w:b w:val="0"/>
                <w:i w:val="0"/>
                <w:color w:val="212121"/>
                <w:sz w:val="16"/>
              </w:rPr>
              <w:t>Acutely unwell or complicated CSOM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interpret with clinical picture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Ear discharge (otorrhoea), hearing loss, ear fullness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Persistent/recurrent discharge with reduced hearing</w:t>
            </w:r>
          </w:p>
        </w:tc>
        <w:tc>
          <w:tcPr>
            <w:tcW w:type="dxa" w:w="1036"/>
            <w:vAlign w:val="top"/>
          </w:tcPr>
          <w:p>
            <w:pPr>
              <w:spacing w:after="40" w:before="0" w:line="259" w:lineRule="auto"/>
            </w:pPr>
            <w:r>
              <w:rPr>
                <w:rFonts w:ascii="Calibri" w:hAnsi="Calibri"/>
                <w:b w:val="0"/>
                <w:i w:val="0"/>
                <w:color w:val="212121"/>
                <w:sz w:val="16"/>
              </w:rPr>
              <w:t>Cardinal presentation of CSOM</w:t>
            </w:r>
          </w:p>
        </w:tc>
        <w:tc>
          <w:tcPr>
            <w:tcW w:type="dxa" w:w="1036"/>
            <w:vAlign w:val="top"/>
          </w:tcPr>
          <w:p>
            <w:pPr>
              <w:spacing w:after="40" w:before="0" w:line="259" w:lineRule="auto"/>
            </w:pPr>
            <w:r>
              <w:rPr>
                <w:rFonts w:ascii="Calibri" w:hAnsi="Calibri"/>
                <w:b w:val="0"/>
                <w:i w:val="0"/>
                <w:color w:val="212121"/>
                <w:sz w:val="16"/>
              </w:rPr>
              <w:t>Any patient with a chronically discharging ear</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Duration and recurrence define chronicity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Character of discharge</w:t>
            </w:r>
          </w:p>
        </w:tc>
        <w:tc>
          <w:tcPr>
            <w:tcW w:type="dxa" w:w="979"/>
            <w:vAlign w:val="top"/>
          </w:tcPr>
          <w:p>
            <w:pPr>
              <w:spacing w:after="40" w:before="0" w:line="259" w:lineRule="auto"/>
            </w:pPr>
            <w:r>
              <w:rPr>
                <w:rFonts w:ascii="Calibri" w:hAnsi="Calibri"/>
                <w:b w:val="0"/>
                <w:i w:val="0"/>
                <w:color w:val="212121"/>
                <w:sz w:val="16"/>
              </w:rPr>
              <w:t>Mucoid/profuse vs scanty foul-smelling</w:t>
            </w:r>
          </w:p>
        </w:tc>
        <w:tc>
          <w:tcPr>
            <w:tcW w:type="dxa" w:w="950"/>
            <w:vAlign w:val="top"/>
          </w:tcPr>
          <w:p>
            <w:pPr>
              <w:spacing w:after="40" w:before="0" w:line="259" w:lineRule="auto"/>
            </w:pPr>
            <w:r>
              <w:rPr>
                <w:rFonts w:ascii="Calibri" w:hAnsi="Calibri"/>
                <w:b w:val="0"/>
                <w:i w:val="0"/>
                <w:color w:val="212121"/>
                <w:sz w:val="16"/>
              </w:rPr>
              <w:t>No discharge</w:t>
            </w:r>
          </w:p>
        </w:tc>
        <w:tc>
          <w:tcPr>
            <w:tcW w:type="dxa" w:w="950"/>
            <w:vAlign w:val="top"/>
          </w:tcPr>
          <w:p>
            <w:pPr>
              <w:spacing w:after="40" w:before="0" w:line="259" w:lineRule="auto"/>
            </w:pPr>
            <w:r>
              <w:rPr>
                <w:rFonts w:ascii="Calibri" w:hAnsi="Calibri"/>
                <w:b w:val="0"/>
                <w:i w:val="0"/>
                <w:color w:val="212121"/>
                <w:sz w:val="16"/>
              </w:rPr>
              <w:t>Scanty, foul, blood-stained discharge</w:t>
            </w:r>
          </w:p>
        </w:tc>
        <w:tc>
          <w:tcPr>
            <w:tcW w:type="dxa" w:w="1036"/>
            <w:vAlign w:val="top"/>
          </w:tcPr>
          <w:p>
            <w:pPr>
              <w:spacing w:after="40" w:before="0" w:line="259" w:lineRule="auto"/>
            </w:pPr>
            <w:r>
              <w:rPr>
                <w:rFonts w:ascii="Calibri" w:hAnsi="Calibri"/>
                <w:b w:val="0"/>
                <w:i w:val="0"/>
                <w:color w:val="212121"/>
                <w:sz w:val="16"/>
              </w:rPr>
              <w:t>Foul, scanty discharge suggests cholesteatoma / “unsafe” atticoantral disease</w:t>
            </w:r>
          </w:p>
        </w:tc>
        <w:tc>
          <w:tcPr>
            <w:tcW w:type="dxa" w:w="1036"/>
            <w:vAlign w:val="top"/>
          </w:tcPr>
          <w:p>
            <w:pPr>
              <w:spacing w:after="40" w:before="0" w:line="259" w:lineRule="auto"/>
            </w:pPr>
            <w:r>
              <w:rPr>
                <w:rFonts w:ascii="Calibri" w:hAnsi="Calibri"/>
                <w:b w:val="0"/>
                <w:i w:val="0"/>
                <w:color w:val="212121"/>
                <w:sz w:val="16"/>
              </w:rPr>
              <w:t>Suspected unsafe disease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Profuse mucoid discharge favours safe tubotympanic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Warning symptoms</w:t>
            </w:r>
          </w:p>
        </w:tc>
        <w:tc>
          <w:tcPr>
            <w:tcW w:type="dxa" w:w="979"/>
            <w:vAlign w:val="top"/>
          </w:tcPr>
          <w:p>
            <w:pPr>
              <w:spacing w:after="40" w:before="0" w:line="259" w:lineRule="auto"/>
            </w:pPr>
            <w:r>
              <w:rPr>
                <w:rFonts w:ascii="Calibri" w:hAnsi="Calibri"/>
                <w:b w:val="0"/>
                <w:i w:val="0"/>
                <w:color w:val="212121"/>
                <w:sz w:val="16"/>
              </w:rPr>
              <w:t>Vertigo, facial weakness, severe headache, fever, neck stiffness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Herald impending intracranial/extracranial complications and mandate urgent imaging and admission</w:t>
            </w:r>
          </w:p>
        </w:tc>
        <w:tc>
          <w:tcPr>
            <w:tcW w:type="dxa" w:w="1036"/>
            <w:vAlign w:val="top"/>
          </w:tcPr>
          <w:p>
            <w:pPr>
              <w:spacing w:after="40" w:before="0" w:line="259" w:lineRule="auto"/>
            </w:pPr>
            <w:r>
              <w:rPr>
                <w:rFonts w:ascii="Calibri" w:hAnsi="Calibri"/>
                <w:b w:val="0"/>
                <w:i w:val="0"/>
                <w:color w:val="212121"/>
                <w:sz w:val="16"/>
              </w:rPr>
              <w:t>CSOM with red-flag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 triage</w:t>
            </w:r>
          </w:p>
        </w:tc>
        <w:tc>
          <w:tcPr>
            <w:tcW w:type="dxa" w:w="720"/>
            <w:vAlign w:val="top"/>
          </w:tcPr>
          <w:p>
            <w:pPr>
              <w:spacing w:after="40" w:before="0" w:line="259" w:lineRule="auto"/>
            </w:pPr>
            <w:r>
              <w:rPr>
                <w:rFonts w:ascii="Calibri" w:hAnsi="Calibri"/>
                <w:b w:val="0"/>
                <w:i w:val="0"/>
                <w:color w:val="212121"/>
                <w:sz w:val="16"/>
              </w:rPr>
              <w:t>Never ignore vertigo or facial palsy in a discharging ear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Otoscopy / otomicroscopy</w:t>
            </w:r>
          </w:p>
        </w:tc>
        <w:tc>
          <w:tcPr>
            <w:tcW w:type="dxa" w:w="950"/>
            <w:vAlign w:val="top"/>
          </w:tcPr>
          <w:p>
            <w:pPr>
              <w:spacing w:after="40" w:before="0" w:line="259" w:lineRule="auto"/>
            </w:pPr>
            <w:r>
              <w:rPr>
                <w:rFonts w:ascii="Calibri" w:hAnsi="Calibri"/>
                <w:b w:val="0"/>
                <w:i w:val="0"/>
                <w:color w:val="212121"/>
                <w:sz w:val="16"/>
              </w:rPr>
              <w:t>Drum &amp; middle-ear inspection</w:t>
            </w:r>
          </w:p>
        </w:tc>
        <w:tc>
          <w:tcPr>
            <w:tcW w:type="dxa" w:w="979"/>
            <w:vAlign w:val="top"/>
          </w:tcPr>
          <w:p>
            <w:pPr>
              <w:spacing w:after="40" w:before="0" w:line="259" w:lineRule="auto"/>
            </w:pPr>
            <w:r>
              <w:rPr>
                <w:rFonts w:ascii="Calibri" w:hAnsi="Calibri"/>
                <w:b w:val="0"/>
                <w:i w:val="0"/>
                <w:color w:val="212121"/>
                <w:sz w:val="16"/>
              </w:rPr>
              <w:t>Perforation site, cholesteatoma, granulation/polyp</w:t>
            </w:r>
          </w:p>
        </w:tc>
        <w:tc>
          <w:tcPr>
            <w:tcW w:type="dxa" w:w="950"/>
            <w:vAlign w:val="top"/>
          </w:tcPr>
          <w:p>
            <w:pPr>
              <w:spacing w:after="40" w:before="0" w:line="259" w:lineRule="auto"/>
            </w:pPr>
            <w:r>
              <w:rPr>
                <w:rFonts w:ascii="Calibri" w:hAnsi="Calibri"/>
                <w:b w:val="0"/>
                <w:i w:val="0"/>
                <w:color w:val="212121"/>
                <w:sz w:val="16"/>
              </w:rPr>
              <w:t>Intact drum, no discharge</w:t>
            </w:r>
          </w:p>
        </w:tc>
        <w:tc>
          <w:tcPr>
            <w:tcW w:type="dxa" w:w="950"/>
            <w:vAlign w:val="top"/>
          </w:tcPr>
          <w:p>
            <w:pPr>
              <w:spacing w:after="40" w:before="0" w:line="259" w:lineRule="auto"/>
            </w:pPr>
            <w:r>
              <w:rPr>
                <w:rFonts w:ascii="Calibri" w:hAnsi="Calibri"/>
                <w:b w:val="0"/>
                <w:i w:val="0"/>
                <w:color w:val="212121"/>
                <w:sz w:val="16"/>
              </w:rPr>
              <w:t>Central perforation (safe) vs attic/marginal perforation with keratin debris or granulation (unsafe)</w:t>
            </w:r>
          </w:p>
        </w:tc>
        <w:tc>
          <w:tcPr>
            <w:tcW w:type="dxa" w:w="1036"/>
            <w:vAlign w:val="top"/>
          </w:tcPr>
          <w:p>
            <w:pPr>
              <w:spacing w:after="40" w:before="0" w:line="259" w:lineRule="auto"/>
            </w:pPr>
            <w:r>
              <w:rPr>
                <w:rFonts w:ascii="Calibri" w:hAnsi="Calibri"/>
                <w:b w:val="0"/>
                <w:i w:val="0"/>
                <w:color w:val="212121"/>
                <w:sz w:val="16"/>
              </w:rPr>
              <w:t>Establishes diagnosis and safe-vs-unsafe type</w:t>
            </w:r>
          </w:p>
        </w:tc>
        <w:tc>
          <w:tcPr>
            <w:tcW w:type="dxa" w:w="1036"/>
            <w:vAlign w:val="top"/>
          </w:tcPr>
          <w:p>
            <w:pPr>
              <w:spacing w:after="40" w:before="0" w:line="259" w:lineRule="auto"/>
            </w:pPr>
            <w:r>
              <w:rPr>
                <w:rFonts w:ascii="Calibri" w:hAnsi="Calibri"/>
                <w:b w:val="0"/>
                <w:i w:val="0"/>
                <w:color w:val="212121"/>
                <w:sz w:val="16"/>
              </w:rPr>
              <w:t>All suspected CSOM</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 (key)</w:t>
            </w:r>
          </w:p>
        </w:tc>
        <w:tc>
          <w:tcPr>
            <w:tcW w:type="dxa" w:w="720"/>
            <w:vAlign w:val="top"/>
          </w:tcPr>
          <w:p>
            <w:pPr>
              <w:spacing w:after="40" w:before="0" w:line="259" w:lineRule="auto"/>
            </w:pPr>
            <w:r>
              <w:rPr>
                <w:rFonts w:ascii="Calibri" w:hAnsi="Calibri"/>
                <w:b w:val="0"/>
                <w:i w:val="0"/>
                <w:color w:val="212121"/>
                <w:sz w:val="16"/>
              </w:rPr>
              <w:t>Otomicroscopy/aural toilet improves visualisation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Tuning-fork tests</w:t>
            </w:r>
          </w:p>
        </w:tc>
        <w:tc>
          <w:tcPr>
            <w:tcW w:type="dxa" w:w="950"/>
            <w:vAlign w:val="top"/>
          </w:tcPr>
          <w:p>
            <w:pPr>
              <w:spacing w:after="40" w:before="0" w:line="259" w:lineRule="auto"/>
            </w:pPr>
            <w:r>
              <w:rPr>
                <w:rFonts w:ascii="Calibri" w:hAnsi="Calibri"/>
                <w:b w:val="0"/>
                <w:i w:val="0"/>
                <w:color w:val="212121"/>
                <w:sz w:val="16"/>
              </w:rPr>
              <w:t>Rinne &amp; Weber</w:t>
            </w:r>
          </w:p>
        </w:tc>
        <w:tc>
          <w:tcPr>
            <w:tcW w:type="dxa" w:w="979"/>
            <w:vAlign w:val="top"/>
          </w:tcPr>
          <w:p>
            <w:pPr>
              <w:spacing w:after="40" w:before="0" w:line="259" w:lineRule="auto"/>
            </w:pPr>
            <w:r>
              <w:rPr>
                <w:rFonts w:ascii="Calibri" w:hAnsi="Calibri"/>
                <w:b w:val="0"/>
                <w:i w:val="0"/>
                <w:color w:val="212121"/>
                <w:sz w:val="16"/>
              </w:rPr>
              <w:t>Air vs bone conduction, lateralisation</w:t>
            </w:r>
          </w:p>
        </w:tc>
        <w:tc>
          <w:tcPr>
            <w:tcW w:type="dxa" w:w="950"/>
            <w:vAlign w:val="top"/>
          </w:tcPr>
          <w:p>
            <w:pPr>
              <w:spacing w:after="40" w:before="0" w:line="259" w:lineRule="auto"/>
            </w:pPr>
            <w:r>
              <w:rPr>
                <w:rFonts w:ascii="Calibri" w:hAnsi="Calibri"/>
                <w:b w:val="0"/>
                <w:i w:val="0"/>
                <w:color w:val="212121"/>
                <w:sz w:val="16"/>
              </w:rPr>
              <w:t>Rinne positive, Weber central</w:t>
            </w:r>
          </w:p>
        </w:tc>
        <w:tc>
          <w:tcPr>
            <w:tcW w:type="dxa" w:w="950"/>
            <w:vAlign w:val="top"/>
          </w:tcPr>
          <w:p>
            <w:pPr>
              <w:spacing w:after="40" w:before="0" w:line="259" w:lineRule="auto"/>
            </w:pPr>
            <w:r>
              <w:rPr>
                <w:rFonts w:ascii="Calibri" w:hAnsi="Calibri"/>
                <w:b w:val="0"/>
                <w:i w:val="0"/>
                <w:color w:val="212121"/>
                <w:sz w:val="16"/>
              </w:rPr>
              <w:t>Rinne negative; Weber lateralises to the diseased ear (conductive)</w:t>
            </w:r>
          </w:p>
        </w:tc>
        <w:tc>
          <w:tcPr>
            <w:tcW w:type="dxa" w:w="1036"/>
            <w:vAlign w:val="top"/>
          </w:tcPr>
          <w:p>
            <w:pPr>
              <w:spacing w:after="40" w:before="0" w:line="259" w:lineRule="auto"/>
            </w:pPr>
            <w:r>
              <w:rPr>
                <w:rFonts w:ascii="Calibri" w:hAnsi="Calibri"/>
                <w:b w:val="0"/>
                <w:i w:val="0"/>
                <w:color w:val="212121"/>
                <w:sz w:val="16"/>
              </w:rPr>
              <w:t>Bedside confirmation of conductive loss; a mixed pattern hints at SNHL</w:t>
            </w:r>
          </w:p>
        </w:tc>
        <w:tc>
          <w:tcPr>
            <w:tcW w:type="dxa" w:w="1036"/>
            <w:vAlign w:val="top"/>
          </w:tcPr>
          <w:p>
            <w:pPr>
              <w:spacing w:after="40" w:before="0" w:line="259" w:lineRule="auto"/>
            </w:pPr>
            <w:r>
              <w:rPr>
                <w:rFonts w:ascii="Calibri" w:hAnsi="Calibri"/>
                <w:b w:val="0"/>
                <w:i w:val="0"/>
                <w:color w:val="212121"/>
                <w:sz w:val="16"/>
              </w:rPr>
              <w:t>All CSOM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Confirm with pure-tone audiometry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Focused examination</w:t>
            </w:r>
          </w:p>
        </w:tc>
        <w:tc>
          <w:tcPr>
            <w:tcW w:type="dxa" w:w="950"/>
            <w:vAlign w:val="top"/>
          </w:tcPr>
          <w:p>
            <w:pPr>
              <w:spacing w:after="40" w:before="0" w:line="259" w:lineRule="auto"/>
            </w:pPr>
            <w:r>
              <w:rPr>
                <w:rFonts w:ascii="Calibri" w:hAnsi="Calibri"/>
                <w:b w:val="0"/>
                <w:i w:val="0"/>
                <w:color w:val="212121"/>
                <w:sz w:val="16"/>
              </w:rPr>
              <w:t>Fistula test, facial-nerve &amp; nose/throat exam</w:t>
            </w:r>
          </w:p>
        </w:tc>
        <w:tc>
          <w:tcPr>
            <w:tcW w:type="dxa" w:w="979"/>
            <w:vAlign w:val="top"/>
          </w:tcPr>
          <w:p>
            <w:pPr>
              <w:spacing w:after="40" w:before="0" w:line="259" w:lineRule="auto"/>
            </w:pPr>
            <w:r>
              <w:rPr>
                <w:rFonts w:ascii="Calibri" w:hAnsi="Calibri"/>
                <w:b w:val="0"/>
                <w:i w:val="0"/>
                <w:color w:val="212121"/>
                <w:sz w:val="16"/>
              </w:rPr>
              <w:t>Fistula sign, facial symmetry, adenoid/nasal disease</w:t>
            </w:r>
          </w:p>
        </w:tc>
        <w:tc>
          <w:tcPr>
            <w:tcW w:type="dxa" w:w="950"/>
            <w:vAlign w:val="top"/>
          </w:tcPr>
          <w:p>
            <w:pPr>
              <w:spacing w:after="40" w:before="0" w:line="259" w:lineRule="auto"/>
            </w:pPr>
            <w:r>
              <w:rPr>
                <w:rFonts w:ascii="Calibri" w:hAnsi="Calibri"/>
                <w:b w:val="0"/>
                <w:i w:val="0"/>
                <w:color w:val="212121"/>
                <w:sz w:val="16"/>
              </w:rPr>
              <w:t>Negative fistula, symmetrical face, clear nose</w:t>
            </w:r>
          </w:p>
        </w:tc>
        <w:tc>
          <w:tcPr>
            <w:tcW w:type="dxa" w:w="950"/>
            <w:vAlign w:val="top"/>
          </w:tcPr>
          <w:p>
            <w:pPr>
              <w:spacing w:after="40" w:before="0" w:line="259" w:lineRule="auto"/>
            </w:pPr>
            <w:r>
              <w:rPr>
                <w:rFonts w:ascii="Calibri" w:hAnsi="Calibri"/>
                <w:b w:val="0"/>
                <w:i w:val="0"/>
                <w:color w:val="212121"/>
                <w:sz w:val="16"/>
              </w:rPr>
              <w:t>Positive fistula test, facial palsy, adenoid hypertrophy/allergic rhinitis</w:t>
            </w:r>
          </w:p>
        </w:tc>
        <w:tc>
          <w:tcPr>
            <w:tcW w:type="dxa" w:w="1036"/>
            <w:vAlign w:val="top"/>
          </w:tcPr>
          <w:p>
            <w:pPr>
              <w:spacing w:after="40" w:before="0" w:line="259" w:lineRule="auto"/>
            </w:pPr>
            <w:r>
              <w:rPr>
                <w:rFonts w:ascii="Calibri" w:hAnsi="Calibri"/>
                <w:b w:val="0"/>
                <w:i w:val="0"/>
                <w:color w:val="212121"/>
                <w:sz w:val="16"/>
              </w:rPr>
              <w:t>Detects labyrinthine fistula, facial-nerve involvement and treatable upper-airway infection foci</w:t>
            </w:r>
          </w:p>
        </w:tc>
        <w:tc>
          <w:tcPr>
            <w:tcW w:type="dxa" w:w="1036"/>
            <w:vAlign w:val="top"/>
          </w:tcPr>
          <w:p>
            <w:pPr>
              <w:spacing w:after="40" w:before="0" w:line="259" w:lineRule="auto"/>
            </w:pPr>
            <w:r>
              <w:rPr>
                <w:rFonts w:ascii="Calibri" w:hAnsi="Calibri"/>
                <w:b w:val="0"/>
                <w:i w:val="0"/>
                <w:color w:val="212121"/>
                <w:sz w:val="16"/>
              </w:rPr>
              <w:t>Unsafe disease, complicated CSOM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Positive fistula test indicates lateral semicircular-canal erosion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Ear discharge (otorrhoea)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CSOM — persistent or recurrent, mucoid to purulent; through a permanent perforation.</w:t>
            </w:r>
          </w:p>
        </w:tc>
      </w:tr>
      <w:tr>
        <w:trPr>
          <w:cantSplit/>
        </w:trPr>
        <w:tc>
          <w:tcPr>
            <w:tcW w:type="dxa" w:w="2304"/>
            <w:vAlign w:val="top"/>
          </w:tcPr>
          <w:p>
            <w:pPr>
              <w:spacing w:after="40" w:before="0" w:line="259" w:lineRule="auto"/>
            </w:pPr>
            <w:r>
              <w:rPr>
                <w:rFonts w:ascii="Calibri" w:hAnsi="Calibri"/>
                <w:b/>
                <w:i w:val="0"/>
                <w:color w:val="212121"/>
                <w:sz w:val="19"/>
              </w:rPr>
              <w:t>Hearing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Usually conductive from perforation/ossicular disease; becomes mixed with a sensorineural component in long-standing cases.</w:t>
            </w:r>
          </w:p>
        </w:tc>
      </w:tr>
      <w:tr>
        <w:trPr>
          <w:cantSplit/>
        </w:trPr>
        <w:tc>
          <w:tcPr>
            <w:tcW w:type="dxa" w:w="2304"/>
            <w:vAlign w:val="top"/>
          </w:tcPr>
          <w:p>
            <w:pPr>
              <w:spacing w:after="40" w:before="0" w:line="259" w:lineRule="auto"/>
            </w:pPr>
            <w:r>
              <w:rPr>
                <w:rFonts w:ascii="Calibri" w:hAnsi="Calibri"/>
                <w:b/>
                <w:i w:val="0"/>
                <w:color w:val="212121"/>
                <w:sz w:val="19"/>
              </w:rPr>
              <w:t>Sensation of ear fullness / blockage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Middle-ear disease and debris create a blocked, heavy feeling in the ear.</w:t>
            </w:r>
          </w:p>
        </w:tc>
      </w:tr>
      <w:tr>
        <w:trPr>
          <w:cantSplit/>
        </w:trPr>
        <w:tc>
          <w:tcPr>
            <w:tcW w:type="dxa" w:w="2304"/>
            <w:vAlign w:val="top"/>
          </w:tcPr>
          <w:p>
            <w:pPr>
              <w:spacing w:after="40" w:before="0" w:line="259" w:lineRule="auto"/>
            </w:pPr>
            <w:r>
              <w:rPr>
                <w:rFonts w:ascii="Calibri" w:hAnsi="Calibri"/>
                <w:b/>
                <w:i w:val="0"/>
                <w:color w:val="212121"/>
                <w:sz w:val="19"/>
              </w:rPr>
              <w:t>Foul-smelling (offensive)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Scanty foul discharge classically indicates cholesteatoma / “unsafe” atticoantral disease.</w:t>
            </w:r>
          </w:p>
        </w:tc>
      </w:tr>
      <w:tr>
        <w:trPr>
          <w:cantSplit/>
        </w:trPr>
        <w:tc>
          <w:tcPr>
            <w:tcW w:type="dxa" w:w="2304"/>
            <w:vAlign w:val="top"/>
          </w:tcPr>
          <w:p>
            <w:pPr>
              <w:spacing w:after="40" w:before="0" w:line="259" w:lineRule="auto"/>
            </w:pPr>
            <w:r>
              <w:rPr>
                <w:rFonts w:ascii="Calibri" w:hAnsi="Calibri"/>
                <w:b/>
                <w:i w:val="0"/>
                <w:color w:val="212121"/>
                <w:sz w:val="19"/>
              </w:rPr>
              <w:t>Tinnitus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Ringing/buzzing, often accompanying hearing loss.</w:t>
            </w:r>
          </w:p>
        </w:tc>
      </w:tr>
      <w:tr>
        <w:trPr>
          <w:cantSplit/>
        </w:trPr>
        <w:tc>
          <w:tcPr>
            <w:tcW w:type="dxa" w:w="2304"/>
            <w:vAlign w:val="top"/>
          </w:tcPr>
          <w:p>
            <w:pPr>
              <w:spacing w:after="40" w:before="0" w:line="259" w:lineRule="auto"/>
            </w:pPr>
            <w:r>
              <w:rPr>
                <w:rFonts w:ascii="Calibri" w:hAnsi="Calibri"/>
                <w:b/>
                <w:i w:val="0"/>
                <w:color w:val="212121"/>
                <w:sz w:val="19"/>
              </w:rPr>
              <w:t>Otalgia (ear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Usually mild; significant or new pain suggests acute exacerbation or a developing complication.</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Accompanies acute exacerbation, mastoiditis or an intracranial complication.</w:t>
            </w:r>
          </w:p>
        </w:tc>
      </w:tr>
      <w:tr>
        <w:trPr>
          <w:cantSplit/>
        </w:trPr>
        <w:tc>
          <w:tcPr>
            <w:tcW w:type="dxa" w:w="2304"/>
            <w:vAlign w:val="top"/>
          </w:tcPr>
          <w:p>
            <w:pPr>
              <w:spacing w:after="40" w:before="0" w:line="259" w:lineRule="auto"/>
            </w:pPr>
            <w:r>
              <w:rPr>
                <w:rFonts w:ascii="Calibri" w:hAnsi="Calibri"/>
                <w:b/>
                <w:i w:val="0"/>
                <w:color w:val="212121"/>
                <w:sz w:val="19"/>
              </w:rPr>
              <w:t>Vertigo / imbalance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labyrinthine irritation or a labyrinthine fistula — a warning sign.</w:t>
            </w:r>
          </w:p>
        </w:tc>
      </w:tr>
      <w:tr>
        <w:trPr>
          <w:cantSplit/>
        </w:trPr>
        <w:tc>
          <w:tcPr>
            <w:tcW w:type="dxa" w:w="2304"/>
            <w:vAlign w:val="top"/>
          </w:tcPr>
          <w:p>
            <w:pPr>
              <w:spacing w:after="40" w:before="0" w:line="259" w:lineRule="auto"/>
            </w:pPr>
            <w:r>
              <w:rPr>
                <w:rFonts w:ascii="Calibri" w:hAnsi="Calibri"/>
                <w:b/>
                <w:i w:val="0"/>
                <w:color w:val="212121"/>
                <w:sz w:val="19"/>
              </w:rPr>
              <w:t>Persistent / severe 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 a discharging ear, raises concern for an intracranial complication (abscess, meningitis).</w:t>
            </w:r>
          </w:p>
        </w:tc>
      </w:tr>
      <w:tr>
        <w:trPr>
          <w:cantSplit/>
        </w:trPr>
        <w:tc>
          <w:tcPr>
            <w:tcW w:type="dxa" w:w="2304"/>
            <w:vAlign w:val="top"/>
          </w:tcPr>
          <w:p>
            <w:pPr>
              <w:spacing w:after="40" w:before="0" w:line="259" w:lineRule="auto"/>
            </w:pPr>
            <w:r>
              <w:rPr>
                <w:rFonts w:ascii="Calibri" w:hAnsi="Calibri"/>
                <w:b/>
                <w:i w:val="0"/>
                <w:color w:val="212121"/>
                <w:sz w:val="19"/>
              </w:rPr>
              <w:t>Bleeding from the ear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Usually from granulation tissue or an aural polyp.</w:t>
            </w:r>
          </w:p>
        </w:tc>
      </w:tr>
      <w:tr>
        <w:trPr>
          <w:cantSplit/>
        </w:trPr>
        <w:tc>
          <w:tcPr>
            <w:tcW w:type="dxa" w:w="2304"/>
            <w:vAlign w:val="top"/>
          </w:tcPr>
          <w:p>
            <w:pPr>
              <w:spacing w:after="40" w:before="0" w:line="259" w:lineRule="auto"/>
            </w:pPr>
            <w:r>
              <w:rPr>
                <w:rFonts w:ascii="Calibri" w:hAnsi="Calibri"/>
                <w:b/>
                <w:i w:val="0"/>
                <w:color w:val="212121"/>
                <w:sz w:val="19"/>
              </w:rPr>
              <w:t>Facial asymmetry / weakness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Facial-nerve involvement by disease — a red-flag complication.</w:t>
            </w:r>
          </w:p>
        </w:tc>
      </w:tr>
      <w:tr>
        <w:trPr>
          <w:cantSplit/>
        </w:trPr>
        <w:tc>
          <w:tcPr>
            <w:tcW w:type="dxa" w:w="2304"/>
            <w:vAlign w:val="top"/>
          </w:tcPr>
          <w:p>
            <w:pPr>
              <w:spacing w:after="40" w:before="0" w:line="259" w:lineRule="auto"/>
            </w:pPr>
            <w:r>
              <w:rPr>
                <w:rFonts w:ascii="Calibri" w:hAnsi="Calibri"/>
                <w:b/>
                <w:i w:val="0"/>
                <w:color w:val="212121"/>
                <w:sz w:val="19"/>
              </w:rPr>
              <w:t>Postauricular pain/swelling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mastoiditis or a postauricular (subperiosteal) abscess.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Tympanic-membrane perforation on otoscopy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Central perforation in safe (tubotympanic) disease; attic/marginal perforation in unsafe (atticoantral) disease.</w:t>
            </w:r>
          </w:p>
        </w:tc>
      </w:tr>
      <w:tr>
        <w:trPr>
          <w:cantSplit/>
        </w:trPr>
        <w:tc>
          <w:tcPr>
            <w:tcW w:type="dxa" w:w="3456"/>
            <w:vAlign w:val="top"/>
          </w:tcPr>
          <w:p>
            <w:pPr>
              <w:spacing w:after="40" w:before="0" w:line="259" w:lineRule="auto"/>
            </w:pPr>
            <w:r>
              <w:rPr>
                <w:rFonts w:ascii="Calibri" w:hAnsi="Calibri"/>
                <w:b/>
                <w:i w:val="0"/>
                <w:color w:val="212121"/>
                <w:sz w:val="19"/>
              </w:rPr>
              <w:t>Mucopurulent discharge in the ear canal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Active disease; character (mucoid vs foul) helps classify safe vs unsafe.</w:t>
            </w:r>
          </w:p>
        </w:tc>
      </w:tr>
      <w:tr>
        <w:trPr>
          <w:cantSplit/>
        </w:trPr>
        <w:tc>
          <w:tcPr>
            <w:tcW w:type="dxa" w:w="3456"/>
            <w:vAlign w:val="top"/>
          </w:tcPr>
          <w:p>
            <w:pPr>
              <w:spacing w:after="40" w:before="0" w:line="259" w:lineRule="auto"/>
            </w:pPr>
            <w:r>
              <w:rPr>
                <w:rFonts w:ascii="Calibri" w:hAnsi="Calibri"/>
                <w:b/>
                <w:i w:val="0"/>
                <w:color w:val="212121"/>
                <w:sz w:val="19"/>
              </w:rPr>
              <w:t>Cholesteatoma / keratin debris in the attic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White pearly debris or a retraction pocket — hallmark of unsafe squamous disease.</w:t>
            </w:r>
          </w:p>
        </w:tc>
      </w:tr>
      <w:tr>
        <w:trPr>
          <w:cantSplit/>
        </w:trPr>
        <w:tc>
          <w:tcPr>
            <w:tcW w:type="dxa" w:w="3456"/>
            <w:vAlign w:val="top"/>
          </w:tcPr>
          <w:p>
            <w:pPr>
              <w:spacing w:after="40" w:before="0" w:line="259" w:lineRule="auto"/>
            </w:pPr>
            <w:r>
              <w:rPr>
                <w:rFonts w:ascii="Calibri" w:hAnsi="Calibri"/>
                <w:b/>
                <w:i w:val="0"/>
                <w:color w:val="212121"/>
                <w:sz w:val="19"/>
              </w:rPr>
              <w:t>Granulation tissue / aural polyp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Fleshy tissue or a polyp arising from chronically inflamed middle-ear mucosa; may bleed on touch.</w:t>
            </w:r>
          </w:p>
        </w:tc>
      </w:tr>
      <w:tr>
        <w:trPr>
          <w:cantSplit/>
        </w:trPr>
        <w:tc>
          <w:tcPr>
            <w:tcW w:type="dxa" w:w="3456"/>
            <w:vAlign w:val="top"/>
          </w:tcPr>
          <w:p>
            <w:pPr>
              <w:spacing w:after="40" w:before="0" w:line="259" w:lineRule="auto"/>
            </w:pPr>
            <w:r>
              <w:rPr>
                <w:rFonts w:ascii="Calibri" w:hAnsi="Calibri"/>
                <w:b/>
                <w:i w:val="0"/>
                <w:color w:val="212121"/>
                <w:sz w:val="19"/>
              </w:rPr>
              <w:t>Conductive hearing loss on tuning-fork tests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Rinne negative and Weber lateralising to the affected ear.</w:t>
            </w:r>
          </w:p>
        </w:tc>
      </w:tr>
      <w:tr>
        <w:trPr>
          <w:cantSplit/>
        </w:trPr>
        <w:tc>
          <w:tcPr>
            <w:tcW w:type="dxa" w:w="3456"/>
            <w:vAlign w:val="top"/>
          </w:tcPr>
          <w:p>
            <w:pPr>
              <w:spacing w:after="40" w:before="0" w:line="259" w:lineRule="auto"/>
            </w:pPr>
            <w:r>
              <w:rPr>
                <w:rFonts w:ascii="Calibri" w:hAnsi="Calibri"/>
                <w:b/>
                <w:i w:val="0"/>
                <w:color w:val="212121"/>
                <w:sz w:val="19"/>
              </w:rPr>
              <w:t>Positive fistula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Vertigo/nystagmus on tragal pressure indicates a lateral semicircular-canal (labyrinthine) fistula.</w:t>
            </w:r>
          </w:p>
        </w:tc>
      </w:tr>
      <w:tr>
        <w:trPr>
          <w:cantSplit/>
        </w:trPr>
        <w:tc>
          <w:tcPr>
            <w:tcW w:type="dxa" w:w="3456"/>
            <w:vAlign w:val="top"/>
          </w:tcPr>
          <w:p>
            <w:pPr>
              <w:spacing w:after="40" w:before="0" w:line="259" w:lineRule="auto"/>
            </w:pPr>
            <w:r>
              <w:rPr>
                <w:rFonts w:ascii="Calibri" w:hAnsi="Calibri"/>
                <w:b/>
                <w:i w:val="0"/>
                <w:color w:val="212121"/>
                <w:sz w:val="19"/>
              </w:rPr>
              <w:t>Sagging of the posterosuperior meatal wall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coalescent mastoiditis / subperiosteal spread.</w:t>
            </w:r>
          </w:p>
        </w:tc>
      </w:tr>
      <w:tr>
        <w:trPr>
          <w:cantSplit/>
        </w:trPr>
        <w:tc>
          <w:tcPr>
            <w:tcW w:type="dxa" w:w="3456"/>
            <w:vAlign w:val="top"/>
          </w:tcPr>
          <w:p>
            <w:pPr>
              <w:spacing w:after="40" w:before="0" w:line="259" w:lineRule="auto"/>
            </w:pPr>
            <w:r>
              <w:rPr>
                <w:rFonts w:ascii="Calibri" w:hAnsi="Calibri"/>
                <w:b/>
                <w:i w:val="0"/>
                <w:color w:val="212121"/>
                <w:sz w:val="19"/>
              </w:rPr>
              <w:t>Postauricular fluctuant swelling; pinna pushed forward</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Mastoid (subperiosteal) abscess.</w:t>
            </w:r>
          </w:p>
        </w:tc>
      </w:tr>
      <w:tr>
        <w:trPr>
          <w:cantSplit/>
        </w:trPr>
        <w:tc>
          <w:tcPr>
            <w:tcW w:type="dxa" w:w="3456"/>
            <w:vAlign w:val="top"/>
          </w:tcPr>
          <w:p>
            <w:pPr>
              <w:spacing w:after="40" w:before="0" w:line="259" w:lineRule="auto"/>
            </w:pPr>
            <w:r>
              <w:rPr>
                <w:rFonts w:ascii="Calibri" w:hAnsi="Calibri"/>
                <w:b/>
                <w:i w:val="0"/>
                <w:color w:val="212121"/>
                <w:sz w:val="19"/>
              </w:rPr>
              <w:t>Facial-nerve palsy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House–Brackmann-graded weakness from facial-canal erosion/inflammation.</w:t>
            </w:r>
          </w:p>
        </w:tc>
      </w:tr>
      <w:tr>
        <w:trPr>
          <w:cantSplit/>
        </w:trPr>
        <w:tc>
          <w:tcPr>
            <w:tcW w:type="dxa" w:w="3456"/>
            <w:vAlign w:val="top"/>
          </w:tcPr>
          <w:p>
            <w:pPr>
              <w:spacing w:after="40" w:before="0" w:line="259" w:lineRule="auto"/>
            </w:pPr>
            <w:r>
              <w:rPr>
                <w:rFonts w:ascii="Calibri" w:hAnsi="Calibri"/>
                <w:b/>
                <w:i w:val="0"/>
                <w:color w:val="212121"/>
                <w:sz w:val="19"/>
              </w:rPr>
              <w:t>Neck stiffness / altered sensorium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Signals meningitis or another intracranial complication — an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tympanic-membrane perforation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Conductive hearing loss with ossicular erosion / discontinuity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Tympanosclerosis / myringosclerosis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Aural polyp and granulation tissue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Cholesteatoma formation (unsafe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Retraction pockets / ossicular fixation</w:t>
            </w:r>
          </w:p>
        </w:tc>
        <w:tc>
          <w:tcPr>
            <w:tcW w:type="dxa" w:w="2980"/>
            <w:vAlign w:val="top"/>
          </w:tcPr>
          <w:p>
            <w:pPr>
              <w:spacing w:after="40" w:before="0" w:line="259" w:lineRule="auto"/>
            </w:pPr>
            <w:r>
              <w:rPr>
                <w:rFonts w:ascii="Calibri" w:hAnsi="Calibri"/>
                <w:b w:val="0"/>
                <w:i w:val="0"/>
                <w:color w:val="212121"/>
                <w:sz w:val="19"/>
              </w:rPr>
              <w:t>Direct, largely intratemporal (aural) consequences of the chronic middle-ear infection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coalescent mastoiditis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Labyrinthitis and labyrinthine (semicircular-canal) fistula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Sensorineural / mixed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Facial-nerve palsy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Petrositis (Gradenigo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Postauricular (subperiosteal) and Bezold abscess</w:t>
            </w:r>
          </w:p>
        </w:tc>
        <w:tc>
          <w:tcPr>
            <w:tcW w:type="dxa" w:w="2980"/>
            <w:vAlign w:val="top"/>
          </w:tcPr>
          <w:p>
            <w:pPr>
              <w:spacing w:after="40" w:before="0" w:line="259" w:lineRule="auto"/>
            </w:pPr>
            <w:r>
              <w:rPr>
                <w:rFonts w:ascii="Calibri" w:hAnsi="Calibri"/>
                <w:b w:val="0"/>
                <w:i w:val="0"/>
                <w:color w:val="212121"/>
                <w:sz w:val="19"/>
              </w:rPr>
              <w:t>Regional / extracranial spread beyond the middle-ear cleft; subperiosteal abscess was the commonest extracranial complication (~38.6%) in one complicated-CSOM series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Meningitis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Extradural, subdural and intracranial (temporal-lobe / cerebellar) brain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Lateral (sigmoid) sinus thrombophlebitis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Otitic hydrocephalus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deafness with speech, language, educational and occupational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intracranial sepsis</w:t>
            </w:r>
          </w:p>
        </w:tc>
        <w:tc>
          <w:tcPr>
            <w:tcW w:type="dxa" w:w="2980"/>
            <w:vAlign w:val="top"/>
          </w:tcPr>
          <w:p>
            <w:pPr>
              <w:spacing w:after="40" w:before="0" w:line="259" w:lineRule="auto"/>
            </w:pPr>
            <w:r>
              <w:rPr>
                <w:rFonts w:ascii="Calibri" w:hAnsi="Calibri"/>
                <w:b w:val="0"/>
                <w:i w:val="0"/>
                <w:color w:val="212121"/>
                <w:sz w:val="19"/>
              </w:rPr>
              <w:t>Irreversible, life-threatening intracranial and disabling outcomes; otitis media causes an estimated 21,000 deaths a year worldwide, largely from such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Conductive &amp; sensorineural hearing loss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Near-universal in active disease; a sensorineural component develops with chronicity.</w:t>
            </w:r>
          </w:p>
          <w:p>
            <w:pPr>
              <w:spacing w:after="40" w:before="0" w:line="259" w:lineRule="auto"/>
            </w:pPr>
            <w:r>
              <w:rPr>
                <w:rFonts w:ascii="Calibri" w:hAnsi="Calibri"/>
                <w:b/>
                <w:i w:val="0"/>
                <w:color w:val="212121"/>
                <w:sz w:val="19"/>
              </w:rPr>
              <w:t>SNHL up to 71% (discharge &gt; 5 years)</w:t>
            </w:r>
          </w:p>
        </w:tc>
      </w:tr>
      <w:tr>
        <w:trPr>
          <w:cantSplit/>
        </w:trPr>
        <w:tc>
          <w:tcPr>
            <w:tcW w:type="dxa" w:w="2232"/>
            <w:vAlign w:val="top"/>
          </w:tcPr>
          <w:p>
            <w:pPr>
              <w:spacing w:after="40" w:before="0" w:line="259" w:lineRule="auto"/>
            </w:pPr>
            <w:r>
              <w:rPr>
                <w:rFonts w:ascii="Calibri" w:hAnsi="Calibri"/>
                <w:b/>
                <w:i w:val="0"/>
                <w:color w:val="212121"/>
                <w:sz w:val="19"/>
              </w:rPr>
              <w:t>Cholesteatoma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Defines unsafe disease and drives complications; found in essentially all complicated CSOM cases.</w:t>
            </w:r>
          </w:p>
          <w:p>
            <w:pPr>
              <w:spacing w:after="40" w:before="0" w:line="259" w:lineRule="auto"/>
            </w:pPr>
            <w:r>
              <w:rPr>
                <w:rFonts w:ascii="Calibri" w:hAnsi="Calibri"/>
                <w:b/>
                <w:i w:val="0"/>
                <w:color w:val="212121"/>
                <w:sz w:val="19"/>
              </w:rPr>
              <w:t>~100% of complicated cases</w:t>
            </w:r>
          </w:p>
        </w:tc>
      </w:tr>
      <w:tr>
        <w:trPr>
          <w:cantSplit/>
        </w:trPr>
        <w:tc>
          <w:tcPr>
            <w:tcW w:type="dxa" w:w="2232"/>
            <w:vAlign w:val="top"/>
          </w:tcPr>
          <w:p>
            <w:pPr>
              <w:spacing w:after="40" w:before="0" w:line="259" w:lineRule="auto"/>
            </w:pPr>
            <w:r>
              <w:rPr>
                <w:rFonts w:ascii="Calibri" w:hAnsi="Calibri"/>
                <w:b/>
                <w:i w:val="0"/>
                <w:color w:val="212121"/>
                <w:sz w:val="19"/>
              </w:rPr>
              <w:t>Recurrent upper-respiratory-tract infection / adenoid hypertrophy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Nasopharyngeal infection focus that seeds and reactivates middle-ear disease.</w:t>
            </w:r>
          </w:p>
          <w:p>
            <w:pPr>
              <w:spacing w:after="40" w:before="0" w:line="259" w:lineRule="auto"/>
            </w:pPr>
            <w:r>
              <w:rPr>
                <w:rFonts w:ascii="Calibri" w:hAnsi="Calibri"/>
                <w:b/>
                <w:i w:val="0"/>
                <w:color w:val="212121"/>
                <w:sz w:val="19"/>
              </w:rPr>
              <w:t>~9% of children (predictor)</w:t>
            </w:r>
          </w:p>
        </w:tc>
      </w:tr>
      <w:tr>
        <w:trPr>
          <w:cantSplit/>
        </w:trPr>
        <w:tc>
          <w:tcPr>
            <w:tcW w:type="dxa" w:w="2232"/>
            <w:vAlign w:val="top"/>
          </w:tcPr>
          <w:p>
            <w:pPr>
              <w:spacing w:after="40" w:before="0" w:line="259" w:lineRule="auto"/>
            </w:pPr>
            <w:r>
              <w:rPr>
                <w:rFonts w:ascii="Calibri" w:hAnsi="Calibri"/>
                <w:b/>
                <w:i w:val="0"/>
                <w:color w:val="212121"/>
                <w:sz w:val="19"/>
              </w:rPr>
              <w:t>Allergic rhinitis / chronic rhinosinusitis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nasal inflammation obstructs the Eustachian tube and perpetuates middle-ear effusion/infection.</w:t>
            </w:r>
          </w:p>
        </w:tc>
      </w:tr>
      <w:tr>
        <w:trPr>
          <w:cantSplit/>
        </w:trPr>
        <w:tc>
          <w:tcPr>
            <w:tcW w:type="dxa" w:w="2232"/>
            <w:vAlign w:val="top"/>
          </w:tcPr>
          <w:p>
            <w:pPr>
              <w:spacing w:after="40" w:before="0" w:line="259" w:lineRule="auto"/>
            </w:pPr>
            <w:r>
              <w:rPr>
                <w:rFonts w:ascii="Calibri" w:hAnsi="Calibri"/>
                <w:b/>
                <w:i w:val="0"/>
                <w:color w:val="212121"/>
                <w:sz w:val="19"/>
              </w:rPr>
              <w:t>Chronic tonsillitis / deviated nasal septum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Additional upper-airway foci of infection and obstruction contributing to Eustachian-tube dysfunction.</w:t>
            </w:r>
          </w:p>
        </w:tc>
      </w:tr>
      <w:tr>
        <w:trPr>
          <w:cantSplit/>
        </w:trPr>
        <w:tc>
          <w:tcPr>
            <w:tcW w:type="dxa" w:w="2232"/>
            <w:vAlign w:val="top"/>
          </w:tcPr>
          <w:p>
            <w:pPr>
              <w:spacing w:after="40" w:before="0" w:line="259" w:lineRule="auto"/>
            </w:pPr>
            <w:r>
              <w:rPr>
                <w:rFonts w:ascii="Calibri" w:hAnsi="Calibri"/>
                <w:b/>
                <w:i w:val="0"/>
                <w:color w:val="212121"/>
                <w:sz w:val="19"/>
              </w:rPr>
              <w:t>Malnutrition / 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affected low-income children; impairs mucosal immunity and healing.</w:t>
            </w:r>
          </w:p>
        </w:tc>
      </w:tr>
      <w:tr>
        <w:trPr>
          <w:cantSplit/>
        </w:trPr>
        <w:tc>
          <w:tcPr>
            <w:tcW w:type="dxa" w:w="2232"/>
            <w:vAlign w:val="top"/>
          </w:tcPr>
          <w:p>
            <w:pPr>
              <w:spacing w:after="40" w:before="0" w:line="259" w:lineRule="auto"/>
            </w:pPr>
            <w:r>
              <w:rPr>
                <w:rFonts w:ascii="Calibri" w:hAnsi="Calibri"/>
                <w:b/>
                <w:i w:val="0"/>
                <w:color w:val="212121"/>
                <w:sz w:val="19"/>
              </w:rPr>
              <w:t>Diabetes mellitus / immunocompromise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Predisposes to severe, resistant infection and a risk of skull-base (necrotising) otitis.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every episode of acute otitis media and upper-respiratory infection promptly and completely to prevent a persistent perforation.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affected ear strictly dry: avoid swimming/diving while discharging and plug the ear with cotton smeared in petroleum jelly during bathing.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insert cotton buds, hairpins, feathers or pour oils/traditional drops into the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danger signs — vertigo, facial weakness, severe headache, fever or neck stiffness — and seek urgent ENT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an ENT review for any ear that discharges for more than 2 weeks or recurs, and complete prescribed topical/oral antibiotic courses.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“unsafe” (attic) disease and cholesteatoma need surgery, not just drops, to prevent serious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urban-slum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 discharging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screening programmes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aural toilet (microsuction/mopping) and use prescribed antibiotic–steroid ear drops correctly.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follow-up and audiometry so that hearing loss and any sensorineural progression are tracked.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Accept timely tympanoplasty/mastoidectomy when advised for unsafe disease or a non-healing perforation.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and maintain a hearing aid, and enrol children in speech/education support where hearing is affected.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medical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hearing loss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fitness and good nutrition to support immunity and resistance to 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swimming, diving and head-under-water activities while the ear is discharging or perforated.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well-fitted ear protection (moulded plugs) for water activities once cleared by an ENT surgeon.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forceful nose-blowing and high-pressure activities during an upper-respiratory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young adults with CSOM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discharging ears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 exclusively for the first 6 months and continue thereafter, feeding the baby held upright rather than lying flat.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balanced diet adequate in protein, vitamin A, zinc and iron to support mucosal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undernutrition in children as part of preventing and controlling chronic ear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bottle-propping and supine feeding, which reflux milk toward the Eustachian tube.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&amp;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during acute exacerbations to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and manage ear pain so that sleep is not disrupted during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nasal blockage/allergic rhinitis before bedtime to reduce Eustachian-tube dysfunction and disturbed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during acute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nasal allergy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home and car completely smoke-free — eliminate all passive tobacco-smoke exposure for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from wood/charcoal (biomass) cooking to clean fuel (LPG) or use a ventilated chimney stove.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kitchen ventilation to cut indoor smoke exposure in solid-fuel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tobacco-cessation support to household members who smoke.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smoking/biomass homes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solid-fuel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smokers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to avoid immune impairment and neglected ear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particularly where diabetes or immunocompromise coexists.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let intoxication delay attention to danger signs of a discharging ear.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CSOM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Diabetic/immunocompromised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stigma and social isolation that hearing loss can cause, especially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communication strategies, hearing aids and rehabilitation to reduce disability and 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affected children for learning and language difficulties and arrange educational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families that timely treatment restores hearing and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long-standing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Families/caregivers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hand and respiratory hygiene to reduce the colds that trigger middle-ear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ear clean and dry; have wax and debris removed by a clinician rather than self-cleaning.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household overcrowding where possible and ventilate living spaces.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Promptly treat nasal, sinus and throat infections that act as reservoirs for middle-ear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Crowded/low-income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recurrent URTI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CSOM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7206774/" TargetMode="External"/><Relationship Id="rId10" Type="http://schemas.openxmlformats.org/officeDocument/2006/relationships/hyperlink" Target="https://pubmed.ncbi.nlm.nih.gov/23120410/" TargetMode="External"/><Relationship Id="rId11" Type="http://schemas.openxmlformats.org/officeDocument/2006/relationships/hyperlink" Target="https://pubmed.ncbi.nlm.nih.gov/32219073/" TargetMode="External"/><Relationship Id="rId12" Type="http://schemas.openxmlformats.org/officeDocument/2006/relationships/hyperlink" Target="https://pubmed.ncbi.nlm.nih.gov/17666139/" TargetMode="External"/><Relationship Id="rId13" Type="http://schemas.openxmlformats.org/officeDocument/2006/relationships/hyperlink" Target="https://pubmed.ncbi.nlm.nih.gov/25465454/" TargetMode="External"/><Relationship Id="rId14" Type="http://schemas.openxmlformats.org/officeDocument/2006/relationships/hyperlink" Target="https://pubmed.ncbi.nlm.nih.gov/36742467/" TargetMode="External"/><Relationship Id="rId15" Type="http://schemas.openxmlformats.org/officeDocument/2006/relationships/hyperlink" Target="https://pubmed.ncbi.nlm.nih.gov/31750215/" TargetMode="External"/><Relationship Id="rId16" Type="http://schemas.openxmlformats.org/officeDocument/2006/relationships/hyperlink" Target="https://pubmed.ncbi.nlm.nih.gov/15105407/" TargetMode="External"/><Relationship Id="rId17" Type="http://schemas.openxmlformats.org/officeDocument/2006/relationships/hyperlink" Target="https://pubmed.ncbi.nlm.nih.gov/24974096/" TargetMode="External"/><Relationship Id="rId18" Type="http://schemas.openxmlformats.org/officeDocument/2006/relationships/hyperlink" Target="https://pubmed.ncbi.nlm.nih.gov/37727177/" TargetMode="External"/><Relationship Id="rId19" Type="http://schemas.openxmlformats.org/officeDocument/2006/relationships/hyperlink" Target="https://pubmed.ncbi.nlm.nih.gov/25513869/" TargetMode="External"/><Relationship Id="rId20" Type="http://schemas.openxmlformats.org/officeDocument/2006/relationships/hyperlink" Target="https://pubmed.ncbi.nlm.nih.gov/401787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