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Otitis Externa</w:t>
      </w:r>
    </w:p>
    <w:p>
      <w:pPr>
        <w:spacing w:before="0" w:after="160"/>
      </w:pPr>
      <w:r>
        <w:rPr>
          <w:rFonts w:ascii="Calibri" w:hAnsi="Calibri"/>
          <w:b/>
          <w:i w:val="0"/>
          <w:color w:val="212121"/>
          <w:sz w:val="22"/>
        </w:rPr>
        <w:t xml:space="preserve">AKA </w:t>
      </w:r>
      <w:r>
        <w:rPr>
          <w:rFonts w:ascii="Calibri" w:hAnsi="Calibri"/>
          <w:b w:val="0"/>
          <w:i w:val="0"/>
          <w:color w:val="212121"/>
          <w:sz w:val="22"/>
        </w:rPr>
        <w:t>i.e., Swimmer's ear, External ear infection, Otitis externa (acute / chronic), Otomycosis (fungal otitis externa), 'Kaan mein infection' / ear-canal infection; necrotising (malignant) otitis externa (the severe, invasive form)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Otitis externa is inflammation, infection or both of the external auditory canal, and sometimes the pinna or the outer surface of the tympanic membrane. Most cases are acute diffuse bacterial infections (popularly 'swimmer's ear') caused by Pseudomonas aeruginosa and Staphylococcus aureus after water exposure, humidity or trauma breach the canal's protective, water-repellent cerumen barrier; fungi (chiefly Aspergillus and Candida) cause otomycosis, and dermatologic disease causes an eczematous form. It is defined clinically as acute when it lasts under 6 weeks and chronic when it persists beyond about 3 months, and it ranges from a mild, itchy, self-limiting irritation to necrotising (malignant) otitis externa, a life-threatening skull-base infection of elderly diabetics and immunocompromised patients.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Otitis externa is one of the commonest ear complaints presenting to primary-care and ENT clinics, and India's hot, humid, monsoon-driven climate, widespread swimming and bathing in ponds, rivers and the sea, and traditional ear-cleaning and oil-instillation practices make it especially frequent. Roughly 10% of people develop otitis externa at some point in life and about 95% of episodes are acute; incidence peaks in school-age children and adolescents (about 7-14 years), it is uncommon under 2 years of age, and there is no clear sex predominance. In hot, humid conditions a substantial share of cases are fungal (otomycosis) - fungi, chiefly Aspergillus, cause up to about 10% of otitis externa overall and a higher proportion in tropical regions such as India. US surveillance illustrates both the burden and its climate link: an estimated 2.4 million health-care visits a year (8.1 per 1,000 population), highest in children aged 5-9 (18.6 per 1,000) and 10-14 (15.8 per 1,000), with 44% of visits occurring in June-August and the highest rates in the warm, humid South - a seasonal, humidity-driven pattern mirrored by India's summer and monsoon months.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Acute otitis externa is a clinical diagnosis based on the rapid onset of external-canal inflammation rather than on laboratory tests; the American Academy of Otolaryngology criteria and standard otoscopic findings guide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Rapid onset (generally within 48 hours) over the previous 3 weeks of symptoms of ear-canal inflammation - otalgia (often intense and out of proportion to the visible findings), itching or a sense of fullness, with or without hearing loss and pain on chewing.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Signs of ear-canal inflammation - tenderness of the tragus and/or pain on pulling the pinna (a hallmark that helps distinguish otitis externa from acute otitis media), and/or diffuse oedema and erythema of the canal skin, with or without otorrhoea, canal debris, regional lymphadenopathy, tympanic-membrane erythema or cellulitis of the pinna and adjacent skin.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Otoscopic confirmation of a diffusely swollen, red, often narrowed canal filled with moist debris or discharge; in otomycosis, fluffy white, grey or black fungal hyphae and spores (a 'wet blotting-paper' appearance, or black-headed conidiophores of Aspergillus niger) may be visible.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Distinguishing otitis externa from other causes of otalgia and otorrhoea - acute otitis media with perforation, a localised furuncle, herpes zoster oticus (Ramsay Hunt), chronic suppurative otitis media, referred pain (dental, temporomandibular, pharyngeal) and canal neoplasm.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for modifying factors that change management and prognosis - diabetes mellitus, immunocompromise, a non-intact tympanic membrane or tympanostomy tube, previous ear surgery and prior radiotherapy.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 flags for necrotising (malignant) otitis externa - severe, unremitting, deep and typically nocturnal otalgia out of proportion to the signs, granulation tissue in the floor of the canal at the bony-cartilaginous junction, cranial-nerve palsy (notably the facial nerve) or failure to resolve in an elderly diabetic or immunocompromised patient - warranting urgent imaging (CT/MRI), inflammatory markers and specialist referral.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Otitis externa is classified by duration, anatomical extent, causative organism and underlying cause:</w:t>
      </w:r>
    </w:p>
    <w:p>
      <w:pPr>
        <w:spacing w:before="0" w:after="80"/>
      </w:pPr>
      <w:r>
        <w:rPr>
          <w:rFonts w:ascii="Calibri" w:hAnsi="Calibri"/>
          <w:b w:val="0"/>
          <w:i w:val="0"/>
          <w:color w:val="212121"/>
          <w:sz w:val="21"/>
        </w:rPr>
        <w:t>(1) Acute diffuse otitis externa ('swimmer's ear') - the commonest form (lasting under 6 weeks), a diffuse bacterial infection of the canal skin, most often due to Pseudomonas aeruginosa and Staphylococcus aureus, precipitated by water exposure, humidity and minor trauma.</w:t>
      </w:r>
    </w:p>
    <w:p>
      <w:pPr>
        <w:spacing w:before="0" w:after="80"/>
      </w:pPr>
      <w:r>
        <w:rPr>
          <w:rFonts w:ascii="Calibri" w:hAnsi="Calibri"/>
          <w:b w:val="0"/>
          <w:i w:val="0"/>
          <w:color w:val="212121"/>
          <w:sz w:val="21"/>
        </w:rPr>
        <w:t>(2) Acute localised otitis externa (furunculosis) - a furuncle or abscess of a hair follicle in the outer cartilaginous canal, typically caused by Staphylococcus aureus, presenting as a well-localised, very painful swelling that may point and discharge.</w:t>
      </w:r>
    </w:p>
    <w:p>
      <w:pPr>
        <w:spacing w:before="0" w:after="80"/>
      </w:pPr>
      <w:r>
        <w:rPr>
          <w:rFonts w:ascii="Calibri" w:hAnsi="Calibri"/>
          <w:b w:val="0"/>
          <w:i w:val="0"/>
          <w:color w:val="212121"/>
          <w:sz w:val="21"/>
        </w:rPr>
        <w:t>(3) Otomycosis (fungal otitis externa) - infection by fungi, chiefly Aspergillus (especially A. niger) and Candida; common in hot, humid climates and after prolonged topical antibiotic or steroid use, producing intense itching, blocked ear and characteristic fungal debris.</w:t>
      </w:r>
    </w:p>
    <w:p>
      <w:pPr>
        <w:spacing w:before="0" w:after="80"/>
      </w:pPr>
      <w:r>
        <w:rPr>
          <w:rFonts w:ascii="Calibri" w:hAnsi="Calibri"/>
          <w:b w:val="0"/>
          <w:i w:val="0"/>
          <w:color w:val="212121"/>
          <w:sz w:val="21"/>
        </w:rPr>
        <w:t>(4) Eczematous (eczematoid) otitis externa - a predominantly non-infective, itchy inflammation associated with dermatologic disease of the canal such as atopic dermatitis, psoriasis, seborrhoeic dermatitis and allergic or irritant contact dermatitis (for example to nickel, cosmetics or neomycin drops), and prone to secondary infection.</w:t>
      </w:r>
    </w:p>
    <w:p>
      <w:pPr>
        <w:spacing w:before="0" w:after="80"/>
      </w:pPr>
      <w:r>
        <w:rPr>
          <w:rFonts w:ascii="Calibri" w:hAnsi="Calibri"/>
          <w:b w:val="0"/>
          <w:i w:val="0"/>
          <w:color w:val="212121"/>
          <w:sz w:val="21"/>
        </w:rPr>
        <w:t>(5) Chronic otitis externa - inflammation lasting more than about 3 months or frequently recurring, often from persistent low-grade infection, unresolved dermatitis or repeated trauma, leading to thickened skin, canal narrowing (stenosis) and troublesome itching.</w:t>
      </w:r>
    </w:p>
    <w:p>
      <w:pPr>
        <w:spacing w:before="0" w:after="80"/>
      </w:pPr>
      <w:r>
        <w:rPr>
          <w:rFonts w:ascii="Calibri" w:hAnsi="Calibri"/>
          <w:b w:val="0"/>
          <w:i w:val="0"/>
          <w:color w:val="212121"/>
          <w:sz w:val="21"/>
        </w:rPr>
        <w:t>(6) Necrotising (malignant) otitis externa - an invasive, potentially life-threatening infection (usually Pseudomonas aeruginosa) that spreads from the canal into the temporal bone and skull base, occurring almost exclusively in elderly diabetics and immunocompromised patients and causing skull-base osteomyelitis and cranial-nerve palsies.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Bacterial infection: The commonest cause once the canal barrier is breached - Pseudomonas aeruginosa (about 41% of cases) and Staphylococcus aureus (about 15%) predominate, with other Gram-negative and anaerobic organisms less often.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Loss of protective cerumen and a moist, alkaline canal: Water exposure and over-cleaning wash away acidic, water-repellent wax, raising canal pH and humidity so that bacteria and fungi flourish.</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Mechanical trauma: Cotton buds, hairpins, matchsticks, fingernails, hearing aids and in-ear earphones abrade the thin canal skin and provide an entry point for infection.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Warm, humid environment and water exposure: Swimming, bathing, sweating and tropical or monsoon humidity keep the canal wet and macerated; swimmers have roughly five times the risk of non-swimmers.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Fungal infection (otomycosis): Aspergillus and Candida colonise the warm, moist canal, especially in humid climates and after prolonged topical antibiotic or corticosteroid drops that disturb the normal flora.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Dermatologic disease: Atopic dermatitis, psoriasis, seborrhoeic dermatitis and allergic contact sensitivity (e.g., to nickel, cosmetics or neomycin) inflame the canal skin and predispose to eczematous and secondary infective otitis externa.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Host and anatomical factors: Diabetes mellitus and immunocompromise (the key risk factors for necrotising otitis externa), narrow or hairy canals, cerumen obstruction, hearing-aid or earplug use and previous radiotherapy impair canal clearance and local defence.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and adolescents (school-age, ~7-14 years)</w:t>
            </w:r>
          </w:p>
        </w:tc>
        <w:tc>
          <w:tcPr>
            <w:tcW w:type="dxa" w:w="4276"/>
            <w:vAlign w:val="top"/>
          </w:tcPr>
          <w:p>
            <w:pPr>
              <w:spacing w:after="60" w:line="259" w:lineRule="auto"/>
            </w:pPr>
            <w:r>
              <w:rPr>
                <w:rFonts w:ascii="Calibri" w:hAnsi="Calibri"/>
                <w:b w:val="0"/>
                <w:i w:val="0"/>
                <w:color w:val="212121"/>
                <w:sz w:val="19"/>
              </w:rPr>
              <w:t>Incidence peaks in childhood and adolescence, when swimming, water play and narrow canals combine with frequent minor trauma; otitis externa is uncommon under 2 years of age.</w:t>
            </w:r>
          </w:p>
          <w:p>
            <w:pPr>
              <w:spacing w:after="40" w:before="60" w:line="259" w:lineRule="auto"/>
            </w:pPr>
            <w:r>
              <w:rPr>
                <w:rFonts w:ascii="Calibri" w:hAnsi="Calibri"/>
                <w:b w:val="0"/>
                <w:i w:val="0"/>
                <w:color w:val="212121"/>
                <w:sz w:val="19"/>
              </w:rPr>
              <w:t>US surveillance shows the highest rates in children aged 5-9 (18.6 per 1,000) and 10-14 (15.8 per 1,000); incidence peaks around ages 7-14.</w:t>
            </w:r>
          </w:p>
          <w:p>
            <w:pPr>
              <w:spacing w:after="40" w:line="252" w:lineRule="auto"/>
            </w:pPr>
            <w:hyperlink r:id="rId9">
              <w:r>
                <w:rPr>
                  <w:rFonts w:ascii="Calibri" w:hAnsi="Calibri" w:cs="Calibri"/>
                  <w:sz w:val="18"/>
                  <w:color w:val="1155CC"/>
                  <w:u w:val="single"/>
                </w:rPr>
                <w:t xml:space="preserve">cdc.gov (MMWR) - estimated burden of acute otitis externa</w:t>
              </w:r>
            </w:hyperlink>
          </w:p>
          <w:p>
            <w:pPr>
              <w:spacing w:before="60" w:after="40"/>
            </w:pPr>
            <w:r>
              <w:rPr>
                <w:rFonts w:ascii="Calibri" w:hAnsi="Calibri"/>
                <w:b w:val="0"/>
                <w:i w:val="0"/>
                <w:color w:val="5A5A5A"/>
                <w:sz w:val="18"/>
              </w:rPr>
              <w:t>#swimmersear  #children  #schoolage  #watersports  #peakincidence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Working-age adults are exposed through swimming, gym and pool use, earphone/hearing-aid wear and habitual ear-cleaning; although rates are highest in children, most absolute visits are by adults.</w:t>
            </w:r>
          </w:p>
          <w:p>
            <w:pPr>
              <w:spacing w:after="40" w:before="60" w:line="259" w:lineRule="auto"/>
            </w:pPr>
            <w:r>
              <w:rPr>
                <w:rFonts w:ascii="Calibri" w:hAnsi="Calibri"/>
                <w:b w:val="0"/>
                <w:i w:val="0"/>
                <w:color w:val="212121"/>
                <w:sz w:val="19"/>
              </w:rPr>
              <w:t>53% of otitis-externa visits occur in adults aged 20 and older, at about 5.3 per 1,000 population.</w:t>
            </w:r>
          </w:p>
          <w:p>
            <w:pPr>
              <w:spacing w:after="40" w:line="252" w:lineRule="auto"/>
            </w:pPr>
            <w:hyperlink r:id="rId9">
              <w:r>
                <w:rPr>
                  <w:rFonts w:ascii="Calibri" w:hAnsi="Calibri" w:cs="Calibri"/>
                  <w:sz w:val="18"/>
                  <w:color w:val="1155CC"/>
                  <w:u w:val="single"/>
                </w:rPr>
                <w:t xml:space="preserve">cdc.gov (MMWR) - age distribution of AOE visits</w:t>
              </w:r>
            </w:hyperlink>
          </w:p>
          <w:p>
            <w:pPr>
              <w:spacing w:before="60" w:after="40"/>
            </w:pPr>
            <w:r>
              <w:rPr>
                <w:rFonts w:ascii="Calibri" w:hAnsi="Calibri"/>
                <w:b w:val="0"/>
                <w:i w:val="0"/>
                <w:color w:val="5A5A5A"/>
                <w:sz w:val="18"/>
              </w:rPr>
              <w:t>#adults  #earbuds  #poolgoers  #urbanindia  #occupational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 especially poorly controlled diabetics and the immunocompromised - are the group at risk of necrotising (malignant) otitis externa, an invasive Pseudomonas infection that spreads to the temporal bone and skull base.</w:t>
            </w:r>
          </w:p>
          <w:p>
            <w:pPr>
              <w:spacing w:after="40" w:before="60" w:line="259" w:lineRule="auto"/>
            </w:pPr>
            <w:r>
              <w:rPr>
                <w:rFonts w:ascii="Calibri" w:hAnsi="Calibri"/>
                <w:b w:val="0"/>
                <w:i w:val="0"/>
                <w:color w:val="212121"/>
                <w:sz w:val="19"/>
              </w:rPr>
              <w:t>Malignant otitis externa is a recognised complication in this group and can progress to temporal-bone osteomyelitis and cranial-nerve palsy.</w:t>
            </w:r>
          </w:p>
          <w:p>
            <w:pPr>
              <w:spacing w:after="40" w:line="252" w:lineRule="auto"/>
            </w:pPr>
            <w:hyperlink r:id="rId10">
              <w:r>
                <w:rPr>
                  <w:rFonts w:ascii="Calibri" w:hAnsi="Calibri" w:cs="Calibri"/>
                  <w:sz w:val="18"/>
                  <w:color w:val="1155CC"/>
                  <w:u w:val="single"/>
                </w:rPr>
                <w:t xml:space="preserve">dermnetnz.org - otitis externa (complications)</w:t>
              </w:r>
            </w:hyperlink>
          </w:p>
          <w:p>
            <w:pPr>
              <w:spacing w:before="60" w:after="40"/>
            </w:pPr>
            <w:r>
              <w:rPr>
                <w:rFonts w:ascii="Calibri" w:hAnsi="Calibri"/>
                <w:b w:val="0"/>
                <w:i w:val="0"/>
                <w:color w:val="5A5A5A"/>
                <w:sz w:val="18"/>
              </w:rPr>
              <w:t>#elderly  #malignantOE  #diabetes  #osteomyelitis  #skullbase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(slight male exposure excess)</w:t>
            </w:r>
          </w:p>
        </w:tc>
        <w:tc>
          <w:tcPr>
            <w:tcW w:type="dxa" w:w="4276"/>
            <w:vAlign w:val="top"/>
          </w:tcPr>
          <w:p>
            <w:pPr>
              <w:spacing w:after="60" w:line="259" w:lineRule="auto"/>
            </w:pPr>
            <w:r>
              <w:rPr>
                <w:rFonts w:ascii="Calibri" w:hAnsi="Calibri"/>
                <w:b w:val="0"/>
                <w:i w:val="0"/>
                <w:color w:val="212121"/>
                <w:sz w:val="19"/>
              </w:rPr>
              <w:t>Otitis externa affects men and women similarly; any small male excess reflects greater occupational and recreational water, heat and dust exposure rather than an intrinsic predisposition.</w:t>
            </w:r>
          </w:p>
          <w:p>
            <w:pPr>
              <w:spacing w:after="40" w:before="60" w:line="259" w:lineRule="auto"/>
            </w:pPr>
            <w:r>
              <w:rPr>
                <w:rFonts w:ascii="Calibri" w:hAnsi="Calibri"/>
                <w:b w:val="0"/>
                <w:i w:val="0"/>
                <w:color w:val="212121"/>
                <w:sz w:val="19"/>
              </w:rPr>
              <w:t>There is no clear sex predominance in otitis externa.</w:t>
            </w:r>
          </w:p>
          <w:p>
            <w:pPr>
              <w:spacing w:after="40" w:line="252" w:lineRule="auto"/>
            </w:pPr>
            <w:hyperlink r:id="rId11">
              <w:r>
                <w:rPr>
                  <w:rFonts w:ascii="Calibri" w:hAnsi="Calibri" w:cs="Calibri"/>
                  <w:sz w:val="18"/>
                  <w:color w:val="1155CC"/>
                  <w:u w:val="single"/>
                </w:rPr>
                <w:t xml:space="preserve">ncbi.nlm.nih.gov - Otitis Externa (StatPearls)</w:t>
              </w:r>
            </w:hyperlink>
          </w:p>
          <w:p>
            <w:pPr>
              <w:spacing w:before="60" w:after="40"/>
            </w:pPr>
            <w:r>
              <w:rPr>
                <w:rFonts w:ascii="Calibri" w:hAnsi="Calibri"/>
                <w:b w:val="0"/>
                <w:i w:val="0"/>
                <w:color w:val="5A5A5A"/>
                <w:sz w:val="18"/>
              </w:rPr>
              <w:t>#nosexbias  #exposure  #occupational  #swimmers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humid and crowded settings</w:t>
            </w:r>
          </w:p>
        </w:tc>
        <w:tc>
          <w:tcPr>
            <w:tcW w:type="dxa" w:w="4276"/>
            <w:vAlign w:val="top"/>
          </w:tcPr>
          <w:p>
            <w:pPr>
              <w:spacing w:after="60" w:line="259" w:lineRule="auto"/>
            </w:pPr>
            <w:r>
              <w:rPr>
                <w:rFonts w:ascii="Calibri" w:hAnsi="Calibri"/>
                <w:b w:val="0"/>
                <w:i w:val="0"/>
                <w:color w:val="212121"/>
                <w:sz w:val="19"/>
              </w:rPr>
              <w:t>Limited access to safe ear care encourages reliance on unregulated street ear-cleaners (kaan-saaf-wala) and self-instrumentation, while pond/river bathing, shared water and crowded, humid housing raise exposure and delay treatment.</w:t>
            </w:r>
          </w:p>
          <w:p>
            <w:pPr>
              <w:spacing w:after="40" w:before="60" w:line="259" w:lineRule="auto"/>
            </w:pPr>
            <w:r>
              <w:rPr>
                <w:rFonts w:ascii="Calibri" w:hAnsi="Calibri"/>
                <w:b w:val="0"/>
                <w:i w:val="0"/>
                <w:color w:val="212121"/>
                <w:sz w:val="19"/>
              </w:rPr>
              <w:t>Poor access to trained ear care and unsafe self-cleaning are recognised, modifiable contributors to external-ear infection, though precise India-wide figures are limited.</w:t>
            </w:r>
          </w:p>
          <w:p>
            <w:pPr>
              <w:spacing w:before="60" w:after="40"/>
            </w:pPr>
            <w:r>
              <w:rPr>
                <w:rFonts w:ascii="Calibri" w:hAnsi="Calibri"/>
                <w:b w:val="0"/>
                <w:i w:val="0"/>
                <w:color w:val="5A5A5A"/>
                <w:sz w:val="18"/>
              </w:rPr>
              <w:t>#accesstocare  #earcleaners  #pondbathing  #humidhousing  #selfinstrumentation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climate (India)</w:t>
            </w:r>
          </w:p>
        </w:tc>
        <w:tc>
          <w:tcPr>
            <w:tcW w:type="dxa" w:w="2160"/>
            <w:vAlign w:val="top"/>
          </w:tcPr>
          <w:p>
            <w:pPr>
              <w:spacing w:after="40" w:before="0" w:line="259" w:lineRule="auto"/>
            </w:pPr>
            <w:r>
              <w:rPr>
                <w:rFonts w:ascii="Calibri" w:hAnsi="Calibri"/>
                <w:b w:val="0"/>
                <w:i w:val="0"/>
                <w:color w:val="212121"/>
                <w:sz w:val="19"/>
              </w:rPr>
              <w:t>Coastal and humid tropical regions</w:t>
            </w:r>
          </w:p>
        </w:tc>
        <w:tc>
          <w:tcPr>
            <w:tcW w:type="dxa" w:w="4276"/>
            <w:vAlign w:val="top"/>
          </w:tcPr>
          <w:p>
            <w:pPr>
              <w:spacing w:after="60" w:line="259" w:lineRule="auto"/>
            </w:pPr>
            <w:r>
              <w:rPr>
                <w:rFonts w:ascii="Calibri" w:hAnsi="Calibri"/>
                <w:b w:val="0"/>
                <w:i w:val="0"/>
                <w:color w:val="212121"/>
                <w:sz w:val="19"/>
              </w:rPr>
              <w:t>Hot, humid coastal and monsoon-belt regions keep the canal warm and moist, favouring both bacterial otitis externa and fungal otomycosis; this is the everyday climatic context across much of India.</w:t>
            </w:r>
          </w:p>
          <w:p>
            <w:pPr>
              <w:spacing w:after="40" w:before="60" w:line="259" w:lineRule="auto"/>
            </w:pPr>
            <w:r>
              <w:rPr>
                <w:rFonts w:ascii="Calibri" w:hAnsi="Calibri"/>
                <w:b w:val="0"/>
                <w:i w:val="0"/>
                <w:color w:val="212121"/>
                <w:sz w:val="19"/>
              </w:rPr>
              <w:t>The majority of cases occur in summer and in humid, tropical climates - conditions typical of India's hot and monsoon months.</w:t>
            </w:r>
          </w:p>
          <w:p>
            <w:pPr>
              <w:spacing w:after="40" w:line="252" w:lineRule="auto"/>
            </w:pPr>
            <w:hyperlink r:id="rId11">
              <w:r>
                <w:rPr>
                  <w:rFonts w:ascii="Calibri" w:hAnsi="Calibri" w:cs="Calibri"/>
                  <w:sz w:val="18"/>
                  <w:color w:val="1155CC"/>
                  <w:u w:val="single"/>
                </w:rPr>
                <w:t xml:space="preserve">ncbi.nlm.nih.gov - Otitis Externa (climate &amp; seasonality)</w:t>
              </w:r>
            </w:hyperlink>
          </w:p>
          <w:p>
            <w:pPr>
              <w:spacing w:before="60" w:after="40"/>
            </w:pPr>
            <w:r>
              <w:rPr>
                <w:rFonts w:ascii="Calibri" w:hAnsi="Calibri"/>
                <w:b w:val="0"/>
                <w:i w:val="0"/>
                <w:color w:val="5A5A5A"/>
                <w:sz w:val="18"/>
              </w:rPr>
              <w:t>#tropical  #humidity  #coastal  #monsoon  #otomycosis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w:t>
            </w:r>
          </w:p>
        </w:tc>
        <w:tc>
          <w:tcPr>
            <w:tcW w:type="dxa" w:w="2160"/>
            <w:vAlign w:val="top"/>
          </w:tcPr>
          <w:p>
            <w:pPr>
              <w:spacing w:after="40" w:before="0" w:line="259" w:lineRule="auto"/>
            </w:pPr>
            <w:r>
              <w:rPr>
                <w:rFonts w:ascii="Calibri" w:hAnsi="Calibri"/>
                <w:b w:val="0"/>
                <w:i w:val="0"/>
                <w:color w:val="212121"/>
                <w:sz w:val="19"/>
              </w:rPr>
              <w:t>Summer and monsoon months</w:t>
            </w:r>
          </w:p>
        </w:tc>
        <w:tc>
          <w:tcPr>
            <w:tcW w:type="dxa" w:w="4276"/>
            <w:vAlign w:val="top"/>
          </w:tcPr>
          <w:p>
            <w:pPr>
              <w:spacing w:after="60" w:line="259" w:lineRule="auto"/>
            </w:pPr>
            <w:r>
              <w:rPr>
                <w:rFonts w:ascii="Calibri" w:hAnsi="Calibri"/>
                <w:b w:val="0"/>
                <w:i w:val="0"/>
                <w:color w:val="212121"/>
                <w:sz w:val="19"/>
              </w:rPr>
              <w:t>Heat, humidity and increased swimming and bathing in the warm season sharply raise incidence, reproducing the strong summer peak seen wherever the climate is warm and wet.</w:t>
            </w:r>
          </w:p>
          <w:p>
            <w:pPr>
              <w:spacing w:after="40" w:before="60" w:line="259" w:lineRule="auto"/>
            </w:pPr>
            <w:r>
              <w:rPr>
                <w:rFonts w:ascii="Calibri" w:hAnsi="Calibri"/>
                <w:b w:val="0"/>
                <w:i w:val="0"/>
                <w:color w:val="212121"/>
                <w:sz w:val="19"/>
              </w:rPr>
              <w:t>44% of US otitis-externa visits occur in June-August, with the highest rates in the warm, humid South (9.1 per 1,000).</w:t>
            </w:r>
          </w:p>
          <w:p>
            <w:pPr>
              <w:spacing w:after="40" w:line="252" w:lineRule="auto"/>
            </w:pPr>
            <w:hyperlink r:id="rId9">
              <w:r>
                <w:rPr>
                  <w:rFonts w:ascii="Calibri" w:hAnsi="Calibri" w:cs="Calibri"/>
                  <w:sz w:val="18"/>
                  <w:color w:val="1155CC"/>
                  <w:u w:val="single"/>
                </w:rPr>
                <w:t xml:space="preserve">cdc.gov (MMWR) - seasonality and regional rates</w:t>
              </w:r>
            </w:hyperlink>
          </w:p>
          <w:p>
            <w:pPr>
              <w:spacing w:before="60" w:after="40"/>
            </w:pPr>
            <w:r>
              <w:rPr>
                <w:rFonts w:ascii="Calibri" w:hAnsi="Calibri"/>
                <w:b w:val="0"/>
                <w:i w:val="0"/>
                <w:color w:val="5A5A5A"/>
                <w:sz w:val="18"/>
              </w:rPr>
              <w:t>#summer  #monsoon  #seasonal  #humidity  #swimming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Swimming and water exposure</w:t>
            </w:r>
          </w:p>
        </w:tc>
        <w:tc>
          <w:tcPr>
            <w:tcW w:type="dxa" w:w="2160"/>
            <w:vAlign w:val="top"/>
          </w:tcPr>
          <w:p>
            <w:pPr>
              <w:spacing w:after="40" w:before="0" w:line="259" w:lineRule="auto"/>
            </w:pPr>
            <w:r>
              <w:rPr>
                <w:rFonts w:ascii="Calibri" w:hAnsi="Calibri"/>
                <w:b w:val="0"/>
                <w:i w:val="0"/>
                <w:color w:val="212121"/>
                <w:sz w:val="19"/>
              </w:rPr>
              <w:t>Swimmers, divers and water-sport participants</w:t>
            </w:r>
          </w:p>
        </w:tc>
        <w:tc>
          <w:tcPr>
            <w:tcW w:type="dxa" w:w="4276"/>
            <w:vAlign w:val="top"/>
          </w:tcPr>
          <w:p>
            <w:pPr>
              <w:spacing w:after="60" w:line="259" w:lineRule="auto"/>
            </w:pPr>
            <w:r>
              <w:rPr>
                <w:rFonts w:ascii="Calibri" w:hAnsi="Calibri"/>
                <w:b w:val="0"/>
                <w:i w:val="0"/>
                <w:color w:val="212121"/>
                <w:sz w:val="19"/>
              </w:rPr>
              <w:t>Repeated water entry macerates the canal skin and washes out protective cerumen, letting bacteria and fungi invade - the mechanism behind the eponym 'swimmer's ear'.</w:t>
            </w:r>
          </w:p>
          <w:p>
            <w:pPr>
              <w:spacing w:after="40" w:before="60" w:line="259" w:lineRule="auto"/>
            </w:pPr>
            <w:r>
              <w:rPr>
                <w:rFonts w:ascii="Calibri" w:hAnsi="Calibri"/>
                <w:b w:val="0"/>
                <w:i w:val="0"/>
                <w:color w:val="212121"/>
                <w:sz w:val="19"/>
              </w:rPr>
              <w:t>Swimming increases the risk of otitis externa about five-fold compared with non-swimmers.</w:t>
            </w:r>
          </w:p>
          <w:p>
            <w:pPr>
              <w:spacing w:after="40" w:line="252" w:lineRule="auto"/>
            </w:pPr>
            <w:hyperlink r:id="rId11">
              <w:r>
                <w:rPr>
                  <w:rFonts w:ascii="Calibri" w:hAnsi="Calibri" w:cs="Calibri"/>
                  <w:sz w:val="18"/>
                  <w:color w:val="1155CC"/>
                  <w:u w:val="single"/>
                </w:rPr>
                <w:t xml:space="preserve">ncbi.nlm.nih.gov - Otitis Externa (risk factors)</w:t>
              </w:r>
            </w:hyperlink>
          </w:p>
          <w:p>
            <w:pPr>
              <w:spacing w:before="60" w:after="40"/>
            </w:pPr>
            <w:r>
              <w:rPr>
                <w:rFonts w:ascii="Calibri" w:hAnsi="Calibri"/>
                <w:b w:val="0"/>
                <w:i w:val="0"/>
                <w:color w:val="5A5A5A"/>
                <w:sz w:val="18"/>
              </w:rPr>
              <w:t>#swimmersear  #watersports  #maceration  #divers  #pool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Ear-cleaning habit</w:t>
            </w:r>
          </w:p>
        </w:tc>
        <w:tc>
          <w:tcPr>
            <w:tcW w:type="dxa" w:w="2160"/>
            <w:vAlign w:val="top"/>
          </w:tcPr>
          <w:p>
            <w:pPr>
              <w:spacing w:after="40" w:before="0" w:line="259" w:lineRule="auto"/>
            </w:pPr>
            <w:r>
              <w:rPr>
                <w:rFonts w:ascii="Calibri" w:hAnsi="Calibri"/>
                <w:b w:val="0"/>
                <w:i w:val="0"/>
                <w:color w:val="212121"/>
                <w:sz w:val="19"/>
              </w:rPr>
              <w:t>Cotton-bud and object users; oil instillation</w:t>
            </w:r>
          </w:p>
        </w:tc>
        <w:tc>
          <w:tcPr>
            <w:tcW w:type="dxa" w:w="4276"/>
            <w:vAlign w:val="top"/>
          </w:tcPr>
          <w:p>
            <w:pPr>
              <w:spacing w:after="60" w:line="259" w:lineRule="auto"/>
            </w:pPr>
            <w:r>
              <w:rPr>
                <w:rFonts w:ascii="Calibri" w:hAnsi="Calibri"/>
                <w:b w:val="0"/>
                <w:i w:val="0"/>
                <w:color w:val="212121"/>
                <w:sz w:val="19"/>
              </w:rPr>
              <w:t>Cotton buds, hairpins, matchsticks and fingernails abrade the canal and remove protective wax, while instilling oils and using shared cleaning tools introduces moisture and organisms - common Indian practices that precipitate infection.</w:t>
            </w:r>
          </w:p>
          <w:p>
            <w:pPr>
              <w:spacing w:after="40" w:before="60" w:line="259" w:lineRule="auto"/>
            </w:pPr>
            <w:r>
              <w:rPr>
                <w:rFonts w:ascii="Calibri" w:hAnsi="Calibri"/>
                <w:b w:val="0"/>
                <w:i w:val="0"/>
                <w:color w:val="212121"/>
                <w:sz w:val="19"/>
              </w:rPr>
              <w:t>Trauma from cotton swabs, hearing aids and other objects is a recognised precipitant that breaches the canal's protective barrier.</w:t>
            </w:r>
          </w:p>
          <w:p>
            <w:pPr>
              <w:spacing w:after="40" w:line="252" w:lineRule="auto"/>
            </w:pPr>
            <w:hyperlink r:id="rId11">
              <w:r>
                <w:rPr>
                  <w:rFonts w:ascii="Calibri" w:hAnsi="Calibri" w:cs="Calibri"/>
                  <w:sz w:val="18"/>
                  <w:color w:val="1155CC"/>
                  <w:u w:val="single"/>
                </w:rPr>
                <w:t xml:space="preserve">ncbi.nlm.nih.gov - Otitis Externa (trauma)</w:t>
              </w:r>
            </w:hyperlink>
          </w:p>
          <w:p>
            <w:pPr>
              <w:spacing w:before="60" w:after="40"/>
            </w:pPr>
            <w:r>
              <w:rPr>
                <w:rFonts w:ascii="Calibri" w:hAnsi="Calibri"/>
                <w:b w:val="0"/>
                <w:i w:val="0"/>
                <w:color w:val="5A5A5A"/>
                <w:sz w:val="18"/>
              </w:rPr>
              <w:t>#cottonbuds  #selfcleaning  #oilinstillation  #trauma  #kaansaafwala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Occlusive device use</w:t>
            </w:r>
          </w:p>
        </w:tc>
        <w:tc>
          <w:tcPr>
            <w:tcW w:type="dxa" w:w="2160"/>
            <w:vAlign w:val="top"/>
          </w:tcPr>
          <w:p>
            <w:pPr>
              <w:spacing w:after="40" w:before="0" w:line="259" w:lineRule="auto"/>
            </w:pPr>
            <w:r>
              <w:rPr>
                <w:rFonts w:ascii="Calibri" w:hAnsi="Calibri"/>
                <w:b w:val="0"/>
                <w:i w:val="0"/>
                <w:color w:val="212121"/>
                <w:sz w:val="19"/>
              </w:rPr>
              <w:t>Hearing-aid, earbud and earplug users</w:t>
            </w:r>
          </w:p>
        </w:tc>
        <w:tc>
          <w:tcPr>
            <w:tcW w:type="dxa" w:w="4276"/>
            <w:vAlign w:val="top"/>
          </w:tcPr>
          <w:p>
            <w:pPr>
              <w:spacing w:after="60" w:line="259" w:lineRule="auto"/>
            </w:pPr>
            <w:r>
              <w:rPr>
                <w:rFonts w:ascii="Calibri" w:hAnsi="Calibri"/>
                <w:b w:val="0"/>
                <w:i w:val="0"/>
                <w:color w:val="212121"/>
                <w:sz w:val="19"/>
              </w:rPr>
              <w:t>Hearing aids, in-ear earphones and earplugs occlude the canal, trap heat and moisture and cause micro-trauma, all of which predispose to otitis externa; prolonged daily earbud use is an increasingly common urban risk.</w:t>
            </w:r>
          </w:p>
          <w:p>
            <w:pPr>
              <w:spacing w:after="40" w:before="60" w:line="259" w:lineRule="auto"/>
            </w:pPr>
            <w:r>
              <w:rPr>
                <w:rFonts w:ascii="Calibri" w:hAnsi="Calibri"/>
                <w:b w:val="0"/>
                <w:i w:val="0"/>
                <w:color w:val="212121"/>
                <w:sz w:val="19"/>
              </w:rPr>
              <w:t>Hearing-aid and earplug use, with the associated occlusion and trauma, are recognised risk factors.</w:t>
            </w:r>
          </w:p>
          <w:p>
            <w:pPr>
              <w:spacing w:after="40" w:line="252" w:lineRule="auto"/>
            </w:pPr>
            <w:hyperlink r:id="rId11">
              <w:r>
                <w:rPr>
                  <w:rFonts w:ascii="Calibri" w:hAnsi="Calibri" w:cs="Calibri"/>
                  <w:sz w:val="18"/>
                  <w:color w:val="1155CC"/>
                  <w:u w:val="single"/>
                </w:rPr>
                <w:t xml:space="preserve">ncbi.nlm.nih.gov - Otitis Externa (predisposing factors)</w:t>
              </w:r>
            </w:hyperlink>
          </w:p>
          <w:p>
            <w:pPr>
              <w:spacing w:before="60" w:after="40"/>
            </w:pPr>
            <w:r>
              <w:rPr>
                <w:rFonts w:ascii="Calibri" w:hAnsi="Calibri"/>
                <w:b w:val="0"/>
                <w:i w:val="0"/>
                <w:color w:val="5A5A5A"/>
                <w:sz w:val="18"/>
              </w:rPr>
              <w:t>#hearingaids  #earbuds  #earplugs  #occlusion  #moisture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 environment</w:t>
            </w:r>
          </w:p>
        </w:tc>
        <w:tc>
          <w:tcPr>
            <w:tcW w:type="dxa" w:w="2160"/>
            <w:vAlign w:val="top"/>
          </w:tcPr>
          <w:p>
            <w:pPr>
              <w:spacing w:after="40" w:before="0" w:line="259" w:lineRule="auto"/>
            </w:pPr>
            <w:r>
              <w:rPr>
                <w:rFonts w:ascii="Calibri" w:hAnsi="Calibri"/>
                <w:b w:val="0"/>
                <w:i w:val="0"/>
                <w:color w:val="212121"/>
                <w:sz w:val="19"/>
              </w:rPr>
              <w:t>Lifeguards, fishermen, swimmers' coaches, hot-humid workers</w:t>
            </w:r>
          </w:p>
        </w:tc>
        <w:tc>
          <w:tcPr>
            <w:tcW w:type="dxa" w:w="4276"/>
            <w:vAlign w:val="top"/>
          </w:tcPr>
          <w:p>
            <w:pPr>
              <w:spacing w:after="60" w:line="259" w:lineRule="auto"/>
            </w:pPr>
            <w:r>
              <w:rPr>
                <w:rFonts w:ascii="Calibri" w:hAnsi="Calibri"/>
                <w:b w:val="0"/>
                <w:i w:val="0"/>
                <w:color w:val="212121"/>
                <w:sz w:val="19"/>
              </w:rPr>
              <w:t>Occupations with prolonged water immersion, high heat and humidity or dusty air keep the canal chronically damp and irritated, favouring recurrent and chronic otitis externa.</w:t>
            </w:r>
          </w:p>
          <w:p>
            <w:pPr>
              <w:spacing w:after="40" w:before="60" w:line="259" w:lineRule="auto"/>
            </w:pPr>
            <w:r>
              <w:rPr>
                <w:rFonts w:ascii="Calibri" w:hAnsi="Calibri"/>
                <w:b w:val="0"/>
                <w:i w:val="0"/>
                <w:color w:val="212121"/>
                <w:sz w:val="19"/>
              </w:rPr>
              <w:t>Chronic water immersion and warm, humid working conditions maintain canal moisture and maceration that predispose to recurrent infection.</w:t>
            </w:r>
          </w:p>
          <w:p>
            <w:pPr>
              <w:spacing w:before="60" w:after="40"/>
            </w:pPr>
            <w:r>
              <w:rPr>
                <w:rFonts w:ascii="Calibri" w:hAnsi="Calibri"/>
                <w:b w:val="0"/>
                <w:i w:val="0"/>
                <w:color w:val="5A5A5A"/>
                <w:sz w:val="18"/>
              </w:rPr>
              <w:t>#lifeguards  #fishermen  #divers  #humidwork  #recurrent</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Glycaemic control / diet</w:t>
            </w:r>
          </w:p>
        </w:tc>
        <w:tc>
          <w:tcPr>
            <w:tcW w:type="dxa" w:w="2160"/>
            <w:vAlign w:val="top"/>
          </w:tcPr>
          <w:p>
            <w:pPr>
              <w:spacing w:after="40" w:before="0" w:line="259" w:lineRule="auto"/>
            </w:pPr>
            <w:r>
              <w:rPr>
                <w:rFonts w:ascii="Calibri" w:hAnsi="Calibri"/>
                <w:b w:val="0"/>
                <w:i w:val="0"/>
                <w:color w:val="212121"/>
                <w:sz w:val="19"/>
              </w:rPr>
              <w:t>Poor glycaemic control and undiagnosed diabetes</w:t>
            </w:r>
          </w:p>
        </w:tc>
        <w:tc>
          <w:tcPr>
            <w:tcW w:type="dxa" w:w="4276"/>
            <w:vAlign w:val="top"/>
          </w:tcPr>
          <w:p>
            <w:pPr>
              <w:spacing w:after="60" w:line="259" w:lineRule="auto"/>
            </w:pPr>
            <w:r>
              <w:rPr>
                <w:rFonts w:ascii="Calibri" w:hAnsi="Calibri"/>
                <w:b w:val="0"/>
                <w:i w:val="0"/>
                <w:color w:val="212121"/>
                <w:sz w:val="19"/>
              </w:rPr>
              <w:t>Diet has little direct role, but high-sugar, refined diets driving poor glycaemic control (and undiagnosed type 2 diabetes) impair immunity and predispose to recurrent otomycosis and to necrotising otitis externa.</w:t>
            </w:r>
          </w:p>
          <w:p>
            <w:pPr>
              <w:spacing w:after="40" w:before="60" w:line="259" w:lineRule="auto"/>
            </w:pPr>
            <w:r>
              <w:rPr>
                <w:rFonts w:ascii="Calibri" w:hAnsi="Calibri"/>
                <w:b w:val="0"/>
                <w:i w:val="0"/>
                <w:color w:val="212121"/>
                <w:sz w:val="19"/>
              </w:rPr>
              <w:t>Recurrent otomycosis can be a presenting feature of previously undiagnosed diabetes mellitus, underscoring the role of glycaemic status.</w:t>
            </w:r>
          </w:p>
          <w:p>
            <w:pPr>
              <w:spacing w:after="40" w:line="252" w:lineRule="auto"/>
            </w:pPr>
            <w:hyperlink r:id="rId12">
              <w:r>
                <w:rPr>
                  <w:rFonts w:ascii="Calibri" w:hAnsi="Calibri" w:cs="Calibri"/>
                  <w:sz w:val="18"/>
                  <w:color w:val="1155CC"/>
                  <w:u w:val="single"/>
                </w:rPr>
                <w:t xml:space="preserve">pubmed.ncbi.nlm.nih.gov/41361861 - recurrent otomycosis &amp; undiagnosed diabetes</w:t>
              </w:r>
            </w:hyperlink>
          </w:p>
          <w:p>
            <w:pPr>
              <w:spacing w:before="60" w:after="40"/>
            </w:pPr>
            <w:r>
              <w:rPr>
                <w:rFonts w:ascii="Calibri" w:hAnsi="Calibri"/>
                <w:b w:val="0"/>
                <w:i w:val="0"/>
                <w:color w:val="5A5A5A"/>
                <w:sz w:val="18"/>
              </w:rPr>
              <w:t>#glycaemiccontrol  #diabetes  #otomycosis  #refinedcarbs  #immunity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Atopy / skin type</w:t>
            </w:r>
          </w:p>
        </w:tc>
        <w:tc>
          <w:tcPr>
            <w:tcW w:type="dxa" w:w="2160"/>
            <w:vAlign w:val="top"/>
          </w:tcPr>
          <w:p>
            <w:pPr>
              <w:spacing w:after="40" w:before="0" w:line="259" w:lineRule="auto"/>
            </w:pPr>
            <w:r>
              <w:rPr>
                <w:rFonts w:ascii="Calibri" w:hAnsi="Calibri"/>
                <w:b w:val="0"/>
                <w:i w:val="0"/>
                <w:color w:val="212121"/>
                <w:sz w:val="19"/>
              </w:rPr>
              <w:t>Atopic, eczema and psoriasis families</w:t>
            </w:r>
          </w:p>
        </w:tc>
        <w:tc>
          <w:tcPr>
            <w:tcW w:type="dxa" w:w="4276"/>
            <w:vAlign w:val="top"/>
          </w:tcPr>
          <w:p>
            <w:pPr>
              <w:spacing w:after="60" w:line="259" w:lineRule="auto"/>
            </w:pPr>
            <w:r>
              <w:rPr>
                <w:rFonts w:ascii="Calibri" w:hAnsi="Calibri"/>
                <w:b w:val="0"/>
                <w:i w:val="0"/>
                <w:color w:val="212121"/>
                <w:sz w:val="19"/>
              </w:rPr>
              <w:t>A heritable tendency to atopic dermatitis, psoriasis and seborrhoeic dermatitis inflames the canal skin and predisposes to the eczematous form of otitis externa and to secondary infection.</w:t>
            </w:r>
          </w:p>
          <w:p>
            <w:pPr>
              <w:spacing w:after="40" w:before="60" w:line="259" w:lineRule="auto"/>
            </w:pPr>
            <w:r>
              <w:rPr>
                <w:rFonts w:ascii="Calibri" w:hAnsi="Calibri"/>
                <w:b w:val="0"/>
                <w:i w:val="0"/>
                <w:color w:val="212121"/>
                <w:sz w:val="19"/>
              </w:rPr>
              <w:t>Underlying dermatologic disease - atopic dermatitis, psoriasis, and seborrhoeic and contact dermatitis - predisposes to (eczematous) otitis externa.</w:t>
            </w:r>
          </w:p>
          <w:p>
            <w:pPr>
              <w:spacing w:after="40" w:line="252" w:lineRule="auto"/>
            </w:pPr>
            <w:hyperlink r:id="rId10">
              <w:r>
                <w:rPr>
                  <w:rFonts w:ascii="Calibri" w:hAnsi="Calibri" w:cs="Calibri"/>
                  <w:sz w:val="18"/>
                  <w:color w:val="1155CC"/>
                  <w:u w:val="single"/>
                </w:rPr>
                <w:t xml:space="preserve">dermnetnz.org - otitis externa (non-infectious causes)</w:t>
              </w:r>
            </w:hyperlink>
          </w:p>
          <w:p>
            <w:pPr>
              <w:spacing w:before="60" w:after="40"/>
            </w:pPr>
            <w:r>
              <w:rPr>
                <w:rFonts w:ascii="Calibri" w:hAnsi="Calibri"/>
                <w:b w:val="0"/>
                <w:i w:val="0"/>
                <w:color w:val="5A5A5A"/>
                <w:sz w:val="18"/>
              </w:rPr>
              <w:t>#atopy  #eczema  #psoriasis  #seborrhoeic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Canal anatomy</w:t>
            </w:r>
          </w:p>
        </w:tc>
        <w:tc>
          <w:tcPr>
            <w:tcW w:type="dxa" w:w="2160"/>
            <w:vAlign w:val="top"/>
          </w:tcPr>
          <w:p>
            <w:pPr>
              <w:spacing w:after="40" w:before="0" w:line="259" w:lineRule="auto"/>
            </w:pPr>
            <w:r>
              <w:rPr>
                <w:rFonts w:ascii="Calibri" w:hAnsi="Calibri"/>
                <w:b w:val="0"/>
                <w:i w:val="0"/>
                <w:color w:val="212121"/>
                <w:sz w:val="19"/>
              </w:rPr>
              <w:t>Narrow or hairy ear canals</w:t>
            </w:r>
          </w:p>
        </w:tc>
        <w:tc>
          <w:tcPr>
            <w:tcW w:type="dxa" w:w="4276"/>
            <w:vAlign w:val="top"/>
          </w:tcPr>
          <w:p>
            <w:pPr>
              <w:spacing w:after="60" w:line="259" w:lineRule="auto"/>
            </w:pPr>
            <w:r>
              <w:rPr>
                <w:rFonts w:ascii="Calibri" w:hAnsi="Calibri"/>
                <w:b w:val="0"/>
                <w:i w:val="0"/>
                <w:color w:val="212121"/>
                <w:sz w:val="19"/>
              </w:rPr>
              <w:t>Constitutionally narrow, tortuous or hairy canals retain water and debris, impair self-cleaning and drainage and are prone to cerumen obstruction, all of which favour infection.</w:t>
            </w:r>
          </w:p>
          <w:p>
            <w:pPr>
              <w:spacing w:after="40" w:before="60" w:line="259" w:lineRule="auto"/>
            </w:pPr>
            <w:r>
              <w:rPr>
                <w:rFonts w:ascii="Calibri" w:hAnsi="Calibri"/>
                <w:b w:val="0"/>
                <w:i w:val="0"/>
                <w:color w:val="212121"/>
                <w:sz w:val="19"/>
              </w:rPr>
              <w:t>Narrow ear canals and cerumen obstruction are recognised risk factors that impair drainage and self-cleaning.</w:t>
            </w:r>
          </w:p>
          <w:p>
            <w:pPr>
              <w:spacing w:after="40" w:line="252" w:lineRule="auto"/>
            </w:pPr>
            <w:hyperlink r:id="rId11">
              <w:r>
                <w:rPr>
                  <w:rFonts w:ascii="Calibri" w:hAnsi="Calibri" w:cs="Calibri"/>
                  <w:sz w:val="18"/>
                  <w:color w:val="1155CC"/>
                  <w:u w:val="single"/>
                </w:rPr>
                <w:t xml:space="preserve">ncbi.nlm.nih.gov - Otitis Externa (anatomical factors)</w:t>
              </w:r>
            </w:hyperlink>
          </w:p>
          <w:p>
            <w:pPr>
              <w:spacing w:before="60" w:after="40"/>
            </w:pPr>
            <w:r>
              <w:rPr>
                <w:rFonts w:ascii="Calibri" w:hAnsi="Calibri"/>
                <w:b w:val="0"/>
                <w:i w:val="0"/>
                <w:color w:val="5A5A5A"/>
                <w:sz w:val="18"/>
              </w:rPr>
              <w:t>#narrowcanal  #hairycanal  #cerumen  #drainage  #anatomy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Diabetics (especially poorly controlled/elderly)</w:t>
            </w:r>
          </w:p>
        </w:tc>
        <w:tc>
          <w:tcPr>
            <w:tcW w:type="dxa" w:w="4276"/>
            <w:vAlign w:val="top"/>
          </w:tcPr>
          <w:p>
            <w:pPr>
              <w:spacing w:after="60" w:line="259" w:lineRule="auto"/>
            </w:pPr>
            <w:r>
              <w:rPr>
                <w:rFonts w:ascii="Calibri" w:hAnsi="Calibri"/>
                <w:b w:val="0"/>
                <w:i w:val="0"/>
                <w:color w:val="212121"/>
                <w:sz w:val="19"/>
              </w:rPr>
              <w:t>Diabetes is the classic host factor for necrotising (malignant) otitis externa and for recurrent otomycosis, through microangiopathy, impaired neutrophil function and an alkaline cerumen that favours Pseudomonas.</w:t>
            </w:r>
          </w:p>
          <w:p>
            <w:pPr>
              <w:spacing w:after="40" w:before="60" w:line="259" w:lineRule="auto"/>
            </w:pPr>
            <w:r>
              <w:rPr>
                <w:rFonts w:ascii="Calibri" w:hAnsi="Calibri"/>
                <w:b w:val="0"/>
                <w:i w:val="0"/>
                <w:color w:val="212121"/>
                <w:sz w:val="19"/>
              </w:rPr>
              <w:t>Diabetes is flagged as a modifying factor that alters otitis-externa management, and diabetics are the classic hosts for necrotising otitis externa.</w:t>
            </w:r>
          </w:p>
          <w:p>
            <w:pPr>
              <w:spacing w:after="40" w:line="252" w:lineRule="auto"/>
            </w:pPr>
            <w:hyperlink r:id="rId13">
              <w:r>
                <w:rPr>
                  <w:rFonts w:ascii="Calibri" w:hAnsi="Calibri" w:cs="Calibri"/>
                  <w:sz w:val="18"/>
                  <w:color w:val="1155CC"/>
                  <w:u w:val="single"/>
                </w:rPr>
                <w:t xml:space="preserve">pubmed.ncbi.nlm.nih.gov/24491310 - AOE clinical practice guideline</w:t>
              </w:r>
            </w:hyperlink>
          </w:p>
          <w:p>
            <w:pPr>
              <w:spacing w:before="60" w:after="40"/>
            </w:pPr>
            <w:r>
              <w:rPr>
                <w:rFonts w:ascii="Calibri" w:hAnsi="Calibri"/>
                <w:b w:val="0"/>
                <w:i w:val="0"/>
                <w:color w:val="5A5A5A"/>
                <w:sz w:val="18"/>
              </w:rPr>
              <w:t>#diabetes  #malignantOE  #pseudomonas  #modifyingfactor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Immunocompromise</w:t>
            </w:r>
          </w:p>
        </w:tc>
        <w:tc>
          <w:tcPr>
            <w:tcW w:type="dxa" w:w="2160"/>
            <w:vAlign w:val="top"/>
          </w:tcPr>
          <w:p>
            <w:pPr>
              <w:spacing w:after="40" w:before="0" w:line="259" w:lineRule="auto"/>
            </w:pPr>
            <w:r>
              <w:rPr>
                <w:rFonts w:ascii="Calibri" w:hAnsi="Calibri"/>
                <w:b w:val="0"/>
                <w:i w:val="0"/>
                <w:color w:val="212121"/>
                <w:sz w:val="19"/>
              </w:rPr>
              <w:t>HIV, chemotherapy and transplant patients</w:t>
            </w:r>
          </w:p>
        </w:tc>
        <w:tc>
          <w:tcPr>
            <w:tcW w:type="dxa" w:w="4276"/>
            <w:vAlign w:val="top"/>
          </w:tcPr>
          <w:p>
            <w:pPr>
              <w:spacing w:after="60" w:line="259" w:lineRule="auto"/>
            </w:pPr>
            <w:r>
              <w:rPr>
                <w:rFonts w:ascii="Calibri" w:hAnsi="Calibri"/>
                <w:b w:val="0"/>
                <w:i w:val="0"/>
                <w:color w:val="212121"/>
                <w:sz w:val="19"/>
              </w:rPr>
              <w:t>Immunosuppression from HIV, cancer chemotherapy, corticosteroids or transplantation increases the risk of severe, atypical and necrotising otitis externa and of fungal disease.</w:t>
            </w:r>
          </w:p>
          <w:p>
            <w:pPr>
              <w:spacing w:after="40" w:before="60" w:line="259" w:lineRule="auto"/>
            </w:pPr>
            <w:r>
              <w:rPr>
                <w:rFonts w:ascii="Calibri" w:hAnsi="Calibri"/>
                <w:b w:val="0"/>
                <w:i w:val="0"/>
                <w:color w:val="212121"/>
                <w:sz w:val="19"/>
              </w:rPr>
              <w:t>Immunocompromised states are recognised modifying factors that increase the risk of severe and necrotising otitis externa.</w:t>
            </w:r>
          </w:p>
          <w:p>
            <w:pPr>
              <w:spacing w:after="40" w:line="252" w:lineRule="auto"/>
            </w:pPr>
            <w:hyperlink r:id="rId13">
              <w:r>
                <w:rPr>
                  <w:rFonts w:ascii="Calibri" w:hAnsi="Calibri" w:cs="Calibri"/>
                  <w:sz w:val="18"/>
                  <w:color w:val="1155CC"/>
                  <w:u w:val="single"/>
                </w:rPr>
                <w:t xml:space="preserve">pubmed.ncbi.nlm.nih.gov/24491310 - modifying factors</w:t>
              </w:r>
            </w:hyperlink>
          </w:p>
          <w:p>
            <w:pPr>
              <w:spacing w:before="60" w:after="40"/>
            </w:pPr>
            <w:r>
              <w:rPr>
                <w:rFonts w:ascii="Calibri" w:hAnsi="Calibri"/>
                <w:b w:val="0"/>
                <w:i w:val="0"/>
                <w:color w:val="5A5A5A"/>
                <w:sz w:val="18"/>
              </w:rPr>
              <w:t>#immunocompromise  #HIV  #chemotherapy  #necrotising  #fungal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Dermatologic disease</w:t>
            </w:r>
          </w:p>
        </w:tc>
        <w:tc>
          <w:tcPr>
            <w:tcW w:type="dxa" w:w="2160"/>
            <w:vAlign w:val="top"/>
          </w:tcPr>
          <w:p>
            <w:pPr>
              <w:spacing w:after="40" w:before="0" w:line="259" w:lineRule="auto"/>
            </w:pPr>
            <w:r>
              <w:rPr>
                <w:rFonts w:ascii="Calibri" w:hAnsi="Calibri"/>
                <w:b w:val="0"/>
                <w:i w:val="0"/>
                <w:color w:val="212121"/>
                <w:sz w:val="19"/>
              </w:rPr>
              <w:t>Eczema, psoriasis, seborrhoeic and contact dermatitis</w:t>
            </w:r>
          </w:p>
        </w:tc>
        <w:tc>
          <w:tcPr>
            <w:tcW w:type="dxa" w:w="4276"/>
            <w:vAlign w:val="top"/>
          </w:tcPr>
          <w:p>
            <w:pPr>
              <w:spacing w:after="60" w:line="259" w:lineRule="auto"/>
            </w:pPr>
            <w:r>
              <w:rPr>
                <w:rFonts w:ascii="Calibri" w:hAnsi="Calibri"/>
                <w:b w:val="0"/>
                <w:i w:val="0"/>
                <w:color w:val="212121"/>
                <w:sz w:val="19"/>
              </w:rPr>
              <w:t>Chronic skin disease of the canal produces scaling, fissuring and an impaired barrier, causing eczematous otitis externa that itches, weeps and readily becomes secondarily infected.</w:t>
            </w:r>
          </w:p>
          <w:p>
            <w:pPr>
              <w:spacing w:after="40" w:before="60" w:line="259" w:lineRule="auto"/>
            </w:pPr>
            <w:r>
              <w:rPr>
                <w:rFonts w:ascii="Calibri" w:hAnsi="Calibri"/>
                <w:b w:val="0"/>
                <w:i w:val="0"/>
                <w:color w:val="212121"/>
                <w:sz w:val="19"/>
              </w:rPr>
              <w:t>Non-infectious causes include atopic dermatitis, psoriasis, seborrhoeic dermatitis and allergic or irritant contact dermatitis.</w:t>
            </w:r>
          </w:p>
          <w:p>
            <w:pPr>
              <w:spacing w:after="40" w:line="252" w:lineRule="auto"/>
            </w:pPr>
            <w:hyperlink r:id="rId10">
              <w:r>
                <w:rPr>
                  <w:rFonts w:ascii="Calibri" w:hAnsi="Calibri" w:cs="Calibri"/>
                  <w:sz w:val="18"/>
                  <w:color w:val="1155CC"/>
                  <w:u w:val="single"/>
                </w:rPr>
                <w:t xml:space="preserve">dermnetnz.org - otitis externa (causes)</w:t>
              </w:r>
            </w:hyperlink>
          </w:p>
          <w:p>
            <w:pPr>
              <w:spacing w:before="60" w:after="40"/>
            </w:pPr>
            <w:r>
              <w:rPr>
                <w:rFonts w:ascii="Calibri" w:hAnsi="Calibri"/>
                <w:b w:val="0"/>
                <w:i w:val="0"/>
                <w:color w:val="5A5A5A"/>
                <w:sz w:val="18"/>
              </w:rPr>
              <w:t>#eczematousOE  #psoriasis  #contactdermatitis  #neomycinallergy  #barrier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otorrhoea</w:t>
            </w:r>
          </w:p>
        </w:tc>
        <w:tc>
          <w:tcPr>
            <w:tcW w:type="dxa" w:w="2160"/>
            <w:vAlign w:val="top"/>
          </w:tcPr>
          <w:p>
            <w:pPr>
              <w:spacing w:after="40" w:before="0" w:line="259" w:lineRule="auto"/>
            </w:pPr>
            <w:r>
              <w:rPr>
                <w:rFonts w:ascii="Calibri" w:hAnsi="Calibri"/>
                <w:b w:val="0"/>
                <w:i w:val="0"/>
                <w:color w:val="212121"/>
                <w:sz w:val="19"/>
              </w:rPr>
              <w:t>CSOM / tympanic-membrane perforation with discharge</w:t>
            </w:r>
          </w:p>
        </w:tc>
        <w:tc>
          <w:tcPr>
            <w:tcW w:type="dxa" w:w="4276"/>
            <w:vAlign w:val="top"/>
          </w:tcPr>
          <w:p>
            <w:pPr>
              <w:spacing w:after="60" w:line="259" w:lineRule="auto"/>
            </w:pPr>
            <w:r>
              <w:rPr>
                <w:rFonts w:ascii="Calibri" w:hAnsi="Calibri"/>
                <w:b w:val="0"/>
                <w:i w:val="0"/>
                <w:color w:val="212121"/>
                <w:sz w:val="19"/>
              </w:rPr>
              <w:t>Persistent middle-ear discharge from chronic suppurative otitis media or a perforated eardrum keeps the canal chronically wet and inflamed, predisposing to chronic and recurrent otitis externa.</w:t>
            </w:r>
          </w:p>
          <w:p>
            <w:pPr>
              <w:spacing w:after="40" w:before="60" w:line="259" w:lineRule="auto"/>
            </w:pPr>
            <w:r>
              <w:rPr>
                <w:rFonts w:ascii="Calibri" w:hAnsi="Calibri"/>
                <w:b w:val="0"/>
                <w:i w:val="0"/>
                <w:color w:val="212121"/>
                <w:sz w:val="19"/>
              </w:rPr>
              <w:t>Chronic discharge and a non-intact tympanic membrane maintain canal moisture and inflammation that predispose to external-ear infection.</w:t>
            </w:r>
          </w:p>
          <w:p>
            <w:pPr>
              <w:spacing w:before="60" w:after="40"/>
            </w:pPr>
            <w:r>
              <w:rPr>
                <w:rFonts w:ascii="Calibri" w:hAnsi="Calibri"/>
                <w:b w:val="0"/>
                <w:i w:val="0"/>
                <w:color w:val="5A5A5A"/>
                <w:sz w:val="18"/>
              </w:rPr>
              <w:t>#CSOM  #perforation  #chronicotorrhoea  #chronicOE  #discharge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topical drops</w:t>
            </w:r>
          </w:p>
        </w:tc>
        <w:tc>
          <w:tcPr>
            <w:tcW w:type="dxa" w:w="2160"/>
            <w:vAlign w:val="top"/>
          </w:tcPr>
          <w:p>
            <w:pPr>
              <w:spacing w:after="40" w:before="0" w:line="259" w:lineRule="auto"/>
            </w:pPr>
            <w:r>
              <w:rPr>
                <w:rFonts w:ascii="Calibri" w:hAnsi="Calibri"/>
                <w:b w:val="0"/>
                <w:i w:val="0"/>
                <w:color w:val="212121"/>
                <w:sz w:val="19"/>
              </w:rPr>
              <w:t>Post-antibiotic / post-steroid otomycosis</w:t>
            </w:r>
          </w:p>
        </w:tc>
        <w:tc>
          <w:tcPr>
            <w:tcW w:type="dxa" w:w="4276"/>
            <w:vAlign w:val="top"/>
          </w:tcPr>
          <w:p>
            <w:pPr>
              <w:spacing w:after="60" w:line="259" w:lineRule="auto"/>
            </w:pPr>
            <w:r>
              <w:rPr>
                <w:rFonts w:ascii="Calibri" w:hAnsi="Calibri"/>
                <w:b w:val="0"/>
                <w:i w:val="0"/>
                <w:color w:val="212121"/>
                <w:sz w:val="19"/>
              </w:rPr>
              <w:t>Prolonged topical antibiotic or corticosteroid drops disturb the canal's normal bacterial flora and allow fungi to overgrow, a leading route to otomycosis - particularly in India's humid climate.</w:t>
            </w:r>
          </w:p>
          <w:p>
            <w:pPr>
              <w:spacing w:after="40" w:before="60" w:line="259" w:lineRule="auto"/>
            </w:pPr>
            <w:r>
              <w:rPr>
                <w:rFonts w:ascii="Calibri" w:hAnsi="Calibri"/>
                <w:b w:val="0"/>
                <w:i w:val="0"/>
                <w:color w:val="212121"/>
                <w:sz w:val="19"/>
              </w:rPr>
              <w:t>Fungi (chiefly Aspergillus) cause up to about 10% of otitis externa, and prolonged topical antibiotic or steroid use predisposes to this otomycosis.</w:t>
            </w:r>
          </w:p>
          <w:p>
            <w:pPr>
              <w:spacing w:after="40" w:line="252" w:lineRule="auto"/>
            </w:pPr>
            <w:hyperlink r:id="rId10">
              <w:r>
                <w:rPr>
                  <w:rFonts w:ascii="Calibri" w:hAnsi="Calibri" w:cs="Calibri"/>
                  <w:sz w:val="18"/>
                  <w:color w:val="1155CC"/>
                  <w:u w:val="single"/>
                </w:rPr>
                <w:t xml:space="preserve">dermnetnz.org - otitis externa (fungal causes)</w:t>
              </w:r>
            </w:hyperlink>
          </w:p>
          <w:p>
            <w:pPr>
              <w:spacing w:before="60" w:after="40"/>
            </w:pPr>
            <w:r>
              <w:rPr>
                <w:rFonts w:ascii="Calibri" w:hAnsi="Calibri"/>
                <w:b w:val="0"/>
                <w:i w:val="0"/>
                <w:color w:val="5A5A5A"/>
                <w:sz w:val="18"/>
              </w:rPr>
              <w:t>#otomycosis  #aspergillus  #antibioticoveruse  #steroiddrops  #humidindia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Aquatic activity is the key exercise link: swimmers and water-sport participants have about five times the risk through canal maceration, and heavy sweating during exertion in hot climates keeps the canal moist. Non-water land exercise has no direct effect.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has little direct influence, but high-sugar, refined diets that worsen glycaemic control (and undiagnosed diabetes) predispose to recurrent otomycosis and necrotising otitis externa through impaired immunity.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link; chronically poor sleep may modestly impair immune defence, and sleeping with in-ear earphones adds occlusion and moisture.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 primary cause; tobacco smoke and air pollution are mucosal and skin irritants, and environmental tobacco smoke is broadly associated with more ear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heavy alcohol use contributes indirectly through immune impairment and its association with poor glycaemic control and self-neglect.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Anxiety- or habit-driven compulsive ear-scratching and poking is a genuine trigger of canal trauma and of the itch-scratch cycle that sustains chronic and eczematous otitis externa; persistent itch and pain in turn cause distress and sleep disturbance.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Water exposure is the dominant modifiable factor - swimming, bathing, head-washing and humidity keep the canal wet and macerate its skin, wash out protective cerumen and raise canal pH, directly precipitating 'swimmer's ear' and otomycosis.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Ear-cleaning behaviour is central: inserting cotton buds and objects, instilling oils and using unregulated street ear-cleaners abrade the canal and remove protective wax, while failure to dry the ears after water leaves it macerated - both extremes promote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Water entry, mechanical trauma and instrumentation, heat and humidity, occlusive hearing aids and earbuds, prolonged topical antibiotic/steroid drops (otomycosis) and underlying canal dermatoses directly precipitate or worsen otitis externa.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Canal water exposure / swimming</w:t>
            </w:r>
          </w:p>
        </w:tc>
        <w:tc>
          <w:tcPr>
            <w:tcW w:type="dxa" w:w="1655"/>
            <w:vAlign w:val="top"/>
          </w:tcPr>
          <w:p>
            <w:pPr>
              <w:spacing w:after="40" w:before="0" w:line="259" w:lineRule="auto"/>
            </w:pPr>
            <w:r>
              <w:rPr>
                <w:rFonts w:ascii="Calibri" w:hAnsi="Calibri"/>
                <w:b w:val="0"/>
                <w:i w:val="0"/>
                <w:color w:val="212121"/>
                <w:sz w:val="19"/>
              </w:rPr>
              <w:t>Swimmers, divers, frequent bathers</w:t>
            </w:r>
          </w:p>
        </w:tc>
        <w:tc>
          <w:tcPr>
            <w:tcW w:type="dxa" w:w="1512"/>
            <w:vAlign w:val="top"/>
          </w:tcPr>
          <w:p>
            <w:pPr>
              <w:spacing w:after="40" w:before="0" w:line="259" w:lineRule="auto"/>
            </w:pPr>
            <w:r>
              <w:rPr>
                <w:rFonts w:ascii="Calibri" w:hAnsi="Calibri"/>
                <w:b w:val="0"/>
                <w:i w:val="0"/>
                <w:color w:val="212121"/>
                <w:sz w:val="19"/>
              </w:rPr>
              <w:t>Keep the canal dry; use fitted earplugs/cap and dry ears after water</w:t>
            </w:r>
          </w:p>
        </w:tc>
        <w:tc>
          <w:tcPr>
            <w:tcW w:type="dxa" w:w="1512"/>
            <w:vAlign w:val="top"/>
          </w:tcPr>
          <w:p>
            <w:pPr>
              <w:spacing w:after="40" w:before="0" w:line="259" w:lineRule="auto"/>
            </w:pPr>
            <w:r>
              <w:rPr>
                <w:rFonts w:ascii="Calibri" w:hAnsi="Calibri"/>
                <w:b w:val="0"/>
                <w:i w:val="0"/>
                <w:color w:val="212121"/>
                <w:sz w:val="19"/>
              </w:rPr>
              <w:t>Frequent or prolonged unprotected water entry</w:t>
            </w:r>
          </w:p>
        </w:tc>
        <w:tc>
          <w:tcPr>
            <w:tcW w:type="dxa" w:w="1468"/>
            <w:vAlign w:val="top"/>
          </w:tcPr>
          <w:p>
            <w:pPr>
              <w:spacing w:after="60" w:line="259" w:lineRule="auto"/>
            </w:pPr>
            <w:r>
              <w:rPr>
                <w:rFonts w:ascii="Calibri" w:hAnsi="Calibri"/>
                <w:b w:val="0"/>
                <w:i w:val="0"/>
                <w:color w:val="212121"/>
                <w:sz w:val="19"/>
              </w:rPr>
              <w:t>Macerates canal skin and washes out protective cerumen; swimmers ~5x risk</w:t>
            </w:r>
          </w:p>
          <w:p>
            <w:pPr>
              <w:spacing w:after="40" w:line="252" w:lineRule="auto"/>
            </w:pPr>
            <w:hyperlink r:id="rId11">
              <w:r>
                <w:rPr>
                  <w:rFonts w:ascii="Calibri" w:hAnsi="Calibri" w:cs="Calibri"/>
                  <w:sz w:val="18"/>
                  <w:color w:val="1155CC"/>
                  <w:u w:val="single"/>
                </w:rPr>
                <w:t xml:space="preserve">https://www.ncbi.nlm.nih.gov/books/NBK556055/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Post-water ear drying / acidification</w:t>
            </w:r>
          </w:p>
        </w:tc>
        <w:tc>
          <w:tcPr>
            <w:tcW w:type="dxa" w:w="1655"/>
            <w:vAlign w:val="top"/>
          </w:tcPr>
          <w:p>
            <w:pPr>
              <w:spacing w:after="40" w:before="0" w:line="259" w:lineRule="auto"/>
            </w:pPr>
            <w:r>
              <w:rPr>
                <w:rFonts w:ascii="Calibri" w:hAnsi="Calibri"/>
                <w:b w:val="0"/>
                <w:i w:val="0"/>
                <w:color w:val="212121"/>
                <w:sz w:val="19"/>
              </w:rPr>
              <w:t>After swimming, bathing, head-wash</w:t>
            </w:r>
          </w:p>
        </w:tc>
        <w:tc>
          <w:tcPr>
            <w:tcW w:type="dxa" w:w="1512"/>
            <w:vAlign w:val="top"/>
          </w:tcPr>
          <w:p>
            <w:pPr>
              <w:spacing w:after="40" w:before="0" w:line="259" w:lineRule="auto"/>
            </w:pPr>
            <w:r>
              <w:rPr>
                <w:rFonts w:ascii="Calibri" w:hAnsi="Calibri"/>
                <w:b w:val="0"/>
                <w:i w:val="0"/>
                <w:color w:val="212121"/>
                <w:sz w:val="19"/>
              </w:rPr>
              <w:t>Tilt/dry ears; consider acidifying-drying drops if eardrum intact</w:t>
            </w:r>
          </w:p>
        </w:tc>
        <w:tc>
          <w:tcPr>
            <w:tcW w:type="dxa" w:w="1512"/>
            <w:vAlign w:val="top"/>
          </w:tcPr>
          <w:p>
            <w:pPr>
              <w:spacing w:after="40" w:before="0" w:line="259" w:lineRule="auto"/>
            </w:pPr>
            <w:r>
              <w:rPr>
                <w:rFonts w:ascii="Calibri" w:hAnsi="Calibri"/>
                <w:b w:val="0"/>
                <w:i w:val="0"/>
                <w:color w:val="212121"/>
                <w:sz w:val="19"/>
              </w:rPr>
              <w:t>Leaving the canal wet after water exposure</w:t>
            </w:r>
          </w:p>
        </w:tc>
        <w:tc>
          <w:tcPr>
            <w:tcW w:type="dxa" w:w="1468"/>
            <w:vAlign w:val="top"/>
          </w:tcPr>
          <w:p>
            <w:pPr>
              <w:spacing w:after="40" w:before="0" w:line="259" w:lineRule="auto"/>
            </w:pPr>
            <w:r>
              <w:rPr>
                <w:rFonts w:ascii="Calibri" w:hAnsi="Calibri"/>
                <w:b w:val="0"/>
                <w:i w:val="0"/>
                <w:color w:val="212121"/>
                <w:sz w:val="19"/>
              </w:rPr>
              <w:t>A persistently damp, alkaline canal favours bacteria and fungi</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Insertion of cotton buds / objects / oils</w:t>
            </w:r>
          </w:p>
        </w:tc>
        <w:tc>
          <w:tcPr>
            <w:tcW w:type="dxa" w:w="1655"/>
            <w:vAlign w:val="top"/>
          </w:tcPr>
          <w:p>
            <w:pPr>
              <w:spacing w:after="40" w:before="0" w:line="259" w:lineRule="auto"/>
            </w:pPr>
            <w:r>
              <w:rPr>
                <w:rFonts w:ascii="Calibri" w:hAnsi="Calibri"/>
                <w:b w:val="0"/>
                <w:i w:val="0"/>
                <w:color w:val="212121"/>
                <w:sz w:val="19"/>
              </w:rPr>
              <w:t>Habitual ear-cleaners, all ages</w:t>
            </w:r>
          </w:p>
        </w:tc>
        <w:tc>
          <w:tcPr>
            <w:tcW w:type="dxa" w:w="1512"/>
            <w:vAlign w:val="top"/>
          </w:tcPr>
          <w:p>
            <w:pPr>
              <w:spacing w:after="40" w:before="0" w:line="259" w:lineRule="auto"/>
            </w:pPr>
            <w:r>
              <w:rPr>
                <w:rFonts w:ascii="Calibri" w:hAnsi="Calibri"/>
                <w:b w:val="0"/>
                <w:i w:val="0"/>
                <w:color w:val="212121"/>
                <w:sz w:val="19"/>
              </w:rPr>
              <w:t>None - clean only the outer ear; do not instil oils or use street cleaners</w:t>
            </w:r>
          </w:p>
        </w:tc>
        <w:tc>
          <w:tcPr>
            <w:tcW w:type="dxa" w:w="1512"/>
            <w:vAlign w:val="top"/>
          </w:tcPr>
          <w:p>
            <w:pPr>
              <w:spacing w:after="40" w:before="0" w:line="259" w:lineRule="auto"/>
            </w:pPr>
            <w:r>
              <w:rPr>
                <w:rFonts w:ascii="Calibri" w:hAnsi="Calibri"/>
                <w:b w:val="0"/>
                <w:i w:val="0"/>
                <w:color w:val="212121"/>
                <w:sz w:val="19"/>
              </w:rPr>
              <w:t>Any insertion of buds, pins, matchsticks or instillation of oil</w:t>
            </w:r>
          </w:p>
        </w:tc>
        <w:tc>
          <w:tcPr>
            <w:tcW w:type="dxa" w:w="1468"/>
            <w:vAlign w:val="top"/>
          </w:tcPr>
          <w:p>
            <w:pPr>
              <w:spacing w:after="60" w:line="259" w:lineRule="auto"/>
            </w:pPr>
            <w:r>
              <w:rPr>
                <w:rFonts w:ascii="Calibri" w:hAnsi="Calibri"/>
                <w:b w:val="0"/>
                <w:i w:val="0"/>
                <w:color w:val="212121"/>
                <w:sz w:val="19"/>
              </w:rPr>
              <w:t>Abrades canal skin and removes protective wax, breaching the barrier</w:t>
            </w:r>
          </w:p>
          <w:p>
            <w:pPr>
              <w:spacing w:after="40" w:line="252" w:lineRule="auto"/>
            </w:pPr>
            <w:hyperlink r:id="rId11">
              <w:r>
                <w:rPr>
                  <w:rFonts w:ascii="Calibri" w:hAnsi="Calibri" w:cs="Calibri"/>
                  <w:sz w:val="18"/>
                  <w:color w:val="1155CC"/>
                  <w:u w:val="single"/>
                </w:rPr>
                <w:t xml:space="preserve">https://www.ncbi.nlm.nih.gov/books/NBK556055/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Duration of topical antibiotic/steroid drops</w:t>
            </w:r>
          </w:p>
        </w:tc>
        <w:tc>
          <w:tcPr>
            <w:tcW w:type="dxa" w:w="1655"/>
            <w:vAlign w:val="top"/>
          </w:tcPr>
          <w:p>
            <w:pPr>
              <w:spacing w:after="40" w:before="0" w:line="259" w:lineRule="auto"/>
            </w:pPr>
            <w:r>
              <w:rPr>
                <w:rFonts w:ascii="Calibri" w:hAnsi="Calibri"/>
                <w:b w:val="0"/>
                <w:i w:val="0"/>
                <w:color w:val="212121"/>
                <w:sz w:val="19"/>
              </w:rPr>
              <w:t>Patients on ear drops</w:t>
            </w:r>
          </w:p>
        </w:tc>
        <w:tc>
          <w:tcPr>
            <w:tcW w:type="dxa" w:w="1512"/>
            <w:vAlign w:val="top"/>
          </w:tcPr>
          <w:p>
            <w:pPr>
              <w:spacing w:after="40" w:before="0" w:line="259" w:lineRule="auto"/>
            </w:pPr>
            <w:r>
              <w:rPr>
                <w:rFonts w:ascii="Calibri" w:hAnsi="Calibri"/>
                <w:b w:val="0"/>
                <w:i w:val="0"/>
                <w:color w:val="212121"/>
                <w:sz w:val="19"/>
              </w:rPr>
              <w:t>Short, guideline-directed courses only</w:t>
            </w:r>
          </w:p>
        </w:tc>
        <w:tc>
          <w:tcPr>
            <w:tcW w:type="dxa" w:w="1512"/>
            <w:vAlign w:val="top"/>
          </w:tcPr>
          <w:p>
            <w:pPr>
              <w:spacing w:after="40" w:before="0" w:line="259" w:lineRule="auto"/>
            </w:pPr>
            <w:r>
              <w:rPr>
                <w:rFonts w:ascii="Calibri" w:hAnsi="Calibri"/>
                <w:b w:val="0"/>
                <w:i w:val="0"/>
                <w:color w:val="212121"/>
                <w:sz w:val="19"/>
              </w:rPr>
              <w:t>Prolonged or repeated topical antibiotic/steroid use</w:t>
            </w:r>
          </w:p>
        </w:tc>
        <w:tc>
          <w:tcPr>
            <w:tcW w:type="dxa" w:w="1468"/>
            <w:vAlign w:val="top"/>
          </w:tcPr>
          <w:p>
            <w:pPr>
              <w:spacing w:after="60" w:line="259" w:lineRule="auto"/>
            </w:pPr>
            <w:r>
              <w:rPr>
                <w:rFonts w:ascii="Calibri" w:hAnsi="Calibri"/>
                <w:b w:val="0"/>
                <w:i w:val="0"/>
                <w:color w:val="212121"/>
                <w:sz w:val="19"/>
              </w:rPr>
              <w:t>Disturbs normal flora and predisposes to otomycosis</w:t>
            </w:r>
          </w:p>
          <w:p>
            <w:pPr>
              <w:spacing w:after="40" w:line="252" w:lineRule="auto"/>
            </w:pPr>
            <w:hyperlink r:id="rId10">
              <w:r>
                <w:rPr>
                  <w:rFonts w:ascii="Calibri" w:hAnsi="Calibri" w:cs="Calibri"/>
                  <w:sz w:val="18"/>
                  <w:color w:val="1155CC"/>
                  <w:u w:val="single"/>
                </w:rPr>
                <w:t xml:space="preserve">https://dermnetnz.org/topics/otitis-externa</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Occlusive earbud / hearing-aid wear</w:t>
            </w:r>
          </w:p>
        </w:tc>
        <w:tc>
          <w:tcPr>
            <w:tcW w:type="dxa" w:w="1655"/>
            <w:vAlign w:val="top"/>
          </w:tcPr>
          <w:p>
            <w:pPr>
              <w:spacing w:after="40" w:before="0" w:line="259" w:lineRule="auto"/>
            </w:pPr>
            <w:r>
              <w:rPr>
                <w:rFonts w:ascii="Calibri" w:hAnsi="Calibri"/>
                <w:b w:val="0"/>
                <w:i w:val="0"/>
                <w:color w:val="212121"/>
                <w:sz w:val="19"/>
              </w:rPr>
              <w:t>Earbud and hearing-aid users</w:t>
            </w:r>
          </w:p>
        </w:tc>
        <w:tc>
          <w:tcPr>
            <w:tcW w:type="dxa" w:w="1512"/>
            <w:vAlign w:val="top"/>
          </w:tcPr>
          <w:p>
            <w:pPr>
              <w:spacing w:after="40" w:before="0" w:line="259" w:lineRule="auto"/>
            </w:pPr>
            <w:r>
              <w:rPr>
                <w:rFonts w:ascii="Calibri" w:hAnsi="Calibri"/>
                <w:b w:val="0"/>
                <w:i w:val="0"/>
                <w:color w:val="212121"/>
                <w:sz w:val="19"/>
              </w:rPr>
              <w:t>Limited, intermittent use with clean, dry devices</w:t>
            </w:r>
          </w:p>
        </w:tc>
        <w:tc>
          <w:tcPr>
            <w:tcW w:type="dxa" w:w="1512"/>
            <w:vAlign w:val="top"/>
          </w:tcPr>
          <w:p>
            <w:pPr>
              <w:spacing w:after="40" w:before="0" w:line="259" w:lineRule="auto"/>
            </w:pPr>
            <w:r>
              <w:rPr>
                <w:rFonts w:ascii="Calibri" w:hAnsi="Calibri"/>
                <w:b w:val="0"/>
                <w:i w:val="0"/>
                <w:color w:val="212121"/>
                <w:sz w:val="19"/>
              </w:rPr>
              <w:t>Near-continuous occlusive wear without breaks</w:t>
            </w:r>
          </w:p>
        </w:tc>
        <w:tc>
          <w:tcPr>
            <w:tcW w:type="dxa" w:w="1468"/>
            <w:vAlign w:val="top"/>
          </w:tcPr>
          <w:p>
            <w:pPr>
              <w:spacing w:after="60" w:line="259" w:lineRule="auto"/>
            </w:pPr>
            <w:r>
              <w:rPr>
                <w:rFonts w:ascii="Calibri" w:hAnsi="Calibri"/>
                <w:b w:val="0"/>
                <w:i w:val="0"/>
                <w:color w:val="212121"/>
                <w:sz w:val="19"/>
              </w:rPr>
              <w:t>Traps heat and moisture and causes micro-trauma</w:t>
            </w:r>
          </w:p>
          <w:p>
            <w:pPr>
              <w:spacing w:after="40" w:line="252" w:lineRule="auto"/>
            </w:pPr>
            <w:hyperlink r:id="rId11">
              <w:r>
                <w:rPr>
                  <w:rFonts w:ascii="Calibri" w:hAnsi="Calibri" w:cs="Calibri"/>
                  <w:sz w:val="18"/>
                  <w:color w:val="1155CC"/>
                  <w:u w:val="single"/>
                </w:rPr>
                <w:t xml:space="preserve">https://www.ncbi.nlm.nih.gov/books/NBK556055/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Heat &amp; humidity / seasonal exposure</w:t>
            </w:r>
          </w:p>
        </w:tc>
        <w:tc>
          <w:tcPr>
            <w:tcW w:type="dxa" w:w="1655"/>
            <w:vAlign w:val="top"/>
          </w:tcPr>
          <w:p>
            <w:pPr>
              <w:spacing w:after="40" w:before="0" w:line="259" w:lineRule="auto"/>
            </w:pPr>
            <w:r>
              <w:rPr>
                <w:rFonts w:ascii="Calibri" w:hAnsi="Calibri"/>
                <w:b w:val="0"/>
                <w:i w:val="0"/>
                <w:color w:val="212121"/>
                <w:sz w:val="19"/>
              </w:rPr>
              <w:t>Hot-humid regions, summer/monsoon</w:t>
            </w:r>
          </w:p>
        </w:tc>
        <w:tc>
          <w:tcPr>
            <w:tcW w:type="dxa" w:w="1512"/>
            <w:vAlign w:val="top"/>
          </w:tcPr>
          <w:p>
            <w:pPr>
              <w:spacing w:after="40" w:before="0" w:line="259" w:lineRule="auto"/>
            </w:pPr>
            <w:r>
              <w:rPr>
                <w:rFonts w:ascii="Calibri" w:hAnsi="Calibri"/>
                <w:b w:val="0"/>
                <w:i w:val="0"/>
                <w:color w:val="212121"/>
                <w:sz w:val="19"/>
              </w:rPr>
              <w:t>Ventilate and dry ears; avoid prolonged damp exposure</w:t>
            </w:r>
          </w:p>
        </w:tc>
        <w:tc>
          <w:tcPr>
            <w:tcW w:type="dxa" w:w="1512"/>
            <w:vAlign w:val="top"/>
          </w:tcPr>
          <w:p>
            <w:pPr>
              <w:spacing w:after="40" w:before="0" w:line="259" w:lineRule="auto"/>
            </w:pPr>
            <w:r>
              <w:rPr>
                <w:rFonts w:ascii="Calibri" w:hAnsi="Calibri"/>
                <w:b w:val="0"/>
                <w:i w:val="0"/>
                <w:color w:val="212121"/>
                <w:sz w:val="19"/>
              </w:rPr>
              <w:t>Prolonged hot, humid or monsoon exposure</w:t>
            </w:r>
          </w:p>
        </w:tc>
        <w:tc>
          <w:tcPr>
            <w:tcW w:type="dxa" w:w="1468"/>
            <w:vAlign w:val="top"/>
          </w:tcPr>
          <w:p>
            <w:pPr>
              <w:spacing w:after="60" w:line="259" w:lineRule="auto"/>
            </w:pPr>
            <w:r>
              <w:rPr>
                <w:rFonts w:ascii="Calibri" w:hAnsi="Calibri"/>
                <w:b w:val="0"/>
                <w:i w:val="0"/>
                <w:color w:val="212121"/>
                <w:sz w:val="19"/>
              </w:rPr>
              <w:t>Seasonal peak - 44% of cases in the warm, humid months</w:t>
            </w:r>
          </w:p>
          <w:p>
            <w:pPr>
              <w:spacing w:after="40" w:line="252" w:lineRule="auto"/>
            </w:pPr>
            <w:hyperlink r:id="rId9">
              <w:r>
                <w:rPr>
                  <w:rFonts w:ascii="Calibri" w:hAnsi="Calibri" w:cs="Calibri"/>
                  <w:sz w:val="18"/>
                  <w:color w:val="1155CC"/>
                  <w:u w:val="single"/>
                </w:rPr>
                <w:t xml:space="preserve">https://www.cdc.gov/mmwr/preview/mmwrhtml/mm6019a2.htm</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 / blood glucose)</w:t>
            </w:r>
          </w:p>
        </w:tc>
        <w:tc>
          <w:tcPr>
            <w:tcW w:type="dxa" w:w="1655"/>
            <w:vAlign w:val="top"/>
          </w:tcPr>
          <w:p>
            <w:pPr>
              <w:spacing w:after="40" w:before="0" w:line="259" w:lineRule="auto"/>
            </w:pPr>
            <w:r>
              <w:rPr>
                <w:rFonts w:ascii="Calibri" w:hAnsi="Calibri"/>
                <w:b w:val="0"/>
                <w:i w:val="0"/>
                <w:color w:val="212121"/>
                <w:sz w:val="19"/>
              </w:rPr>
              <w:t>Diabetics, recurrent otomycosis, elderly</w:t>
            </w:r>
          </w:p>
        </w:tc>
        <w:tc>
          <w:tcPr>
            <w:tcW w:type="dxa" w:w="1512"/>
            <w:vAlign w:val="top"/>
          </w:tcPr>
          <w:p>
            <w:pPr>
              <w:spacing w:after="40" w:before="0" w:line="259" w:lineRule="auto"/>
            </w:pPr>
            <w:r>
              <w:rPr>
                <w:rFonts w:ascii="Calibri" w:hAnsi="Calibri"/>
                <w:b w:val="0"/>
                <w:i w:val="0"/>
                <w:color w:val="212121"/>
                <w:sz w:val="19"/>
              </w:rPr>
              <w:t>HbA1c in target (well-controlled) with normal fasting glucose</w:t>
            </w:r>
          </w:p>
        </w:tc>
        <w:tc>
          <w:tcPr>
            <w:tcW w:type="dxa" w:w="1512"/>
            <w:vAlign w:val="top"/>
          </w:tcPr>
          <w:p>
            <w:pPr>
              <w:spacing w:after="40" w:before="0" w:line="259" w:lineRule="auto"/>
            </w:pPr>
            <w:r>
              <w:rPr>
                <w:rFonts w:ascii="Calibri" w:hAnsi="Calibri"/>
                <w:b w:val="0"/>
                <w:i w:val="0"/>
                <w:color w:val="212121"/>
                <w:sz w:val="19"/>
              </w:rPr>
              <w:t>Poorly controlled or undiagnosed diabetes</w:t>
            </w:r>
          </w:p>
        </w:tc>
        <w:tc>
          <w:tcPr>
            <w:tcW w:type="dxa" w:w="1468"/>
            <w:vAlign w:val="top"/>
          </w:tcPr>
          <w:p>
            <w:pPr>
              <w:spacing w:after="60" w:line="259" w:lineRule="auto"/>
            </w:pPr>
            <w:r>
              <w:rPr>
                <w:rFonts w:ascii="Calibri" w:hAnsi="Calibri"/>
                <w:b w:val="0"/>
                <w:i w:val="0"/>
                <w:color w:val="212121"/>
                <w:sz w:val="19"/>
              </w:rPr>
              <w:t>Poor control predisposes to recurrent otomycosis and necrotising OE</w:t>
            </w:r>
          </w:p>
          <w:p>
            <w:pPr>
              <w:spacing w:after="40" w:line="252" w:lineRule="auto"/>
            </w:pPr>
            <w:hyperlink r:id="rId12">
              <w:r>
                <w:rPr>
                  <w:rFonts w:ascii="Calibri" w:hAnsi="Calibri" w:cs="Calibri"/>
                  <w:sz w:val="18"/>
                  <w:color w:val="1155CC"/>
                  <w:u w:val="single"/>
                </w:rPr>
                <w:t xml:space="preserve">https://pubmed.ncbi.nlm.nih.gov/41361861/</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Compulsive ear-scratching / poking</w:t>
            </w:r>
          </w:p>
        </w:tc>
        <w:tc>
          <w:tcPr>
            <w:tcW w:type="dxa" w:w="1655"/>
            <w:vAlign w:val="top"/>
          </w:tcPr>
          <w:p>
            <w:pPr>
              <w:spacing w:after="40" w:before="0" w:line="259" w:lineRule="auto"/>
            </w:pPr>
            <w:r>
              <w:rPr>
                <w:rFonts w:ascii="Calibri" w:hAnsi="Calibri"/>
                <w:b w:val="0"/>
                <w:i w:val="0"/>
                <w:color w:val="212121"/>
                <w:sz w:val="19"/>
              </w:rPr>
              <w:t>Anxious or habit-driven individuals</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Frequent habitual scratching or instrumentation of the ear</w:t>
            </w:r>
          </w:p>
        </w:tc>
        <w:tc>
          <w:tcPr>
            <w:tcW w:type="dxa" w:w="1468"/>
            <w:vAlign w:val="top"/>
          </w:tcPr>
          <w:p>
            <w:pPr>
              <w:spacing w:after="40" w:before="0" w:line="259" w:lineRule="auto"/>
            </w:pPr>
            <w:r>
              <w:rPr>
                <w:rFonts w:ascii="Calibri" w:hAnsi="Calibri"/>
                <w:b w:val="0"/>
                <w:i w:val="0"/>
                <w:color w:val="212121"/>
                <w:sz w:val="19"/>
              </w:rPr>
              <w:t>Drives canal trauma and the itch-scratch cycle of chronic/eczematous OE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Swimming frequency &amp; protection</w:t>
            </w:r>
          </w:p>
        </w:tc>
        <w:tc>
          <w:tcPr>
            <w:tcW w:type="dxa" w:w="1655"/>
            <w:vAlign w:val="top"/>
          </w:tcPr>
          <w:p>
            <w:pPr>
              <w:spacing w:after="40" w:before="0" w:line="259" w:lineRule="auto"/>
            </w:pPr>
            <w:r>
              <w:rPr>
                <w:rFonts w:ascii="Calibri" w:hAnsi="Calibri"/>
                <w:b w:val="0"/>
                <w:i w:val="0"/>
                <w:color w:val="212121"/>
                <w:sz w:val="19"/>
              </w:rPr>
              <w:t>Competitive/recreational swimmers</w:t>
            </w:r>
          </w:p>
        </w:tc>
        <w:tc>
          <w:tcPr>
            <w:tcW w:type="dxa" w:w="1512"/>
            <w:vAlign w:val="top"/>
          </w:tcPr>
          <w:p>
            <w:pPr>
              <w:spacing w:after="40" w:before="0" w:line="259" w:lineRule="auto"/>
            </w:pPr>
            <w:r>
              <w:rPr>
                <w:rFonts w:ascii="Calibri" w:hAnsi="Calibri"/>
                <w:b w:val="0"/>
                <w:i w:val="0"/>
                <w:color w:val="212121"/>
                <w:sz w:val="19"/>
              </w:rPr>
              <w:t>Protected swimming (earplugs/cap) with post-swim drying</w:t>
            </w:r>
          </w:p>
        </w:tc>
        <w:tc>
          <w:tcPr>
            <w:tcW w:type="dxa" w:w="1512"/>
            <w:vAlign w:val="top"/>
          </w:tcPr>
          <w:p>
            <w:pPr>
              <w:spacing w:after="40" w:before="0" w:line="259" w:lineRule="auto"/>
            </w:pPr>
            <w:r>
              <w:rPr>
                <w:rFonts w:ascii="Calibri" w:hAnsi="Calibri"/>
                <w:b w:val="0"/>
                <w:i w:val="0"/>
                <w:color w:val="212121"/>
                <w:sz w:val="19"/>
              </w:rPr>
              <w:t>Frequent unprotected swimming with wet canals</w:t>
            </w:r>
          </w:p>
        </w:tc>
        <w:tc>
          <w:tcPr>
            <w:tcW w:type="dxa" w:w="1468"/>
            <w:vAlign w:val="top"/>
          </w:tcPr>
          <w:p>
            <w:pPr>
              <w:spacing w:after="60" w:line="259" w:lineRule="auto"/>
            </w:pPr>
            <w:r>
              <w:rPr>
                <w:rFonts w:ascii="Calibri" w:hAnsi="Calibri"/>
                <w:b w:val="0"/>
                <w:i w:val="0"/>
                <w:color w:val="212121"/>
                <w:sz w:val="19"/>
              </w:rPr>
              <w:t>Repeated maceration is the classic cause of swimmer's ear</w:t>
            </w:r>
          </w:p>
          <w:p>
            <w:pPr>
              <w:spacing w:after="40" w:line="252" w:lineRule="auto"/>
            </w:pPr>
            <w:hyperlink r:id="rId11">
              <w:r>
                <w:rPr>
                  <w:rFonts w:ascii="Calibri" w:hAnsi="Calibri" w:cs="Calibri"/>
                  <w:sz w:val="18"/>
                  <w:color w:val="1155CC"/>
                  <w:u w:val="single"/>
                </w:rPr>
                <w:t xml:space="preserve">https://www.ncbi.nlm.nih.gov/books/NBK556055/</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Bacterial pathogen &amp; sensitivity</w:t>
            </w:r>
          </w:p>
        </w:tc>
        <w:tc>
          <w:tcPr>
            <w:tcW w:type="dxa" w:w="892"/>
            <w:vAlign w:val="top"/>
          </w:tcPr>
          <w:p>
            <w:pPr>
              <w:spacing w:after="40" w:before="0" w:line="259" w:lineRule="auto"/>
            </w:pPr>
            <w:r>
              <w:rPr>
                <w:rFonts w:ascii="Calibri" w:hAnsi="Calibri"/>
                <w:b w:val="0"/>
                <w:i w:val="0"/>
                <w:color w:val="212121"/>
                <w:sz w:val="16"/>
              </w:rPr>
              <w:t>Ear-canal swab - culture &amp; sensitivity</w:t>
            </w:r>
          </w:p>
        </w:tc>
        <w:tc>
          <w:tcPr>
            <w:tcW w:type="dxa" w:w="950"/>
            <w:vAlign w:val="top"/>
          </w:tcPr>
          <w:p>
            <w:pPr>
              <w:spacing w:after="40" w:before="0" w:line="259" w:lineRule="auto"/>
            </w:pPr>
            <w:r>
              <w:rPr>
                <w:rFonts w:ascii="Calibri" w:hAnsi="Calibri"/>
                <w:b w:val="0"/>
                <w:i w:val="0"/>
                <w:color w:val="212121"/>
                <w:sz w:val="16"/>
              </w:rPr>
              <w:t>Normal skin flora / no significant growth</w:t>
            </w:r>
          </w:p>
        </w:tc>
        <w:tc>
          <w:tcPr>
            <w:tcW w:type="dxa" w:w="950"/>
            <w:vAlign w:val="top"/>
          </w:tcPr>
          <w:p>
            <w:pPr>
              <w:spacing w:after="40" w:before="0" w:line="259" w:lineRule="auto"/>
            </w:pPr>
            <w:r>
              <w:rPr>
                <w:rFonts w:ascii="Calibri" w:hAnsi="Calibri"/>
                <w:b w:val="0"/>
                <w:i w:val="0"/>
                <w:color w:val="212121"/>
                <w:sz w:val="16"/>
              </w:rPr>
              <w:t>Growth of Pseudomonas aeruginosa, Staphylococcus aureus or other pathogens</w:t>
            </w:r>
          </w:p>
        </w:tc>
        <w:tc>
          <w:tcPr>
            <w:tcW w:type="dxa" w:w="1036"/>
            <w:vAlign w:val="top"/>
          </w:tcPr>
          <w:p>
            <w:pPr>
              <w:spacing w:after="40" w:before="0" w:line="259" w:lineRule="auto"/>
            </w:pPr>
            <w:r>
              <w:rPr>
                <w:rFonts w:ascii="Calibri" w:hAnsi="Calibri"/>
                <w:b w:val="0"/>
                <w:i w:val="0"/>
                <w:color w:val="212121"/>
                <w:sz w:val="16"/>
              </w:rPr>
              <w:t>Identifies the organism and guides therapy in severe, refractory, recurrent or necrotising disease</w:t>
            </w:r>
          </w:p>
        </w:tc>
        <w:tc>
          <w:tcPr>
            <w:tcW w:type="dxa" w:w="1036"/>
            <w:vAlign w:val="top"/>
          </w:tcPr>
          <w:p>
            <w:pPr>
              <w:spacing w:after="40" w:before="0" w:line="259" w:lineRule="auto"/>
            </w:pPr>
            <w:r>
              <w:rPr>
                <w:rFonts w:ascii="Calibri" w:hAnsi="Calibri"/>
                <w:b w:val="0"/>
                <w:i w:val="0"/>
                <w:color w:val="212121"/>
                <w:sz w:val="16"/>
              </w:rPr>
              <w:t>Non-resolving, recurrent or severe OE; diabetics/immunocompromised; suspected necrotising OE</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Not routinely needed in uncomplicated acute otitis externa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w:t>
            </w:r>
          </w:p>
        </w:tc>
        <w:tc>
          <w:tcPr>
            <w:tcW w:type="dxa" w:w="1036"/>
            <w:vAlign w:val="top"/>
          </w:tcPr>
          <w:p>
            <w:pPr>
              <w:spacing w:after="40" w:before="0" w:line="259" w:lineRule="auto"/>
            </w:pPr>
            <w:r>
              <w:rPr>
                <w:rFonts w:ascii="Calibri" w:hAnsi="Calibri"/>
                <w:b w:val="0"/>
                <w:i w:val="0"/>
                <w:color w:val="212121"/>
                <w:sz w:val="16"/>
              </w:rPr>
              <w:t>Fungal elements</w:t>
            </w:r>
          </w:p>
        </w:tc>
        <w:tc>
          <w:tcPr>
            <w:tcW w:type="dxa" w:w="892"/>
            <w:vAlign w:val="top"/>
          </w:tcPr>
          <w:p>
            <w:pPr>
              <w:spacing w:after="40" w:before="0" w:line="259" w:lineRule="auto"/>
            </w:pPr>
            <w:r>
              <w:rPr>
                <w:rFonts w:ascii="Calibri" w:hAnsi="Calibri"/>
                <w:b w:val="0"/>
                <w:i w:val="0"/>
                <w:color w:val="212121"/>
                <w:sz w:val="16"/>
              </w:rPr>
              <w:t>KOH microscopy &amp; fungal culture</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Hyphae/spores - Aspergillus (esp. A. niger) or Candida</w:t>
            </w:r>
          </w:p>
        </w:tc>
        <w:tc>
          <w:tcPr>
            <w:tcW w:type="dxa" w:w="1036"/>
            <w:vAlign w:val="top"/>
          </w:tcPr>
          <w:p>
            <w:pPr>
              <w:spacing w:after="40" w:before="0" w:line="259" w:lineRule="auto"/>
            </w:pPr>
            <w:r>
              <w:rPr>
                <w:rFonts w:ascii="Calibri" w:hAnsi="Calibri"/>
                <w:b w:val="0"/>
                <w:i w:val="0"/>
                <w:color w:val="212121"/>
                <w:sz w:val="16"/>
              </w:rPr>
              <w:t>Confirms otomycosis, which mimics bacterial OE but needs antifungal therapy</w:t>
            </w:r>
          </w:p>
        </w:tc>
        <w:tc>
          <w:tcPr>
            <w:tcW w:type="dxa" w:w="1036"/>
            <w:vAlign w:val="top"/>
          </w:tcPr>
          <w:p>
            <w:pPr>
              <w:spacing w:after="40" w:before="0" w:line="259" w:lineRule="auto"/>
            </w:pPr>
            <w:r>
              <w:rPr>
                <w:rFonts w:ascii="Calibri" w:hAnsi="Calibri"/>
                <w:b w:val="0"/>
                <w:i w:val="0"/>
                <w:color w:val="212121"/>
                <w:sz w:val="16"/>
              </w:rPr>
              <w:t>Chronic itch/discharge, humid-climate patients, post-antibiotic/steroid ears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Fungi cause up to ~10% of OE; common in hot, humid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Blood glucose / HbA1c</w:t>
            </w:r>
          </w:p>
        </w:tc>
        <w:tc>
          <w:tcPr>
            <w:tcW w:type="dxa" w:w="892"/>
            <w:vAlign w:val="top"/>
          </w:tcPr>
          <w:p>
            <w:pPr>
              <w:spacing w:after="40" w:before="0" w:line="259" w:lineRule="auto"/>
            </w:pPr>
            <w:r>
              <w:rPr>
                <w:rFonts w:ascii="Calibri" w:hAnsi="Calibri"/>
                <w:b w:val="0"/>
                <w:i w:val="0"/>
                <w:color w:val="212121"/>
                <w:sz w:val="16"/>
              </w:rPr>
              <w:t>Fasting/random glucose; glycated haemoglobin</w:t>
            </w:r>
          </w:p>
        </w:tc>
        <w:tc>
          <w:tcPr>
            <w:tcW w:type="dxa" w:w="950"/>
            <w:vAlign w:val="top"/>
          </w:tcPr>
          <w:p>
            <w:pPr>
              <w:spacing w:after="40" w:before="0" w:line="259" w:lineRule="auto"/>
            </w:pPr>
            <w:r>
              <w:rPr>
                <w:rFonts w:ascii="Calibri" w:hAnsi="Calibri"/>
                <w:b w:val="0"/>
                <w:i w:val="0"/>
                <w:color w:val="212121"/>
                <w:sz w:val="16"/>
              </w:rPr>
              <w:t>Normoglycaemia; HbA1c &lt; 5.7%</w:t>
            </w:r>
          </w:p>
        </w:tc>
        <w:tc>
          <w:tcPr>
            <w:tcW w:type="dxa" w:w="950"/>
            <w:vAlign w:val="top"/>
          </w:tcPr>
          <w:p>
            <w:pPr>
              <w:spacing w:after="40" w:before="0" w:line="259" w:lineRule="auto"/>
            </w:pPr>
            <w:r>
              <w:rPr>
                <w:rFonts w:ascii="Calibri" w:hAnsi="Calibri"/>
                <w:b w:val="0"/>
                <w:i w:val="0"/>
                <w:color w:val="212121"/>
                <w:sz w:val="16"/>
              </w:rPr>
              <w:t>Hyperglycaemia; HbA1c in the diabetic range</w:t>
            </w:r>
          </w:p>
        </w:tc>
        <w:tc>
          <w:tcPr>
            <w:tcW w:type="dxa" w:w="1036"/>
            <w:vAlign w:val="top"/>
          </w:tcPr>
          <w:p>
            <w:pPr>
              <w:spacing w:after="40" w:before="0" w:line="259" w:lineRule="auto"/>
            </w:pPr>
            <w:r>
              <w:rPr>
                <w:rFonts w:ascii="Calibri" w:hAnsi="Calibri"/>
                <w:b w:val="0"/>
                <w:i w:val="0"/>
                <w:color w:val="212121"/>
                <w:sz w:val="16"/>
              </w:rPr>
              <w:t>Screens for undiagnosed or poorly controlled diabetes underlying recurrent/severe disease</w:t>
            </w:r>
          </w:p>
        </w:tc>
        <w:tc>
          <w:tcPr>
            <w:tcW w:type="dxa" w:w="1036"/>
            <w:vAlign w:val="top"/>
          </w:tcPr>
          <w:p>
            <w:pPr>
              <w:spacing w:after="40" w:before="0" w:line="259" w:lineRule="auto"/>
            </w:pPr>
            <w:r>
              <w:rPr>
                <w:rFonts w:ascii="Calibri" w:hAnsi="Calibri"/>
                <w:b w:val="0"/>
                <w:i w:val="0"/>
                <w:color w:val="212121"/>
                <w:sz w:val="16"/>
              </w:rPr>
              <w:t>Elderly with severe pain, recurrent otomycosis, non-resolving OE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Undiagnosed diabetes may present as recurrent otomycosis or necrotising OE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ESR / CRP</w:t>
            </w:r>
          </w:p>
        </w:tc>
        <w:tc>
          <w:tcPr>
            <w:tcW w:type="dxa" w:w="892"/>
            <w:vAlign w:val="top"/>
          </w:tcPr>
          <w:p>
            <w:pPr>
              <w:spacing w:after="40" w:before="0" w:line="259" w:lineRule="auto"/>
            </w:pPr>
            <w:r>
              <w:rPr>
                <w:rFonts w:ascii="Calibri" w:hAnsi="Calibri"/>
                <w:b w:val="0"/>
                <w:i w:val="0"/>
                <w:color w:val="212121"/>
                <w:sz w:val="16"/>
              </w:rPr>
              <w:t>Erythrocyte sedimentation rate; C-reactive protein</w:t>
            </w:r>
          </w:p>
        </w:tc>
        <w:tc>
          <w:tcPr>
            <w:tcW w:type="dxa" w:w="950"/>
            <w:vAlign w:val="top"/>
          </w:tcPr>
          <w:p>
            <w:pPr>
              <w:spacing w:after="40" w:before="0" w:line="259" w:lineRule="auto"/>
            </w:pPr>
            <w:r>
              <w:rPr>
                <w:rFonts w:ascii="Calibri" w:hAnsi="Calibri"/>
                <w:b w:val="0"/>
                <w:i w:val="0"/>
                <w:color w:val="212121"/>
                <w:sz w:val="16"/>
              </w:rPr>
              <w:t>Within normal limits</w:t>
            </w:r>
          </w:p>
        </w:tc>
        <w:tc>
          <w:tcPr>
            <w:tcW w:type="dxa" w:w="950"/>
            <w:vAlign w:val="top"/>
          </w:tcPr>
          <w:p>
            <w:pPr>
              <w:spacing w:after="40" w:before="0" w:line="259" w:lineRule="auto"/>
            </w:pPr>
            <w:r>
              <w:rPr>
                <w:rFonts w:ascii="Calibri" w:hAnsi="Calibri"/>
                <w:b w:val="0"/>
                <w:i w:val="0"/>
                <w:color w:val="212121"/>
                <w:sz w:val="16"/>
              </w:rPr>
              <w:t>Markedly and persistently raised</w:t>
            </w:r>
          </w:p>
        </w:tc>
        <w:tc>
          <w:tcPr>
            <w:tcW w:type="dxa" w:w="1036"/>
            <w:vAlign w:val="top"/>
          </w:tcPr>
          <w:p>
            <w:pPr>
              <w:spacing w:after="40" w:before="0" w:line="259" w:lineRule="auto"/>
            </w:pPr>
            <w:r>
              <w:rPr>
                <w:rFonts w:ascii="Calibri" w:hAnsi="Calibri"/>
                <w:b w:val="0"/>
                <w:i w:val="0"/>
                <w:color w:val="212121"/>
                <w:sz w:val="16"/>
              </w:rPr>
              <w:t>Support diagnosis and monitor response in necrotising otitis externa</w:t>
            </w:r>
          </w:p>
        </w:tc>
        <w:tc>
          <w:tcPr>
            <w:tcW w:type="dxa" w:w="1036"/>
            <w:vAlign w:val="top"/>
          </w:tcPr>
          <w:p>
            <w:pPr>
              <w:spacing w:after="40" w:before="0" w:line="259" w:lineRule="auto"/>
            </w:pPr>
            <w:r>
              <w:rPr>
                <w:rFonts w:ascii="Calibri" w:hAnsi="Calibri"/>
                <w:b w:val="0"/>
                <w:i w:val="0"/>
                <w:color w:val="212121"/>
                <w:sz w:val="16"/>
              </w:rPr>
              <w:t>Suspected/confirmed necrotising (malignant) OE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Serial ESR is a useful marker of treatment response in malignant OE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Bony canal &amp; skull-base integrity</w:t>
            </w:r>
          </w:p>
        </w:tc>
        <w:tc>
          <w:tcPr>
            <w:tcW w:type="dxa" w:w="892"/>
            <w:vAlign w:val="top"/>
          </w:tcPr>
          <w:p>
            <w:pPr>
              <w:spacing w:after="40" w:before="0" w:line="259" w:lineRule="auto"/>
            </w:pPr>
            <w:r>
              <w:rPr>
                <w:rFonts w:ascii="Calibri" w:hAnsi="Calibri"/>
                <w:b w:val="0"/>
                <w:i w:val="0"/>
                <w:color w:val="212121"/>
                <w:sz w:val="16"/>
              </w:rPr>
              <w:t>CT temporal bone</w:t>
            </w:r>
          </w:p>
        </w:tc>
        <w:tc>
          <w:tcPr>
            <w:tcW w:type="dxa" w:w="950"/>
            <w:vAlign w:val="top"/>
          </w:tcPr>
          <w:p>
            <w:pPr>
              <w:spacing w:after="40" w:before="0" w:line="259" w:lineRule="auto"/>
            </w:pPr>
            <w:r>
              <w:rPr>
                <w:rFonts w:ascii="Calibri" w:hAnsi="Calibri"/>
                <w:b w:val="0"/>
                <w:i w:val="0"/>
                <w:color w:val="212121"/>
                <w:sz w:val="16"/>
              </w:rPr>
              <w:t>Intact canal and temporal bone</w:t>
            </w:r>
          </w:p>
        </w:tc>
        <w:tc>
          <w:tcPr>
            <w:tcW w:type="dxa" w:w="950"/>
            <w:vAlign w:val="top"/>
          </w:tcPr>
          <w:p>
            <w:pPr>
              <w:spacing w:after="40" w:before="0" w:line="259" w:lineRule="auto"/>
            </w:pPr>
            <w:r>
              <w:rPr>
                <w:rFonts w:ascii="Calibri" w:hAnsi="Calibri"/>
                <w:b w:val="0"/>
                <w:i w:val="0"/>
                <w:color w:val="212121"/>
                <w:sz w:val="16"/>
              </w:rPr>
              <w:t>Bony erosion / skull-base osteomyelitis</w:t>
            </w:r>
          </w:p>
        </w:tc>
        <w:tc>
          <w:tcPr>
            <w:tcW w:type="dxa" w:w="1036"/>
            <w:vAlign w:val="top"/>
          </w:tcPr>
          <w:p>
            <w:pPr>
              <w:spacing w:after="40" w:before="0" w:line="259" w:lineRule="auto"/>
            </w:pPr>
            <w:r>
              <w:rPr>
                <w:rFonts w:ascii="Calibri" w:hAnsi="Calibri"/>
                <w:b w:val="0"/>
                <w:i w:val="0"/>
                <w:color w:val="212121"/>
                <w:sz w:val="16"/>
              </w:rPr>
              <w:t>Defines the extent of bone involvement in necrotising OE</w:t>
            </w:r>
          </w:p>
        </w:tc>
        <w:tc>
          <w:tcPr>
            <w:tcW w:type="dxa" w:w="1036"/>
            <w:vAlign w:val="top"/>
          </w:tcPr>
          <w:p>
            <w:pPr>
              <w:spacing w:after="40" w:before="0" w:line="259" w:lineRule="auto"/>
            </w:pPr>
            <w:r>
              <w:rPr>
                <w:rFonts w:ascii="Calibri" w:hAnsi="Calibri"/>
                <w:b w:val="0"/>
                <w:i w:val="0"/>
                <w:color w:val="212121"/>
                <w:sz w:val="16"/>
              </w:rPr>
              <w:t>Elderly diabetics with severe otalgia, canal granulation or cranial-nerve palsy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required in uncomplicated otitis externa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Soft-tissue &amp; intracranial extension</w:t>
            </w:r>
          </w:p>
        </w:tc>
        <w:tc>
          <w:tcPr>
            <w:tcW w:type="dxa" w:w="892"/>
            <w:vAlign w:val="top"/>
          </w:tcPr>
          <w:p>
            <w:pPr>
              <w:spacing w:after="40" w:before="0" w:line="259" w:lineRule="auto"/>
            </w:pPr>
            <w:r>
              <w:rPr>
                <w:rFonts w:ascii="Calibri" w:hAnsi="Calibri"/>
                <w:b w:val="0"/>
                <w:i w:val="0"/>
                <w:color w:val="212121"/>
                <w:sz w:val="16"/>
              </w:rPr>
              <w:t>MRI temporal bone / skull base (+/- nuclear bone scan)</w:t>
            </w:r>
          </w:p>
        </w:tc>
        <w:tc>
          <w:tcPr>
            <w:tcW w:type="dxa" w:w="950"/>
            <w:vAlign w:val="top"/>
          </w:tcPr>
          <w:p>
            <w:pPr>
              <w:spacing w:after="40" w:before="0" w:line="259" w:lineRule="auto"/>
            </w:pPr>
            <w:r>
              <w:rPr>
                <w:rFonts w:ascii="Calibri" w:hAnsi="Calibri"/>
                <w:b w:val="0"/>
                <w:i w:val="0"/>
                <w:color w:val="212121"/>
                <w:sz w:val="16"/>
              </w:rPr>
              <w:t>No marrow or soft-tissue involvement</w:t>
            </w:r>
          </w:p>
        </w:tc>
        <w:tc>
          <w:tcPr>
            <w:tcW w:type="dxa" w:w="950"/>
            <w:vAlign w:val="top"/>
          </w:tcPr>
          <w:p>
            <w:pPr>
              <w:spacing w:after="40" w:before="0" w:line="259" w:lineRule="auto"/>
            </w:pPr>
            <w:r>
              <w:rPr>
                <w:rFonts w:ascii="Calibri" w:hAnsi="Calibri"/>
                <w:b w:val="0"/>
                <w:i w:val="0"/>
                <w:color w:val="212121"/>
                <w:sz w:val="16"/>
              </w:rPr>
              <w:t>Marrow signal change, soft-tissue and intracranial spread</w:t>
            </w:r>
          </w:p>
        </w:tc>
        <w:tc>
          <w:tcPr>
            <w:tcW w:type="dxa" w:w="1036"/>
            <w:vAlign w:val="top"/>
          </w:tcPr>
          <w:p>
            <w:pPr>
              <w:spacing w:after="40" w:before="0" w:line="259" w:lineRule="auto"/>
            </w:pPr>
            <w:r>
              <w:rPr>
                <w:rFonts w:ascii="Calibri" w:hAnsi="Calibri"/>
                <w:b w:val="0"/>
                <w:i w:val="0"/>
                <w:color w:val="212121"/>
                <w:sz w:val="16"/>
              </w:rPr>
              <w:t>Assesses soft-tissue, dural and cranial-nerve involvement in necrotising OE</w:t>
            </w:r>
          </w:p>
        </w:tc>
        <w:tc>
          <w:tcPr>
            <w:tcW w:type="dxa" w:w="1036"/>
            <w:vAlign w:val="top"/>
          </w:tcPr>
          <w:p>
            <w:pPr>
              <w:spacing w:after="40" w:before="0" w:line="259" w:lineRule="auto"/>
            </w:pPr>
            <w:r>
              <w:rPr>
                <w:rFonts w:ascii="Calibri" w:hAnsi="Calibri"/>
                <w:b w:val="0"/>
                <w:i w:val="0"/>
                <w:color w:val="212121"/>
                <w:sz w:val="16"/>
              </w:rPr>
              <w:t>Suspected skull-base osteomyelitis or intracranial spread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Gallium/technetium scans help confirm and monitor malignant OE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Otalgia, itching, otorrhoea, fullness, hearing loss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Establishes the symptom pattern of external-canal inflammation</w:t>
            </w:r>
          </w:p>
        </w:tc>
        <w:tc>
          <w:tcPr>
            <w:tcW w:type="dxa" w:w="1036"/>
            <w:vAlign w:val="top"/>
          </w:tcPr>
          <w:p>
            <w:pPr>
              <w:spacing w:after="40" w:before="0" w:line="259" w:lineRule="auto"/>
            </w:pPr>
            <w:r>
              <w:rPr>
                <w:rFonts w:ascii="Calibri" w:hAnsi="Calibri"/>
                <w:b w:val="0"/>
                <w:i w:val="0"/>
                <w:color w:val="212121"/>
                <w:sz w:val="16"/>
              </w:rPr>
              <w:t>All presenting patients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Itch predominates in otomycosis/eczematous OE; severe pain suggests diffuse or necrotising OE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provoking factors</w:t>
            </w:r>
          </w:p>
        </w:tc>
        <w:tc>
          <w:tcPr>
            <w:tcW w:type="dxa" w:w="979"/>
            <w:vAlign w:val="top"/>
          </w:tcPr>
          <w:p>
            <w:pPr>
              <w:spacing w:after="40" w:before="0" w:line="259" w:lineRule="auto"/>
            </w:pPr>
            <w:r>
              <w:rPr>
                <w:rFonts w:ascii="Calibri" w:hAnsi="Calibri"/>
                <w:b w:val="0"/>
                <w:i w:val="0"/>
                <w:color w:val="212121"/>
                <w:sz w:val="16"/>
              </w:rPr>
              <w:t>Swimming/water, ear-cleaning, oil/earbud use, recent drops, humidity, occupation</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One or more provoking exposures present</w:t>
            </w:r>
          </w:p>
        </w:tc>
        <w:tc>
          <w:tcPr>
            <w:tcW w:type="dxa" w:w="1036"/>
            <w:vAlign w:val="top"/>
          </w:tcPr>
          <w:p>
            <w:pPr>
              <w:spacing w:after="40" w:before="0" w:line="259" w:lineRule="auto"/>
            </w:pPr>
            <w:r>
              <w:rPr>
                <w:rFonts w:ascii="Calibri" w:hAnsi="Calibri"/>
                <w:b w:val="0"/>
                <w:i w:val="0"/>
                <w:color w:val="212121"/>
                <w:sz w:val="16"/>
              </w:rPr>
              <w:t>Identifies modifiable causes to target in treatment and prevention</w:t>
            </w:r>
          </w:p>
        </w:tc>
        <w:tc>
          <w:tcPr>
            <w:tcW w:type="dxa" w:w="1036"/>
            <w:vAlign w:val="top"/>
          </w:tcPr>
          <w:p>
            <w:pPr>
              <w:spacing w:after="40" w:before="0" w:line="259" w:lineRule="auto"/>
            </w:pPr>
            <w:r>
              <w:rPr>
                <w:rFonts w:ascii="Calibri" w:hAnsi="Calibri"/>
                <w:b w:val="0"/>
                <w:i w:val="0"/>
                <w:color w:val="212121"/>
                <w:sz w:val="16"/>
              </w:rPr>
              <w:t>Swimmers, habitual cleaners, earbud/hearing-aid users</w:t>
            </w:r>
          </w:p>
        </w:tc>
        <w:tc>
          <w:tcPr>
            <w:tcW w:type="dxa" w:w="720"/>
            <w:vAlign w:val="top"/>
          </w:tcPr>
          <w:p>
            <w:pPr>
              <w:spacing w:after="40" w:before="0" w:line="259" w:lineRule="auto"/>
            </w:pPr>
            <w:r>
              <w:rPr>
                <w:rFonts w:ascii="Calibri" w:hAnsi="Calibri"/>
                <w:b w:val="0"/>
                <w:i w:val="0"/>
                <w:color w:val="212121"/>
                <w:sz w:val="16"/>
              </w:rPr>
              <w:t>Water; Hygiene;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 to preventing recurrence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Modifying-factor &amp; red-flag screen</w:t>
            </w:r>
          </w:p>
        </w:tc>
        <w:tc>
          <w:tcPr>
            <w:tcW w:type="dxa" w:w="979"/>
            <w:vAlign w:val="top"/>
          </w:tcPr>
          <w:p>
            <w:pPr>
              <w:spacing w:after="40" w:before="0" w:line="259" w:lineRule="auto"/>
            </w:pPr>
            <w:r>
              <w:rPr>
                <w:rFonts w:ascii="Calibri" w:hAnsi="Calibri"/>
                <w:b w:val="0"/>
                <w:i w:val="0"/>
                <w:color w:val="212121"/>
                <w:sz w:val="16"/>
              </w:rPr>
              <w:t>Diabetes, immunocompromise, non-intact TM, prior radiotherapy; severe nocturnal pain, facial weakness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Determines management, need for imaging and referral; flags necrotising OE</w:t>
            </w:r>
          </w:p>
        </w:tc>
        <w:tc>
          <w:tcPr>
            <w:tcW w:type="dxa" w:w="1036"/>
            <w:vAlign w:val="top"/>
          </w:tcPr>
          <w:p>
            <w:pPr>
              <w:spacing w:after="40" w:before="0" w:line="259" w:lineRule="auto"/>
            </w:pPr>
            <w:r>
              <w:rPr>
                <w:rFonts w:ascii="Calibri" w:hAnsi="Calibri"/>
                <w:b w:val="0"/>
                <w:i w:val="0"/>
                <w:color w:val="212121"/>
                <w:sz w:val="16"/>
              </w:rPr>
              <w:t>Diabetics, immunocompromised, elderly with disproportionate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Diabetes and immunocompromise are guideline modifying factors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Tragal/pinna manipulation test</w:t>
            </w:r>
          </w:p>
        </w:tc>
        <w:tc>
          <w:tcPr>
            <w:tcW w:type="dxa" w:w="979"/>
            <w:vAlign w:val="top"/>
          </w:tcPr>
          <w:p>
            <w:pPr>
              <w:spacing w:after="40" w:before="0" w:line="259" w:lineRule="auto"/>
            </w:pPr>
            <w:r>
              <w:rPr>
                <w:rFonts w:ascii="Calibri" w:hAnsi="Calibri"/>
                <w:b w:val="0"/>
                <w:i w:val="0"/>
                <w:color w:val="212121"/>
                <w:sz w:val="16"/>
              </w:rPr>
              <w:t>Pain on tragal pressure or pulling the pinna</w:t>
            </w:r>
          </w:p>
        </w:tc>
        <w:tc>
          <w:tcPr>
            <w:tcW w:type="dxa" w:w="950"/>
            <w:vAlign w:val="top"/>
          </w:tcPr>
          <w:p>
            <w:pPr>
              <w:spacing w:after="40" w:before="0" w:line="259" w:lineRule="auto"/>
            </w:pPr>
            <w:r>
              <w:rPr>
                <w:rFonts w:ascii="Calibri" w:hAnsi="Calibri"/>
                <w:b w:val="0"/>
                <w:i w:val="0"/>
                <w:color w:val="212121"/>
                <w:sz w:val="16"/>
              </w:rPr>
              <w:t>No pain on manipulation</w:t>
            </w:r>
          </w:p>
        </w:tc>
        <w:tc>
          <w:tcPr>
            <w:tcW w:type="dxa" w:w="950"/>
            <w:vAlign w:val="top"/>
          </w:tcPr>
          <w:p>
            <w:pPr>
              <w:spacing w:after="40" w:before="0" w:line="259" w:lineRule="auto"/>
            </w:pPr>
            <w:r>
              <w:rPr>
                <w:rFonts w:ascii="Calibri" w:hAnsi="Calibri"/>
                <w:b w:val="0"/>
                <w:i w:val="0"/>
                <w:color w:val="212121"/>
                <w:sz w:val="16"/>
              </w:rPr>
              <w:t>Marked tenderness on tragal pressure / pinna traction</w:t>
            </w:r>
          </w:p>
        </w:tc>
        <w:tc>
          <w:tcPr>
            <w:tcW w:type="dxa" w:w="1036"/>
            <w:vAlign w:val="top"/>
          </w:tcPr>
          <w:p>
            <w:pPr>
              <w:spacing w:after="40" w:before="0" w:line="259" w:lineRule="auto"/>
            </w:pPr>
            <w:r>
              <w:rPr>
                <w:rFonts w:ascii="Calibri" w:hAnsi="Calibri"/>
                <w:b w:val="0"/>
                <w:i w:val="0"/>
                <w:color w:val="212121"/>
                <w:sz w:val="16"/>
              </w:rPr>
              <w:t>Hallmark that distinguishes otitis externa from acute otitis media</w:t>
            </w:r>
          </w:p>
        </w:tc>
        <w:tc>
          <w:tcPr>
            <w:tcW w:type="dxa" w:w="1036"/>
            <w:vAlign w:val="top"/>
          </w:tcPr>
          <w:p>
            <w:pPr>
              <w:spacing w:after="40" w:before="0" w:line="259" w:lineRule="auto"/>
            </w:pPr>
            <w:r>
              <w:rPr>
                <w:rFonts w:ascii="Calibri" w:hAnsi="Calibri"/>
                <w:b w:val="0"/>
                <w:i w:val="0"/>
                <w:color w:val="212121"/>
                <w:sz w:val="16"/>
              </w:rPr>
              <w:t>All patients with otalgia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Quick, specific bedside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Otoscopy</w:t>
            </w:r>
          </w:p>
        </w:tc>
        <w:tc>
          <w:tcPr>
            <w:tcW w:type="dxa" w:w="950"/>
            <w:vAlign w:val="top"/>
          </w:tcPr>
          <w:p>
            <w:pPr>
              <w:spacing w:after="40" w:before="0" w:line="259" w:lineRule="auto"/>
            </w:pPr>
            <w:r>
              <w:rPr>
                <w:rFonts w:ascii="Calibri" w:hAnsi="Calibri"/>
                <w:b w:val="0"/>
                <w:i w:val="0"/>
                <w:color w:val="212121"/>
                <w:sz w:val="16"/>
              </w:rPr>
              <w:t>Direct canal inspection</w:t>
            </w:r>
          </w:p>
        </w:tc>
        <w:tc>
          <w:tcPr>
            <w:tcW w:type="dxa" w:w="979"/>
            <w:vAlign w:val="top"/>
          </w:tcPr>
          <w:p>
            <w:pPr>
              <w:spacing w:after="40" w:before="0" w:line="259" w:lineRule="auto"/>
            </w:pPr>
            <w:r>
              <w:rPr>
                <w:rFonts w:ascii="Calibri" w:hAnsi="Calibri"/>
                <w:b w:val="0"/>
                <w:i w:val="0"/>
                <w:color w:val="212121"/>
                <w:sz w:val="16"/>
              </w:rPr>
              <w:t>Canal oedema/erythema, debris/discharge, fungal elements, TM status</w:t>
            </w:r>
          </w:p>
        </w:tc>
        <w:tc>
          <w:tcPr>
            <w:tcW w:type="dxa" w:w="950"/>
            <w:vAlign w:val="top"/>
          </w:tcPr>
          <w:p>
            <w:pPr>
              <w:spacing w:after="40" w:before="0" w:line="259" w:lineRule="auto"/>
            </w:pPr>
            <w:r>
              <w:rPr>
                <w:rFonts w:ascii="Calibri" w:hAnsi="Calibri"/>
                <w:b w:val="0"/>
                <w:i w:val="0"/>
                <w:color w:val="212121"/>
                <w:sz w:val="16"/>
              </w:rPr>
              <w:t>Patent, non-inflamed canal; drum intact</w:t>
            </w:r>
          </w:p>
        </w:tc>
        <w:tc>
          <w:tcPr>
            <w:tcW w:type="dxa" w:w="950"/>
            <w:vAlign w:val="top"/>
          </w:tcPr>
          <w:p>
            <w:pPr>
              <w:spacing w:after="40" w:before="0" w:line="259" w:lineRule="auto"/>
            </w:pPr>
            <w:r>
              <w:rPr>
                <w:rFonts w:ascii="Calibri" w:hAnsi="Calibri"/>
                <w:b w:val="0"/>
                <w:i w:val="0"/>
                <w:color w:val="212121"/>
                <w:sz w:val="16"/>
              </w:rPr>
              <w:t>Diffusely swollen, red canal with debris; fungal hyphae in otomycosis</w:t>
            </w:r>
          </w:p>
        </w:tc>
        <w:tc>
          <w:tcPr>
            <w:tcW w:type="dxa" w:w="1036"/>
            <w:vAlign w:val="top"/>
          </w:tcPr>
          <w:p>
            <w:pPr>
              <w:spacing w:after="40" w:before="0" w:line="259" w:lineRule="auto"/>
            </w:pPr>
            <w:r>
              <w:rPr>
                <w:rFonts w:ascii="Calibri" w:hAnsi="Calibri"/>
                <w:b w:val="0"/>
                <w:i w:val="0"/>
                <w:color w:val="212121"/>
                <w:sz w:val="16"/>
              </w:rPr>
              <w:t>Confirms otitis externa and its type; the diagnostic cornerstone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Look for a furuncle (localised OE) and assess drum integrity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Regional exam</w:t>
            </w:r>
          </w:p>
        </w:tc>
        <w:tc>
          <w:tcPr>
            <w:tcW w:type="dxa" w:w="950"/>
            <w:vAlign w:val="top"/>
          </w:tcPr>
          <w:p>
            <w:pPr>
              <w:spacing w:after="40" w:before="0" w:line="259" w:lineRule="auto"/>
            </w:pPr>
            <w:r>
              <w:rPr>
                <w:rFonts w:ascii="Calibri" w:hAnsi="Calibri"/>
                <w:b w:val="0"/>
                <w:i w:val="0"/>
                <w:color w:val="212121"/>
                <w:sz w:val="16"/>
              </w:rPr>
              <w:t>Peri-auricular &amp; cranial-nerve assessment</w:t>
            </w:r>
          </w:p>
        </w:tc>
        <w:tc>
          <w:tcPr>
            <w:tcW w:type="dxa" w:w="979"/>
            <w:vAlign w:val="top"/>
          </w:tcPr>
          <w:p>
            <w:pPr>
              <w:spacing w:after="40" w:before="0" w:line="259" w:lineRule="auto"/>
            </w:pPr>
            <w:r>
              <w:rPr>
                <w:rFonts w:ascii="Calibri" w:hAnsi="Calibri"/>
                <w:b w:val="0"/>
                <w:i w:val="0"/>
                <w:color w:val="212121"/>
                <w:sz w:val="16"/>
              </w:rPr>
              <w:t>Pre/post-auricular nodes, pinna/facial cellulitis, facial-nerve function</w:t>
            </w:r>
          </w:p>
        </w:tc>
        <w:tc>
          <w:tcPr>
            <w:tcW w:type="dxa" w:w="950"/>
            <w:vAlign w:val="top"/>
          </w:tcPr>
          <w:p>
            <w:pPr>
              <w:spacing w:after="40" w:before="0" w:line="259" w:lineRule="auto"/>
            </w:pPr>
            <w:r>
              <w:rPr>
                <w:rFonts w:ascii="Calibri" w:hAnsi="Calibri"/>
                <w:b w:val="0"/>
                <w:i w:val="0"/>
                <w:color w:val="212121"/>
                <w:sz w:val="16"/>
              </w:rPr>
              <w:t>No nodes, cellulitis or nerve deficit</w:t>
            </w:r>
          </w:p>
        </w:tc>
        <w:tc>
          <w:tcPr>
            <w:tcW w:type="dxa" w:w="950"/>
            <w:vAlign w:val="top"/>
          </w:tcPr>
          <w:p>
            <w:pPr>
              <w:spacing w:after="40" w:before="0" w:line="259" w:lineRule="auto"/>
            </w:pPr>
            <w:r>
              <w:rPr>
                <w:rFonts w:ascii="Calibri" w:hAnsi="Calibri"/>
                <w:b w:val="0"/>
                <w:i w:val="0"/>
                <w:color w:val="212121"/>
                <w:sz w:val="16"/>
              </w:rPr>
              <w:t>Lymphadenopathy, spreading cellulitis or cranial-nerve palsy</w:t>
            </w:r>
          </w:p>
        </w:tc>
        <w:tc>
          <w:tcPr>
            <w:tcW w:type="dxa" w:w="1036"/>
            <w:vAlign w:val="top"/>
          </w:tcPr>
          <w:p>
            <w:pPr>
              <w:spacing w:after="40" w:before="0" w:line="259" w:lineRule="auto"/>
            </w:pPr>
            <w:r>
              <w:rPr>
                <w:rFonts w:ascii="Calibri" w:hAnsi="Calibri"/>
                <w:b w:val="0"/>
                <w:i w:val="0"/>
                <w:color w:val="212121"/>
                <w:sz w:val="16"/>
              </w:rPr>
              <w:t>Detects regional spread and features of necrotising otitis externa</w:t>
            </w:r>
          </w:p>
        </w:tc>
        <w:tc>
          <w:tcPr>
            <w:tcW w:type="dxa" w:w="1036"/>
            <w:vAlign w:val="top"/>
          </w:tcPr>
          <w:p>
            <w:pPr>
              <w:spacing w:after="40" w:before="0" w:line="259" w:lineRule="auto"/>
            </w:pPr>
            <w:r>
              <w:rPr>
                <w:rFonts w:ascii="Calibri" w:hAnsi="Calibri"/>
                <w:b w:val="0"/>
                <w:i w:val="0"/>
                <w:color w:val="212121"/>
                <w:sz w:val="16"/>
              </w:rPr>
              <w:t>Severe, spreading or non-resolving cases; diabetics/elderly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Facial-nerve palsy is an ominous sign of skull-base involvement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Otomicroscopy</w:t>
            </w:r>
          </w:p>
        </w:tc>
        <w:tc>
          <w:tcPr>
            <w:tcW w:type="dxa" w:w="950"/>
            <w:vAlign w:val="top"/>
          </w:tcPr>
          <w:p>
            <w:pPr>
              <w:spacing w:after="40" w:before="0" w:line="259" w:lineRule="auto"/>
            </w:pPr>
            <w:r>
              <w:rPr>
                <w:rFonts w:ascii="Calibri" w:hAnsi="Calibri"/>
                <w:b w:val="0"/>
                <w:i w:val="0"/>
                <w:color w:val="212121"/>
                <w:sz w:val="16"/>
              </w:rPr>
              <w:t>Magnified exam, aural toilet &amp; wick</w:t>
            </w:r>
          </w:p>
        </w:tc>
        <w:tc>
          <w:tcPr>
            <w:tcW w:type="dxa" w:w="979"/>
            <w:vAlign w:val="top"/>
          </w:tcPr>
          <w:p>
            <w:pPr>
              <w:spacing w:after="40" w:before="0" w:line="259" w:lineRule="auto"/>
            </w:pPr>
            <w:r>
              <w:rPr>
                <w:rFonts w:ascii="Calibri" w:hAnsi="Calibri"/>
                <w:b w:val="0"/>
                <w:i w:val="0"/>
                <w:color w:val="212121"/>
                <w:sz w:val="16"/>
              </w:rPr>
              <w:t>Microscopic canal/TM view; cleaning and wick placement</w:t>
            </w:r>
          </w:p>
        </w:tc>
        <w:tc>
          <w:tcPr>
            <w:tcW w:type="dxa" w:w="950"/>
            <w:vAlign w:val="top"/>
          </w:tcPr>
          <w:p>
            <w:pPr>
              <w:spacing w:after="40" w:before="0" w:line="259" w:lineRule="auto"/>
            </w:pPr>
            <w:r>
              <w:rPr>
                <w:rFonts w:ascii="Calibri" w:hAnsi="Calibri"/>
                <w:b w:val="0"/>
                <w:i w:val="0"/>
                <w:color w:val="212121"/>
                <w:sz w:val="16"/>
              </w:rPr>
              <w:t>Clear view; canal cleared of debris</w:t>
            </w:r>
          </w:p>
        </w:tc>
        <w:tc>
          <w:tcPr>
            <w:tcW w:type="dxa" w:w="950"/>
            <w:vAlign w:val="top"/>
          </w:tcPr>
          <w:p>
            <w:pPr>
              <w:spacing w:after="40" w:before="0" w:line="259" w:lineRule="auto"/>
            </w:pPr>
            <w:r>
              <w:rPr>
                <w:rFonts w:ascii="Calibri" w:hAnsi="Calibri"/>
                <w:b w:val="0"/>
                <w:i w:val="0"/>
                <w:color w:val="212121"/>
                <w:sz w:val="16"/>
              </w:rPr>
              <w:t>Adherent debris, granulation, stenosis or underlying disease</w:t>
            </w:r>
          </w:p>
        </w:tc>
        <w:tc>
          <w:tcPr>
            <w:tcW w:type="dxa" w:w="1036"/>
            <w:vAlign w:val="top"/>
          </w:tcPr>
          <w:p>
            <w:pPr>
              <w:spacing w:after="40" w:before="0" w:line="259" w:lineRule="auto"/>
            </w:pPr>
            <w:r>
              <w:rPr>
                <w:rFonts w:ascii="Calibri" w:hAnsi="Calibri"/>
                <w:b w:val="0"/>
                <w:i w:val="0"/>
                <w:color w:val="212121"/>
                <w:sz w:val="16"/>
              </w:rPr>
              <w:t>Enables thorough cleaning (aural toilet) and delivery of topical therapy</w:t>
            </w:r>
          </w:p>
        </w:tc>
        <w:tc>
          <w:tcPr>
            <w:tcW w:type="dxa" w:w="1036"/>
            <w:vAlign w:val="top"/>
          </w:tcPr>
          <w:p>
            <w:pPr>
              <w:spacing w:after="40" w:before="0" w:line="259" w:lineRule="auto"/>
            </w:pPr>
            <w:r>
              <w:rPr>
                <w:rFonts w:ascii="Calibri" w:hAnsi="Calibri"/>
                <w:b w:val="0"/>
                <w:i w:val="0"/>
                <w:color w:val="212121"/>
                <w:sz w:val="16"/>
              </w:rPr>
              <w:t>Debris-filled, swollen or refractory canals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Aural toilet and a wick when the canal is occluded improve drug delivery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Otalgia (ear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intense, worse on chewing and on pressing the tragus or pulling the pinna; may be out of proportion to visible findings.</w:t>
            </w:r>
          </w:p>
        </w:tc>
      </w:tr>
      <w:tr>
        <w:trPr>
          <w:cantSplit/>
        </w:trPr>
        <w:tc>
          <w:tcPr>
            <w:tcW w:type="dxa" w:w="2304"/>
            <w:vAlign w:val="top"/>
          </w:tcPr>
          <w:p>
            <w:pPr>
              <w:spacing w:after="40" w:before="0" w:line="259" w:lineRule="auto"/>
            </w:pPr>
            <w:r>
              <w:rPr>
                <w:rFonts w:ascii="Calibri" w:hAnsi="Calibri"/>
                <w:b/>
                <w:i w:val="0"/>
                <w:color w:val="212121"/>
                <w:sz w:val="19"/>
              </w:rPr>
              <w:t>Itching (pruritus) of the ear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prominent early symptom, especially in otomycosis and eczematous otitis externa; scratching perpetuates the problem.</w:t>
            </w:r>
          </w:p>
        </w:tc>
      </w:tr>
      <w:tr>
        <w:trPr>
          <w:cantSplit/>
        </w:trPr>
        <w:tc>
          <w:tcPr>
            <w:tcW w:type="dxa" w:w="2304"/>
            <w:vAlign w:val="top"/>
          </w:tcPr>
          <w:p>
            <w:pPr>
              <w:spacing w:after="40" w:before="0" w:line="259" w:lineRule="auto"/>
            </w:pPr>
            <w:r>
              <w:rPr>
                <w:rFonts w:ascii="Calibri" w:hAnsi="Calibri"/>
                <w:b/>
                <w:i w:val="0"/>
                <w:color w:val="212121"/>
                <w:sz w:val="19"/>
              </w:rPr>
              <w:t>Ear fullness / blocked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sense of pressure or plugging as the canal swells and fills with debris or discharge.</w:t>
            </w:r>
          </w:p>
        </w:tc>
      </w:tr>
      <w:tr>
        <w:trPr>
          <w:cantSplit/>
        </w:trPr>
        <w:tc>
          <w:tcPr>
            <w:tcW w:type="dxa" w:w="2304"/>
            <w:vAlign w:val="top"/>
          </w:tcPr>
          <w:p>
            <w:pPr>
              <w:spacing w:after="40" w:before="0" w:line="259" w:lineRule="auto"/>
            </w:pPr>
            <w:r>
              <w:rPr>
                <w:rFonts w:ascii="Calibri" w:hAnsi="Calibri"/>
                <w:b/>
                <w:i w:val="0"/>
                <w:color w:val="212121"/>
                <w:sz w:val="19"/>
              </w:rPr>
              <w:t>Otorrhoea (ear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Watery, purulent or, in otomycosis, cheesy/fungal debris; may be foul-smelling.</w:t>
            </w:r>
          </w:p>
        </w:tc>
      </w:tr>
      <w:tr>
        <w:trPr>
          <w:cantSplit/>
        </w:trPr>
        <w:tc>
          <w:tcPr>
            <w:tcW w:type="dxa" w:w="2304"/>
            <w:vAlign w:val="top"/>
          </w:tcPr>
          <w:p>
            <w:pPr>
              <w:spacing w:after="40" w:before="0" w:line="259" w:lineRule="auto"/>
            </w:pPr>
            <w:r>
              <w:rPr>
                <w:rFonts w:ascii="Calibri" w:hAnsi="Calibri"/>
                <w:b/>
                <w:i w:val="0"/>
                <w:color w:val="212121"/>
                <w:sz w:val="19"/>
              </w:rPr>
              <w:t>Hearing loss (muffled hearing)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Conductive loss from canal oedema, debris or discharge occluding the lumen; reversible with treatment.</w:t>
            </w:r>
          </w:p>
        </w:tc>
      </w:tr>
      <w:tr>
        <w:trPr>
          <w:cantSplit/>
        </w:trPr>
        <w:tc>
          <w:tcPr>
            <w:tcW w:type="dxa" w:w="2304"/>
            <w:vAlign w:val="top"/>
          </w:tcPr>
          <w:p>
            <w:pPr>
              <w:spacing w:after="40" w:before="0" w:line="259" w:lineRule="auto"/>
            </w:pPr>
            <w:r>
              <w:rPr>
                <w:rFonts w:ascii="Calibri" w:hAnsi="Calibri"/>
                <w:b/>
                <w:i w:val="0"/>
                <w:color w:val="212121"/>
                <w:sz w:val="19"/>
              </w:rPr>
              <w:t>Pain on jaw movement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Chewing or talking moves the cartilaginous canal and aggravates pain.</w:t>
            </w:r>
          </w:p>
        </w:tc>
      </w:tr>
      <w:tr>
        <w:trPr>
          <w:cantSplit/>
        </w:trPr>
        <w:tc>
          <w:tcPr>
            <w:tcW w:type="dxa" w:w="2304"/>
            <w:vAlign w:val="top"/>
          </w:tcPr>
          <w:p>
            <w:pPr>
              <w:spacing w:after="40" w:before="0" w:line="259" w:lineRule="auto"/>
            </w:pPr>
            <w:r>
              <w:rPr>
                <w:rFonts w:ascii="Calibri" w:hAnsi="Calibri"/>
                <w:b/>
                <w:i w:val="0"/>
                <w:color w:val="212121"/>
                <w:sz w:val="19"/>
              </w:rPr>
              <w:t>Tinnitus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Ringing or buzzing accompanying canal occlusion; usually eases as inflammation settles.</w:t>
            </w:r>
          </w:p>
        </w:tc>
      </w:tr>
      <w:tr>
        <w:trPr>
          <w:cantSplit/>
        </w:trPr>
        <w:tc>
          <w:tcPr>
            <w:tcW w:type="dxa" w:w="2304"/>
            <w:vAlign w:val="top"/>
          </w:tcPr>
          <w:p>
            <w:pPr>
              <w:spacing w:after="40" w:before="0" w:line="259" w:lineRule="auto"/>
            </w:pPr>
            <w:r>
              <w:rPr>
                <w:rFonts w:ascii="Calibri" w:hAnsi="Calibri"/>
                <w:b/>
                <w:i w:val="0"/>
                <w:color w:val="212121"/>
                <w:sz w:val="19"/>
              </w:rPr>
              <w:t>Tender / swollen lymph nodes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Pre-auricular or upper-cervical nodes enlarge with spreading infection.</w:t>
            </w:r>
          </w:p>
        </w:tc>
      </w:tr>
      <w:tr>
        <w:trPr>
          <w:cantSplit/>
        </w:trPr>
        <w:tc>
          <w:tcPr>
            <w:tcW w:type="dxa" w:w="2304"/>
            <w:vAlign w:val="top"/>
          </w:tcPr>
          <w:p>
            <w:pPr>
              <w:spacing w:after="40" w:before="0" w:line="259" w:lineRule="auto"/>
            </w:pPr>
            <w:r>
              <w:rPr>
                <w:rFonts w:ascii="Calibri" w:hAnsi="Calibri"/>
                <w:b/>
                <w:i w:val="0"/>
                <w:color w:val="212121"/>
                <w:sz w:val="19"/>
              </w:rPr>
              <w:t>Fever and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spreading cellulitis or a more severe or necrotising infection.</w:t>
            </w:r>
          </w:p>
        </w:tc>
      </w:tr>
      <w:tr>
        <w:trPr>
          <w:cantSplit/>
        </w:trPr>
        <w:tc>
          <w:tcPr>
            <w:tcW w:type="dxa" w:w="2304"/>
            <w:vAlign w:val="top"/>
          </w:tcPr>
          <w:p>
            <w:pPr>
              <w:spacing w:after="40" w:before="0" w:line="259" w:lineRule="auto"/>
            </w:pPr>
            <w:r>
              <w:rPr>
                <w:rFonts w:ascii="Calibri" w:hAnsi="Calibri"/>
                <w:b/>
                <w:i w:val="0"/>
                <w:color w:val="212121"/>
                <w:sz w:val="19"/>
              </w:rPr>
              <w:t>Localised painful swelling (furuncle)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tender lump in the outer canal in acute localised otitis externa; may point and discharge pus.</w:t>
            </w:r>
          </w:p>
        </w:tc>
      </w:tr>
      <w:tr>
        <w:trPr>
          <w:cantSplit/>
        </w:trPr>
        <w:tc>
          <w:tcPr>
            <w:tcW w:type="dxa" w:w="2304"/>
            <w:vAlign w:val="top"/>
          </w:tcPr>
          <w:p>
            <w:pPr>
              <w:spacing w:after="40" w:before="0" w:line="259" w:lineRule="auto"/>
            </w:pPr>
            <w:r>
              <w:rPr>
                <w:rFonts w:ascii="Calibri" w:hAnsi="Calibri"/>
                <w:b/>
                <w:i w:val="0"/>
                <w:color w:val="212121"/>
                <w:sz w:val="19"/>
              </w:rPr>
              <w:t>Severe unremitting deep / nocturnal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Persistent deep pain out of proportion to the signs is a warning of necrotising (malignant) otitis externa.</w:t>
            </w:r>
          </w:p>
        </w:tc>
      </w:tr>
      <w:tr>
        <w:trPr>
          <w:cantSplit/>
        </w:trPr>
        <w:tc>
          <w:tcPr>
            <w:tcW w:type="dxa" w:w="2304"/>
            <w:vAlign w:val="top"/>
          </w:tcPr>
          <w:p>
            <w:pPr>
              <w:spacing w:after="40" w:before="0" w:line="259" w:lineRule="auto"/>
            </w:pPr>
            <w:r>
              <w:rPr>
                <w:rFonts w:ascii="Calibri" w:hAnsi="Calibri"/>
                <w:b/>
                <w:i w:val="0"/>
                <w:color w:val="212121"/>
                <w:sz w:val="19"/>
              </w:rPr>
              <w:t>Facial weakness / cranial-nerve symptoms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Facial-nerve palsy (or IX-XII involvement) signals skull-base spread in necrotising otitis externa; dizziness may also occur.</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Tragal tenderness / pain on pinna traction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classic sign distinguishing otitis externa from acute otitis media.</w:t>
            </w:r>
          </w:p>
        </w:tc>
      </w:tr>
      <w:tr>
        <w:trPr>
          <w:cantSplit/>
        </w:trPr>
        <w:tc>
          <w:tcPr>
            <w:tcW w:type="dxa" w:w="3456"/>
            <w:vAlign w:val="top"/>
          </w:tcPr>
          <w:p>
            <w:pPr>
              <w:spacing w:after="40" w:before="0" w:line="259" w:lineRule="auto"/>
            </w:pPr>
            <w:r>
              <w:rPr>
                <w:rFonts w:ascii="Calibri" w:hAnsi="Calibri"/>
                <w:b/>
                <w:i w:val="0"/>
                <w:color w:val="212121"/>
                <w:sz w:val="19"/>
              </w:rPr>
              <w:t>Diffuse canal oedema and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swollen, red, often narrowed canal on otoscopy - the hallmark of acute diffuse OE.</w:t>
            </w:r>
          </w:p>
        </w:tc>
      </w:tr>
      <w:tr>
        <w:trPr>
          <w:cantSplit/>
        </w:trPr>
        <w:tc>
          <w:tcPr>
            <w:tcW w:type="dxa" w:w="3456"/>
            <w:vAlign w:val="top"/>
          </w:tcPr>
          <w:p>
            <w:pPr>
              <w:spacing w:after="40" w:before="0" w:line="259" w:lineRule="auto"/>
            </w:pPr>
            <w:r>
              <w:rPr>
                <w:rFonts w:ascii="Calibri" w:hAnsi="Calibri"/>
                <w:b/>
                <w:i w:val="0"/>
                <w:color w:val="212121"/>
                <w:sz w:val="19"/>
              </w:rPr>
              <w:t>Otorrhoea and canal debris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Discharge and moist debris filling the canal, sometimes obscuring the tympanic membrane.</w:t>
            </w:r>
          </w:p>
        </w:tc>
      </w:tr>
      <w:tr>
        <w:trPr>
          <w:cantSplit/>
        </w:trPr>
        <w:tc>
          <w:tcPr>
            <w:tcW w:type="dxa" w:w="3456"/>
            <w:vAlign w:val="top"/>
          </w:tcPr>
          <w:p>
            <w:pPr>
              <w:spacing w:after="40" w:before="0" w:line="259" w:lineRule="auto"/>
            </w:pPr>
            <w:r>
              <w:rPr>
                <w:rFonts w:ascii="Calibri" w:hAnsi="Calibri"/>
                <w:b/>
                <w:i w:val="0"/>
                <w:color w:val="212121"/>
                <w:sz w:val="19"/>
              </w:rPr>
              <w:t>Narrowed / occluded external canal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Marked swelling can nearly close the canal, causing conductive hearing loss and hampering examination.</w:t>
            </w:r>
          </w:p>
        </w:tc>
      </w:tr>
      <w:tr>
        <w:trPr>
          <w:cantSplit/>
        </w:trPr>
        <w:tc>
          <w:tcPr>
            <w:tcW w:type="dxa" w:w="3456"/>
            <w:vAlign w:val="top"/>
          </w:tcPr>
          <w:p>
            <w:pPr>
              <w:spacing w:after="40" w:before="0" w:line="259" w:lineRule="auto"/>
            </w:pPr>
            <w:r>
              <w:rPr>
                <w:rFonts w:ascii="Calibri" w:hAnsi="Calibri"/>
                <w:b/>
                <w:i w:val="0"/>
                <w:color w:val="212121"/>
                <w:sz w:val="19"/>
              </w:rPr>
              <w:t>Tympanic membrane obscured or erythematous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drum may be inflamed or hidden by swelling and debris but is not bulging as in otitis media.</w:t>
            </w:r>
          </w:p>
        </w:tc>
      </w:tr>
      <w:tr>
        <w:trPr>
          <w:cantSplit/>
        </w:trPr>
        <w:tc>
          <w:tcPr>
            <w:tcW w:type="dxa" w:w="3456"/>
            <w:vAlign w:val="top"/>
          </w:tcPr>
          <w:p>
            <w:pPr>
              <w:spacing w:after="40" w:before="0" w:line="259" w:lineRule="auto"/>
            </w:pPr>
            <w:r>
              <w:rPr>
                <w:rFonts w:ascii="Calibri" w:hAnsi="Calibri"/>
                <w:b/>
                <w:i w:val="0"/>
                <w:color w:val="212121"/>
                <w:sz w:val="19"/>
              </w:rPr>
              <w:t>Fungal hyphae / spores in the canal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Fluffy white, grey or black growth ('wet blotting-paper', or black-headed Aspergillus niger conidia) indicating otomycosis.</w:t>
            </w:r>
          </w:p>
        </w:tc>
      </w:tr>
      <w:tr>
        <w:trPr>
          <w:cantSplit/>
        </w:trPr>
        <w:tc>
          <w:tcPr>
            <w:tcW w:type="dxa" w:w="3456"/>
            <w:vAlign w:val="top"/>
          </w:tcPr>
          <w:p>
            <w:pPr>
              <w:spacing w:after="40" w:before="0" w:line="259" w:lineRule="auto"/>
            </w:pPr>
            <w:r>
              <w:rPr>
                <w:rFonts w:ascii="Calibri" w:hAnsi="Calibri"/>
                <w:b/>
                <w:i w:val="0"/>
                <w:color w:val="212121"/>
                <w:sz w:val="19"/>
              </w:rPr>
              <w:t>Regional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 pre-auricular, post-auricular or upper-cervical nodes with spreading infection.</w:t>
            </w:r>
          </w:p>
        </w:tc>
      </w:tr>
      <w:tr>
        <w:trPr>
          <w:cantSplit/>
        </w:trPr>
        <w:tc>
          <w:tcPr>
            <w:tcW w:type="dxa" w:w="3456"/>
            <w:vAlign w:val="top"/>
          </w:tcPr>
          <w:p>
            <w:pPr>
              <w:spacing w:after="40" w:before="0" w:line="259" w:lineRule="auto"/>
            </w:pPr>
            <w:r>
              <w:rPr>
                <w:rFonts w:ascii="Calibri" w:hAnsi="Calibri"/>
                <w:b/>
                <w:i w:val="0"/>
                <w:color w:val="212121"/>
                <w:sz w:val="19"/>
              </w:rPr>
              <w:t>Localised furuncle in the outer canal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discrete, tender, pointing swelling of a hair follicle in acute localised OE.</w:t>
            </w:r>
          </w:p>
        </w:tc>
      </w:tr>
      <w:tr>
        <w:trPr>
          <w:cantSplit/>
        </w:trPr>
        <w:tc>
          <w:tcPr>
            <w:tcW w:type="dxa" w:w="3456"/>
            <w:vAlign w:val="top"/>
          </w:tcPr>
          <w:p>
            <w:pPr>
              <w:spacing w:after="40" w:before="0" w:line="259" w:lineRule="auto"/>
            </w:pPr>
            <w:r>
              <w:rPr>
                <w:rFonts w:ascii="Calibri" w:hAnsi="Calibri"/>
                <w:b/>
                <w:i w:val="0"/>
                <w:color w:val="212121"/>
                <w:sz w:val="19"/>
              </w:rPr>
              <w:t>Eczematous / scaling canal skin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Dry, flaky, fissured or weeping skin in eczematous otitis externa and canal dermatoses.</w:t>
            </w:r>
          </w:p>
        </w:tc>
      </w:tr>
      <w:tr>
        <w:trPr>
          <w:cantSplit/>
        </w:trPr>
        <w:tc>
          <w:tcPr>
            <w:tcW w:type="dxa" w:w="3456"/>
            <w:vAlign w:val="top"/>
          </w:tcPr>
          <w:p>
            <w:pPr>
              <w:spacing w:after="40" w:before="0" w:line="259" w:lineRule="auto"/>
            </w:pPr>
            <w:r>
              <w:rPr>
                <w:rFonts w:ascii="Calibri" w:hAnsi="Calibri"/>
                <w:b/>
                <w:i w:val="0"/>
                <w:color w:val="212121"/>
                <w:sz w:val="19"/>
              </w:rPr>
              <w:t>Peri-auricular cellulitis / perichondritis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Spread to the pinna and surrounding skin with erythema, swelling and tenderness.</w:t>
            </w:r>
          </w:p>
        </w:tc>
      </w:tr>
      <w:tr>
        <w:trPr>
          <w:cantSplit/>
        </w:trPr>
        <w:tc>
          <w:tcPr>
            <w:tcW w:type="dxa" w:w="3456"/>
            <w:vAlign w:val="top"/>
          </w:tcPr>
          <w:p>
            <w:pPr>
              <w:spacing w:after="40" w:before="0" w:line="259" w:lineRule="auto"/>
            </w:pPr>
            <w:r>
              <w:rPr>
                <w:rFonts w:ascii="Calibri" w:hAnsi="Calibri"/>
                <w:b/>
                <w:i w:val="0"/>
                <w:color w:val="212121"/>
                <w:sz w:val="19"/>
              </w:rPr>
              <w:t>Granulation tissue at the bony-cartilaginous junction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Granulation in the floor of the deep canal is a cardinal sign of necrotising otitis externa.</w:t>
            </w:r>
          </w:p>
        </w:tc>
      </w:tr>
      <w:tr>
        <w:trPr>
          <w:cantSplit/>
        </w:trPr>
        <w:tc>
          <w:tcPr>
            <w:tcW w:type="dxa" w:w="3456"/>
            <w:vAlign w:val="top"/>
          </w:tcPr>
          <w:p>
            <w:pPr>
              <w:spacing w:after="40" w:before="0" w:line="259" w:lineRule="auto"/>
            </w:pPr>
            <w:r>
              <w:rPr>
                <w:rFonts w:ascii="Calibri" w:hAnsi="Calibri"/>
                <w:b/>
                <w:i w:val="0"/>
                <w:color w:val="212121"/>
                <w:sz w:val="19"/>
              </w:rPr>
              <w:t>Cranial-nerve palsy (facial nerve)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Facial-nerve (or lower cranial-nerve) palsy indicates skull-base osteomyelitis in necrotising OE.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otalgia and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Conductive hearing loss from canal oedema, debris and occlusion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otorrhoea and canal debris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chronic otitis externa with troublesome itching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Canal narrowing (stenosis) from chronic inflammation</w:t>
            </w:r>
          </w:p>
        </w:tc>
        <w:tc>
          <w:tcPr>
            <w:tcW w:type="dxa" w:w="2980"/>
            <w:vAlign w:val="top"/>
          </w:tcPr>
          <w:p>
            <w:pPr>
              <w:spacing w:after="40" w:before="0" w:line="259" w:lineRule="auto"/>
            </w:pPr>
            <w:r>
              <w:rPr>
                <w:rFonts w:ascii="Calibri" w:hAnsi="Calibri"/>
                <w:b w:val="0"/>
                <w:i w:val="0"/>
                <w:color w:val="212121"/>
                <w:sz w:val="19"/>
              </w:rPr>
              <w:t>Direct local effects of canal inflammation; most resolve with prompt topical treatment and aural toilet.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Peri-auricular and auricular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Perichondritis / chondritis of the pinna (risk of cartilage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Regional (pre/post-auricular, cervical) lymphadenitis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Myringitis or secondary involvement of the tympanic membrane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Abscess formation from a furuncle (localised OE)</w:t>
            </w:r>
          </w:p>
        </w:tc>
        <w:tc>
          <w:tcPr>
            <w:tcW w:type="dxa" w:w="2980"/>
            <w:vAlign w:val="top"/>
          </w:tcPr>
          <w:p>
            <w:pPr>
              <w:spacing w:after="40" w:before="0" w:line="259" w:lineRule="auto"/>
            </w:pPr>
            <w:r>
              <w:rPr>
                <w:rFonts w:ascii="Calibri" w:hAnsi="Calibri"/>
                <w:b w:val="0"/>
                <w:i w:val="0"/>
                <w:color w:val="212121"/>
                <w:sz w:val="19"/>
              </w:rPr>
              <w:t>Result from local spread of infection beyond the canal skin.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Necrotising (malignant) otitis externa with skull-base osteomyelitis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Cranial-nerve palsies (facial nerve; then IX, X, XI, XII)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Intracranial spread - meningitis, sigmoid-sinus thrombosis, brain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hearing loss and fibrous canal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untreated or advanced necrotising otitis externa</w:t>
            </w:r>
          </w:p>
        </w:tc>
        <w:tc>
          <w:tcPr>
            <w:tcW w:type="dxa" w:w="2980"/>
            <w:vAlign w:val="top"/>
          </w:tcPr>
          <w:p>
            <w:pPr>
              <w:spacing w:after="40" w:before="0" w:line="259" w:lineRule="auto"/>
            </w:pPr>
            <w:r>
              <w:rPr>
                <w:rFonts w:ascii="Calibri" w:hAnsi="Calibri"/>
                <w:b w:val="0"/>
                <w:i w:val="0"/>
                <w:color w:val="212121"/>
                <w:sz w:val="19"/>
              </w:rPr>
              <w:t>Uncommon but severe outcomes, chiefly in elderly diabetics and immunocompromised patients.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key host factor for necrotising (malignant) otitis externa and for recurrent otomycosis; may be undiagnosed at presentation.</w:t>
            </w:r>
          </w:p>
        </w:tc>
      </w:tr>
      <w:tr>
        <w:trPr>
          <w:cantSplit/>
        </w:trPr>
        <w:tc>
          <w:tcPr>
            <w:tcW w:type="dxa" w:w="2232"/>
            <w:vAlign w:val="top"/>
          </w:tcPr>
          <w:p>
            <w:pPr>
              <w:spacing w:after="40" w:before="0" w:line="259" w:lineRule="auto"/>
            </w:pPr>
            <w:r>
              <w:rPr>
                <w:rFonts w:ascii="Calibri" w:hAnsi="Calibri"/>
                <w:b/>
                <w:i w:val="0"/>
                <w:color w:val="212121"/>
                <w:sz w:val="19"/>
              </w:rPr>
              <w:t>Otomycosis (fungal otitis externa)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Fungal infection (chiefly Aspergillus) that complicates or mimics bacterial OE, favoured by humidity and topical antibiotic use.</w:t>
            </w:r>
          </w:p>
          <w:p>
            <w:pPr>
              <w:spacing w:after="40" w:before="0" w:line="259" w:lineRule="auto"/>
            </w:pPr>
            <w:r>
              <w:rPr>
                <w:rFonts w:ascii="Calibri" w:hAnsi="Calibri"/>
                <w:b/>
                <w:i w:val="0"/>
                <w:color w:val="212121"/>
                <w:sz w:val="19"/>
              </w:rPr>
              <w:t>Up to ~10% of otitis externa</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Predisposes to itchy, eczematous otitis externa and secondary infection.</w:t>
            </w:r>
          </w:p>
        </w:tc>
      </w:tr>
      <w:tr>
        <w:trPr>
          <w:cantSplit/>
        </w:trPr>
        <w:tc>
          <w:tcPr>
            <w:tcW w:type="dxa" w:w="2232"/>
            <w:vAlign w:val="top"/>
          </w:tcPr>
          <w:p>
            <w:pPr>
              <w:spacing w:after="40" w:before="0" w:line="259" w:lineRule="auto"/>
            </w:pPr>
            <w:r>
              <w:rPr>
                <w:rFonts w:ascii="Calibri" w:hAnsi="Calibri"/>
                <w:b/>
                <w:i w:val="0"/>
                <w:color w:val="212121"/>
                <w:sz w:val="19"/>
              </w:rPr>
              <w:t>Psoriasis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Canal involvement causes scaling and fissuring that inflame the canal skin.</w:t>
            </w:r>
          </w:p>
        </w:tc>
      </w:tr>
      <w:tr>
        <w:trPr>
          <w:cantSplit/>
        </w:trPr>
        <w:tc>
          <w:tcPr>
            <w:tcW w:type="dxa" w:w="2232"/>
            <w:vAlign w:val="top"/>
          </w:tcPr>
          <w:p>
            <w:pPr>
              <w:spacing w:after="40" w:before="0" w:line="259" w:lineRule="auto"/>
            </w:pPr>
            <w:r>
              <w:rPr>
                <w:rFonts w:ascii="Calibri" w:hAnsi="Calibri"/>
                <w:b/>
                <w:i w:val="0"/>
                <w:color w:val="212121"/>
                <w:sz w:val="19"/>
              </w:rPr>
              <w:t>Seborrhoeic dermatitis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cause of chronic, flaky, itchy eczematous otitis externa.</w:t>
            </w:r>
          </w:p>
        </w:tc>
      </w:tr>
      <w:tr>
        <w:trPr>
          <w:cantSplit/>
        </w:trPr>
        <w:tc>
          <w:tcPr>
            <w:tcW w:type="dxa" w:w="2232"/>
            <w:vAlign w:val="top"/>
          </w:tcPr>
          <w:p>
            <w:pPr>
              <w:spacing w:after="40" w:before="0" w:line="259" w:lineRule="auto"/>
            </w:pPr>
            <w:r>
              <w:rPr>
                <w:rFonts w:ascii="Calibri" w:hAnsi="Calibri"/>
                <w:b/>
                <w:i w:val="0"/>
                <w:color w:val="212121"/>
                <w:sz w:val="19"/>
              </w:rPr>
              <w:t>Allergic contact dermatitis (e.g., neomycin, nickel, cosmetics)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Contact sensitivity - including to topical ear-drop ingredients - inflames the canal and perpetuates OE.</w:t>
            </w:r>
          </w:p>
        </w:tc>
      </w:tr>
      <w:tr>
        <w:trPr>
          <w:cantSplit/>
        </w:trPr>
        <w:tc>
          <w:tcPr>
            <w:tcW w:type="dxa" w:w="2232"/>
            <w:vAlign w:val="top"/>
          </w:tcPr>
          <w:p>
            <w:pPr>
              <w:spacing w:after="40" w:before="0" w:line="259" w:lineRule="auto"/>
            </w:pPr>
            <w:r>
              <w:rPr>
                <w:rFonts w:ascii="Calibri" w:hAnsi="Calibri"/>
                <w:b/>
                <w:i w:val="0"/>
                <w:color w:val="212121"/>
                <w:sz w:val="19"/>
              </w:rPr>
              <w:t>Chronic suppurative otitis media / TM perforation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Chronic middle-ear discharge keeps the canal wet and inflamed, predisposing to chronic OE.</w:t>
            </w:r>
          </w:p>
        </w:tc>
      </w:tr>
      <w:tr>
        <w:trPr>
          <w:cantSplit/>
        </w:trPr>
        <w:tc>
          <w:tcPr>
            <w:tcW w:type="dxa" w:w="2232"/>
            <w:vAlign w:val="top"/>
          </w:tcPr>
          <w:p>
            <w:pPr>
              <w:spacing w:after="40" w:before="0" w:line="259" w:lineRule="auto"/>
            </w:pPr>
            <w:r>
              <w:rPr>
                <w:rFonts w:ascii="Calibri" w:hAnsi="Calibri"/>
                <w:b/>
                <w:i w:val="0"/>
                <w:color w:val="212121"/>
                <w:sz w:val="19"/>
              </w:rPr>
              <w:t>Immunocompromise (HIV, chemotherapy, transplant)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Increases the risk of severe, fungal and necrotising otitis externa.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ears dry: after swimming, bathing or head-washing, tilt the head to drain water and gently dry the outer ear; use well-fitting earplugs or a swim cap when swimming.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insert cotton buds, hairpins, matchsticks, fingernails or other objects into the ear canal, and do not instil oils - these abrade the skin and strip protective wax ('put nothing smaller than your elbow in your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unregulated street ear-cleaners (kaan-saaf-wala), who can cause trauma and introduce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Leave the self-cleaning canal alone; clean only the outer ear, and let protective wax remain.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underlying skin disease (eczema, psoriasis, seborrhoeic dermatitis) and control diabetes to reduce recurrent and severe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needing prompt review - severe or deep unremitting pain, spreading redness or swelling, facial weakness, or non-resolving discharge - especially if diabetic or immunocompromised.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 and water-sport participants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Habitual ear-cleaners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Hearing-aid/earbud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clinician-directed treatment: topical antibiotic (or antifungal) ear drops, often with a steroid, are first-line for acute otitis externa.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Allow aural toilet (careful cleaning) and, if the canal is swollen shut, a wick to be placed so drops reach the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ear dry throughout treatment - no swimming, and keep water out when washing.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non-ototoxic drops if a tympanic-membrane perforation is known or suspected, and take analgesia for pain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return if not improving in 48-72 hours, and seek urgent care for red-flag features suggesting necrotising otitis externa.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otitis externa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Otomycosis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Recurrent/chronic OE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fitted earplugs or a swim cap for swimming and water sports, and dry the ears thoroughly afterwards.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acidifying-drying ear drops after swimming if the eardrum is intact and you are prone to swimmer's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breaks from pool and open-water swimming during an active infection until the ear has healed.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sweaty exercise in hot, humid weather, dry the outer ears to limit canal moisture.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Competitive and recreational 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in hot, humid climates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low-refined-sugar diet and maintain good glycaemic control to reduce recurrent otomycosis and the risk of necrotising otitis externa.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screened for diabetes if you have recurrent fungal ear infections or non-resolving otitis externa.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nutrition and hydration to support skin and immune defence; no specific food prevents or cures otitis externa.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Recurrent-otomycosis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sleeping with in-ear earphones, which occlude the canal and trap moisture for long periods.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hearing aids and earplugs at night to let the canal ventilate and dry.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regular sleep to support immune defence.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Earbud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and second-hand smoke, which irritate skin and mucosa and are broadly linked to more ear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exposure to dust and heavy air pollution that irritate and contaminate the ear canal.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Dusty-environment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heavy alcohol use, which impairs immunity and is associated with poor glycaemic control and self-neglect.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and overall health as part of general infection prevention.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or habit-driven compulsive ear-scratching and poking, a common cause of canal trauma and recurrent otitis externa.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the itch-scratch cycle by treating underlying dermatitis and using prescribed drops rather than instrumenting the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persistent distress, itch or sleep disturbance caused by chronic ear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Compulsive ear-cleaners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Chronic/eczematous OE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and after treatment keep the ear dry until the infection settles, and use prescribed antibiotic/antifungal drops exactly as directed.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resume cotton-bud use, oil instillation or object insertion, which delay healing and cause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and dry hearing aids, ear-moulds and earbud tips regularly, and take device breaks to let the canal ventilate.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shared or unregulated ear-cleaning implements to prevent re-infection and cross-infection.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under treatment for OE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Recurrent-OE and otomycosis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Hearing-aid/earbud users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mmwr/preview/mmwrhtml/mm6019a2.htm" TargetMode="External"/><Relationship Id="rId10" Type="http://schemas.openxmlformats.org/officeDocument/2006/relationships/hyperlink" Target="https://dermnetnz.org/topics/otitis-externa" TargetMode="External"/><Relationship Id="rId11" Type="http://schemas.openxmlformats.org/officeDocument/2006/relationships/hyperlink" Target="https://www.ncbi.nlm.nih.gov/books/NBK556055/" TargetMode="External"/><Relationship Id="rId12" Type="http://schemas.openxmlformats.org/officeDocument/2006/relationships/hyperlink" Target="https://pubmed.ncbi.nlm.nih.gov/41361861/" TargetMode="External"/><Relationship Id="rId13" Type="http://schemas.openxmlformats.org/officeDocument/2006/relationships/hyperlink" Target="https://pubmed.ncbi.nlm.nih.gov/24491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