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Tonsillitis</w:t>
      </w:r>
    </w:p>
    <w:p>
      <w:pPr>
        <w:spacing w:before="0" w:after="160"/>
      </w:pPr>
      <w:r>
        <w:rPr>
          <w:rFonts w:ascii="Calibri" w:hAnsi="Calibri"/>
          <w:b/>
          <w:i w:val="0"/>
          <w:color w:val="212121"/>
          <w:sz w:val="22"/>
        </w:rPr>
        <w:t xml:space="preserve">AKA </w:t>
      </w:r>
      <w:r>
        <w:rPr>
          <w:rFonts w:ascii="Calibri" w:hAnsi="Calibri"/>
          <w:b w:val="0"/>
          <w:i w:val="0"/>
          <w:color w:val="212121"/>
          <w:sz w:val="22"/>
        </w:rPr>
        <w:t>i.e., Chronic/recurrent tonsillitis, Chronic tonsillar disease, Recurrent sore throat (colloquial), Chronic follicular/parenchymatous tonsillitis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tonsillitis is a persistent or recurrent inflammation of the palatine tonsils, in which repeated bacterial and viral infection of the tonsillar crypts leads to long-standing lymphoid inflammation, crypt debris and, over time, fibrosis. It is defined either by continuous low-grade tonsillar inflammation lasting more than about three months or by recurrent acute episodes meeting frequency criteria (commonly ≥7 documented sore-throat episodes in one year, ≥5 per year for two years, or ≥3 per year for three years). It is one of the commonest ENT problems in India, particularly in children, adolescents and young adults, and is important chiefly because of the local (peritonsillar abscess, airway obstruction) and systemic (rheumatic fever, glomerulonephritis) sequelae of Group A streptococcal infection.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Chronic tonsillitis is among the most frequent conditions seen in Indian ENT practice. Hospital-based series report it in roughly 17.6% of ENT in-patient admissions, and school screening studies have found chronic tonsillitis in up to about 17.82% of school-going children. It predominantly affects children, adolescents and young adults — most Indian series show a peak in the 11–30-year age band — and a disproportionate share of patients come from low-income, overcrowded households.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tonsillitis is primarily a clinical diagnosis based on a compatible history of persistent or recurrent throat infection together with characteristic tonsillar findings; investigations mainly confirm streptococcal aetiology and screen for complications. It is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chronic sore throat with persistent tonsillar inflammation lasting more than ≈ 3 months, or recurrent acute tonsillitis meeting frequency criteria (Paradise/AAO–HNS: ≥ 7 episodes in 1 year, ≥ 5 per year for 2 years, or ≥ 3 per year for 3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tonsillar signs between acute attacks — enlarged or small fibrotic tonsils, congested anterior pillars, cheesy debris or pus expressible from the crypts, tonsilloliths, halitosis, and persistently enlarged/tender jugulodigastric (tonsillar) lymph nodes;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qualifying acute episode (per Paradise criteria) is a sore throat plus at least one of: temperature &gt; 38.3 °C, tender/enlarged (&gt; 2 cm) cervical nodes, tonsillar or pharyngeal exudate, or a positive culture for group A β-haemolytic streptococcus;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throat swab culture or rapid antigen detection test (RADT) positive for group A streptococcus during exacerbations, and/or a raised or rising anti-streptolysin O (ASO) titre indicating recent streptococcal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of chronic/recurrent sore throat — infectious mononucleosis (EBV), laryngopharyngeal reflux, tuberculosis, and (especially with unilateral tonsillar enlargement in adults) tonsillar malignancy.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tonsillitis is classified both by the pattern of disease and by the dominant pathological change in the tonsil:</w:t>
      </w:r>
    </w:p>
    <w:p>
      <w:pPr>
        <w:spacing w:before="0" w:after="80"/>
      </w:pPr>
      <w:r>
        <w:rPr>
          <w:rFonts w:ascii="Calibri" w:hAnsi="Calibri"/>
          <w:b w:val="0"/>
          <w:i w:val="0"/>
          <w:color w:val="212121"/>
          <w:sz w:val="21"/>
        </w:rPr>
        <w:t>(1) Chronic follicular tonsillitis — infection is concentrated in the tonsillar crypts, which become filled with yellowish purulent/cheesy debris that can be expressed from the crypt openings; the tonsil surface appears studded with infected follicles.</w:t>
      </w:r>
    </w:p>
    <w:p>
      <w:pPr>
        <w:spacing w:before="0" w:after="80"/>
      </w:pPr>
      <w:r>
        <w:rPr>
          <w:rFonts w:ascii="Calibri" w:hAnsi="Calibri"/>
          <w:b w:val="0"/>
          <w:i w:val="0"/>
          <w:color w:val="212121"/>
          <w:sz w:val="21"/>
        </w:rPr>
        <w:t>(2) Chronic parenchymatous tonsillitis — there is diffuse hyperplasia of the tonsillar lymphoid tissue producing markedly enlarged (“kissing”) tonsils; this form is common in children and drives obstructive symptoms such as snoring, mouth-breathing and obstructive sleep apnoea.</w:t>
      </w:r>
    </w:p>
    <w:p>
      <w:pPr>
        <w:spacing w:before="0" w:after="80"/>
      </w:pPr>
      <w:r>
        <w:rPr>
          <w:rFonts w:ascii="Calibri" w:hAnsi="Calibri"/>
          <w:b w:val="0"/>
          <w:i w:val="0"/>
          <w:color w:val="212121"/>
          <w:sz w:val="21"/>
        </w:rPr>
        <w:t>(3) Chronic fibroid (fibrotic/atrophic) tonsillitis — repeated infection leads to small, scarred, fibrosed tonsils; despite their small size they may still harbour chronic sepsis and recurrent infection, a pattern typically seen in older adolescents and adults.</w:t>
      </w:r>
    </w:p>
    <w:p>
      <w:pPr>
        <w:spacing w:before="0" w:after="80"/>
      </w:pPr>
      <w:r>
        <w:rPr>
          <w:rFonts w:ascii="Calibri" w:hAnsi="Calibri"/>
          <w:b w:val="0"/>
          <w:i w:val="0"/>
          <w:color w:val="212121"/>
          <w:sz w:val="21"/>
        </w:rPr>
        <w:t>(4) By clinical course, disease is described as recurrent acute tonsillitis (repeated discrete acute attacks with well periods in between) versus chronic persistent tonsillitis (continuous low-grade inflammation), with surgical decision-making guided by Paradise/AAO–HNS episode-frequency criteria.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Recurrent bacterial infection (Group A streptococcus): Repeated infection of the crypts by group A β-haemolytic streptococcus and other pyogenic organisms is the central driver; GAS is the commonest bacterial pathogen, especially in children aged 5–15 years.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Viral upper-respiratory infection: Viruses cause the majority of acute tonsillopharyngitis (about 70–95% of episodes) and predispose the inflamed tonsil to bacterial superinfection and chronicity.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Crypt anatomy and biofilm formation: Deep, branching tonsillar crypts trap food and cellular debris and support antibiotic-tolerant bacterial biofilms, allowing organisms to evade clearance and perpetuate low-grade inflammation.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Polymicrobial and anaerobic flora: Chronically infected tonsils harbour mixed aerobic–anaerobic flora (often several isolates per tonsil), frequently including β-lactamase-producing organisms that inactivate penicillins and promote treatment failure.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host factors: Secondhand tobacco smoke, overcrowding, low socioeconomic status, malnutrition and allergic rhinitis increase exposure and impair local defence.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Immune and genetic susceptibility: Impaired local (tonsillar) immune handling of pathogens and a positive family history predispose certain children to repeated, chronic tonsillar infection.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(5–15 years)</w:t>
            </w:r>
          </w:p>
        </w:tc>
        <w:tc>
          <w:tcPr>
            <w:tcW w:type="dxa" w:w="4276"/>
            <w:vAlign w:val="top"/>
          </w:tcPr>
          <w:p>
            <w:pPr>
              <w:spacing w:after="60" w:line="259" w:lineRule="auto"/>
            </w:pPr>
            <w:r>
              <w:rPr>
                <w:rFonts w:ascii="Calibri" w:hAnsi="Calibri"/>
                <w:b w:val="0"/>
                <w:i w:val="0"/>
                <w:color w:val="212121"/>
                <w:sz w:val="19"/>
              </w:rPr>
              <w:t>School-age children have immature, still-developing adaptive immunity, the most active period of tonsillar lymphoid growth, and intense close contact in classrooms — the ideal setting for repeated droplet transmission of streptococci and respiratory viruses.</w:t>
            </w:r>
          </w:p>
          <w:p>
            <w:pPr>
              <w:spacing w:after="40" w:before="60" w:line="259" w:lineRule="auto"/>
            </w:pPr>
            <w:r>
              <w:rPr>
                <w:rFonts w:ascii="Calibri" w:hAnsi="Calibri"/>
                <w:b w:val="0"/>
                <w:i w:val="0"/>
                <w:color w:val="212121"/>
                <w:sz w:val="19"/>
              </w:rPr>
              <w:t>Group A streptococcus is the predominant bacterial cause of tonsillitis in children aged 5–15 years, and bacterial pathogens account for roughly 15–30% of paediatric cases (versus 5–15% in adults).</w:t>
            </w:r>
          </w:p>
          <w:p>
            <w:pPr>
              <w:spacing w:after="40" w:line="252" w:lineRule="auto"/>
            </w:pPr>
            <w:hyperlink r:id="rId9">
              <w:r>
                <w:rPr>
                  <w:rFonts w:ascii="Calibri" w:hAnsi="Calibri" w:cs="Calibri"/>
                  <w:sz w:val="18"/>
                  <w:color w:val="1155CC"/>
                  <w:u w:val="single"/>
                </w:rPr>
                <w:t xml:space="preserve">ncbi.nlm.nih.gov — Tonsillitis (StatPearls)</w:t>
              </w:r>
            </w:hyperlink>
          </w:p>
          <w:p>
            <w:pPr>
              <w:spacing w:before="60" w:after="40"/>
            </w:pPr>
            <w:r>
              <w:rPr>
                <w:rFonts w:ascii="Calibri" w:hAnsi="Calibri"/>
                <w:b w:val="0"/>
                <w:i w:val="0"/>
                <w:color w:val="5A5A5A"/>
                <w:sz w:val="18"/>
              </w:rPr>
              <w:t>#tonsillitis  #GABHS  #schoolage  #recurrentthroat  #dropletspread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Chronic and recurrent tonsillitis peaks in the second and third decades, reflecting cumulative crypt infection, continued lymphoid activity and dense social/college contact before age-related tonsillar involution.</w:t>
            </w:r>
          </w:p>
          <w:p>
            <w:pPr>
              <w:spacing w:after="40" w:before="60" w:line="259" w:lineRule="auto"/>
            </w:pPr>
            <w:r>
              <w:rPr>
                <w:rFonts w:ascii="Calibri" w:hAnsi="Calibri"/>
                <w:b w:val="0"/>
                <w:i w:val="0"/>
                <w:color w:val="212121"/>
                <w:sz w:val="19"/>
              </w:rPr>
              <w:t>In Indian hospital series chronic tonsillitis clusters in youth — one series found 56% of cases in the 11–20-year group, and another found the single largest share (34.2%) at 18–29 years (mean age ≈ 23 years).</w:t>
            </w:r>
          </w:p>
          <w:p>
            <w:pPr>
              <w:spacing w:after="40" w:line="252" w:lineRule="auto"/>
            </w:pPr>
            <w:hyperlink r:id="rId10">
              <w:r>
                <w:rPr>
                  <w:rFonts w:ascii="Calibri" w:hAnsi="Calibri" w:cs="Calibri"/>
                  <w:sz w:val="18"/>
                  <w:color w:val="1155CC"/>
                  <w:u w:val="single"/>
                </w:rPr>
                <w:t xml:space="preserve">medpulse.in — prevalence of chronic tonsillitis (ENT)</w:t>
              </w:r>
            </w:hyperlink>
          </w:p>
          <w:p>
            <w:pPr>
              <w:spacing w:before="60" w:after="40"/>
            </w:pPr>
            <w:r>
              <w:rPr>
                <w:rFonts w:ascii="Calibri" w:hAnsi="Calibri"/>
                <w:b w:val="0"/>
                <w:i w:val="0"/>
                <w:color w:val="5A5A5A"/>
                <w:sz w:val="18"/>
              </w:rPr>
              <w:t>#adolescents  #youngadults  #recurrent  #Indiancohort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&amp; elderly</w:t>
            </w:r>
          </w:p>
        </w:tc>
        <w:tc>
          <w:tcPr>
            <w:tcW w:type="dxa" w:w="4276"/>
            <w:vAlign w:val="top"/>
          </w:tcPr>
          <w:p>
            <w:pPr>
              <w:spacing w:after="60" w:line="259" w:lineRule="auto"/>
            </w:pPr>
            <w:r>
              <w:rPr>
                <w:rFonts w:ascii="Calibri" w:hAnsi="Calibri"/>
                <w:b w:val="0"/>
                <w:i w:val="0"/>
                <w:color w:val="212121"/>
                <w:sz w:val="19"/>
              </w:rPr>
              <w:t>Chronic tonsillitis is less common after tonsillar involution, but long-standing fibrotic tonsils can still harbour sepsis; new unilateral tonsillar enlargement or ulceration in an adult is a red flag that mandates exclusion of malignancy.</w:t>
            </w:r>
          </w:p>
          <w:p>
            <w:pPr>
              <w:spacing w:after="40" w:before="60" w:line="259" w:lineRule="auto"/>
            </w:pPr>
            <w:r>
              <w:rPr>
                <w:rFonts w:ascii="Calibri" w:hAnsi="Calibri"/>
                <w:b w:val="0"/>
                <w:i w:val="0"/>
                <w:color w:val="212121"/>
                <w:sz w:val="19"/>
              </w:rPr>
              <w:t>Indian series show a steep fall with age — only about 3% of chronic tonsillitis cases occurred at 41–50 years and ≈ 1% above 50 years in one ENT cohort.</w:t>
            </w:r>
          </w:p>
          <w:p>
            <w:pPr>
              <w:spacing w:after="40" w:line="252" w:lineRule="auto"/>
            </w:pPr>
            <w:hyperlink r:id="rId10">
              <w:r>
                <w:rPr>
                  <w:rFonts w:ascii="Calibri" w:hAnsi="Calibri" w:cs="Calibri"/>
                  <w:sz w:val="18"/>
                  <w:color w:val="1155CC"/>
                  <w:u w:val="single"/>
                </w:rPr>
                <w:t xml:space="preserve">medpulse.in — age distribution of chronic tonsillitis</w:t>
              </w:r>
            </w:hyperlink>
          </w:p>
          <w:p>
            <w:pPr>
              <w:spacing w:before="60" w:after="40"/>
            </w:pPr>
            <w:r>
              <w:rPr>
                <w:rFonts w:ascii="Calibri" w:hAnsi="Calibri"/>
                <w:b w:val="0"/>
                <w:i w:val="0"/>
                <w:color w:val="5A5A5A"/>
                <w:sz w:val="18"/>
              </w:rPr>
              <w:t>#adults  #elderly  #unilateralredflag  #malignancyexclusion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(variable predominance)</w:t>
            </w:r>
          </w:p>
        </w:tc>
        <w:tc>
          <w:tcPr>
            <w:tcW w:type="dxa" w:w="4276"/>
            <w:vAlign w:val="top"/>
          </w:tcPr>
          <w:p>
            <w:pPr>
              <w:spacing w:after="60" w:line="259" w:lineRule="auto"/>
            </w:pPr>
            <w:r>
              <w:rPr>
                <w:rFonts w:ascii="Calibri" w:hAnsi="Calibri"/>
                <w:b w:val="0"/>
                <w:i w:val="0"/>
                <w:color w:val="212121"/>
                <w:sz w:val="19"/>
              </w:rPr>
              <w:t>Both sexes are affected; reported predominance varies with the care-seeking population rather than a strong biological difference, so sex is a weak independent risk factor.</w:t>
            </w:r>
          </w:p>
          <w:p>
            <w:pPr>
              <w:spacing w:after="40" w:before="60" w:line="259" w:lineRule="auto"/>
            </w:pPr>
            <w:r>
              <w:rPr>
                <w:rFonts w:ascii="Calibri" w:hAnsi="Calibri"/>
                <w:b w:val="0"/>
                <w:i w:val="0"/>
                <w:color w:val="212121"/>
                <w:sz w:val="19"/>
              </w:rPr>
              <w:t>Indian series disagree — one clinico-demographic study found a female predominance (59.1%; M:F ≈ 1:1.44) while another ENT in-patient series found a male predominance (65.5%).</w:t>
            </w:r>
          </w:p>
          <w:p>
            <w:pPr>
              <w:spacing w:after="40" w:line="252" w:lineRule="auto"/>
            </w:pPr>
            <w:hyperlink r:id="rId11">
              <w:r>
                <w:rPr>
                  <w:rFonts w:ascii="Calibri" w:hAnsi="Calibri" w:cs="Calibri"/>
                  <w:sz w:val="18"/>
                  <w:color w:val="1155CC"/>
                  <w:u w:val="single"/>
                </w:rPr>
                <w:t xml:space="preserve">impactfactor.org — clinico-demographic profile of tonsillitis</w:t>
              </w:r>
            </w:hyperlink>
          </w:p>
          <w:p>
            <w:pPr>
              <w:spacing w:before="60" w:after="40"/>
            </w:pPr>
            <w:r>
              <w:rPr>
                <w:rFonts w:ascii="Calibri" w:hAnsi="Calibri"/>
                <w:b w:val="0"/>
                <w:i w:val="0"/>
                <w:color w:val="5A5A5A"/>
                <w:sz w:val="18"/>
              </w:rPr>
              <w:t>#sexdistribution  #variable  #careseeking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Overcrowding intensifies droplet transmission of streptococci, while poor access to timely antibiotics allows repeated and inadequately treated infections to become chronic.</w:t>
            </w:r>
          </w:p>
          <w:p>
            <w:pPr>
              <w:spacing w:after="40" w:before="60" w:line="259" w:lineRule="auto"/>
            </w:pPr>
            <w:r>
              <w:rPr>
                <w:rFonts w:ascii="Calibri" w:hAnsi="Calibri"/>
                <w:b w:val="0"/>
                <w:i w:val="0"/>
                <w:color w:val="212121"/>
                <w:sz w:val="19"/>
              </w:rPr>
              <w:t>In an Indian clinico-demographic series, 69.8% of tonsillitis patients came from low-income families, versus 18.2% middle- and 12% high-income.</w:t>
            </w:r>
          </w:p>
          <w:p>
            <w:pPr>
              <w:spacing w:after="40" w:line="252" w:lineRule="auto"/>
            </w:pPr>
            <w:hyperlink r:id="rId11">
              <w:r>
                <w:rPr>
                  <w:rFonts w:ascii="Calibri" w:hAnsi="Calibri" w:cs="Calibri"/>
                  <w:sz w:val="18"/>
                  <w:color w:val="1155CC"/>
                  <w:u w:val="single"/>
                </w:rPr>
                <w:t xml:space="preserve">impactfactor.org — socioeconomic distribution of tonsillitis</w:t>
              </w:r>
            </w:hyperlink>
          </w:p>
          <w:p>
            <w:pPr>
              <w:spacing w:before="60" w:after="40"/>
            </w:pPr>
            <w:r>
              <w:rPr>
                <w:rFonts w:ascii="Calibri" w:hAnsi="Calibri"/>
                <w:b w:val="0"/>
                <w:i w:val="0"/>
                <w:color w:val="5A5A5A"/>
                <w:sz w:val="18"/>
              </w:rPr>
              <w:t>#overcrowding  #lowincome  #accesstocare  #Indiacontext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RHD-endemic areas</w:t>
            </w:r>
          </w:p>
        </w:tc>
        <w:tc>
          <w:tcPr>
            <w:tcW w:type="dxa" w:w="2160"/>
            <w:vAlign w:val="top"/>
          </w:tcPr>
          <w:p>
            <w:pPr>
              <w:spacing w:after="40" w:before="0" w:line="259" w:lineRule="auto"/>
            </w:pPr>
            <w:r>
              <w:rPr>
                <w:rFonts w:ascii="Calibri" w:hAnsi="Calibri"/>
                <w:b w:val="0"/>
                <w:i w:val="0"/>
                <w:color w:val="212121"/>
                <w:sz w:val="19"/>
              </w:rPr>
              <w:t>High rheumatic-fever-burden Indian regions</w:t>
            </w:r>
          </w:p>
        </w:tc>
        <w:tc>
          <w:tcPr>
            <w:tcW w:type="dxa" w:w="4276"/>
            <w:vAlign w:val="top"/>
          </w:tcPr>
          <w:p>
            <w:pPr>
              <w:spacing w:after="60" w:line="259" w:lineRule="auto"/>
            </w:pPr>
            <w:r>
              <w:rPr>
                <w:rFonts w:ascii="Calibri" w:hAnsi="Calibri"/>
                <w:b w:val="0"/>
                <w:i w:val="0"/>
                <w:color w:val="212121"/>
                <w:sz w:val="19"/>
              </w:rPr>
              <w:t>In regions where group A streptococcal infection and rheumatic fever remain endemic, untreated streptococcal tonsillitis carries a materially higher risk of progressing to rheumatic heart disease, making it a public-health priority.</w:t>
            </w:r>
          </w:p>
          <w:p>
            <w:pPr>
              <w:spacing w:after="40" w:before="60" w:line="259" w:lineRule="auto"/>
            </w:pPr>
            <w:r>
              <w:rPr>
                <w:rFonts w:ascii="Calibri" w:hAnsi="Calibri"/>
                <w:b w:val="0"/>
                <w:i w:val="0"/>
                <w:color w:val="212121"/>
                <w:sz w:val="19"/>
              </w:rPr>
              <w:t>Echocardiographic school screening in Northeast India (Meghalaya) detected subclinical rheumatic heart disease in 4.7 per 1000 children and definite RHD in 1.98 per 1000 — a downstream marker of streptococcal throat infection.</w:t>
            </w:r>
          </w:p>
          <w:p>
            <w:pPr>
              <w:spacing w:after="40" w:line="252" w:lineRule="auto"/>
            </w:pPr>
            <w:hyperlink r:id="rId12">
              <w:r>
                <w:rPr>
                  <w:rFonts w:ascii="Calibri" w:hAnsi="Calibri" w:cs="Calibri"/>
                  <w:sz w:val="18"/>
                  <w:color w:val="1155CC"/>
                  <w:u w:val="single"/>
                </w:rPr>
                <w:t xml:space="preserve">medicaldialogues.in — echo-based RHD prevalence, Meghalaya</w:t>
              </w:r>
            </w:hyperlink>
          </w:p>
          <w:p>
            <w:pPr>
              <w:spacing w:before="60" w:after="40"/>
            </w:pPr>
            <w:r>
              <w:rPr>
                <w:rFonts w:ascii="Calibri" w:hAnsi="Calibri"/>
                <w:b w:val="0"/>
                <w:i w:val="0"/>
                <w:color w:val="5A5A5A"/>
                <w:sz w:val="18"/>
              </w:rPr>
              <w:t>#rheumaticfever  #RHD  #streptococcus  #publichealth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Cold and humid seasons (winter, monsoon)</w:t>
            </w:r>
          </w:p>
        </w:tc>
        <w:tc>
          <w:tcPr>
            <w:tcW w:type="dxa" w:w="4276"/>
            <w:vAlign w:val="top"/>
          </w:tcPr>
          <w:p>
            <w:pPr>
              <w:spacing w:after="60" w:line="259" w:lineRule="auto"/>
            </w:pPr>
            <w:r>
              <w:rPr>
                <w:rFonts w:ascii="Calibri" w:hAnsi="Calibri"/>
                <w:b w:val="0"/>
                <w:i w:val="0"/>
                <w:color w:val="212121"/>
                <w:sz w:val="19"/>
              </w:rPr>
              <w:t>Respiratory-pathogen circulation and indoor crowding rise in cold and damp seasons, clustering acute exacerbations that maintain the chronic disease state.</w:t>
            </w:r>
          </w:p>
          <w:p>
            <w:pPr>
              <w:spacing w:after="40" w:before="60" w:line="259" w:lineRule="auto"/>
            </w:pPr>
            <w:r>
              <w:rPr>
                <w:rFonts w:ascii="Calibri" w:hAnsi="Calibri"/>
                <w:b w:val="0"/>
                <w:i w:val="0"/>
                <w:color w:val="212121"/>
                <w:sz w:val="19"/>
              </w:rPr>
              <w:t>Acute tonsillopharyngitis (mostly viral, 70–95% of episodes) shows characteristic cold-season peaks that drive recurrent exacerbations in susceptible individuals.</w:t>
            </w:r>
          </w:p>
          <w:p>
            <w:pPr>
              <w:spacing w:after="40" w:line="252" w:lineRule="auto"/>
            </w:pPr>
            <w:hyperlink r:id="rId9">
              <w:r>
                <w:rPr>
                  <w:rFonts w:ascii="Calibri" w:hAnsi="Calibri" w:cs="Calibri"/>
                  <w:sz w:val="18"/>
                  <w:color w:val="1155CC"/>
                  <w:u w:val="single"/>
                </w:rPr>
                <w:t xml:space="preserve">ncbi.nlm.nih.gov — Tonsillitis aetiology (StatPearls)</w:t>
              </w:r>
            </w:hyperlink>
          </w:p>
          <w:p>
            <w:pPr>
              <w:spacing w:before="60" w:after="40"/>
            </w:pPr>
            <w:r>
              <w:rPr>
                <w:rFonts w:ascii="Calibri" w:hAnsi="Calibri"/>
                <w:b w:val="0"/>
                <w:i w:val="0"/>
                <w:color w:val="5A5A5A"/>
                <w:sz w:val="18"/>
              </w:rPr>
              <w:t>#seasonal  #winter  #monsoon  #viralURTI</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Secondhand smoke</w:t>
            </w:r>
          </w:p>
        </w:tc>
        <w:tc>
          <w:tcPr>
            <w:tcW w:type="dxa" w:w="2160"/>
            <w:vAlign w:val="top"/>
          </w:tcPr>
          <w:p>
            <w:pPr>
              <w:spacing w:after="40" w:before="0" w:line="259" w:lineRule="auto"/>
            </w:pPr>
            <w:r>
              <w:rPr>
                <w:rFonts w:ascii="Calibri" w:hAnsi="Calibri"/>
                <w:b w:val="0"/>
                <w:i w:val="0"/>
                <w:color w:val="212121"/>
                <w:sz w:val="19"/>
              </w:rPr>
              <w:t>Children in smoking households</w:t>
            </w:r>
          </w:p>
        </w:tc>
        <w:tc>
          <w:tcPr>
            <w:tcW w:type="dxa" w:w="4276"/>
            <w:vAlign w:val="top"/>
          </w:tcPr>
          <w:p>
            <w:pPr>
              <w:spacing w:after="60" w:line="259" w:lineRule="auto"/>
            </w:pPr>
            <w:r>
              <w:rPr>
                <w:rFonts w:ascii="Calibri" w:hAnsi="Calibri"/>
                <w:b w:val="0"/>
                <w:i w:val="0"/>
                <w:color w:val="212121"/>
                <w:sz w:val="19"/>
              </w:rPr>
              <w:t>Passive tobacco smoke irritates and inflames the tonsillar mucosa, impairs local mucociliary and immune defence, and shifts the crypt microflora — promoting chronic and recurrent infection in a dose-dependent way.</w:t>
            </w:r>
          </w:p>
          <w:p>
            <w:pPr>
              <w:spacing w:after="40" w:before="60" w:line="259" w:lineRule="auto"/>
            </w:pPr>
            <w:r>
              <w:rPr>
                <w:rFonts w:ascii="Calibri" w:hAnsi="Calibri"/>
                <w:b w:val="0"/>
                <w:i w:val="0"/>
                <w:color w:val="212121"/>
                <w:sz w:val="19"/>
              </w:rPr>
              <w:t>Secondhand smoke roughly doubles the odds of paediatric chronic/recurrent tonsillitis (OR 2.33, 95% CI 1.45–3.75); 70% of affected children had home smoke exposure, and pathological grade rose with cigarettes smoked at home.</w:t>
            </w:r>
          </w:p>
          <w:p>
            <w:pPr>
              <w:spacing w:after="40" w:line="252" w:lineRule="auto"/>
            </w:pPr>
            <w:hyperlink r:id="rId13">
              <w:r>
                <w:rPr>
                  <w:rFonts w:ascii="Calibri" w:hAnsi="Calibri" w:cs="Calibri"/>
                  <w:sz w:val="18"/>
                  <w:color w:val="1155CC"/>
                  <w:u w:val="single"/>
                </w:rPr>
                <w:t xml:space="preserve">populationmedicine.eu — secondhand smoke &amp; tonsillitis (case-control)</w:t>
              </w:r>
            </w:hyperlink>
          </w:p>
          <w:p>
            <w:pPr>
              <w:spacing w:before="60" w:after="40"/>
            </w:pPr>
            <w:r>
              <w:rPr>
                <w:rFonts w:ascii="Calibri" w:hAnsi="Calibri"/>
                <w:b w:val="0"/>
                <w:i w:val="0"/>
                <w:color w:val="5A5A5A"/>
                <w:sz w:val="18"/>
              </w:rPr>
              <w:t>#passivesmoking  #secondhandsmoke  #childrenatrisk  #doseresponse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Active smoking</w:t>
            </w:r>
          </w:p>
        </w:tc>
        <w:tc>
          <w:tcPr>
            <w:tcW w:type="dxa" w:w="2160"/>
            <w:vAlign w:val="top"/>
          </w:tcPr>
          <w:p>
            <w:pPr>
              <w:spacing w:after="40" w:before="0" w:line="259" w:lineRule="auto"/>
            </w:pPr>
            <w:r>
              <w:rPr>
                <w:rFonts w:ascii="Calibri" w:hAnsi="Calibri"/>
                <w:b w:val="0"/>
                <w:i w:val="0"/>
                <w:color w:val="212121"/>
                <w:sz w:val="19"/>
              </w:rPr>
              <w:t>Adult smokers</w:t>
            </w:r>
          </w:p>
        </w:tc>
        <w:tc>
          <w:tcPr>
            <w:tcW w:type="dxa" w:w="4276"/>
            <w:vAlign w:val="top"/>
          </w:tcPr>
          <w:p>
            <w:pPr>
              <w:spacing w:after="60" w:line="259" w:lineRule="auto"/>
            </w:pPr>
            <w:r>
              <w:rPr>
                <w:rFonts w:ascii="Calibri" w:hAnsi="Calibri"/>
                <w:b w:val="0"/>
                <w:i w:val="0"/>
                <w:color w:val="212121"/>
                <w:sz w:val="19"/>
              </w:rPr>
              <w:t>Active smoking causes chronic pharyngeal irritation, alters oropharyngeal flora and impairs local immunity, aggravating chronic tonsillitis and its suppurative complications.</w:t>
            </w:r>
          </w:p>
          <w:p>
            <w:pPr>
              <w:spacing w:after="40" w:before="60" w:line="259" w:lineRule="auto"/>
            </w:pPr>
            <w:r>
              <w:rPr>
                <w:rFonts w:ascii="Calibri" w:hAnsi="Calibri"/>
                <w:b w:val="0"/>
                <w:i w:val="0"/>
                <w:color w:val="212121"/>
                <w:sz w:val="19"/>
              </w:rPr>
              <w:t>Smoking is an established risk factor for peritonsillar abscess, the commonest suppurative complication of tonsillar infection.</w:t>
            </w:r>
          </w:p>
          <w:p>
            <w:pPr>
              <w:spacing w:after="40" w:line="252" w:lineRule="auto"/>
            </w:pPr>
            <w:hyperlink r:id="rId14">
              <w:r>
                <w:rPr>
                  <w:rFonts w:ascii="Calibri" w:hAnsi="Calibri" w:cs="Calibri"/>
                  <w:sz w:val="18"/>
                  <w:color w:val="1155CC"/>
                  <w:u w:val="single"/>
                </w:rPr>
                <w:t xml:space="preserve">pubmed.ncbi.nlm.nih.gov/23568043 — smoking promotes peritonsillar abscess</w:t>
              </w:r>
            </w:hyperlink>
          </w:p>
          <w:p>
            <w:pPr>
              <w:spacing w:before="60" w:after="40"/>
            </w:pPr>
            <w:r>
              <w:rPr>
                <w:rFonts w:ascii="Calibri" w:hAnsi="Calibri"/>
                <w:b w:val="0"/>
                <w:i w:val="0"/>
                <w:color w:val="5A5A5A"/>
                <w:sz w:val="18"/>
              </w:rPr>
              <w:t>#smoking  #pharyngealirritation  #quinsyrisk  #adultsmokers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Individuals with poor oral hygiene</w:t>
            </w:r>
          </w:p>
        </w:tc>
        <w:tc>
          <w:tcPr>
            <w:tcW w:type="dxa" w:w="4276"/>
            <w:vAlign w:val="top"/>
          </w:tcPr>
          <w:p>
            <w:pPr>
              <w:spacing w:after="60" w:line="259" w:lineRule="auto"/>
            </w:pPr>
            <w:r>
              <w:rPr>
                <w:rFonts w:ascii="Calibri" w:hAnsi="Calibri"/>
                <w:b w:val="0"/>
                <w:i w:val="0"/>
                <w:color w:val="212121"/>
                <w:sz w:val="19"/>
              </w:rPr>
              <w:t>Poor oral hygiene increases the oral bacterial load and crypt debris, favouring tonsillolith formation, bacterial biofilm and halitosis that perpetuate chronic inflammation.</w:t>
            </w:r>
          </w:p>
          <w:p>
            <w:pPr>
              <w:spacing w:after="40" w:before="60" w:line="259" w:lineRule="auto"/>
            </w:pPr>
            <w:r>
              <w:rPr>
                <w:rFonts w:ascii="Calibri" w:hAnsi="Calibri"/>
                <w:b w:val="0"/>
                <w:i w:val="0"/>
                <w:color w:val="212121"/>
                <w:sz w:val="19"/>
              </w:rPr>
              <w:t>Tonsilloliths (calcified crypt concretions) form when debris and bacteria accumulate in tonsillar crypts and are a recognised source of persistent halitosis in chronic tonsillitis.</w:t>
            </w:r>
          </w:p>
          <w:p>
            <w:pPr>
              <w:spacing w:after="40" w:line="252" w:lineRule="auto"/>
            </w:pPr>
            <w:hyperlink r:id="rId15">
              <w:r>
                <w:rPr>
                  <w:rFonts w:ascii="Calibri" w:hAnsi="Calibri" w:cs="Calibri"/>
                  <w:sz w:val="18"/>
                  <w:color w:val="1155CC"/>
                  <w:u w:val="single"/>
                </w:rPr>
                <w:t xml:space="preserve">aafp.org — Tonsillitis and Tonsilloliths (2023)</w:t>
              </w:r>
            </w:hyperlink>
          </w:p>
          <w:p>
            <w:pPr>
              <w:spacing w:before="60" w:after="40"/>
            </w:pPr>
            <w:r>
              <w:rPr>
                <w:rFonts w:ascii="Calibri" w:hAnsi="Calibri"/>
                <w:b w:val="0"/>
                <w:i w:val="0"/>
                <w:color w:val="5A5A5A"/>
                <w:sz w:val="18"/>
              </w:rPr>
              <w:t>#oralhygiene  #tonsillolith  #biofilm  #halitosis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Malnourished / micronutrient-deficient children</w:t>
            </w:r>
          </w:p>
        </w:tc>
        <w:tc>
          <w:tcPr>
            <w:tcW w:type="dxa" w:w="4276"/>
            <w:vAlign w:val="top"/>
          </w:tcPr>
          <w:p>
            <w:pPr>
              <w:spacing w:after="60" w:line="259" w:lineRule="auto"/>
            </w:pPr>
            <w:r>
              <w:rPr>
                <w:rFonts w:ascii="Calibri" w:hAnsi="Calibri"/>
                <w:b w:val="0"/>
                <w:i w:val="0"/>
                <w:color w:val="212121"/>
                <w:sz w:val="19"/>
              </w:rPr>
              <w:t>Protein-energy malnutrition and micronutrient deficiency (including vitamin D and iron) impair mucosal and systemic immunity, increasing the frequency and persistence of tonsillar infection — a relevant burden in parts of India.</w:t>
            </w:r>
          </w:p>
          <w:p>
            <w:pPr>
              <w:spacing w:after="40" w:before="60" w:line="259" w:lineRule="auto"/>
            </w:pPr>
            <w:r>
              <w:rPr>
                <w:rFonts w:ascii="Calibri" w:hAnsi="Calibri"/>
                <w:b w:val="0"/>
                <w:i w:val="0"/>
                <w:color w:val="212121"/>
                <w:sz w:val="19"/>
              </w:rPr>
              <w:t>Bacterial infection is more likely to establish and recur where host immune defences are compromised, as reflected by the polymicrobial flora recovered from chronically infected tonsils.</w:t>
            </w:r>
          </w:p>
          <w:p>
            <w:pPr>
              <w:spacing w:after="40" w:line="252" w:lineRule="auto"/>
            </w:pPr>
            <w:hyperlink r:id="rId16">
              <w:r>
                <w:rPr>
                  <w:rFonts w:ascii="Calibri" w:hAnsi="Calibri" w:cs="Calibri"/>
                  <w:sz w:val="18"/>
                  <w:color w:val="1155CC"/>
                  <w:u w:val="single"/>
                </w:rPr>
                <w:t xml:space="preserve">pmc.ncbi.nlm.nih.gov — microbiological profile of chronic tonsillitis (India)</w:t>
              </w:r>
            </w:hyperlink>
          </w:p>
          <w:p>
            <w:pPr>
              <w:spacing w:before="60" w:after="40"/>
            </w:pPr>
            <w:r>
              <w:rPr>
                <w:rFonts w:ascii="Calibri" w:hAnsi="Calibri"/>
                <w:b w:val="0"/>
                <w:i w:val="0"/>
                <w:color w:val="5A5A5A"/>
                <w:sz w:val="18"/>
              </w:rPr>
              <w:t>#malnutrition  #micronutrients  #immunity  #vitaminD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Cold foods / irritants &amp; hydration</w:t>
            </w:r>
          </w:p>
        </w:tc>
        <w:tc>
          <w:tcPr>
            <w:tcW w:type="dxa" w:w="2160"/>
            <w:vAlign w:val="top"/>
          </w:tcPr>
          <w:p>
            <w:pPr>
              <w:spacing w:after="40" w:before="0" w:line="259" w:lineRule="auto"/>
            </w:pPr>
            <w:r>
              <w:rPr>
                <w:rFonts w:ascii="Calibri" w:hAnsi="Calibri"/>
                <w:b w:val="0"/>
                <w:i w:val="0"/>
                <w:color w:val="212121"/>
                <w:sz w:val="19"/>
              </w:rPr>
              <w:t>Frequent cold-drink/irritant consumers, poorly hydrated</w:t>
            </w:r>
          </w:p>
        </w:tc>
        <w:tc>
          <w:tcPr>
            <w:tcW w:type="dxa" w:w="4276"/>
            <w:vAlign w:val="top"/>
          </w:tcPr>
          <w:p>
            <w:pPr>
              <w:spacing w:after="60" w:line="259" w:lineRule="auto"/>
            </w:pPr>
            <w:r>
              <w:rPr>
                <w:rFonts w:ascii="Calibri" w:hAnsi="Calibri"/>
                <w:b w:val="0"/>
                <w:i w:val="0"/>
                <w:color w:val="212121"/>
                <w:sz w:val="19"/>
              </w:rPr>
              <w:t>Very cold or irritant foods and drinks and inadequate hydration can provoke throat symptoms and dry the pharyngeal mucosa, worsening symptomatic flares in chronically inflamed tonsils, though they are aggravating rather than causal.</w:t>
            </w:r>
          </w:p>
          <w:p>
            <w:pPr>
              <w:spacing w:after="40" w:before="60" w:line="259" w:lineRule="auto"/>
            </w:pPr>
            <w:r>
              <w:rPr>
                <w:rFonts w:ascii="Calibri" w:hAnsi="Calibri"/>
                <w:b w:val="0"/>
                <w:i w:val="0"/>
                <w:color w:val="212121"/>
                <w:sz w:val="19"/>
              </w:rPr>
              <w:t>Sore throat and painful swallowing are the dominant complaints — present in about 84% and 76% of Indian tonsillitis patients respectively — and are readily provoked by mucosal irritants.</w:t>
            </w:r>
          </w:p>
          <w:p>
            <w:pPr>
              <w:spacing w:after="40" w:line="252" w:lineRule="auto"/>
            </w:pPr>
            <w:hyperlink r:id="rId11">
              <w:r>
                <w:rPr>
                  <w:rFonts w:ascii="Calibri" w:hAnsi="Calibri" w:cs="Calibri"/>
                  <w:sz w:val="18"/>
                  <w:color w:val="1155CC"/>
                  <w:u w:val="single"/>
                </w:rPr>
                <w:t xml:space="preserve">impactfactor.org — symptom frequency in tonsillitis</w:t>
              </w:r>
            </w:hyperlink>
          </w:p>
          <w:p>
            <w:pPr>
              <w:spacing w:before="60" w:after="40"/>
            </w:pPr>
            <w:r>
              <w:rPr>
                <w:rFonts w:ascii="Calibri" w:hAnsi="Calibri"/>
                <w:b w:val="0"/>
                <w:i w:val="0"/>
                <w:color w:val="5A5A5A"/>
                <w:sz w:val="18"/>
              </w:rPr>
              <w:t>#coldfoods  #hydration  #mucosalirritation  #symptomtrigger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with a family history of recurrent tonsillitis</w:t>
            </w:r>
          </w:p>
        </w:tc>
        <w:tc>
          <w:tcPr>
            <w:tcW w:type="dxa" w:w="4276"/>
            <w:vAlign w:val="top"/>
          </w:tcPr>
          <w:p>
            <w:pPr>
              <w:spacing w:after="60" w:line="259" w:lineRule="auto"/>
            </w:pPr>
            <w:r>
              <w:rPr>
                <w:rFonts w:ascii="Calibri" w:hAnsi="Calibri"/>
                <w:b w:val="0"/>
                <w:i w:val="0"/>
                <w:color w:val="212121"/>
                <w:sz w:val="19"/>
              </w:rPr>
              <w:t>Twin and cohort studies show a heritable susceptibility to recurrent tonsillitis, reflecting inherited differences in tonsillar immune handling of streptococci; a positive family history clusters recurrent disease within households.</w:t>
            </w:r>
          </w:p>
          <w:p>
            <w:pPr>
              <w:spacing w:after="40" w:before="60" w:line="259" w:lineRule="auto"/>
            </w:pPr>
            <w:r>
              <w:rPr>
                <w:rFonts w:ascii="Calibri" w:hAnsi="Calibri"/>
                <w:b w:val="0"/>
                <w:i w:val="0"/>
                <w:color w:val="212121"/>
                <w:sz w:val="19"/>
              </w:rPr>
              <w:t>Recurrent tonsillitis shows familial clustering, with impaired antibody/immune responses to group A streptococcal antigens observed in susceptible children.</w:t>
            </w:r>
          </w:p>
          <w:p>
            <w:pPr>
              <w:spacing w:after="40" w:line="252" w:lineRule="auto"/>
            </w:pPr>
            <w:hyperlink r:id="rId9">
              <w:r>
                <w:rPr>
                  <w:rFonts w:ascii="Calibri" w:hAnsi="Calibri" w:cs="Calibri"/>
                  <w:sz w:val="18"/>
                  <w:color w:val="1155CC"/>
                  <w:u w:val="single"/>
                </w:rPr>
                <w:t xml:space="preserve">ncbi.nlm.nih.gov — Tonsillitis (host susceptibility)</w:t>
              </w:r>
            </w:hyperlink>
          </w:p>
          <w:p>
            <w:pPr>
              <w:spacing w:before="60" w:after="40"/>
            </w:pPr>
            <w:r>
              <w:rPr>
                <w:rFonts w:ascii="Calibri" w:hAnsi="Calibri"/>
                <w:b w:val="0"/>
                <w:i w:val="0"/>
                <w:color w:val="5A5A5A"/>
                <w:sz w:val="18"/>
              </w:rPr>
              <w:t>#familyhistory  #heritability  #immunehandling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Immune predisposition</w:t>
            </w:r>
          </w:p>
        </w:tc>
        <w:tc>
          <w:tcPr>
            <w:tcW w:type="dxa" w:w="2160"/>
            <w:vAlign w:val="top"/>
          </w:tcPr>
          <w:p>
            <w:pPr>
              <w:spacing w:after="40" w:before="0" w:line="259" w:lineRule="auto"/>
            </w:pPr>
            <w:r>
              <w:rPr>
                <w:rFonts w:ascii="Calibri" w:hAnsi="Calibri"/>
                <w:b w:val="0"/>
                <w:i w:val="0"/>
                <w:color w:val="212121"/>
                <w:sz w:val="19"/>
              </w:rPr>
              <w:t>Children with atopy / impaired mucosal immunity</w:t>
            </w:r>
          </w:p>
        </w:tc>
        <w:tc>
          <w:tcPr>
            <w:tcW w:type="dxa" w:w="4276"/>
            <w:vAlign w:val="top"/>
          </w:tcPr>
          <w:p>
            <w:pPr>
              <w:spacing w:after="60" w:line="259" w:lineRule="auto"/>
            </w:pPr>
            <w:r>
              <w:rPr>
                <w:rFonts w:ascii="Calibri" w:hAnsi="Calibri"/>
                <w:b w:val="0"/>
                <w:i w:val="0"/>
                <w:color w:val="212121"/>
                <w:sz w:val="19"/>
              </w:rPr>
              <w:t>Atopic and immunologically predisposed children mount less effective local defence against tonsillar pathogens, favouring repeated infection and chronicity.</w:t>
            </w:r>
          </w:p>
          <w:p>
            <w:pPr>
              <w:spacing w:after="40" w:before="60" w:line="259" w:lineRule="auto"/>
            </w:pPr>
            <w:r>
              <w:rPr>
                <w:rFonts w:ascii="Calibri" w:hAnsi="Calibri"/>
                <w:b w:val="0"/>
                <w:i w:val="0"/>
                <w:color w:val="212121"/>
                <w:sz w:val="19"/>
              </w:rPr>
              <w:t>Chronic tonsillitis is associated with a shift in tonsillar immune function and polymicrobial colonisation rather than a single organism.</w:t>
            </w:r>
          </w:p>
          <w:p>
            <w:pPr>
              <w:spacing w:after="40" w:line="252" w:lineRule="auto"/>
            </w:pPr>
            <w:hyperlink r:id="rId16">
              <w:r>
                <w:rPr>
                  <w:rFonts w:ascii="Calibri" w:hAnsi="Calibri" w:cs="Calibri"/>
                  <w:sz w:val="18"/>
                  <w:color w:val="1155CC"/>
                  <w:u w:val="single"/>
                </w:rPr>
                <w:t xml:space="preserve">pmc.ncbi.nlm.nih.gov — tonsillar microbiology &amp; immunity</w:t>
              </w:r>
            </w:hyperlink>
          </w:p>
          <w:p>
            <w:pPr>
              <w:spacing w:before="60" w:after="40"/>
            </w:pPr>
            <w:r>
              <w:rPr>
                <w:rFonts w:ascii="Calibri" w:hAnsi="Calibri"/>
                <w:b w:val="0"/>
                <w:i w:val="0"/>
                <w:color w:val="5A5A5A"/>
                <w:sz w:val="18"/>
              </w:rPr>
              <w:t>#atopy  #mucosalimmunity  #susceptibility  #colonisation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 / chronic rhinosinusitis</w:t>
            </w:r>
          </w:p>
        </w:tc>
        <w:tc>
          <w:tcPr>
            <w:tcW w:type="dxa" w:w="2160"/>
            <w:vAlign w:val="top"/>
          </w:tcPr>
          <w:p>
            <w:pPr>
              <w:spacing w:after="40" w:before="0" w:line="259" w:lineRule="auto"/>
            </w:pPr>
            <w:r>
              <w:rPr>
                <w:rFonts w:ascii="Calibri" w:hAnsi="Calibri"/>
                <w:b w:val="0"/>
                <w:i w:val="0"/>
                <w:color w:val="212121"/>
                <w:sz w:val="19"/>
              </w:rPr>
              <w:t>Patients with upper-airway allergic disease</w:t>
            </w:r>
          </w:p>
        </w:tc>
        <w:tc>
          <w:tcPr>
            <w:tcW w:type="dxa" w:w="4276"/>
            <w:vAlign w:val="top"/>
          </w:tcPr>
          <w:p>
            <w:pPr>
              <w:spacing w:after="60" w:line="259" w:lineRule="auto"/>
            </w:pPr>
            <w:r>
              <w:rPr>
                <w:rFonts w:ascii="Calibri" w:hAnsi="Calibri"/>
                <w:b w:val="0"/>
                <w:i w:val="0"/>
                <w:color w:val="212121"/>
                <w:sz w:val="19"/>
              </w:rPr>
              <w:t>Chronic allergic and sinonasal inflammation produces post-nasal drip, mouth-breathing and a continuously irritated pharynx that seeds and sustains tonsillar infection.</w:t>
            </w:r>
          </w:p>
          <w:p>
            <w:pPr>
              <w:spacing w:after="40" w:before="60" w:line="259" w:lineRule="auto"/>
            </w:pPr>
            <w:r>
              <w:rPr>
                <w:rFonts w:ascii="Calibri" w:hAnsi="Calibri"/>
                <w:b w:val="0"/>
                <w:i w:val="0"/>
                <w:color w:val="212121"/>
                <w:sz w:val="19"/>
              </w:rPr>
              <w:t>Allergic rhinitis and chronic rhinosinusitis share droplet exposure, post-nasal drip and impaired mucosal clearance with chronic tonsillitis, and commonly co-exist.</w:t>
            </w:r>
          </w:p>
          <w:p>
            <w:pPr>
              <w:spacing w:after="40" w:line="252" w:lineRule="auto"/>
            </w:pPr>
            <w:hyperlink r:id="rId9">
              <w:r>
                <w:rPr>
                  <w:rFonts w:ascii="Calibri" w:hAnsi="Calibri" w:cs="Calibri"/>
                  <w:sz w:val="18"/>
                  <w:color w:val="1155CC"/>
                  <w:u w:val="single"/>
                </w:rPr>
                <w:t xml:space="preserve">ncbi.nlm.nih.gov — Tonsillitis (associated URT disease)</w:t>
              </w:r>
            </w:hyperlink>
          </w:p>
          <w:p>
            <w:pPr>
              <w:spacing w:before="60" w:after="40"/>
            </w:pPr>
            <w:r>
              <w:rPr>
                <w:rFonts w:ascii="Calibri" w:hAnsi="Calibri"/>
                <w:b w:val="0"/>
                <w:i w:val="0"/>
                <w:color w:val="5A5A5A"/>
                <w:sz w:val="18"/>
              </w:rPr>
              <w:t>#allergicrhinitis  #rhinosinusitis  #postnasaldrip  #upperairway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Adenoid hypertrophy</w:t>
            </w:r>
          </w:p>
        </w:tc>
        <w:tc>
          <w:tcPr>
            <w:tcW w:type="dxa" w:w="2160"/>
            <w:vAlign w:val="top"/>
          </w:tcPr>
          <w:p>
            <w:pPr>
              <w:spacing w:after="40" w:before="0" w:line="259" w:lineRule="auto"/>
            </w:pPr>
            <w:r>
              <w:rPr>
                <w:rFonts w:ascii="Calibri" w:hAnsi="Calibri"/>
                <w:b w:val="0"/>
                <w:i w:val="0"/>
                <w:color w:val="212121"/>
                <w:sz w:val="19"/>
              </w:rPr>
              <w:t>Children with adenotonsillar disease</w:t>
            </w:r>
          </w:p>
        </w:tc>
        <w:tc>
          <w:tcPr>
            <w:tcW w:type="dxa" w:w="4276"/>
            <w:vAlign w:val="top"/>
          </w:tcPr>
          <w:p>
            <w:pPr>
              <w:spacing w:after="60" w:line="259" w:lineRule="auto"/>
            </w:pPr>
            <w:r>
              <w:rPr>
                <w:rFonts w:ascii="Calibri" w:hAnsi="Calibri"/>
                <w:b w:val="0"/>
                <w:i w:val="0"/>
                <w:color w:val="212121"/>
                <w:sz w:val="19"/>
              </w:rPr>
              <w:t>Adenoids and tonsils form a single lymphoid ring; adenoid hypertrophy and chronic adenoiditis coexist with tonsillitis, together causing nasal obstruction, mouth-breathing and obstructive sleep-disordered breathing.</w:t>
            </w:r>
          </w:p>
          <w:p>
            <w:pPr>
              <w:spacing w:after="40" w:before="60" w:line="259" w:lineRule="auto"/>
            </w:pPr>
            <w:r>
              <w:rPr>
                <w:rFonts w:ascii="Calibri" w:hAnsi="Calibri"/>
                <w:b w:val="0"/>
                <w:i w:val="0"/>
                <w:color w:val="212121"/>
                <w:sz w:val="19"/>
              </w:rPr>
              <w:t>Adenotonsillar hypertrophy is the leading cause of obstructive sleep apnoea in children and commonly accompanies chronic tonsillitis.</w:t>
            </w:r>
          </w:p>
          <w:p>
            <w:pPr>
              <w:spacing w:after="40" w:line="252" w:lineRule="auto"/>
            </w:pPr>
            <w:hyperlink r:id="rId17">
              <w:r>
                <w:rPr>
                  <w:rFonts w:ascii="Calibri" w:hAnsi="Calibri" w:cs="Calibri"/>
                  <w:sz w:val="18"/>
                  <w:color w:val="1155CC"/>
                  <w:u w:val="single"/>
                </w:rPr>
                <w:t xml:space="preserve">pmc.ncbi.nlm.nih.gov — adenotonsillar hypertrophy &amp; sleep-disordered breathing</w:t>
              </w:r>
            </w:hyperlink>
          </w:p>
          <w:p>
            <w:pPr>
              <w:spacing w:before="60" w:after="40"/>
            </w:pPr>
            <w:r>
              <w:rPr>
                <w:rFonts w:ascii="Calibri" w:hAnsi="Calibri"/>
                <w:b w:val="0"/>
                <w:i w:val="0"/>
                <w:color w:val="5A5A5A"/>
                <w:sz w:val="18"/>
              </w:rPr>
              <w:t>#adenoids  #adenotonsillar  #mouthbreathing  #SDB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laryngopharyngeal reflux</w:t>
            </w:r>
          </w:p>
        </w:tc>
        <w:tc>
          <w:tcPr>
            <w:tcW w:type="dxa" w:w="2160"/>
            <w:vAlign w:val="top"/>
          </w:tcPr>
          <w:p>
            <w:pPr>
              <w:spacing w:after="40" w:before="0" w:line="259" w:lineRule="auto"/>
            </w:pPr>
            <w:r>
              <w:rPr>
                <w:rFonts w:ascii="Calibri" w:hAnsi="Calibri"/>
                <w:b w:val="0"/>
                <w:i w:val="0"/>
                <w:color w:val="212121"/>
                <w:sz w:val="19"/>
              </w:rPr>
              <w:t>Patients with acid reflux</w:t>
            </w:r>
          </w:p>
        </w:tc>
        <w:tc>
          <w:tcPr>
            <w:tcW w:type="dxa" w:w="4276"/>
            <w:vAlign w:val="top"/>
          </w:tcPr>
          <w:p>
            <w:pPr>
              <w:spacing w:after="60" w:line="259" w:lineRule="auto"/>
            </w:pPr>
            <w:r>
              <w:rPr>
                <w:rFonts w:ascii="Calibri" w:hAnsi="Calibri"/>
                <w:b w:val="0"/>
                <w:i w:val="0"/>
                <w:color w:val="212121"/>
                <w:sz w:val="19"/>
              </w:rPr>
              <w:t>Refluxed gastric acid reaching the pharynx keeps the tonsillar and pharyngeal mucosa chronically irritated, aggravating and mimicking chronic tonsillitis symptoms.</w:t>
            </w:r>
          </w:p>
          <w:p>
            <w:pPr>
              <w:spacing w:after="40" w:before="60" w:line="259" w:lineRule="auto"/>
            </w:pPr>
            <w:r>
              <w:rPr>
                <w:rFonts w:ascii="Calibri" w:hAnsi="Calibri"/>
                <w:b w:val="0"/>
                <w:i w:val="0"/>
                <w:color w:val="212121"/>
                <w:sz w:val="19"/>
              </w:rPr>
              <w:t>Laryngopharyngeal reflux is a recognised contributor to chronic sore throat and should be considered when tonsillar symptoms persist without clear infection.</w:t>
            </w:r>
          </w:p>
          <w:p>
            <w:pPr>
              <w:spacing w:after="40" w:line="252" w:lineRule="auto"/>
            </w:pPr>
            <w:hyperlink r:id="rId9">
              <w:r>
                <w:rPr>
                  <w:rFonts w:ascii="Calibri" w:hAnsi="Calibri" w:cs="Calibri"/>
                  <w:sz w:val="18"/>
                  <w:color w:val="1155CC"/>
                  <w:u w:val="single"/>
                </w:rPr>
                <w:t xml:space="preserve">ncbi.nlm.nih.gov — chronic sore throat differentials</w:t>
              </w:r>
            </w:hyperlink>
          </w:p>
          <w:p>
            <w:pPr>
              <w:spacing w:before="60" w:after="40"/>
            </w:pPr>
            <w:r>
              <w:rPr>
                <w:rFonts w:ascii="Calibri" w:hAnsi="Calibri"/>
                <w:b w:val="0"/>
                <w:i w:val="0"/>
                <w:color w:val="5A5A5A"/>
                <w:sz w:val="18"/>
              </w:rPr>
              <w:t>#GERD  #LPR  #refluxthroat  #chronicirritation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Dental caries / periodontal disease</w:t>
            </w:r>
          </w:p>
        </w:tc>
        <w:tc>
          <w:tcPr>
            <w:tcW w:type="dxa" w:w="2160"/>
            <w:vAlign w:val="top"/>
          </w:tcPr>
          <w:p>
            <w:pPr>
              <w:spacing w:after="40" w:before="0" w:line="259" w:lineRule="auto"/>
            </w:pPr>
            <w:r>
              <w:rPr>
                <w:rFonts w:ascii="Calibri" w:hAnsi="Calibri"/>
                <w:b w:val="0"/>
                <w:i w:val="0"/>
                <w:color w:val="212121"/>
                <w:sz w:val="19"/>
              </w:rPr>
              <w:t>Patients with poor dentition</w:t>
            </w:r>
          </w:p>
        </w:tc>
        <w:tc>
          <w:tcPr>
            <w:tcW w:type="dxa" w:w="4276"/>
            <w:vAlign w:val="top"/>
          </w:tcPr>
          <w:p>
            <w:pPr>
              <w:spacing w:after="60" w:line="259" w:lineRule="auto"/>
            </w:pPr>
            <w:r>
              <w:rPr>
                <w:rFonts w:ascii="Calibri" w:hAnsi="Calibri"/>
                <w:b w:val="0"/>
                <w:i w:val="0"/>
                <w:color w:val="212121"/>
                <w:sz w:val="19"/>
              </w:rPr>
              <w:t>Caries and periodontal disease act as a chronic oral bacterial reservoir that repeatedly seeds the adjacent tonsillar crypts, contributing to persistent infection and halitosis.</w:t>
            </w:r>
          </w:p>
          <w:p>
            <w:pPr>
              <w:spacing w:after="40" w:before="60" w:line="259" w:lineRule="auto"/>
            </w:pPr>
            <w:r>
              <w:rPr>
                <w:rFonts w:ascii="Calibri" w:hAnsi="Calibri"/>
                <w:b w:val="0"/>
                <w:i w:val="0"/>
                <w:color w:val="212121"/>
                <w:sz w:val="19"/>
              </w:rPr>
              <w:t>Chronically infected tonsils yield a polymicrobial aerobic–anaerobic flora (on average several isolates per tonsil), overlapping the organisms of oral and dental sepsis.</w:t>
            </w:r>
          </w:p>
          <w:p>
            <w:pPr>
              <w:spacing w:after="40" w:line="252" w:lineRule="auto"/>
            </w:pPr>
            <w:hyperlink r:id="rId16">
              <w:r>
                <w:rPr>
                  <w:rFonts w:ascii="Calibri" w:hAnsi="Calibri" w:cs="Calibri"/>
                  <w:sz w:val="18"/>
                  <w:color w:val="1155CC"/>
                  <w:u w:val="single"/>
                </w:rPr>
                <w:t xml:space="preserve">pmc.ncbi.nlm.nih.gov — polymicrobial tonsillar flora</w:t>
              </w:r>
            </w:hyperlink>
          </w:p>
          <w:p>
            <w:pPr>
              <w:spacing w:before="60" w:after="40"/>
            </w:pPr>
            <w:r>
              <w:rPr>
                <w:rFonts w:ascii="Calibri" w:hAnsi="Calibri"/>
                <w:b w:val="0"/>
                <w:i w:val="0"/>
                <w:color w:val="5A5A5A"/>
                <w:sz w:val="18"/>
              </w:rPr>
              <w:t>#dentalcaries  #periodontal  #oralreservoir  #polymicrobial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cause; however, obesity worsens the severity of adenotonsillar obstructive sleep apnoea, and general fitness supports immune competence and recovery. Its role is indirect and modest.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Nutritional status modulates recurrence: protein-energy malnutrition and micronutrient deficiency (vitamin D, iron) impair mucosal immunity and increase infection frequency, while very cold or irritant foods provoke symptomatic flares.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 tonsillar (and adenoid) hypertrophy is the leading cause of paediatric obstructive sleep apnoea, and disrupted sleep in turn impairs immune defence and recovery from infection.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Secondhand smoke roughly doubles the odds of paediatric chronic/recurrent tonsillitis (OR 2.33) in a dose-dependent manner, and active smoking promotes chronic pharyngeal inflammation and peritonsillar abscess.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primary cause but heavy use irritates the pharyngeal mucosa, impairs immunity and is associated with suppurative complications such as peritonsillar abscess.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can suppress mucosal immunity and increase susceptibility to infection; conversely, streptococcal tonsillar infection is implicated in PANDAS (abrupt-onset OCD/tics) in a small subset of children.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the pharyngeal mucosa moist and aids clearance of debris and secretions, giving modest symptomatic benefit but no proven effect on preventing infection.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causal link with tonsillitis; warm caffeinated drinks may give transient symptomatic soothing of a sore throat.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and respiratory etiquette reduce droplet transmission of streptococci and respiratory viruses, while good oral hygiene lowers crypt bacterial load, tonsilloliths and halitosis — making hygiene a key modifiable factor.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Recurrent group A streptococcal and viral upper-respiratory infections, close contact and overcrowding, and seasonal respiratory-pathogen circulation are the dominant triggers of exacerbations that sustain chronic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tonsillar (and adenoid) obstruction forces habitual mouth-breathing and altered tongue/head posture, which in growing children can contribute to craniofacial changes (“adenoid facies”); the effect is indirect.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Documented sore-throat episodes per year</w:t>
            </w:r>
          </w:p>
        </w:tc>
        <w:tc>
          <w:tcPr>
            <w:tcW w:type="dxa" w:w="1655"/>
            <w:vAlign w:val="top"/>
          </w:tcPr>
          <w:p>
            <w:pPr>
              <w:spacing w:after="40" w:before="0" w:line="259" w:lineRule="auto"/>
            </w:pPr>
            <w:r>
              <w:rPr>
                <w:rFonts w:ascii="Calibri" w:hAnsi="Calibri"/>
                <w:b w:val="0"/>
                <w:i w:val="0"/>
                <w:color w:val="212121"/>
                <w:sz w:val="19"/>
              </w:rPr>
              <w:t>Children &amp; adults with recurrent tonsillitis</w:t>
            </w:r>
          </w:p>
        </w:tc>
        <w:tc>
          <w:tcPr>
            <w:tcW w:type="dxa" w:w="1512"/>
            <w:vAlign w:val="top"/>
          </w:tcPr>
          <w:p>
            <w:pPr>
              <w:spacing w:after="40" w:before="0" w:line="259" w:lineRule="auto"/>
            </w:pPr>
            <w:r>
              <w:rPr>
                <w:rFonts w:ascii="Calibri" w:hAnsi="Calibri"/>
                <w:b w:val="0"/>
                <w:i w:val="0"/>
                <w:color w:val="212121"/>
                <w:sz w:val="19"/>
              </w:rPr>
              <w:t>&lt; 3 well-documented episodes/year</w:t>
            </w:r>
          </w:p>
        </w:tc>
        <w:tc>
          <w:tcPr>
            <w:tcW w:type="dxa" w:w="1512"/>
            <w:vAlign w:val="top"/>
          </w:tcPr>
          <w:p>
            <w:pPr>
              <w:spacing w:after="40" w:before="0" w:line="259" w:lineRule="auto"/>
            </w:pPr>
            <w:r>
              <w:rPr>
                <w:rFonts w:ascii="Calibri" w:hAnsi="Calibri"/>
                <w:b w:val="0"/>
                <w:i w:val="0"/>
                <w:color w:val="212121"/>
                <w:sz w:val="19"/>
              </w:rPr>
              <w:t>≥ 7 in 1 year, ≥ 5/year for 2 years, or ≥ 3/year for 3 years (Paradise/AAO–HNS)</w:t>
            </w:r>
          </w:p>
        </w:tc>
        <w:tc>
          <w:tcPr>
            <w:tcW w:type="dxa" w:w="1468"/>
            <w:vAlign w:val="top"/>
          </w:tcPr>
          <w:p>
            <w:pPr>
              <w:spacing w:after="60" w:line="259" w:lineRule="auto"/>
            </w:pPr>
            <w:r>
              <w:rPr>
                <w:rFonts w:ascii="Calibri" w:hAnsi="Calibri"/>
                <w:b w:val="0"/>
                <w:i w:val="0"/>
                <w:color w:val="212121"/>
                <w:sz w:val="19"/>
              </w:rPr>
              <w:t>Frequency threshold that guides referral for tonsillectomy</w:t>
            </w:r>
          </w:p>
          <w:p>
            <w:pPr>
              <w:spacing w:after="40" w:line="252" w:lineRule="auto"/>
            </w:pPr>
            <w:hyperlink r:id="rId18">
              <w:r>
                <w:rPr>
                  <w:rFonts w:ascii="Calibri" w:hAnsi="Calibri" w:cs="Calibri"/>
                  <w:sz w:val="18"/>
                  <w:color w:val="1155CC"/>
                  <w:u w:val="single"/>
                </w:rPr>
                <w:t xml:space="preserve">https://www.mdcalc.com/calc/10081/paradise-criteria-tonsillectomy-children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Throat swab / rapid antigen test (RADT) for group A strep</w:t>
            </w:r>
          </w:p>
        </w:tc>
        <w:tc>
          <w:tcPr>
            <w:tcW w:type="dxa" w:w="1655"/>
            <w:vAlign w:val="top"/>
          </w:tcPr>
          <w:p>
            <w:pPr>
              <w:spacing w:after="40" w:before="0" w:line="259" w:lineRule="auto"/>
            </w:pPr>
            <w:r>
              <w:rPr>
                <w:rFonts w:ascii="Calibri" w:hAnsi="Calibri"/>
                <w:b w:val="0"/>
                <w:i w:val="0"/>
                <w:color w:val="212121"/>
                <w:sz w:val="19"/>
              </w:rPr>
              <w:t>Patients with acute exacerbation</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 for group A β-haemolytic streptococcus</w:t>
            </w:r>
          </w:p>
        </w:tc>
        <w:tc>
          <w:tcPr>
            <w:tcW w:type="dxa" w:w="1468"/>
            <w:vAlign w:val="top"/>
          </w:tcPr>
          <w:p>
            <w:pPr>
              <w:spacing w:after="60" w:line="259" w:lineRule="auto"/>
            </w:pPr>
            <w:r>
              <w:rPr>
                <w:rFonts w:ascii="Calibri" w:hAnsi="Calibri"/>
                <w:b w:val="0"/>
                <w:i w:val="0"/>
                <w:color w:val="212121"/>
                <w:sz w:val="19"/>
              </w:rPr>
              <w:t>Confirms streptococcal aetiology needing antibiotics to prevent rheumatic sequelae</w:t>
            </w:r>
          </w:p>
          <w:p>
            <w:pPr>
              <w:spacing w:after="40" w:line="252" w:lineRule="auto"/>
            </w:pPr>
            <w:hyperlink r:id="rId9">
              <w:r>
                <w:rPr>
                  <w:rFonts w:ascii="Calibri" w:hAnsi="Calibri" w:cs="Calibri"/>
                  <w:sz w:val="18"/>
                  <w:color w:val="1155CC"/>
                  <w:u w:val="single"/>
                </w:rPr>
                <w:t xml:space="preserve">https://www.ncbi.nlm.nih.gov/books/NBK544342/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Anti-streptolysin O (ASO) titre</w:t>
            </w:r>
          </w:p>
        </w:tc>
        <w:tc>
          <w:tcPr>
            <w:tcW w:type="dxa" w:w="1655"/>
            <w:vAlign w:val="top"/>
          </w:tcPr>
          <w:p>
            <w:pPr>
              <w:spacing w:after="40" w:before="0" w:line="259" w:lineRule="auto"/>
            </w:pPr>
            <w:r>
              <w:rPr>
                <w:rFonts w:ascii="Calibri" w:hAnsi="Calibri"/>
                <w:b w:val="0"/>
                <w:i w:val="0"/>
                <w:color w:val="212121"/>
                <w:sz w:val="19"/>
              </w:rPr>
              <w:t>Suspected recent streptococcal infection</w:t>
            </w:r>
          </w:p>
        </w:tc>
        <w:tc>
          <w:tcPr>
            <w:tcW w:type="dxa" w:w="1512"/>
            <w:vAlign w:val="top"/>
          </w:tcPr>
          <w:p>
            <w:pPr>
              <w:spacing w:after="40" w:before="0" w:line="259" w:lineRule="auto"/>
            </w:pPr>
            <w:r>
              <w:rPr>
                <w:rFonts w:ascii="Calibri" w:hAnsi="Calibri"/>
                <w:b w:val="0"/>
                <w:i w:val="0"/>
                <w:color w:val="212121"/>
                <w:sz w:val="19"/>
              </w:rPr>
              <w:t>Adults &lt; 200 IU/mL; children &lt; 333 IU/mL</w:t>
            </w:r>
          </w:p>
        </w:tc>
        <w:tc>
          <w:tcPr>
            <w:tcW w:type="dxa" w:w="1512"/>
            <w:vAlign w:val="top"/>
          </w:tcPr>
          <w:p>
            <w:pPr>
              <w:spacing w:after="40" w:before="0" w:line="259" w:lineRule="auto"/>
            </w:pPr>
            <w:r>
              <w:rPr>
                <w:rFonts w:ascii="Calibri" w:hAnsi="Calibri"/>
                <w:b w:val="0"/>
                <w:i w:val="0"/>
                <w:color w:val="212121"/>
                <w:sz w:val="19"/>
              </w:rPr>
              <w:t>Elevated or rising titre</w:t>
            </w:r>
          </w:p>
        </w:tc>
        <w:tc>
          <w:tcPr>
            <w:tcW w:type="dxa" w:w="1468"/>
            <w:vAlign w:val="top"/>
          </w:tcPr>
          <w:p>
            <w:pPr>
              <w:spacing w:after="60" w:line="259" w:lineRule="auto"/>
            </w:pPr>
            <w:r>
              <w:rPr>
                <w:rFonts w:ascii="Calibri" w:hAnsi="Calibri"/>
                <w:b w:val="0"/>
                <w:i w:val="0"/>
                <w:color w:val="212121"/>
                <w:sz w:val="19"/>
              </w:rPr>
              <w:t>Marker of recent GAS infection and risk of rheumatic complications</w:t>
            </w:r>
          </w:p>
          <w:p>
            <w:pPr>
              <w:spacing w:after="40" w:line="252" w:lineRule="auto"/>
            </w:pPr>
            <w:hyperlink r:id="rId19">
              <w:r>
                <w:rPr>
                  <w:rFonts w:ascii="Calibri" w:hAnsi="Calibri" w:cs="Calibri"/>
                  <w:sz w:val="18"/>
                  <w:color w:val="1155CC"/>
                  <w:u w:val="single"/>
                </w:rPr>
                <w:t xml:space="preserve">https://pubmed.ncbi.nlm.nih.gov/34379301/</w:t>
              </w:r>
            </w:hyperlink>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secondhand cigarettes per day (children)</w:t>
            </w:r>
          </w:p>
        </w:tc>
        <w:tc>
          <w:tcPr>
            <w:tcW w:type="dxa" w:w="1655"/>
            <w:vAlign w:val="top"/>
          </w:tcPr>
          <w:p>
            <w:pPr>
              <w:spacing w:after="40" w:before="0" w:line="259" w:lineRule="auto"/>
            </w:pPr>
            <w:r>
              <w:rPr>
                <w:rFonts w:ascii="Calibri" w:hAnsi="Calibri"/>
                <w:b w:val="0"/>
                <w:i w:val="0"/>
                <w:color w:val="212121"/>
                <w:sz w:val="19"/>
              </w:rPr>
              <w:t>Children in smoking households</w:t>
            </w:r>
          </w:p>
        </w:tc>
        <w:tc>
          <w:tcPr>
            <w:tcW w:type="dxa" w:w="1512"/>
            <w:vAlign w:val="top"/>
          </w:tcPr>
          <w:p>
            <w:pPr>
              <w:spacing w:after="40" w:before="0" w:line="259" w:lineRule="auto"/>
            </w:pPr>
            <w:r>
              <w:rPr>
                <w:rFonts w:ascii="Calibri" w:hAnsi="Calibri"/>
                <w:b w:val="0"/>
                <w:i w:val="0"/>
                <w:color w:val="212121"/>
                <w:sz w:val="19"/>
              </w:rPr>
              <w:t>0 cigarettes/day in the home</w:t>
            </w:r>
          </w:p>
        </w:tc>
        <w:tc>
          <w:tcPr>
            <w:tcW w:type="dxa" w:w="1512"/>
            <w:vAlign w:val="top"/>
          </w:tcPr>
          <w:p>
            <w:pPr>
              <w:spacing w:after="40" w:before="0" w:line="259" w:lineRule="auto"/>
            </w:pPr>
            <w:r>
              <w:rPr>
                <w:rFonts w:ascii="Calibri" w:hAnsi="Calibri"/>
                <w:b w:val="0"/>
                <w:i w:val="0"/>
                <w:color w:val="212121"/>
                <w:sz w:val="19"/>
              </w:rPr>
              <w:t>≥ 1 cigarette/day of home exposure</w:t>
            </w:r>
          </w:p>
        </w:tc>
        <w:tc>
          <w:tcPr>
            <w:tcW w:type="dxa" w:w="1468"/>
            <w:vAlign w:val="top"/>
          </w:tcPr>
          <w:p>
            <w:pPr>
              <w:spacing w:after="60" w:line="259" w:lineRule="auto"/>
            </w:pPr>
            <w:r>
              <w:rPr>
                <w:rFonts w:ascii="Calibri" w:hAnsi="Calibri"/>
                <w:b w:val="0"/>
                <w:i w:val="0"/>
                <w:color w:val="212121"/>
                <w:sz w:val="19"/>
              </w:rPr>
              <w:t>Dose-dependent rise in tonsillar pathological grade with home smoke exposure</w:t>
            </w:r>
          </w:p>
          <w:p>
            <w:pPr>
              <w:spacing w:after="40" w:line="252" w:lineRule="auto"/>
            </w:pPr>
            <w:hyperlink r:id="rId13">
              <w:r>
                <w:rPr>
                  <w:rFonts w:ascii="Calibri" w:hAnsi="Calibri" w:cs="Calibri"/>
                  <w:sz w:val="18"/>
                  <w:color w:val="1155CC"/>
                  <w:u w:val="single"/>
                </w:rPr>
                <w:t xml:space="preserve">https://www.populationmedicine.eu/Impact-of-secondhand-cigarette-smoking-on-the-prevalence-of-pediatric-chronic-or,214739,0,2.html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Cigarettes per day (adults)</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aggravates chronic pharyngeal inflammation and peritonsillar abscess risk</w:t>
            </w:r>
          </w:p>
          <w:p>
            <w:pPr>
              <w:spacing w:after="40" w:line="252" w:lineRule="auto"/>
            </w:pPr>
            <w:hyperlink r:id="rId14">
              <w:r>
                <w:rPr>
                  <w:rFonts w:ascii="Calibri" w:hAnsi="Calibri" w:cs="Calibri"/>
                  <w:sz w:val="18"/>
                  <w:color w:val="1155CC"/>
                  <w:u w:val="single"/>
                </w:rPr>
                <w:t xml:space="preserve">https://pubmed.ncbi.nlm.nih.gov/23568043/</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Apnoea–Hypopnoea Index (AHI) in children</w:t>
            </w:r>
          </w:p>
        </w:tc>
        <w:tc>
          <w:tcPr>
            <w:tcW w:type="dxa" w:w="1655"/>
            <w:vAlign w:val="top"/>
          </w:tcPr>
          <w:p>
            <w:pPr>
              <w:spacing w:after="40" w:before="0" w:line="259" w:lineRule="auto"/>
            </w:pPr>
            <w:r>
              <w:rPr>
                <w:rFonts w:ascii="Calibri" w:hAnsi="Calibri"/>
                <w:b w:val="0"/>
                <w:i w:val="0"/>
                <w:color w:val="212121"/>
                <w:sz w:val="19"/>
              </w:rPr>
              <w:t>Children with tonsillar/adenoid hypertrophy</w:t>
            </w:r>
          </w:p>
        </w:tc>
        <w:tc>
          <w:tcPr>
            <w:tcW w:type="dxa" w:w="1512"/>
            <w:vAlign w:val="top"/>
          </w:tcPr>
          <w:p>
            <w:pPr>
              <w:spacing w:after="40" w:before="0" w:line="259" w:lineRule="auto"/>
            </w:pPr>
            <w:r>
              <w:rPr>
                <w:rFonts w:ascii="Calibri" w:hAnsi="Calibri"/>
                <w:b w:val="0"/>
                <w:i w:val="0"/>
                <w:color w:val="212121"/>
                <w:sz w:val="19"/>
              </w:rPr>
              <w:t>&lt; 1 event/hour (paediatric normal)</w:t>
            </w:r>
          </w:p>
        </w:tc>
        <w:tc>
          <w:tcPr>
            <w:tcW w:type="dxa" w:w="1512"/>
            <w:vAlign w:val="top"/>
          </w:tcPr>
          <w:p>
            <w:pPr>
              <w:spacing w:after="40" w:before="0" w:line="259" w:lineRule="auto"/>
            </w:pPr>
            <w:r>
              <w:rPr>
                <w:rFonts w:ascii="Calibri" w:hAnsi="Calibri"/>
                <w:b w:val="0"/>
                <w:i w:val="0"/>
                <w:color w:val="212121"/>
                <w:sz w:val="19"/>
              </w:rPr>
              <w:t>≥ 1–5 (mild–moderate); ≥ 10 (severe) OSA</w:t>
            </w:r>
          </w:p>
        </w:tc>
        <w:tc>
          <w:tcPr>
            <w:tcW w:type="dxa" w:w="1468"/>
            <w:vAlign w:val="top"/>
          </w:tcPr>
          <w:p>
            <w:pPr>
              <w:spacing w:after="60" w:line="259" w:lineRule="auto"/>
            </w:pPr>
            <w:r>
              <w:rPr>
                <w:rFonts w:ascii="Calibri" w:hAnsi="Calibri"/>
                <w:b w:val="0"/>
                <w:i w:val="0"/>
                <w:color w:val="212121"/>
                <w:sz w:val="19"/>
              </w:rPr>
              <w:t>Screens obstructive sleep apnoea from adenotonsillar obstruction</w:t>
            </w:r>
          </w:p>
          <w:p>
            <w:pPr>
              <w:spacing w:after="40" w:line="252" w:lineRule="auto"/>
            </w:pPr>
            <w:hyperlink r:id="rId17">
              <w:r>
                <w:rPr>
                  <w:rFonts w:ascii="Calibri" w:hAnsi="Calibri" w:cs="Calibri"/>
                  <w:sz w:val="18"/>
                  <w:color w:val="1155CC"/>
                  <w:u w:val="single"/>
                </w:rPr>
                <w:t xml:space="preserve">https://pmc.ncbi.nlm.nih.gov/articles/PMC10453215/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snoring / witnessed apnoea</w:t>
            </w:r>
          </w:p>
        </w:tc>
        <w:tc>
          <w:tcPr>
            <w:tcW w:type="dxa" w:w="1655"/>
            <w:vAlign w:val="top"/>
          </w:tcPr>
          <w:p>
            <w:pPr>
              <w:spacing w:after="40" w:before="0" w:line="259" w:lineRule="auto"/>
            </w:pPr>
            <w:r>
              <w:rPr>
                <w:rFonts w:ascii="Calibri" w:hAnsi="Calibri"/>
                <w:b w:val="0"/>
                <w:i w:val="0"/>
                <w:color w:val="212121"/>
                <w:sz w:val="19"/>
              </w:rPr>
              <w:t>Children with obstructive symptoms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Loud habitual snoring, mouth-breathing or witnessed pauses in breathing</w:t>
            </w:r>
          </w:p>
        </w:tc>
        <w:tc>
          <w:tcPr>
            <w:tcW w:type="dxa" w:w="1468"/>
            <w:vAlign w:val="top"/>
          </w:tcPr>
          <w:p>
            <w:pPr>
              <w:spacing w:after="60" w:line="259" w:lineRule="auto"/>
            </w:pPr>
            <w:r>
              <w:rPr>
                <w:rFonts w:ascii="Calibri" w:hAnsi="Calibri"/>
                <w:b w:val="0"/>
                <w:i w:val="0"/>
                <w:color w:val="212121"/>
                <w:sz w:val="19"/>
              </w:rPr>
              <w:t>Clinical flag for sleep-disordered breathing warranting ENT assessment</w:t>
            </w:r>
          </w:p>
          <w:p>
            <w:pPr>
              <w:spacing w:after="40" w:line="252" w:lineRule="auto"/>
            </w:pPr>
            <w:hyperlink r:id="rId17">
              <w:r>
                <w:rPr>
                  <w:rFonts w:ascii="Calibri" w:hAnsi="Calibri" w:cs="Calibri"/>
                  <w:sz w:val="18"/>
                  <w:color w:val="1155CC"/>
                  <w:u w:val="single"/>
                </w:rPr>
                <w:t xml:space="preserve">https://pmc.ncbi.nlm.nih.gov/articles/PMC10453215/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hygiene / recurrent tonsilloliths &amp; halitosis</w:t>
            </w:r>
          </w:p>
        </w:tc>
        <w:tc>
          <w:tcPr>
            <w:tcW w:type="dxa" w:w="1655"/>
            <w:vAlign w:val="top"/>
          </w:tcPr>
          <w:p>
            <w:pPr>
              <w:spacing w:after="40" w:before="0" w:line="259" w:lineRule="auto"/>
            </w:pPr>
            <w:r>
              <w:rPr>
                <w:rFonts w:ascii="Calibri" w:hAnsi="Calibri"/>
                <w:b w:val="0"/>
                <w:i w:val="0"/>
                <w:color w:val="212121"/>
                <w:sz w:val="19"/>
              </w:rPr>
              <w:t>Patients with chronic tonsillitis</w:t>
            </w:r>
          </w:p>
        </w:tc>
        <w:tc>
          <w:tcPr>
            <w:tcW w:type="dxa" w:w="1512"/>
            <w:vAlign w:val="top"/>
          </w:tcPr>
          <w:p>
            <w:pPr>
              <w:spacing w:after="40" w:before="0" w:line="259" w:lineRule="auto"/>
            </w:pPr>
            <w:r>
              <w:rPr>
                <w:rFonts w:ascii="Calibri" w:hAnsi="Calibri"/>
                <w:b w:val="0"/>
                <w:i w:val="0"/>
                <w:color w:val="212121"/>
                <w:sz w:val="19"/>
              </w:rPr>
              <w:t>Good oral hygiene, no tonsilloliths, no persistent halitosis</w:t>
            </w:r>
          </w:p>
        </w:tc>
        <w:tc>
          <w:tcPr>
            <w:tcW w:type="dxa" w:w="1512"/>
            <w:vAlign w:val="top"/>
          </w:tcPr>
          <w:p>
            <w:pPr>
              <w:spacing w:after="40" w:before="0" w:line="259" w:lineRule="auto"/>
            </w:pPr>
            <w:r>
              <w:rPr>
                <w:rFonts w:ascii="Calibri" w:hAnsi="Calibri"/>
                <w:b w:val="0"/>
                <w:i w:val="0"/>
                <w:color w:val="212121"/>
                <w:sz w:val="19"/>
              </w:rPr>
              <w:t>Recurrent tonsilloliths and persistent bad breath</w:t>
            </w:r>
          </w:p>
        </w:tc>
        <w:tc>
          <w:tcPr>
            <w:tcW w:type="dxa" w:w="1468"/>
            <w:vAlign w:val="top"/>
          </w:tcPr>
          <w:p>
            <w:pPr>
              <w:spacing w:after="60" w:line="259" w:lineRule="auto"/>
            </w:pPr>
            <w:r>
              <w:rPr>
                <w:rFonts w:ascii="Calibri" w:hAnsi="Calibri"/>
                <w:b w:val="0"/>
                <w:i w:val="0"/>
                <w:color w:val="212121"/>
                <w:sz w:val="19"/>
              </w:rPr>
              <w:t>Reflects crypt debris and bacterial biofilm load</w:t>
            </w:r>
          </w:p>
          <w:p>
            <w:pPr>
              <w:spacing w:after="40" w:line="252" w:lineRule="auto"/>
            </w:pPr>
            <w:hyperlink r:id="rId15">
              <w:r>
                <w:rPr>
                  <w:rFonts w:ascii="Calibri" w:hAnsi="Calibri" w:cs="Calibri"/>
                  <w:sz w:val="18"/>
                  <w:color w:val="1155CC"/>
                  <w:u w:val="single"/>
                </w:rPr>
                <w:t xml:space="preserve">https://www.aafp.org/pubs/afp/issues/2023/0100/tonsillitis-tonsilloliths.html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Body-mass-index (weight status)</w:t>
            </w:r>
          </w:p>
        </w:tc>
        <w:tc>
          <w:tcPr>
            <w:tcW w:type="dxa" w:w="1655"/>
            <w:vAlign w:val="top"/>
          </w:tcPr>
          <w:p>
            <w:pPr>
              <w:spacing w:after="40" w:before="0" w:line="259" w:lineRule="auto"/>
            </w:pPr>
            <w:r>
              <w:rPr>
                <w:rFonts w:ascii="Calibri" w:hAnsi="Calibri"/>
                <w:b w:val="0"/>
                <w:i w:val="0"/>
                <w:color w:val="212121"/>
                <w:sz w:val="19"/>
              </w:rPr>
              <w:t>Children/adults with obstructive symptoms</w:t>
            </w:r>
          </w:p>
        </w:tc>
        <w:tc>
          <w:tcPr>
            <w:tcW w:type="dxa" w:w="1512"/>
            <w:vAlign w:val="top"/>
          </w:tcPr>
          <w:p>
            <w:pPr>
              <w:spacing w:after="40" w:before="0" w:line="259" w:lineRule="auto"/>
            </w:pPr>
            <w:r>
              <w:rPr>
                <w:rFonts w:ascii="Calibri" w:hAnsi="Calibri"/>
                <w:b w:val="0"/>
                <w:i w:val="0"/>
                <w:color w:val="212121"/>
                <w:sz w:val="19"/>
              </w:rPr>
              <w:t>Age-appropriate healthy BMI (&lt; 85th percentile in children)</w:t>
            </w:r>
          </w:p>
        </w:tc>
        <w:tc>
          <w:tcPr>
            <w:tcW w:type="dxa" w:w="1512"/>
            <w:vAlign w:val="top"/>
          </w:tcPr>
          <w:p>
            <w:pPr>
              <w:spacing w:after="40" w:before="0" w:line="259" w:lineRule="auto"/>
            </w:pPr>
            <w:r>
              <w:rPr>
                <w:rFonts w:ascii="Calibri" w:hAnsi="Calibri"/>
                <w:b w:val="0"/>
                <w:i w:val="0"/>
                <w:color w:val="212121"/>
                <w:sz w:val="19"/>
              </w:rPr>
              <w:t>Overweight/obese (≥ 95th percentile in children)</w:t>
            </w:r>
          </w:p>
        </w:tc>
        <w:tc>
          <w:tcPr>
            <w:tcW w:type="dxa" w:w="1468"/>
            <w:vAlign w:val="top"/>
          </w:tcPr>
          <w:p>
            <w:pPr>
              <w:spacing w:after="60" w:line="259" w:lineRule="auto"/>
            </w:pPr>
            <w:r>
              <w:rPr>
                <w:rFonts w:ascii="Calibri" w:hAnsi="Calibri"/>
                <w:b w:val="0"/>
                <w:i w:val="0"/>
                <w:color w:val="212121"/>
                <w:sz w:val="19"/>
              </w:rPr>
              <w:t>Obesity compounds adenotonsillar obstructive sleep apnoea</w:t>
            </w:r>
          </w:p>
          <w:p>
            <w:pPr>
              <w:spacing w:after="40" w:line="252" w:lineRule="auto"/>
            </w:pPr>
            <w:hyperlink r:id="rId17">
              <w:r>
                <w:rPr>
                  <w:rFonts w:ascii="Calibri" w:hAnsi="Calibri" w:cs="Calibri"/>
                  <w:sz w:val="18"/>
                  <w:color w:val="1155CC"/>
                  <w:u w:val="single"/>
                </w:rPr>
                <w:t xml:space="preserve">https://pmc.ncbi.nlm.nih.gov/articles/PMC10453215/</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 micronutrient status</w:t>
            </w:r>
          </w:p>
        </w:tc>
        <w:tc>
          <w:tcPr>
            <w:tcW w:type="dxa" w:w="1655"/>
            <w:vAlign w:val="top"/>
          </w:tcPr>
          <w:p>
            <w:pPr>
              <w:spacing w:after="40" w:before="0" w:line="259" w:lineRule="auto"/>
            </w:pPr>
            <w:r>
              <w:rPr>
                <w:rFonts w:ascii="Calibri" w:hAnsi="Calibri"/>
                <w:b w:val="0"/>
                <w:i w:val="0"/>
                <w:color w:val="212121"/>
                <w:sz w:val="19"/>
              </w:rPr>
              <w:t>Malnourished children</w:t>
            </w:r>
          </w:p>
        </w:tc>
        <w:tc>
          <w:tcPr>
            <w:tcW w:type="dxa" w:w="1512"/>
            <w:vAlign w:val="top"/>
          </w:tcPr>
          <w:p>
            <w:pPr>
              <w:spacing w:after="40" w:before="0" w:line="259" w:lineRule="auto"/>
            </w:pPr>
            <w:r>
              <w:rPr>
                <w:rFonts w:ascii="Calibri" w:hAnsi="Calibri"/>
                <w:b w:val="0"/>
                <w:i w:val="0"/>
                <w:color w:val="212121"/>
                <w:sz w:val="19"/>
              </w:rPr>
              <w:t>Adequate protein-energy and micronutrient intake</w:t>
            </w:r>
          </w:p>
        </w:tc>
        <w:tc>
          <w:tcPr>
            <w:tcW w:type="dxa" w:w="1512"/>
            <w:vAlign w:val="top"/>
          </w:tcPr>
          <w:p>
            <w:pPr>
              <w:spacing w:after="40" w:before="0" w:line="259" w:lineRule="auto"/>
            </w:pPr>
            <w:r>
              <w:rPr>
                <w:rFonts w:ascii="Calibri" w:hAnsi="Calibri"/>
                <w:b w:val="0"/>
                <w:i w:val="0"/>
                <w:color w:val="212121"/>
                <w:sz w:val="19"/>
              </w:rPr>
              <w:t>Under-nutrition, iron/vitamin-D deficiency</w:t>
            </w:r>
          </w:p>
        </w:tc>
        <w:tc>
          <w:tcPr>
            <w:tcW w:type="dxa" w:w="1468"/>
            <w:vAlign w:val="top"/>
          </w:tcPr>
          <w:p>
            <w:pPr>
              <w:spacing w:after="60" w:line="259" w:lineRule="auto"/>
            </w:pPr>
            <w:r>
              <w:rPr>
                <w:rFonts w:ascii="Calibri" w:hAnsi="Calibri"/>
                <w:b w:val="0"/>
                <w:i w:val="0"/>
                <w:color w:val="212121"/>
                <w:sz w:val="19"/>
              </w:rPr>
              <w:t>Deficiency impairs mucosal immunity and increases recurrence</w:t>
            </w:r>
          </w:p>
          <w:p>
            <w:pPr>
              <w:spacing w:after="40" w:line="252" w:lineRule="auto"/>
            </w:pPr>
            <w:hyperlink r:id="rId16">
              <w:r>
                <w:rPr>
                  <w:rFonts w:ascii="Calibri" w:hAnsi="Calibri" w:cs="Calibri"/>
                  <w:sz w:val="18"/>
                  <w:color w:val="1155CC"/>
                  <w:u w:val="single"/>
                </w:rPr>
                <w:t xml:space="preserve">https://pmc.ncbi.nlm.nih.gov/articles/PMC6248716/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Throat swab culture (group A streptococcus &amp; flora)</w:t>
            </w:r>
          </w:p>
        </w:tc>
        <w:tc>
          <w:tcPr>
            <w:tcW w:type="dxa" w:w="892"/>
            <w:vAlign w:val="top"/>
          </w:tcPr>
          <w:p>
            <w:pPr>
              <w:spacing w:after="40" w:before="0" w:line="259" w:lineRule="auto"/>
            </w:pPr>
            <w:r>
              <w:rPr>
                <w:rFonts w:ascii="Calibri" w:hAnsi="Calibri"/>
                <w:b w:val="0"/>
                <w:i w:val="0"/>
                <w:color w:val="212121"/>
                <w:sz w:val="16"/>
              </w:rPr>
              <w:t>Tonsillar/throat swab culture &amp; sensitivity</w:t>
            </w:r>
          </w:p>
        </w:tc>
        <w:tc>
          <w:tcPr>
            <w:tcW w:type="dxa" w:w="950"/>
            <w:vAlign w:val="top"/>
          </w:tcPr>
          <w:p>
            <w:pPr>
              <w:spacing w:after="40" w:before="0" w:line="259" w:lineRule="auto"/>
            </w:pPr>
            <w:r>
              <w:rPr>
                <w:rFonts w:ascii="Calibri" w:hAnsi="Calibri"/>
                <w:b w:val="0"/>
                <w:i w:val="0"/>
                <w:color w:val="212121"/>
                <w:sz w:val="16"/>
              </w:rPr>
              <w:t>Commensal flora; no significant pathogen</w:t>
            </w:r>
          </w:p>
        </w:tc>
        <w:tc>
          <w:tcPr>
            <w:tcW w:type="dxa" w:w="950"/>
            <w:vAlign w:val="top"/>
          </w:tcPr>
          <w:p>
            <w:pPr>
              <w:spacing w:after="40" w:before="0" w:line="259" w:lineRule="auto"/>
            </w:pPr>
            <w:r>
              <w:rPr>
                <w:rFonts w:ascii="Calibri" w:hAnsi="Calibri"/>
                <w:b w:val="0"/>
                <w:i w:val="0"/>
                <w:color w:val="212121"/>
                <w:sz w:val="16"/>
              </w:rPr>
              <w:t>Growth of group A β-haemolytic streptococcus or heavy pathogenic/polymicrobial growth</w:t>
            </w:r>
          </w:p>
        </w:tc>
        <w:tc>
          <w:tcPr>
            <w:tcW w:type="dxa" w:w="1036"/>
            <w:vAlign w:val="top"/>
          </w:tcPr>
          <w:p>
            <w:pPr>
              <w:spacing w:after="40" w:before="0" w:line="259" w:lineRule="auto"/>
            </w:pPr>
            <w:r>
              <w:rPr>
                <w:rFonts w:ascii="Calibri" w:hAnsi="Calibri"/>
                <w:b w:val="0"/>
                <w:i w:val="0"/>
                <w:color w:val="212121"/>
                <w:sz w:val="16"/>
              </w:rPr>
              <w:t>Gold standard to confirm streptococcal (and mixed) infection and guide antibiotics</w:t>
            </w:r>
          </w:p>
        </w:tc>
        <w:tc>
          <w:tcPr>
            <w:tcW w:type="dxa" w:w="1036"/>
            <w:vAlign w:val="top"/>
          </w:tcPr>
          <w:p>
            <w:pPr>
              <w:spacing w:after="40" w:before="0" w:line="259" w:lineRule="auto"/>
            </w:pPr>
            <w:r>
              <w:rPr>
                <w:rFonts w:ascii="Calibri" w:hAnsi="Calibri"/>
                <w:b w:val="0"/>
                <w:i w:val="0"/>
                <w:color w:val="212121"/>
                <w:sz w:val="16"/>
              </w:rPr>
              <w:t>Recurrent/chronic tonsillitis, treatment failures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Chronically infected tonsils yield polymicrobial aerobic–anaerobic flora (≈ 4 isolates/tonsil)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Rapid antigen detection test (RADT) for GAS</w:t>
            </w:r>
          </w:p>
        </w:tc>
        <w:tc>
          <w:tcPr>
            <w:tcW w:type="dxa" w:w="892"/>
            <w:vAlign w:val="top"/>
          </w:tcPr>
          <w:p>
            <w:pPr>
              <w:spacing w:after="40" w:before="0" w:line="259" w:lineRule="auto"/>
            </w:pPr>
            <w:r>
              <w:rPr>
                <w:rFonts w:ascii="Calibri" w:hAnsi="Calibri"/>
                <w:b w:val="0"/>
                <w:i w:val="0"/>
                <w:color w:val="212121"/>
                <w:sz w:val="16"/>
              </w:rPr>
              <w:t>Rapid strep antigen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group A streptococcal antigen</w:t>
            </w:r>
          </w:p>
        </w:tc>
        <w:tc>
          <w:tcPr>
            <w:tcW w:type="dxa" w:w="1036"/>
            <w:vAlign w:val="top"/>
          </w:tcPr>
          <w:p>
            <w:pPr>
              <w:spacing w:after="40" w:before="0" w:line="259" w:lineRule="auto"/>
            </w:pPr>
            <w:r>
              <w:rPr>
                <w:rFonts w:ascii="Calibri" w:hAnsi="Calibri"/>
                <w:b w:val="0"/>
                <w:i w:val="0"/>
                <w:color w:val="212121"/>
                <w:sz w:val="16"/>
              </w:rPr>
              <w:t>Rapid confirmation of streptococcal exacerbation to start timely antibiotics</w:t>
            </w:r>
          </w:p>
        </w:tc>
        <w:tc>
          <w:tcPr>
            <w:tcW w:type="dxa" w:w="1036"/>
            <w:vAlign w:val="top"/>
          </w:tcPr>
          <w:p>
            <w:pPr>
              <w:spacing w:after="40" w:before="0" w:line="259" w:lineRule="auto"/>
            </w:pPr>
            <w:r>
              <w:rPr>
                <w:rFonts w:ascii="Calibri" w:hAnsi="Calibri"/>
                <w:b w:val="0"/>
                <w:i w:val="0"/>
                <w:color w:val="212121"/>
                <w:sz w:val="16"/>
              </w:rPr>
              <w:t>Children/adults with acute exacerbation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(rapid)</w:t>
            </w:r>
          </w:p>
        </w:tc>
        <w:tc>
          <w:tcPr>
            <w:tcW w:type="dxa" w:w="720"/>
            <w:vAlign w:val="top"/>
          </w:tcPr>
          <w:p>
            <w:pPr>
              <w:spacing w:after="40" w:before="0" w:line="259" w:lineRule="auto"/>
            </w:pPr>
            <w:r>
              <w:rPr>
                <w:rFonts w:ascii="Calibri" w:hAnsi="Calibri"/>
                <w:b w:val="0"/>
                <w:i w:val="0"/>
                <w:color w:val="212121"/>
                <w:sz w:val="16"/>
              </w:rPr>
              <w:t>High specificity; a negative test in children is often backed up by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Anti-streptolysin O (ASO) titre</w:t>
            </w:r>
          </w:p>
        </w:tc>
        <w:tc>
          <w:tcPr>
            <w:tcW w:type="dxa" w:w="892"/>
            <w:vAlign w:val="top"/>
          </w:tcPr>
          <w:p>
            <w:pPr>
              <w:spacing w:after="40" w:before="0" w:line="259" w:lineRule="auto"/>
            </w:pPr>
            <w:r>
              <w:rPr>
                <w:rFonts w:ascii="Calibri" w:hAnsi="Calibri"/>
                <w:b w:val="0"/>
                <w:i w:val="0"/>
                <w:color w:val="212121"/>
                <w:sz w:val="16"/>
              </w:rPr>
              <w:t>ASO titre</w:t>
            </w:r>
          </w:p>
        </w:tc>
        <w:tc>
          <w:tcPr>
            <w:tcW w:type="dxa" w:w="950"/>
            <w:vAlign w:val="top"/>
          </w:tcPr>
          <w:p>
            <w:pPr>
              <w:spacing w:after="40" w:before="0" w:line="259" w:lineRule="auto"/>
            </w:pPr>
            <w:r>
              <w:rPr>
                <w:rFonts w:ascii="Calibri" w:hAnsi="Calibri"/>
                <w:b w:val="0"/>
                <w:i w:val="0"/>
                <w:color w:val="212121"/>
                <w:sz w:val="16"/>
              </w:rPr>
              <w:t>Adults &lt; 200 IU/mL; children &lt; 333 IU/mL</w:t>
            </w:r>
          </w:p>
        </w:tc>
        <w:tc>
          <w:tcPr>
            <w:tcW w:type="dxa" w:w="950"/>
            <w:vAlign w:val="top"/>
          </w:tcPr>
          <w:p>
            <w:pPr>
              <w:spacing w:after="40" w:before="0" w:line="259" w:lineRule="auto"/>
            </w:pPr>
            <w:r>
              <w:rPr>
                <w:rFonts w:ascii="Calibri" w:hAnsi="Calibri"/>
                <w:b w:val="0"/>
                <w:i w:val="0"/>
                <w:color w:val="212121"/>
                <w:sz w:val="16"/>
              </w:rPr>
              <w:t>Elevated or rising titre</w:t>
            </w:r>
          </w:p>
        </w:tc>
        <w:tc>
          <w:tcPr>
            <w:tcW w:type="dxa" w:w="1036"/>
            <w:vAlign w:val="top"/>
          </w:tcPr>
          <w:p>
            <w:pPr>
              <w:spacing w:after="40" w:before="0" w:line="259" w:lineRule="auto"/>
            </w:pPr>
            <w:r>
              <w:rPr>
                <w:rFonts w:ascii="Calibri" w:hAnsi="Calibri"/>
                <w:b w:val="0"/>
                <w:i w:val="0"/>
                <w:color w:val="212121"/>
                <w:sz w:val="16"/>
              </w:rPr>
              <w:t>Indicates recent streptococcal infection and risk of rheumatic sequelae</w:t>
            </w:r>
          </w:p>
        </w:tc>
        <w:tc>
          <w:tcPr>
            <w:tcW w:type="dxa" w:w="1036"/>
            <w:vAlign w:val="top"/>
          </w:tcPr>
          <w:p>
            <w:pPr>
              <w:spacing w:after="40" w:before="0" w:line="259" w:lineRule="auto"/>
            </w:pPr>
            <w:r>
              <w:rPr>
                <w:rFonts w:ascii="Calibri" w:hAnsi="Calibri"/>
                <w:b w:val="0"/>
                <w:i w:val="0"/>
                <w:color w:val="212121"/>
                <w:sz w:val="16"/>
              </w:rPr>
              <w:t>Patients with suspected post-streptococcal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Reflects recent, not current, infection;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(total &amp; differential WBC)</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WBC 4,000–11,000/µL; normal differential</w:t>
            </w:r>
          </w:p>
        </w:tc>
        <w:tc>
          <w:tcPr>
            <w:tcW w:type="dxa" w:w="950"/>
            <w:vAlign w:val="top"/>
          </w:tcPr>
          <w:p>
            <w:pPr>
              <w:spacing w:after="40" w:before="0" w:line="259" w:lineRule="auto"/>
            </w:pPr>
            <w:r>
              <w:rPr>
                <w:rFonts w:ascii="Calibri" w:hAnsi="Calibri"/>
                <w:b w:val="0"/>
                <w:i w:val="0"/>
                <w:color w:val="212121"/>
                <w:sz w:val="16"/>
              </w:rPr>
              <w:t>Neutrophilic leukocytosis (bacterial) or lymphocytosis (viral/EBV)</w:t>
            </w:r>
          </w:p>
        </w:tc>
        <w:tc>
          <w:tcPr>
            <w:tcW w:type="dxa" w:w="1036"/>
            <w:vAlign w:val="top"/>
          </w:tcPr>
          <w:p>
            <w:pPr>
              <w:spacing w:after="40" w:before="0" w:line="259" w:lineRule="auto"/>
            </w:pPr>
            <w:r>
              <w:rPr>
                <w:rFonts w:ascii="Calibri" w:hAnsi="Calibri"/>
                <w:b w:val="0"/>
                <w:i w:val="0"/>
                <w:color w:val="212121"/>
                <w:sz w:val="16"/>
              </w:rPr>
              <w:t>Supports infection and helps distinguish bacterial from viral aetiology</w:t>
            </w:r>
          </w:p>
        </w:tc>
        <w:tc>
          <w:tcPr>
            <w:tcW w:type="dxa" w:w="1036"/>
            <w:vAlign w:val="top"/>
          </w:tcPr>
          <w:p>
            <w:pPr>
              <w:spacing w:after="40" w:before="0" w:line="259" w:lineRule="auto"/>
            </w:pPr>
            <w:r>
              <w:rPr>
                <w:rFonts w:ascii="Calibri" w:hAnsi="Calibri"/>
                <w:b w:val="0"/>
                <w:i w:val="0"/>
                <w:color w:val="212121"/>
                <w:sz w:val="16"/>
              </w:rPr>
              <w:t>Acute exacerbation,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Atypical lymphocytes suggest infectious mononucleosis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C-reactive protein &amp; ESR</w:t>
            </w:r>
          </w:p>
        </w:tc>
        <w:tc>
          <w:tcPr>
            <w:tcW w:type="dxa" w:w="950"/>
            <w:vAlign w:val="top"/>
          </w:tcPr>
          <w:p>
            <w:pPr>
              <w:spacing w:after="40" w:before="0" w:line="259" w:lineRule="auto"/>
            </w:pPr>
            <w:r>
              <w:rPr>
                <w:rFonts w:ascii="Calibri" w:hAnsi="Calibri"/>
                <w:b w:val="0"/>
                <w:i w:val="0"/>
                <w:color w:val="212121"/>
                <w:sz w:val="16"/>
              </w:rPr>
              <w:t>CRP &lt; 5 mg/L; ESR age/sex-appropriate</w:t>
            </w:r>
          </w:p>
        </w:tc>
        <w:tc>
          <w:tcPr>
            <w:tcW w:type="dxa" w:w="950"/>
            <w:vAlign w:val="top"/>
          </w:tcPr>
          <w:p>
            <w:pPr>
              <w:spacing w:after="40" w:before="0" w:line="259" w:lineRule="auto"/>
            </w:pPr>
            <w:r>
              <w:rPr>
                <w:rFonts w:ascii="Calibri" w:hAnsi="Calibri"/>
                <w:b w:val="0"/>
                <w:i w:val="0"/>
                <w:color w:val="212121"/>
                <w:sz w:val="16"/>
              </w:rPr>
              <w:t>Raised CRP/ESR</w:t>
            </w:r>
          </w:p>
        </w:tc>
        <w:tc>
          <w:tcPr>
            <w:tcW w:type="dxa" w:w="1036"/>
            <w:vAlign w:val="top"/>
          </w:tcPr>
          <w:p>
            <w:pPr>
              <w:spacing w:after="40" w:before="0" w:line="259" w:lineRule="auto"/>
            </w:pPr>
            <w:r>
              <w:rPr>
                <w:rFonts w:ascii="Calibri" w:hAnsi="Calibri"/>
                <w:b w:val="0"/>
                <w:i w:val="0"/>
                <w:color w:val="212121"/>
                <w:sz w:val="16"/>
              </w:rPr>
              <w:t>Quantifies inflammatory activity and helps flag suppurative complications</w:t>
            </w:r>
          </w:p>
        </w:tc>
        <w:tc>
          <w:tcPr>
            <w:tcW w:type="dxa" w:w="1036"/>
            <w:vAlign w:val="top"/>
          </w:tcPr>
          <w:p>
            <w:pPr>
              <w:spacing w:after="40" w:before="0" w:line="259" w:lineRule="auto"/>
            </w:pPr>
            <w:r>
              <w:rPr>
                <w:rFonts w:ascii="Calibri" w:hAnsi="Calibri"/>
                <w:b w:val="0"/>
                <w:i w:val="0"/>
                <w:color w:val="212121"/>
                <w:sz w:val="16"/>
              </w:rPr>
              <w:t>Exacerbations, suspected abscess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rise steeply with peritonsillar/deep-neck abscess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Heterophile antibody (Monospot) / EBV serology</w:t>
            </w:r>
          </w:p>
        </w:tc>
        <w:tc>
          <w:tcPr>
            <w:tcW w:type="dxa" w:w="892"/>
            <w:vAlign w:val="top"/>
          </w:tcPr>
          <w:p>
            <w:pPr>
              <w:spacing w:after="40" w:before="0" w:line="259" w:lineRule="auto"/>
            </w:pPr>
            <w:r>
              <w:rPr>
                <w:rFonts w:ascii="Calibri" w:hAnsi="Calibri"/>
                <w:b w:val="0"/>
                <w:i w:val="0"/>
                <w:color w:val="212121"/>
                <w:sz w:val="16"/>
              </w:rPr>
              <w:t>Infectious mononucleosis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heterophile / EBV IgM</w:t>
            </w:r>
          </w:p>
        </w:tc>
        <w:tc>
          <w:tcPr>
            <w:tcW w:type="dxa" w:w="1036"/>
            <w:vAlign w:val="top"/>
          </w:tcPr>
          <w:p>
            <w:pPr>
              <w:spacing w:after="40" w:before="0" w:line="259" w:lineRule="auto"/>
            </w:pPr>
            <w:r>
              <w:rPr>
                <w:rFonts w:ascii="Calibri" w:hAnsi="Calibri"/>
                <w:b w:val="0"/>
                <w:i w:val="0"/>
                <w:color w:val="212121"/>
                <w:sz w:val="16"/>
              </w:rPr>
              <w:t>Excludes EBV mononucleosis, which mimics bacterial tonsillitis and contraindicates ampicillin</w:t>
            </w:r>
          </w:p>
        </w:tc>
        <w:tc>
          <w:tcPr>
            <w:tcW w:type="dxa" w:w="1036"/>
            <w:vAlign w:val="top"/>
          </w:tcPr>
          <w:p>
            <w:pPr>
              <w:spacing w:after="40" w:before="0" w:line="259" w:lineRule="auto"/>
            </w:pPr>
            <w:r>
              <w:rPr>
                <w:rFonts w:ascii="Calibri" w:hAnsi="Calibri"/>
                <w:b w:val="0"/>
                <w:i w:val="0"/>
                <w:color w:val="212121"/>
                <w:sz w:val="16"/>
              </w:rPr>
              <w:t>Adolescents/young adults with membranous tonsillitis, lymphadenopathy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Ampicillin/amoxicillin in EBV causes a florid rash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Renal screen</w:t>
            </w:r>
          </w:p>
        </w:tc>
        <w:tc>
          <w:tcPr>
            <w:tcW w:type="dxa" w:w="1036"/>
            <w:vAlign w:val="top"/>
          </w:tcPr>
          <w:p>
            <w:pPr>
              <w:spacing w:after="40" w:before="0" w:line="259" w:lineRule="auto"/>
            </w:pPr>
            <w:r>
              <w:rPr>
                <w:rFonts w:ascii="Calibri" w:hAnsi="Calibri"/>
                <w:b w:val="0"/>
                <w:i w:val="0"/>
                <w:color w:val="212121"/>
                <w:sz w:val="16"/>
              </w:rPr>
              <w:t>Urinalysis (haematuria/proteinuria)</w:t>
            </w:r>
          </w:p>
        </w:tc>
        <w:tc>
          <w:tcPr>
            <w:tcW w:type="dxa" w:w="892"/>
            <w:vAlign w:val="top"/>
          </w:tcPr>
          <w:p>
            <w:pPr>
              <w:spacing w:after="40" w:before="0" w:line="259" w:lineRule="auto"/>
            </w:pPr>
            <w:r>
              <w:rPr>
                <w:rFonts w:ascii="Calibri" w:hAnsi="Calibri"/>
                <w:b w:val="0"/>
                <w:i w:val="0"/>
                <w:color w:val="212121"/>
                <w:sz w:val="16"/>
              </w:rPr>
              <w:t>Urine routine</w:t>
            </w:r>
          </w:p>
        </w:tc>
        <w:tc>
          <w:tcPr>
            <w:tcW w:type="dxa" w:w="950"/>
            <w:vAlign w:val="top"/>
          </w:tcPr>
          <w:p>
            <w:pPr>
              <w:spacing w:after="40" w:before="0" w:line="259" w:lineRule="auto"/>
            </w:pPr>
            <w:r>
              <w:rPr>
                <w:rFonts w:ascii="Calibri" w:hAnsi="Calibri"/>
                <w:b w:val="0"/>
                <w:i w:val="0"/>
                <w:color w:val="212121"/>
                <w:sz w:val="16"/>
              </w:rPr>
              <w:t>No blood or protein</w:t>
            </w:r>
          </w:p>
        </w:tc>
        <w:tc>
          <w:tcPr>
            <w:tcW w:type="dxa" w:w="950"/>
            <w:vAlign w:val="top"/>
          </w:tcPr>
          <w:p>
            <w:pPr>
              <w:spacing w:after="40" w:before="0" w:line="259" w:lineRule="auto"/>
            </w:pPr>
            <w:r>
              <w:rPr>
                <w:rFonts w:ascii="Calibri" w:hAnsi="Calibri"/>
                <w:b w:val="0"/>
                <w:i w:val="0"/>
                <w:color w:val="212121"/>
                <w:sz w:val="16"/>
              </w:rPr>
              <w:t>Haematuria ± proteinuria, red-cell casts</w:t>
            </w:r>
          </w:p>
        </w:tc>
        <w:tc>
          <w:tcPr>
            <w:tcW w:type="dxa" w:w="1036"/>
            <w:vAlign w:val="top"/>
          </w:tcPr>
          <w:p>
            <w:pPr>
              <w:spacing w:after="40" w:before="0" w:line="259" w:lineRule="auto"/>
            </w:pPr>
            <w:r>
              <w:rPr>
                <w:rFonts w:ascii="Calibri" w:hAnsi="Calibri"/>
                <w:b w:val="0"/>
                <w:i w:val="0"/>
                <w:color w:val="212121"/>
                <w:sz w:val="16"/>
              </w:rPr>
              <w:t>Screens for post-streptococcal glomerulonephritis after GAS infection</w:t>
            </w:r>
          </w:p>
        </w:tc>
        <w:tc>
          <w:tcPr>
            <w:tcW w:type="dxa" w:w="1036"/>
            <w:vAlign w:val="top"/>
          </w:tcPr>
          <w:p>
            <w:pPr>
              <w:spacing w:after="40" w:before="0" w:line="259" w:lineRule="auto"/>
            </w:pPr>
            <w:r>
              <w:rPr>
                <w:rFonts w:ascii="Calibri" w:hAnsi="Calibri"/>
                <w:b w:val="0"/>
                <w:i w:val="0"/>
                <w:color w:val="212121"/>
                <w:sz w:val="16"/>
              </w:rPr>
              <w:t>Post-streptococcal illness, oedema/hypertension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Typically 1–2 weeks after throat (or skin) streptococcal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Neck ultrasound / contrast CT</w:t>
            </w:r>
          </w:p>
        </w:tc>
        <w:tc>
          <w:tcPr>
            <w:tcW w:type="dxa" w:w="892"/>
            <w:vAlign w:val="top"/>
          </w:tcPr>
          <w:p>
            <w:pPr>
              <w:spacing w:after="40" w:before="0" w:line="259" w:lineRule="auto"/>
            </w:pPr>
            <w:r>
              <w:rPr>
                <w:rFonts w:ascii="Calibri" w:hAnsi="Calibri"/>
                <w:b w:val="0"/>
                <w:i w:val="0"/>
                <w:color w:val="212121"/>
                <w:sz w:val="16"/>
              </w:rPr>
              <w:t>Imaging for suppurative complications</w:t>
            </w:r>
          </w:p>
        </w:tc>
        <w:tc>
          <w:tcPr>
            <w:tcW w:type="dxa" w:w="950"/>
            <w:vAlign w:val="top"/>
          </w:tcPr>
          <w:p>
            <w:pPr>
              <w:spacing w:after="40" w:before="0" w:line="259" w:lineRule="auto"/>
            </w:pPr>
            <w:r>
              <w:rPr>
                <w:rFonts w:ascii="Calibri" w:hAnsi="Calibri"/>
                <w:b w:val="0"/>
                <w:i w:val="0"/>
                <w:color w:val="212121"/>
                <w:sz w:val="16"/>
              </w:rPr>
              <w:t>No collection</w:t>
            </w:r>
          </w:p>
        </w:tc>
        <w:tc>
          <w:tcPr>
            <w:tcW w:type="dxa" w:w="950"/>
            <w:vAlign w:val="top"/>
          </w:tcPr>
          <w:p>
            <w:pPr>
              <w:spacing w:after="40" w:before="0" w:line="259" w:lineRule="auto"/>
            </w:pPr>
            <w:r>
              <w:rPr>
                <w:rFonts w:ascii="Calibri" w:hAnsi="Calibri"/>
                <w:b w:val="0"/>
                <w:i w:val="0"/>
                <w:color w:val="212121"/>
                <w:sz w:val="16"/>
              </w:rPr>
              <w:t>Peritonsillar/parapharyngeal/retropharyngeal abscess or deep-neck collection</w:t>
            </w:r>
          </w:p>
        </w:tc>
        <w:tc>
          <w:tcPr>
            <w:tcW w:type="dxa" w:w="1036"/>
            <w:vAlign w:val="top"/>
          </w:tcPr>
          <w:p>
            <w:pPr>
              <w:spacing w:after="40" w:before="0" w:line="259" w:lineRule="auto"/>
            </w:pPr>
            <w:r>
              <w:rPr>
                <w:rFonts w:ascii="Calibri" w:hAnsi="Calibri"/>
                <w:b w:val="0"/>
                <w:i w:val="0"/>
                <w:color w:val="212121"/>
                <w:sz w:val="16"/>
              </w:rPr>
              <w:t>Confirms and localises suppurative complications for drainage</w:t>
            </w:r>
          </w:p>
        </w:tc>
        <w:tc>
          <w:tcPr>
            <w:tcW w:type="dxa" w:w="1036"/>
            <w:vAlign w:val="top"/>
          </w:tcPr>
          <w:p>
            <w:pPr>
              <w:spacing w:after="40" w:before="0" w:line="259" w:lineRule="auto"/>
            </w:pPr>
            <w:r>
              <w:rPr>
                <w:rFonts w:ascii="Calibri" w:hAnsi="Calibri"/>
                <w:b w:val="0"/>
                <w:i w:val="0"/>
                <w:color w:val="212121"/>
                <w:sz w:val="16"/>
              </w:rPr>
              <w:t>Trismus, severe unilateral swelling, toxic child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When complication suspected</w:t>
            </w:r>
          </w:p>
        </w:tc>
        <w:tc>
          <w:tcPr>
            <w:tcW w:type="dxa" w:w="720"/>
            <w:vAlign w:val="top"/>
          </w:tcPr>
          <w:p>
            <w:pPr>
              <w:spacing w:after="40" w:before="0" w:line="259" w:lineRule="auto"/>
            </w:pPr>
            <w:r>
              <w:rPr>
                <w:rFonts w:ascii="Calibri" w:hAnsi="Calibri"/>
                <w:b w:val="0"/>
                <w:i w:val="0"/>
                <w:color w:val="212121"/>
                <w:sz w:val="16"/>
              </w:rPr>
              <w:t>Contrast CT best defines deep-neck spread and airway compromise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Recurrent sore throat, odynophagia, halitosis, foreign-body sensation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Repeated/persistent sore throat with painful swallowing and bad breath</w:t>
            </w:r>
          </w:p>
        </w:tc>
        <w:tc>
          <w:tcPr>
            <w:tcW w:type="dxa" w:w="1036"/>
            <w:vAlign w:val="top"/>
          </w:tcPr>
          <w:p>
            <w:pPr>
              <w:spacing w:after="40" w:before="0" w:line="259" w:lineRule="auto"/>
            </w:pPr>
            <w:r>
              <w:rPr>
                <w:rFonts w:ascii="Calibri" w:hAnsi="Calibri"/>
                <w:b w:val="0"/>
                <w:i w:val="0"/>
                <w:color w:val="212121"/>
                <w:sz w:val="16"/>
              </w:rPr>
              <w:t>Cardinal symptom cluster of chronic tonsillitis</w:t>
            </w:r>
          </w:p>
        </w:tc>
        <w:tc>
          <w:tcPr>
            <w:tcW w:type="dxa" w:w="1036"/>
            <w:vAlign w:val="top"/>
          </w:tcPr>
          <w:p>
            <w:pPr>
              <w:spacing w:after="40" w:before="0" w:line="259" w:lineRule="auto"/>
            </w:pPr>
            <w:r>
              <w:rPr>
                <w:rFonts w:ascii="Calibri" w:hAnsi="Calibri"/>
                <w:b w:val="0"/>
                <w:i w:val="0"/>
                <w:color w:val="212121"/>
                <w:sz w:val="16"/>
              </w:rPr>
              <w:t>Children, adolescents, young adults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Sore throat (≈84%) and odynophagia (≈76%) dominate in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Episode frequency &amp; documentation</w:t>
            </w:r>
          </w:p>
        </w:tc>
        <w:tc>
          <w:tcPr>
            <w:tcW w:type="dxa" w:w="979"/>
            <w:vAlign w:val="top"/>
          </w:tcPr>
          <w:p>
            <w:pPr>
              <w:spacing w:after="40" w:before="0" w:line="259" w:lineRule="auto"/>
            </w:pPr>
            <w:r>
              <w:rPr>
                <w:rFonts w:ascii="Calibri" w:hAnsi="Calibri"/>
                <w:b w:val="0"/>
                <w:i w:val="0"/>
                <w:color w:val="212121"/>
                <w:sz w:val="16"/>
              </w:rPr>
              <w:t>Number of clinician-documented episodes per year</w:t>
            </w:r>
          </w:p>
        </w:tc>
        <w:tc>
          <w:tcPr>
            <w:tcW w:type="dxa" w:w="950"/>
            <w:vAlign w:val="top"/>
          </w:tcPr>
          <w:p>
            <w:pPr>
              <w:spacing w:after="40" w:before="0" w:line="259" w:lineRule="auto"/>
            </w:pPr>
            <w:r>
              <w:rPr>
                <w:rFonts w:ascii="Calibri" w:hAnsi="Calibri"/>
                <w:b w:val="0"/>
                <w:i w:val="0"/>
                <w:color w:val="212121"/>
                <w:sz w:val="16"/>
              </w:rPr>
              <w:t>&lt; 3 documented episodes/year</w:t>
            </w:r>
          </w:p>
        </w:tc>
        <w:tc>
          <w:tcPr>
            <w:tcW w:type="dxa" w:w="950"/>
            <w:vAlign w:val="top"/>
          </w:tcPr>
          <w:p>
            <w:pPr>
              <w:spacing w:after="40" w:before="0" w:line="259" w:lineRule="auto"/>
            </w:pPr>
            <w:r>
              <w:rPr>
                <w:rFonts w:ascii="Calibri" w:hAnsi="Calibri"/>
                <w:b w:val="0"/>
                <w:i w:val="0"/>
                <w:color w:val="212121"/>
                <w:sz w:val="16"/>
              </w:rPr>
              <w:t>Meets Paradise/AAO–HNS frequency criteria</w:t>
            </w:r>
          </w:p>
        </w:tc>
        <w:tc>
          <w:tcPr>
            <w:tcW w:type="dxa" w:w="1036"/>
            <w:vAlign w:val="top"/>
          </w:tcPr>
          <w:p>
            <w:pPr>
              <w:spacing w:after="40" w:before="0" w:line="259" w:lineRule="auto"/>
            </w:pPr>
            <w:r>
              <w:rPr>
                <w:rFonts w:ascii="Calibri" w:hAnsi="Calibri"/>
                <w:b w:val="0"/>
                <w:i w:val="0"/>
                <w:color w:val="212121"/>
                <w:sz w:val="16"/>
              </w:rPr>
              <w:t>Determines whether surgery is indicated</w:t>
            </w:r>
          </w:p>
        </w:tc>
        <w:tc>
          <w:tcPr>
            <w:tcW w:type="dxa" w:w="1036"/>
            <w:vAlign w:val="top"/>
          </w:tcPr>
          <w:p>
            <w:pPr>
              <w:spacing w:after="40" w:before="0" w:line="259" w:lineRule="auto"/>
            </w:pPr>
            <w:r>
              <w:rPr>
                <w:rFonts w:ascii="Calibri" w:hAnsi="Calibri"/>
                <w:b w:val="0"/>
                <w:i w:val="0"/>
                <w:color w:val="212121"/>
                <w:sz w:val="16"/>
              </w:rPr>
              <w:t>Recurrent acute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Decision-making</w:t>
            </w:r>
          </w:p>
        </w:tc>
        <w:tc>
          <w:tcPr>
            <w:tcW w:type="dxa" w:w="720"/>
            <w:vAlign w:val="top"/>
          </w:tcPr>
          <w:p>
            <w:pPr>
              <w:spacing w:after="40" w:before="0" w:line="259" w:lineRule="auto"/>
            </w:pPr>
            <w:r>
              <w:rPr>
                <w:rFonts w:ascii="Calibri" w:hAnsi="Calibri"/>
                <w:b w:val="0"/>
                <w:i w:val="0"/>
                <w:color w:val="212121"/>
                <w:sz w:val="16"/>
              </w:rPr>
              <w:t>Episodes should be documented, not just recalled, to justify tonsillectomy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obstructive symptoms</w:t>
            </w:r>
          </w:p>
        </w:tc>
        <w:tc>
          <w:tcPr>
            <w:tcW w:type="dxa" w:w="979"/>
            <w:vAlign w:val="top"/>
          </w:tcPr>
          <w:p>
            <w:pPr>
              <w:spacing w:after="40" w:before="0" w:line="259" w:lineRule="auto"/>
            </w:pPr>
            <w:r>
              <w:rPr>
                <w:rFonts w:ascii="Calibri" w:hAnsi="Calibri"/>
                <w:b w:val="0"/>
                <w:i w:val="0"/>
                <w:color w:val="212121"/>
                <w:sz w:val="16"/>
              </w:rPr>
              <w:t>Snoring, mouth-breathing, witnessed apnoea, daytime symptoms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Habitual snoring, mouth-breathing or witnessed apnoeas</w:t>
            </w:r>
          </w:p>
        </w:tc>
        <w:tc>
          <w:tcPr>
            <w:tcW w:type="dxa" w:w="1036"/>
            <w:vAlign w:val="top"/>
          </w:tcPr>
          <w:p>
            <w:pPr>
              <w:spacing w:after="40" w:before="0" w:line="259" w:lineRule="auto"/>
            </w:pPr>
            <w:r>
              <w:rPr>
                <w:rFonts w:ascii="Calibri" w:hAnsi="Calibri"/>
                <w:b w:val="0"/>
                <w:i w:val="0"/>
                <w:color w:val="212121"/>
                <w:sz w:val="16"/>
              </w:rPr>
              <w:t>Screens for obstructive sleep-disordered breathing from tonsillar hypertrophy</w:t>
            </w:r>
          </w:p>
        </w:tc>
        <w:tc>
          <w:tcPr>
            <w:tcW w:type="dxa" w:w="1036"/>
            <w:vAlign w:val="top"/>
          </w:tcPr>
          <w:p>
            <w:pPr>
              <w:spacing w:after="40" w:before="0" w:line="259" w:lineRule="auto"/>
            </w:pPr>
            <w:r>
              <w:rPr>
                <w:rFonts w:ascii="Calibri" w:hAnsi="Calibri"/>
                <w:b w:val="0"/>
                <w:i w:val="0"/>
                <w:color w:val="212121"/>
                <w:sz w:val="16"/>
              </w:rPr>
              <w:t>Children with enlarged tonsils/adenoids</w:t>
            </w:r>
          </w:p>
        </w:tc>
        <w:tc>
          <w:tcPr>
            <w:tcW w:type="dxa" w:w="720"/>
            <w:vAlign w:val="top"/>
          </w:tcPr>
          <w:p>
            <w:pPr>
              <w:spacing w:after="40" w:before="0" w:line="259" w:lineRule="auto"/>
            </w:pPr>
            <w:r>
              <w:rPr>
                <w:rFonts w:ascii="Calibri" w:hAnsi="Calibri"/>
                <w:b w:val="0"/>
                <w:i w:val="0"/>
                <w:color w:val="212121"/>
                <w:sz w:val="16"/>
              </w:rPr>
              <w:t>Sleep;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Obstructive symptoms are an independent indication for tonsillectomy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Oropharyngeal examination</w:t>
            </w:r>
          </w:p>
        </w:tc>
        <w:tc>
          <w:tcPr>
            <w:tcW w:type="dxa" w:w="979"/>
            <w:vAlign w:val="top"/>
          </w:tcPr>
          <w:p>
            <w:pPr>
              <w:spacing w:after="40" w:before="0" w:line="259" w:lineRule="auto"/>
            </w:pPr>
            <w:r>
              <w:rPr>
                <w:rFonts w:ascii="Calibri" w:hAnsi="Calibri"/>
                <w:b w:val="0"/>
                <w:i w:val="0"/>
                <w:color w:val="212121"/>
                <w:sz w:val="16"/>
              </w:rPr>
              <w:t>Tonsil size grading, crypt debris/pus, anterior-pillar congestion</w:t>
            </w:r>
          </w:p>
        </w:tc>
        <w:tc>
          <w:tcPr>
            <w:tcW w:type="dxa" w:w="950"/>
            <w:vAlign w:val="top"/>
          </w:tcPr>
          <w:p>
            <w:pPr>
              <w:spacing w:after="40" w:before="0" w:line="259" w:lineRule="auto"/>
            </w:pPr>
            <w:r>
              <w:rPr>
                <w:rFonts w:ascii="Calibri" w:hAnsi="Calibri"/>
                <w:b w:val="0"/>
                <w:i w:val="0"/>
                <w:color w:val="212121"/>
                <w:sz w:val="16"/>
              </w:rPr>
              <w:t>Small, healthy tonsils; no debris</w:t>
            </w:r>
          </w:p>
        </w:tc>
        <w:tc>
          <w:tcPr>
            <w:tcW w:type="dxa" w:w="950"/>
            <w:vAlign w:val="top"/>
          </w:tcPr>
          <w:p>
            <w:pPr>
              <w:spacing w:after="40" w:before="0" w:line="259" w:lineRule="auto"/>
            </w:pPr>
            <w:r>
              <w:rPr>
                <w:rFonts w:ascii="Calibri" w:hAnsi="Calibri"/>
                <w:b w:val="0"/>
                <w:i w:val="0"/>
                <w:color w:val="212121"/>
                <w:sz w:val="16"/>
              </w:rPr>
              <w:t>Enlarged or fibrotic tonsils, cheesy crypt debris, congested pillars</w:t>
            </w:r>
          </w:p>
        </w:tc>
        <w:tc>
          <w:tcPr>
            <w:tcW w:type="dxa" w:w="1036"/>
            <w:vAlign w:val="top"/>
          </w:tcPr>
          <w:p>
            <w:pPr>
              <w:spacing w:after="40" w:before="0" w:line="259" w:lineRule="auto"/>
            </w:pPr>
            <w:r>
              <w:rPr>
                <w:rFonts w:ascii="Calibri" w:hAnsi="Calibri"/>
                <w:b w:val="0"/>
                <w:i w:val="0"/>
                <w:color w:val="212121"/>
                <w:sz w:val="16"/>
              </w:rPr>
              <w:t>Confirms chronic tonsillar inflammation and its pathological type</w:t>
            </w:r>
          </w:p>
        </w:tc>
        <w:tc>
          <w:tcPr>
            <w:tcW w:type="dxa" w:w="1036"/>
            <w:vAlign w:val="top"/>
          </w:tcPr>
          <w:p>
            <w:pPr>
              <w:spacing w:after="40" w:before="0" w:line="259" w:lineRule="auto"/>
            </w:pPr>
            <w:r>
              <w:rPr>
                <w:rFonts w:ascii="Calibri" w:hAnsi="Calibri"/>
                <w:b w:val="0"/>
                <w:i w:val="0"/>
                <w:color w:val="212121"/>
                <w:sz w:val="16"/>
              </w:rPr>
              <w:t>All suspected chronic tonsillitis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Expressible cheesy material and pillar congestion are hallmarks of chronic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Cervical lymph node examination</w:t>
            </w:r>
          </w:p>
        </w:tc>
        <w:tc>
          <w:tcPr>
            <w:tcW w:type="dxa" w:w="979"/>
            <w:vAlign w:val="top"/>
          </w:tcPr>
          <w:p>
            <w:pPr>
              <w:spacing w:after="40" w:before="0" w:line="259" w:lineRule="auto"/>
            </w:pPr>
            <w:r>
              <w:rPr>
                <w:rFonts w:ascii="Calibri" w:hAnsi="Calibri"/>
                <w:b w:val="0"/>
                <w:i w:val="0"/>
                <w:color w:val="212121"/>
                <w:sz w:val="16"/>
              </w:rPr>
              <w:t>Jugulodigastric (tonsillar) node size/tenderness</w:t>
            </w:r>
          </w:p>
        </w:tc>
        <w:tc>
          <w:tcPr>
            <w:tcW w:type="dxa" w:w="950"/>
            <w:vAlign w:val="top"/>
          </w:tcPr>
          <w:p>
            <w:pPr>
              <w:spacing w:after="40" w:before="0" w:line="259" w:lineRule="auto"/>
            </w:pPr>
            <w:r>
              <w:rPr>
                <w:rFonts w:ascii="Calibri" w:hAnsi="Calibri"/>
                <w:b w:val="0"/>
                <w:i w:val="0"/>
                <w:color w:val="212121"/>
                <w:sz w:val="16"/>
              </w:rPr>
              <w:t>No significant nodes</w:t>
            </w:r>
          </w:p>
        </w:tc>
        <w:tc>
          <w:tcPr>
            <w:tcW w:type="dxa" w:w="950"/>
            <w:vAlign w:val="top"/>
          </w:tcPr>
          <w:p>
            <w:pPr>
              <w:spacing w:after="40" w:before="0" w:line="259" w:lineRule="auto"/>
            </w:pPr>
            <w:r>
              <w:rPr>
                <w:rFonts w:ascii="Calibri" w:hAnsi="Calibri"/>
                <w:b w:val="0"/>
                <w:i w:val="0"/>
                <w:color w:val="212121"/>
                <w:sz w:val="16"/>
              </w:rPr>
              <w:t>Persistently enlarged or tender jugulodigastric node</w:t>
            </w:r>
          </w:p>
        </w:tc>
        <w:tc>
          <w:tcPr>
            <w:tcW w:type="dxa" w:w="1036"/>
            <w:vAlign w:val="top"/>
          </w:tcPr>
          <w:p>
            <w:pPr>
              <w:spacing w:after="40" w:before="0" w:line="259" w:lineRule="auto"/>
            </w:pPr>
            <w:r>
              <w:rPr>
                <w:rFonts w:ascii="Calibri" w:hAnsi="Calibri"/>
                <w:b w:val="0"/>
                <w:i w:val="0"/>
                <w:color w:val="212121"/>
                <w:sz w:val="16"/>
              </w:rPr>
              <w:t>A classic persistent sign supporting chronic tonsillar infection</w:t>
            </w:r>
          </w:p>
        </w:tc>
        <w:tc>
          <w:tcPr>
            <w:tcW w:type="dxa" w:w="1036"/>
            <w:vAlign w:val="top"/>
          </w:tcPr>
          <w:p>
            <w:pPr>
              <w:spacing w:after="40" w:before="0" w:line="259" w:lineRule="auto"/>
            </w:pPr>
            <w:r>
              <w:rPr>
                <w:rFonts w:ascii="Calibri" w:hAnsi="Calibri"/>
                <w:b w:val="0"/>
                <w:i w:val="0"/>
                <w:color w:val="212121"/>
                <w:sz w:val="16"/>
              </w:rPr>
              <w:t>Chronic/recurrent tonsillitis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persistently enlarged tonsillar node is a well-recognised chronic-tonsillitis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Assessment for suppurative complication</w:t>
            </w:r>
          </w:p>
        </w:tc>
        <w:tc>
          <w:tcPr>
            <w:tcW w:type="dxa" w:w="979"/>
            <w:vAlign w:val="top"/>
          </w:tcPr>
          <w:p>
            <w:pPr>
              <w:spacing w:after="40" w:before="0" w:line="259" w:lineRule="auto"/>
            </w:pPr>
            <w:r>
              <w:rPr>
                <w:rFonts w:ascii="Calibri" w:hAnsi="Calibri"/>
                <w:b w:val="0"/>
                <w:i w:val="0"/>
                <w:color w:val="212121"/>
                <w:sz w:val="16"/>
              </w:rPr>
              <w:t>Trismus, unilateral bulge, uvular deviation, muffled voice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Trismus, peritonsillar bulge, deviated uvula, “hot-potato” voice</w:t>
            </w:r>
          </w:p>
        </w:tc>
        <w:tc>
          <w:tcPr>
            <w:tcW w:type="dxa" w:w="1036"/>
            <w:vAlign w:val="top"/>
          </w:tcPr>
          <w:p>
            <w:pPr>
              <w:spacing w:after="40" w:before="0" w:line="259" w:lineRule="auto"/>
            </w:pPr>
            <w:r>
              <w:rPr>
                <w:rFonts w:ascii="Calibri" w:hAnsi="Calibri"/>
                <w:b w:val="0"/>
                <w:i w:val="0"/>
                <w:color w:val="212121"/>
                <w:sz w:val="16"/>
              </w:rPr>
              <w:t>Identifies peritonsillar abscess (quinsy) needing urgent drainage</w:t>
            </w:r>
          </w:p>
        </w:tc>
        <w:tc>
          <w:tcPr>
            <w:tcW w:type="dxa" w:w="1036"/>
            <w:vAlign w:val="top"/>
          </w:tcPr>
          <w:p>
            <w:pPr>
              <w:spacing w:after="40" w:before="0" w:line="259" w:lineRule="auto"/>
            </w:pPr>
            <w:r>
              <w:rPr>
                <w:rFonts w:ascii="Calibri" w:hAnsi="Calibri"/>
                <w:b w:val="0"/>
                <w:i w:val="0"/>
                <w:color w:val="212121"/>
                <w:sz w:val="16"/>
              </w:rPr>
              <w:t>Severe unilateral acute exacerbation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Peritonsillar abscess is the commonest suppurative complication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&amp; exposure history</w:t>
            </w:r>
          </w:p>
        </w:tc>
        <w:tc>
          <w:tcPr>
            <w:tcW w:type="dxa" w:w="979"/>
            <w:vAlign w:val="top"/>
          </w:tcPr>
          <w:p>
            <w:pPr>
              <w:spacing w:after="40" w:before="0" w:line="259" w:lineRule="auto"/>
            </w:pPr>
            <w:r>
              <w:rPr>
                <w:rFonts w:ascii="Calibri" w:hAnsi="Calibri"/>
                <w:b w:val="0"/>
                <w:i w:val="0"/>
                <w:color w:val="212121"/>
                <w:sz w:val="16"/>
              </w:rPr>
              <w:t>Household smoke, overcrowding, socioeconomic status, family history</w:t>
            </w:r>
          </w:p>
        </w:tc>
        <w:tc>
          <w:tcPr>
            <w:tcW w:type="dxa" w:w="950"/>
            <w:vAlign w:val="top"/>
          </w:tcPr>
          <w:p>
            <w:pPr>
              <w:spacing w:after="40" w:before="0" w:line="259" w:lineRule="auto"/>
            </w:pPr>
            <w:r>
              <w:rPr>
                <w:rFonts w:ascii="Calibri" w:hAnsi="Calibri"/>
                <w:b w:val="0"/>
                <w:i w:val="0"/>
                <w:color w:val="212121"/>
                <w:sz w:val="16"/>
              </w:rPr>
              <w:t>No major risk exposures</w:t>
            </w:r>
          </w:p>
        </w:tc>
        <w:tc>
          <w:tcPr>
            <w:tcW w:type="dxa" w:w="950"/>
            <w:vAlign w:val="top"/>
          </w:tcPr>
          <w:p>
            <w:pPr>
              <w:spacing w:after="40" w:before="0" w:line="259" w:lineRule="auto"/>
            </w:pPr>
            <w:r>
              <w:rPr>
                <w:rFonts w:ascii="Calibri" w:hAnsi="Calibri"/>
                <w:b w:val="0"/>
                <w:i w:val="0"/>
                <w:color w:val="212121"/>
                <w:sz w:val="16"/>
              </w:rPr>
              <w:t>Secondhand smoke, crowding, low income, family history of recurrent tonsillitis</w:t>
            </w:r>
          </w:p>
        </w:tc>
        <w:tc>
          <w:tcPr>
            <w:tcW w:type="dxa" w:w="1036"/>
            <w:vAlign w:val="top"/>
          </w:tcPr>
          <w:p>
            <w:pPr>
              <w:spacing w:after="40" w:before="0" w:line="259" w:lineRule="auto"/>
            </w:pPr>
            <w:r>
              <w:rPr>
                <w:rFonts w:ascii="Calibri" w:hAnsi="Calibri"/>
                <w:b w:val="0"/>
                <w:i w:val="0"/>
                <w:color w:val="212121"/>
                <w:sz w:val="16"/>
              </w:rPr>
              <w:t>Identifies modifiable environmental drivers of recurrence</w:t>
            </w:r>
          </w:p>
        </w:tc>
        <w:tc>
          <w:tcPr>
            <w:tcW w:type="dxa" w:w="1036"/>
            <w:vAlign w:val="top"/>
          </w:tcPr>
          <w:p>
            <w:pPr>
              <w:spacing w:after="40" w:before="0" w:line="259" w:lineRule="auto"/>
            </w:pPr>
            <w:r>
              <w:rPr>
                <w:rFonts w:ascii="Calibri" w:hAnsi="Calibri"/>
                <w:b w:val="0"/>
                <w:i w:val="0"/>
                <w:color w:val="212121"/>
                <w:sz w:val="16"/>
              </w:rPr>
              <w:t>Children in high-risk households</w:t>
            </w:r>
          </w:p>
        </w:tc>
        <w:tc>
          <w:tcPr>
            <w:tcW w:type="dxa" w:w="720"/>
            <w:vAlign w:val="top"/>
          </w:tcPr>
          <w:p>
            <w:pPr>
              <w:spacing w:after="40" w:before="0" w:line="259" w:lineRule="auto"/>
            </w:pPr>
            <w:r>
              <w:rPr>
                <w:rFonts w:ascii="Calibri" w:hAnsi="Calibri"/>
                <w:b w:val="0"/>
                <w:i w:val="0"/>
                <w:color w:val="212121"/>
                <w:sz w:val="16"/>
              </w:rPr>
              <w:t>Smoking;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Secondhand smoke roughly doubles paediatric chronic/recurrent tonsillitis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Screen for unilateral/red-flag disease</w:t>
            </w:r>
          </w:p>
        </w:tc>
        <w:tc>
          <w:tcPr>
            <w:tcW w:type="dxa" w:w="979"/>
            <w:vAlign w:val="top"/>
          </w:tcPr>
          <w:p>
            <w:pPr>
              <w:spacing w:after="40" w:before="0" w:line="259" w:lineRule="auto"/>
            </w:pPr>
            <w:r>
              <w:rPr>
                <w:rFonts w:ascii="Calibri" w:hAnsi="Calibri"/>
                <w:b w:val="0"/>
                <w:i w:val="0"/>
                <w:color w:val="212121"/>
                <w:sz w:val="16"/>
              </w:rPr>
              <w:t>Asymmetric tonsillar enlargement, ulceration, neck mass (adults)</w:t>
            </w:r>
          </w:p>
        </w:tc>
        <w:tc>
          <w:tcPr>
            <w:tcW w:type="dxa" w:w="950"/>
            <w:vAlign w:val="top"/>
          </w:tcPr>
          <w:p>
            <w:pPr>
              <w:spacing w:after="40" w:before="0" w:line="259" w:lineRule="auto"/>
            </w:pPr>
            <w:r>
              <w:rPr>
                <w:rFonts w:ascii="Calibri" w:hAnsi="Calibri"/>
                <w:b w:val="0"/>
                <w:i w:val="0"/>
                <w:color w:val="212121"/>
                <w:sz w:val="16"/>
              </w:rPr>
              <w:t>Symmetric tonsils, no ulcer/mass</w:t>
            </w:r>
          </w:p>
        </w:tc>
        <w:tc>
          <w:tcPr>
            <w:tcW w:type="dxa" w:w="950"/>
            <w:vAlign w:val="top"/>
          </w:tcPr>
          <w:p>
            <w:pPr>
              <w:spacing w:after="40" w:before="0" w:line="259" w:lineRule="auto"/>
            </w:pPr>
            <w:r>
              <w:rPr>
                <w:rFonts w:ascii="Calibri" w:hAnsi="Calibri"/>
                <w:b w:val="0"/>
                <w:i w:val="0"/>
                <w:color w:val="212121"/>
                <w:sz w:val="16"/>
              </w:rPr>
              <w:t>Persistent unilateral enlargement, ulcer or hard neck node</w:t>
            </w:r>
          </w:p>
        </w:tc>
        <w:tc>
          <w:tcPr>
            <w:tcW w:type="dxa" w:w="1036"/>
            <w:vAlign w:val="top"/>
          </w:tcPr>
          <w:p>
            <w:pPr>
              <w:spacing w:after="40" w:before="0" w:line="259" w:lineRule="auto"/>
            </w:pPr>
            <w:r>
              <w:rPr>
                <w:rFonts w:ascii="Calibri" w:hAnsi="Calibri"/>
                <w:b w:val="0"/>
                <w:i w:val="0"/>
                <w:color w:val="212121"/>
                <w:sz w:val="16"/>
              </w:rPr>
              <w:t>Prompts exclusion of tonsillar malignancy/lymphoma in adults</w:t>
            </w:r>
          </w:p>
        </w:tc>
        <w:tc>
          <w:tcPr>
            <w:tcW w:type="dxa" w:w="1036"/>
            <w:vAlign w:val="top"/>
          </w:tcPr>
          <w:p>
            <w:pPr>
              <w:spacing w:after="40" w:before="0" w:line="259" w:lineRule="auto"/>
            </w:pPr>
            <w:r>
              <w:rPr>
                <w:rFonts w:ascii="Calibri" w:hAnsi="Calibri"/>
                <w:b w:val="0"/>
                <w:i w:val="0"/>
                <w:color w:val="212121"/>
                <w:sz w:val="16"/>
              </w:rPr>
              <w:t>Adults with asymmetric tonsils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Unilateral enlargement in an adult mandates biopsy/histology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Recurrent or persistent 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 repeated or continuous throat pain from chronic tonsillar inflammation; present in about 84% of Indian tonsillitis patients.</w:t>
            </w:r>
          </w:p>
        </w:tc>
      </w:tr>
      <w:tr>
        <w:trPr>
          <w:cantSplit/>
        </w:trPr>
        <w:tc>
          <w:tcPr>
            <w:tcW w:type="dxa" w:w="2304"/>
            <w:vAlign w:val="top"/>
          </w:tcPr>
          <w:p>
            <w:pPr>
              <w:spacing w:after="40" w:before="0" w:line="259" w:lineRule="auto"/>
            </w:pPr>
            <w:r>
              <w:rPr>
                <w:rFonts w:ascii="Calibri" w:hAnsi="Calibri"/>
                <w:b/>
                <w:i w:val="0"/>
                <w:color w:val="212121"/>
                <w:sz w:val="19"/>
              </w:rPr>
              <w:t>Odynophagia (painful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on swallowing due to inflamed tonsils and pillars; reported in roughly 76% of patients.</w:t>
            </w:r>
          </w:p>
        </w:tc>
      </w:tr>
      <w:tr>
        <w:trPr>
          <w:cantSplit/>
        </w:trPr>
        <w:tc>
          <w:tcPr>
            <w:tcW w:type="dxa" w:w="2304"/>
            <w:vAlign w:val="top"/>
          </w:tcPr>
          <w:p>
            <w:pPr>
              <w:spacing w:after="40" w:before="0" w:line="259" w:lineRule="auto"/>
            </w:pPr>
            <w:r>
              <w:rPr>
                <w:rFonts w:ascii="Calibri" w:hAnsi="Calibri"/>
                <w:b/>
                <w:i w:val="0"/>
                <w:color w:val="212121"/>
                <w:sz w:val="19"/>
              </w:rPr>
              <w:t>Halitosis (bad breath)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Foul breath from bacterial breakdown of trapped crypt debris and tonsilloliths.</w:t>
            </w:r>
          </w:p>
        </w:tc>
      </w:tr>
      <w:tr>
        <w:trPr>
          <w:cantSplit/>
        </w:trPr>
        <w:tc>
          <w:tcPr>
            <w:tcW w:type="dxa" w:w="2304"/>
            <w:vAlign w:val="top"/>
          </w:tcPr>
          <w:p>
            <w:pPr>
              <w:spacing w:after="40" w:before="0" w:line="259" w:lineRule="auto"/>
            </w:pPr>
            <w:r>
              <w:rPr>
                <w:rFonts w:ascii="Calibri" w:hAnsi="Calibri"/>
                <w:b/>
                <w:i w:val="0"/>
                <w:color w:val="212121"/>
                <w:sz w:val="19"/>
              </w:rPr>
              <w:t>Foreign-body sensation / tonsilloliths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something in the throat, sometimes with expulsion of small foul-smelling whitish concretions.</w:t>
            </w:r>
          </w:p>
        </w:tc>
      </w:tr>
      <w:tr>
        <w:trPr>
          <w:cantSplit/>
        </w:trPr>
        <w:tc>
          <w:tcPr>
            <w:tcW w:type="dxa" w:w="2304"/>
            <w:vAlign w:val="top"/>
          </w:tcPr>
          <w:p>
            <w:pPr>
              <w:spacing w:after="40" w:before="0" w:line="259" w:lineRule="auto"/>
            </w:pPr>
            <w:r>
              <w:rPr>
                <w:rFonts w:ascii="Calibri" w:hAnsi="Calibri"/>
                <w:b/>
                <w:i w:val="0"/>
                <w:color w:val="212121"/>
                <w:sz w:val="19"/>
              </w:rPr>
              <w:t>Referred otalgia (ear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referred to the ear via the glossopharyngeal nerve; noted in about 69% of Indian patients.</w:t>
            </w:r>
          </w:p>
        </w:tc>
      </w:tr>
      <w:tr>
        <w:trPr>
          <w:cantSplit/>
        </w:trPr>
        <w:tc>
          <w:tcPr>
            <w:tcW w:type="dxa" w:w="2304"/>
            <w:vAlign w:val="top"/>
          </w:tcPr>
          <w:p>
            <w:pPr>
              <w:spacing w:after="40" w:before="0" w:line="259" w:lineRule="auto"/>
            </w:pPr>
            <w:r>
              <w:rPr>
                <w:rFonts w:ascii="Calibri" w:hAnsi="Calibri"/>
                <w:b/>
                <w:i w:val="0"/>
                <w:color w:val="212121"/>
                <w:sz w:val="19"/>
              </w:rPr>
              <w:t>Recurrent 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Intermittent fever accompanying exacerbations; higher fever suggests acute streptococcal flare.</w:t>
            </w:r>
          </w:p>
        </w:tc>
      </w:tr>
      <w:tr>
        <w:trPr>
          <w:cantSplit/>
        </w:trPr>
        <w:tc>
          <w:tcPr>
            <w:tcW w:type="dxa" w:w="2304"/>
            <w:vAlign w:val="top"/>
          </w:tcPr>
          <w:p>
            <w:pPr>
              <w:spacing w:after="40" w:before="0" w:line="259" w:lineRule="auto"/>
            </w:pPr>
            <w:r>
              <w:rPr>
                <w:rFonts w:ascii="Calibri" w:hAnsi="Calibri"/>
                <w:b/>
                <w:i w:val="0"/>
                <w:color w:val="212121"/>
                <w:sz w:val="19"/>
              </w:rPr>
              <w:t>Dysphagia (difficulty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swallowing from enlarged/inflamed tonsils, worse with parenchymatous hypertrophy.</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tiredness and feeling unwell during and between recurrent infections.</w:t>
            </w:r>
          </w:p>
        </w:tc>
      </w:tr>
      <w:tr>
        <w:trPr>
          <w:cantSplit/>
        </w:trPr>
        <w:tc>
          <w:tcPr>
            <w:tcW w:type="dxa" w:w="2304"/>
            <w:vAlign w:val="top"/>
          </w:tcPr>
          <w:p>
            <w:pPr>
              <w:spacing w:after="40" w:before="0" w:line="259" w:lineRule="auto"/>
            </w:pPr>
            <w:r>
              <w:rPr>
                <w:rFonts w:ascii="Calibri" w:hAnsi="Calibri"/>
                <w:b/>
                <w:i w:val="0"/>
                <w:color w:val="212121"/>
                <w:sz w:val="19"/>
              </w:rPr>
              <w:t>Snoring &amp; mouth-breathing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children with enlarged tonsils/adenoids, indicating obstructive sleep-disordered breathing.</w:t>
            </w:r>
          </w:p>
        </w:tc>
      </w:tr>
      <w:tr>
        <w:trPr>
          <w:cantSplit/>
        </w:trPr>
        <w:tc>
          <w:tcPr>
            <w:tcW w:type="dxa" w:w="2304"/>
            <w:vAlign w:val="top"/>
          </w:tcPr>
          <w:p>
            <w:pPr>
              <w:spacing w:after="40" w:before="0" w:line="259" w:lineRule="auto"/>
            </w:pPr>
            <w:r>
              <w:rPr>
                <w:rFonts w:ascii="Calibri" w:hAnsi="Calibri"/>
                <w:b/>
                <w:i w:val="0"/>
                <w:color w:val="212121"/>
                <w:sz w:val="19"/>
              </w:rPr>
              <w:t>Cervical neck discomfort / tender glands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and tenderness in the upper neck from enlarged jugulodigastric lymph nodes.</w:t>
            </w:r>
          </w:p>
        </w:tc>
      </w:tr>
      <w:tr>
        <w:trPr>
          <w:cantSplit/>
        </w:trPr>
        <w:tc>
          <w:tcPr>
            <w:tcW w:type="dxa" w:w="2304"/>
            <w:vAlign w:val="top"/>
          </w:tcPr>
          <w:p>
            <w:pPr>
              <w:spacing w:after="40" w:before="0" w:line="259" w:lineRule="auto"/>
            </w:pPr>
            <w:r>
              <w:rPr>
                <w:rFonts w:ascii="Calibri" w:hAnsi="Calibri"/>
                <w:b/>
                <w:i w:val="0"/>
                <w:color w:val="212121"/>
                <w:sz w:val="19"/>
              </w:rPr>
              <w:t>Poor appetite / faltering growth (children)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Repeated infection and painful swallowing can reduce intake and impair growth in young children.</w:t>
            </w:r>
          </w:p>
        </w:tc>
      </w:tr>
      <w:tr>
        <w:trPr>
          <w:cantSplit/>
        </w:trPr>
        <w:tc>
          <w:tcPr>
            <w:tcW w:type="dxa" w:w="2304"/>
            <w:vAlign w:val="top"/>
          </w:tcPr>
          <w:p>
            <w:pPr>
              <w:spacing w:after="40" w:before="0" w:line="259" w:lineRule="auto"/>
            </w:pPr>
            <w:r>
              <w:rPr>
                <w:rFonts w:ascii="Calibri" w:hAnsi="Calibri"/>
                <w:b/>
                <w:i w:val="0"/>
                <w:color w:val="212121"/>
                <w:sz w:val="19"/>
              </w:rPr>
              <w:t>Muffled (“hot-potato”)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Change in voice quality from bulky tonsils or peritonsillar swelling.</w:t>
            </w:r>
          </w:p>
        </w:tc>
      </w:tr>
      <w:tr>
        <w:trPr>
          <w:cantSplit/>
        </w:trPr>
        <w:tc>
          <w:tcPr>
            <w:tcW w:type="dxa" w:w="2304"/>
            <w:vAlign w:val="top"/>
          </w:tcPr>
          <w:p>
            <w:pPr>
              <w:spacing w:after="40" w:before="0" w:line="259" w:lineRule="auto"/>
            </w:pPr>
            <w:r>
              <w:rPr>
                <w:rFonts w:ascii="Calibri" w:hAnsi="Calibri"/>
                <w:b/>
                <w:i w:val="0"/>
                <w:color w:val="212121"/>
                <w:sz w:val="19"/>
              </w:rPr>
              <w:t>Chronic cough / throat clearing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irritation and post-nasal drip cause repetitive throat clearing and cough.</w:t>
            </w:r>
          </w:p>
        </w:tc>
      </w:tr>
      <w:tr>
        <w:trPr>
          <w:cantSplit/>
        </w:trPr>
        <w:tc>
          <w:tcPr>
            <w:tcW w:type="dxa" w:w="2304"/>
            <w:vAlign w:val="top"/>
          </w:tcPr>
          <w:p>
            <w:pPr>
              <w:spacing w:after="40" w:before="0" w:line="259" w:lineRule="auto"/>
            </w:pPr>
            <w:r>
              <w:rPr>
                <w:rFonts w:ascii="Calibri" w:hAnsi="Calibri"/>
                <w:b/>
                <w:i w:val="0"/>
                <w:color w:val="212121"/>
                <w:sz w:val="19"/>
              </w:rPr>
              <w:t>Severe unilateral throat pain with trismus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peritonsillar abscess (quinsy) — a suppurative complication needing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Enlarged tonsils (grade 1–4 hypertrophy)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Visibly enlarged tonsils, sometimes meeting in the midline (“kissing tonsils”) in the parenchymatous form.</w:t>
            </w:r>
          </w:p>
        </w:tc>
      </w:tr>
      <w:tr>
        <w:trPr>
          <w:cantSplit/>
        </w:trPr>
        <w:tc>
          <w:tcPr>
            <w:tcW w:type="dxa" w:w="3456"/>
            <w:vAlign w:val="top"/>
          </w:tcPr>
          <w:p>
            <w:pPr>
              <w:spacing w:after="40" w:before="0" w:line="259" w:lineRule="auto"/>
            </w:pPr>
            <w:r>
              <w:rPr>
                <w:rFonts w:ascii="Calibri" w:hAnsi="Calibri"/>
                <w:b/>
                <w:i w:val="0"/>
                <w:color w:val="212121"/>
                <w:sz w:val="19"/>
              </w:rPr>
              <w:t>Crypt debris / expressible cheesy material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Yellowish purulent debris in the crypts, expressible on pressing the anterior pillar — hallmark of chronic follicular tonsillitis.</w:t>
            </w:r>
          </w:p>
        </w:tc>
      </w:tr>
      <w:tr>
        <w:trPr>
          <w:cantSplit/>
        </w:trPr>
        <w:tc>
          <w:tcPr>
            <w:tcW w:type="dxa" w:w="3456"/>
            <w:vAlign w:val="top"/>
          </w:tcPr>
          <w:p>
            <w:pPr>
              <w:spacing w:after="40" w:before="0" w:line="259" w:lineRule="auto"/>
            </w:pPr>
            <w:r>
              <w:rPr>
                <w:rFonts w:ascii="Calibri" w:hAnsi="Calibri"/>
                <w:b/>
                <w:i w:val="0"/>
                <w:color w:val="212121"/>
                <w:sz w:val="19"/>
              </w:rPr>
              <w:t>Congested anterior pillars (flush)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redness/congestion of the anterior faucial pillars is a classic sign of chronic tonsillitis.</w:t>
            </w:r>
          </w:p>
        </w:tc>
      </w:tr>
      <w:tr>
        <w:trPr>
          <w:cantSplit/>
        </w:trPr>
        <w:tc>
          <w:tcPr>
            <w:tcW w:type="dxa" w:w="3456"/>
            <w:vAlign w:val="top"/>
          </w:tcPr>
          <w:p>
            <w:pPr>
              <w:spacing w:after="40" w:before="0" w:line="259" w:lineRule="auto"/>
            </w:pPr>
            <w:r>
              <w:rPr>
                <w:rFonts w:ascii="Calibri" w:hAnsi="Calibri"/>
                <w:b/>
                <w:i w:val="0"/>
                <w:color w:val="212121"/>
                <w:sz w:val="19"/>
              </w:rPr>
              <w:t>Enlarged, tender jugulodigastric lymph node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persistently enlarged tonsillar (jugulodigastric) node in the upper neck is a well-recognised chronic sign.</w:t>
            </w:r>
          </w:p>
        </w:tc>
      </w:tr>
      <w:tr>
        <w:trPr>
          <w:cantSplit/>
        </w:trPr>
        <w:tc>
          <w:tcPr>
            <w:tcW w:type="dxa" w:w="3456"/>
            <w:vAlign w:val="top"/>
          </w:tcPr>
          <w:p>
            <w:pPr>
              <w:spacing w:after="40" w:before="0" w:line="259" w:lineRule="auto"/>
            </w:pPr>
            <w:r>
              <w:rPr>
                <w:rFonts w:ascii="Calibri" w:hAnsi="Calibri"/>
                <w:b/>
                <w:i w:val="0"/>
                <w:color w:val="212121"/>
                <w:sz w:val="19"/>
              </w:rPr>
              <w:t>Tonsilloliths (crypt concretions)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Whitish/yellow calcified concretions within crypts, a source of halitosis and foreign-body sensation.</w:t>
            </w:r>
          </w:p>
        </w:tc>
      </w:tr>
      <w:tr>
        <w:trPr>
          <w:cantSplit/>
        </w:trPr>
        <w:tc>
          <w:tcPr>
            <w:tcW w:type="dxa" w:w="3456"/>
            <w:vAlign w:val="top"/>
          </w:tcPr>
          <w:p>
            <w:pPr>
              <w:spacing w:after="40" w:before="0" w:line="259" w:lineRule="auto"/>
            </w:pPr>
            <w:r>
              <w:rPr>
                <w:rFonts w:ascii="Calibri" w:hAnsi="Calibri"/>
                <w:b/>
                <w:i w:val="0"/>
                <w:color w:val="212121"/>
                <w:sz w:val="19"/>
              </w:rPr>
              <w:t>Halitosis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Foul oral odour from bacterial action on retained crypt debris.</w:t>
            </w:r>
          </w:p>
        </w:tc>
      </w:tr>
      <w:tr>
        <w:trPr>
          <w:cantSplit/>
        </w:trPr>
        <w:tc>
          <w:tcPr>
            <w:tcW w:type="dxa" w:w="3456"/>
            <w:vAlign w:val="top"/>
          </w:tcPr>
          <w:p>
            <w:pPr>
              <w:spacing w:after="40" w:before="0" w:line="259" w:lineRule="auto"/>
            </w:pPr>
            <w:r>
              <w:rPr>
                <w:rFonts w:ascii="Calibri" w:hAnsi="Calibri"/>
                <w:b/>
                <w:i w:val="0"/>
                <w:color w:val="212121"/>
                <w:sz w:val="19"/>
              </w:rPr>
              <w:t>Small, scarred (fibrotic) tonsils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chronic fibroid tonsillitis the tonsils are small and scarred yet still harbour infection.</w:t>
            </w:r>
          </w:p>
        </w:tc>
      </w:tr>
      <w:tr>
        <w:trPr>
          <w:cantSplit/>
        </w:trPr>
        <w:tc>
          <w:tcPr>
            <w:tcW w:type="dxa" w:w="3456"/>
            <w:vAlign w:val="top"/>
          </w:tcPr>
          <w:p>
            <w:pPr>
              <w:spacing w:after="40" w:before="0" w:line="259" w:lineRule="auto"/>
            </w:pPr>
            <w:r>
              <w:rPr>
                <w:rFonts w:ascii="Calibri" w:hAnsi="Calibri"/>
                <w:b/>
                <w:i w:val="0"/>
                <w:color w:val="212121"/>
                <w:sz w:val="19"/>
              </w:rPr>
              <w:t>Mouth-breathing / adenoid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Open-mouth posture and characteristic facial features in children with chronic adenotonsillar obstruction.</w:t>
            </w:r>
          </w:p>
        </w:tc>
      </w:tr>
      <w:tr>
        <w:trPr>
          <w:cantSplit/>
        </w:trPr>
        <w:tc>
          <w:tcPr>
            <w:tcW w:type="dxa" w:w="3456"/>
            <w:vAlign w:val="top"/>
          </w:tcPr>
          <w:p>
            <w:pPr>
              <w:spacing w:after="40" w:before="0" w:line="259" w:lineRule="auto"/>
            </w:pPr>
            <w:r>
              <w:rPr>
                <w:rFonts w:ascii="Calibri" w:hAnsi="Calibri"/>
                <w:b/>
                <w:i w:val="0"/>
                <w:color w:val="212121"/>
                <w:sz w:val="19"/>
              </w:rPr>
              <w:t>Membranous/exudative tonsils in acute flare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White exudate over reddened tonsils during a bacterial exacerbation.</w:t>
            </w:r>
          </w:p>
        </w:tc>
      </w:tr>
      <w:tr>
        <w:trPr>
          <w:cantSplit/>
        </w:trPr>
        <w:tc>
          <w:tcPr>
            <w:tcW w:type="dxa" w:w="3456"/>
            <w:vAlign w:val="top"/>
          </w:tcPr>
          <w:p>
            <w:pPr>
              <w:spacing w:after="40" w:before="0" w:line="259" w:lineRule="auto"/>
            </w:pPr>
            <w:r>
              <w:rPr>
                <w:rFonts w:ascii="Calibri" w:hAnsi="Calibri"/>
                <w:b/>
                <w:i w:val="0"/>
                <w:color w:val="212121"/>
                <w:sz w:val="19"/>
              </w:rPr>
              <w:t>Peritonsillar bulge with uvular deviation &amp; trismus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Unilateral swelling pushing the uvula across the midline with trismus indicates quinsy.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Peritonsillar abscess (quinsy)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Parapharyngeal and retropharyngeal (deep-neck)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upper-airway obstruction from grossly enlarged tonsils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Reactionary/secondary tonsillar haemorrhage during acute infection</w:t>
            </w:r>
          </w:p>
        </w:tc>
        <w:tc>
          <w:tcPr>
            <w:tcW w:type="dxa" w:w="2980"/>
            <w:vAlign w:val="top"/>
          </w:tcPr>
          <w:p>
            <w:pPr>
              <w:spacing w:after="40" w:before="0" w:line="259" w:lineRule="auto"/>
            </w:pPr>
            <w:r>
              <w:rPr>
                <w:rFonts w:ascii="Calibri" w:hAnsi="Calibri"/>
                <w:b w:val="0"/>
                <w:i w:val="0"/>
                <w:color w:val="212121"/>
                <w:sz w:val="19"/>
              </w:rPr>
              <w:t>Direct local suppurative and obstructive complications of tonsillar infection; peritonsillar abscess is the commonest.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 / sleep-disordered breathing (adenotonsillar)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tonsilloliths with persistent halitosis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Recurrent/chronic otitis media and otitis media with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focal sepsis with malaise and faltering growth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Lemierre syndrome (Fusobacterium septic jugular thrombophlebitis) — rare</w:t>
            </w:r>
          </w:p>
        </w:tc>
        <w:tc>
          <w:tcPr>
            <w:tcW w:type="dxa" w:w="2980"/>
            <w:vAlign w:val="top"/>
          </w:tcPr>
          <w:p>
            <w:pPr>
              <w:spacing w:after="40" w:before="0" w:line="259" w:lineRule="auto"/>
            </w:pPr>
            <w:r>
              <w:rPr>
                <w:rFonts w:ascii="Calibri" w:hAnsi="Calibri"/>
                <w:b w:val="0"/>
                <w:i w:val="0"/>
                <w:color w:val="212121"/>
                <w:sz w:val="19"/>
              </w:rPr>
              <w:t>Consequences of sustained tonsillar inflammation, obstruction and spread to adjacent structures.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rheumatic fever and rheumatic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Post-streptococcal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Scarlet fever (streptococcal toxin-mediated)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PANDAS — paediatric autoimmune neuropsychiatric disorder (OCD/tics)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IgA nephropathy exacerbation; and, in adults, tonsillar malignancy presenting as chronic unilateral enlargement</w:t>
            </w:r>
          </w:p>
        </w:tc>
        <w:tc>
          <w:tcPr>
            <w:tcW w:type="dxa" w:w="2980"/>
            <w:vAlign w:val="top"/>
          </w:tcPr>
          <w:p>
            <w:pPr>
              <w:spacing w:after="40" w:before="0" w:line="259" w:lineRule="auto"/>
            </w:pPr>
            <w:r>
              <w:rPr>
                <w:rFonts w:ascii="Calibri" w:hAnsi="Calibri"/>
                <w:b w:val="0"/>
                <w:i w:val="0"/>
                <w:color w:val="212121"/>
                <w:sz w:val="19"/>
              </w:rPr>
              <w:t>Immune-mediated and systemic sequelae of (mainly group A streptococcal) tonsillar infection, several of which are largely preventable by treating streptococcal throat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rheumatic fever &amp; rheumatic heart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important systemic sequela — an autoimmune response to group A streptococcal throat infection damaging heart valves; echo school screening in Northeast India found subclinical RHD in 4.7 per 1000 children.</w:t>
            </w:r>
          </w:p>
          <w:p>
            <w:pPr>
              <w:spacing w:after="40" w:before="0" w:line="259" w:lineRule="auto"/>
            </w:pPr>
            <w:r>
              <w:rPr>
                <w:rFonts w:ascii="Calibri" w:hAnsi="Calibri"/>
                <w:b/>
                <w:i w:val="0"/>
                <w:color w:val="212121"/>
                <w:sz w:val="19"/>
              </w:rPr>
              <w:t>Subclinical RHD ≈ 4.7/1000; definite RHD ≈ 1.98/1000 (school children, Meghalaya)</w:t>
            </w:r>
          </w:p>
        </w:tc>
      </w:tr>
      <w:tr>
        <w:trPr>
          <w:cantSplit/>
        </w:trPr>
        <w:tc>
          <w:tcPr>
            <w:tcW w:type="dxa" w:w="2232"/>
            <w:vAlign w:val="top"/>
          </w:tcPr>
          <w:p>
            <w:pPr>
              <w:spacing w:after="40" w:before="0" w:line="259" w:lineRule="auto"/>
            </w:pPr>
            <w:r>
              <w:rPr>
                <w:rFonts w:ascii="Calibri" w:hAnsi="Calibri"/>
                <w:b/>
                <w:i w:val="0"/>
                <w:color w:val="212121"/>
                <w:sz w:val="19"/>
              </w:rPr>
              <w:t>Post-streptococcal glomerulonephritis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Immune-complex kidney injury 1–2 weeks after group A streptococcal throat infection, presenting with haematuria, oedema and hypertension.</w:t>
            </w:r>
          </w:p>
        </w:tc>
      </w:tr>
      <w:tr>
        <w:trPr>
          <w:cantSplit/>
        </w:trPr>
        <w:tc>
          <w:tcPr>
            <w:tcW w:type="dxa" w:w="2232"/>
            <w:vAlign w:val="top"/>
          </w:tcPr>
          <w:p>
            <w:pPr>
              <w:spacing w:after="40" w:before="0" w:line="259" w:lineRule="auto"/>
            </w:pPr>
            <w:r>
              <w:rPr>
                <w:rFonts w:ascii="Calibri" w:hAnsi="Calibri"/>
                <w:b/>
                <w:i w:val="0"/>
                <w:color w:val="212121"/>
                <w:sz w:val="19"/>
              </w:rPr>
              <w:t>Peritonsillar abscess (quinsy)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The commonest suppurative complication; chronic tonsillitis predisposes to it, and smoking further increases risk.</w:t>
            </w:r>
          </w:p>
        </w:tc>
      </w:tr>
      <w:tr>
        <w:trPr>
          <w:cantSplit/>
        </w:trPr>
        <w:tc>
          <w:tcPr>
            <w:tcW w:type="dxa" w:w="2232"/>
            <w:vAlign w:val="top"/>
          </w:tcPr>
          <w:p>
            <w:pPr>
              <w:spacing w:after="40" w:before="0" w:line="259" w:lineRule="auto"/>
            </w:pPr>
            <w:r>
              <w:rPr>
                <w:rFonts w:ascii="Calibri" w:hAnsi="Calibri"/>
                <w:b/>
                <w:i w:val="0"/>
                <w:color w:val="212121"/>
                <w:sz w:val="19"/>
              </w:rPr>
              <w:t>Obstructive sleep apnoea (adenotonsillar)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Enlarged tonsils and adenoids are the leading cause of paediatric OSA; obstructive symptoms are themselves an indication for tonsillectomy.</w:t>
            </w:r>
          </w:p>
        </w:tc>
      </w:tr>
      <w:tr>
        <w:trPr>
          <w:cantSplit/>
        </w:trPr>
        <w:tc>
          <w:tcPr>
            <w:tcW w:type="dxa" w:w="2232"/>
            <w:vAlign w:val="top"/>
          </w:tcPr>
          <w:p>
            <w:pPr>
              <w:spacing w:after="40" w:before="0" w:line="259" w:lineRule="auto"/>
            </w:pPr>
            <w:r>
              <w:rPr>
                <w:rFonts w:ascii="Calibri" w:hAnsi="Calibri"/>
                <w:b/>
                <w:i w:val="0"/>
                <w:color w:val="212121"/>
                <w:sz w:val="19"/>
              </w:rPr>
              <w:t>Adenoid hypertrophy / chronic adenoiditis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Part of the same Waldeyer’s lymphoid ring; commonly coexists and is often addressed together (adenotonsillectomy).</w:t>
            </w:r>
          </w:p>
        </w:tc>
      </w:tr>
      <w:tr>
        <w:trPr>
          <w:cantSplit/>
        </w:trPr>
        <w:tc>
          <w:tcPr>
            <w:tcW w:type="dxa" w:w="2232"/>
            <w:vAlign w:val="top"/>
          </w:tcPr>
          <w:p>
            <w:pPr>
              <w:spacing w:after="40" w:before="0" w:line="259" w:lineRule="auto"/>
            </w:pPr>
            <w:r>
              <w:rPr>
                <w:rFonts w:ascii="Calibri" w:hAnsi="Calibri"/>
                <w:b/>
                <w:i w:val="0"/>
                <w:color w:val="212121"/>
                <w:sz w:val="19"/>
              </w:rPr>
              <w:t>Allergic rhinitis / chronic rhinosinusitis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Upper-airway allergic and sinonasal inflammation with post-nasal drip sustains pharyngeal and tonsillar irritation.</w:t>
            </w:r>
          </w:p>
        </w:tc>
      </w:tr>
      <w:tr>
        <w:trPr>
          <w:cantSplit/>
        </w:trPr>
        <w:tc>
          <w:tcPr>
            <w:tcW w:type="dxa" w:w="2232"/>
            <w:vAlign w:val="top"/>
          </w:tcPr>
          <w:p>
            <w:pPr>
              <w:spacing w:after="40" w:before="0" w:line="259" w:lineRule="auto"/>
            </w:pPr>
            <w:r>
              <w:rPr>
                <w:rFonts w:ascii="Calibri" w:hAnsi="Calibri"/>
                <w:b/>
                <w:i w:val="0"/>
                <w:color w:val="212121"/>
                <w:sz w:val="19"/>
              </w:rPr>
              <w:t>Otitis media with effusion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Shared nasopharyngeal pathogens and Eustachian-tube dysfunction link recurrent tonsillar disease with middle-ear effusion.</w:t>
            </w:r>
          </w:p>
        </w:tc>
      </w:tr>
      <w:tr>
        <w:trPr>
          <w:cantSplit/>
        </w:trPr>
        <w:tc>
          <w:tcPr>
            <w:tcW w:type="dxa" w:w="2232"/>
            <w:vAlign w:val="top"/>
          </w:tcPr>
          <w:p>
            <w:pPr>
              <w:spacing w:after="40" w:before="0" w:line="259" w:lineRule="auto"/>
            </w:pPr>
            <w:r>
              <w:rPr>
                <w:rFonts w:ascii="Calibri" w:hAnsi="Calibri"/>
                <w:b/>
                <w:i w:val="0"/>
                <w:color w:val="212121"/>
                <w:sz w:val="19"/>
              </w:rPr>
              <w:t>IgA nephropathy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tonsillar antigenic stimulation is implicated in some cases, and tonsillectomy is used therapeutically in selected patients.</w:t>
            </w:r>
          </w:p>
        </w:tc>
      </w:tr>
      <w:tr>
        <w:trPr>
          <w:cantSplit/>
        </w:trPr>
        <w:tc>
          <w:tcPr>
            <w:tcW w:type="dxa" w:w="2232"/>
            <w:vAlign w:val="top"/>
          </w:tcPr>
          <w:p>
            <w:pPr>
              <w:spacing w:after="40" w:before="0" w:line="259" w:lineRule="auto"/>
            </w:pPr>
            <w:r>
              <w:rPr>
                <w:rFonts w:ascii="Calibri" w:hAnsi="Calibri"/>
                <w:b/>
                <w:i w:val="0"/>
                <w:color w:val="212121"/>
                <w:sz w:val="19"/>
              </w:rPr>
              <w:t>PANDAS (paediatric autoimmune neuropsychiatric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Abrupt-onset OCD/tics temporally related to group A streptococcal infection in a small subset of children.</w:t>
            </w:r>
          </w:p>
        </w:tc>
      </w:tr>
      <w:tr>
        <w:trPr>
          <w:cantSplit/>
        </w:trPr>
        <w:tc>
          <w:tcPr>
            <w:tcW w:type="dxa" w:w="2232"/>
            <w:vAlign w:val="top"/>
          </w:tcPr>
          <w:p>
            <w:pPr>
              <w:spacing w:after="40" w:before="0" w:line="259" w:lineRule="auto"/>
            </w:pPr>
            <w:r>
              <w:rPr>
                <w:rFonts w:ascii="Calibri" w:hAnsi="Calibri"/>
                <w:b/>
                <w:i w:val="0"/>
                <w:color w:val="212121"/>
                <w:sz w:val="19"/>
              </w:rPr>
              <w:t>Guttate psoriasis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Streptococcal tonsillar infection can trigger or flare guttate psoriasis, and tonsillectomy may benefit selected refractory cases.</w:t>
            </w:r>
          </w:p>
        </w:tc>
      </w:tr>
      <w:tr>
        <w:trPr>
          <w:cantSplit/>
        </w:trPr>
        <w:tc>
          <w:tcPr>
            <w:tcW w:type="dxa" w:w="2232"/>
            <w:vAlign w:val="top"/>
          </w:tcPr>
          <w:p>
            <w:pPr>
              <w:spacing w:after="40" w:before="0" w:line="259" w:lineRule="auto"/>
            </w:pPr>
            <w:r>
              <w:rPr>
                <w:rFonts w:ascii="Calibri" w:hAnsi="Calibri"/>
                <w:b/>
                <w:i w:val="0"/>
                <w:color w:val="212121"/>
                <w:sz w:val="19"/>
              </w:rPr>
              <w:t>Laryngopharyngeal reflux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Refluxed acid keeps the pharynx and tonsils chronically irritated, aggravating and mimicking symptoms.</w:t>
            </w:r>
          </w:p>
        </w:tc>
      </w:tr>
      <w:tr>
        <w:trPr>
          <w:cantSplit/>
        </w:trPr>
        <w:tc>
          <w:tcPr>
            <w:tcW w:type="dxa" w:w="2232"/>
            <w:vAlign w:val="top"/>
          </w:tcPr>
          <w:p>
            <w:pPr>
              <w:spacing w:after="40" w:before="0" w:line="259" w:lineRule="auto"/>
            </w:pPr>
            <w:r>
              <w:rPr>
                <w:rFonts w:ascii="Calibri" w:hAnsi="Calibri"/>
                <w:b/>
                <w:i w:val="0"/>
                <w:color w:val="212121"/>
                <w:sz w:val="19"/>
              </w:rPr>
              <w:t>Halitosis &amp; tonsillolithiasis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Retained crypt debris calcifies into tonsilloliths, a direct consequence of chronic crypt infection and a common cause of persistent bad breath.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sore throat with fever, tonsillar exudate and tender neck glands (and no cough) may be streptococcal and needs assessment, as treating it prevents rheumatic fever and kidney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complete the full prescribed antibiotic course for a streptococcal throat infection, even after symptoms settle, to eradicate the organism and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simple diary of documented throat-infection episodes (dates, fever, doctor visits) — this record guides whether tonsillectomy is needed under Paradise/AAO–HNS criteria.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needing urgent care: severe one-sided throat pain, difficulty opening the mouth (trismus), drooling, difficulty breathing or swallowing, or a muffled voice.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for loud habitual snoring, mouth-breathing or witnessed pauses in breathing during sleep in a child, as these signal obstructive sleep apnoea from enlarged tonsils.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incomplete self-medication with leftover antibiotics, which fuels resistance and treatment failure.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 overcrowded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&amp; school-health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age-appropriate physical activity to support general immune fitness and healthy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since obesity worsens the severity of tonsillar/adenoidal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outdoor play with good ventilation rather than crowded indoor gatherings during peak respiratory-infection seasons.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after an acute episode, allowing full recovery before strenuous exertion.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obstructive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tonsillitis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flares, take soft, lukewarm, non-irritant foods and warm fluids; avoid very cold, spicy or acidic foods that provoke throat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balanced diet adequate in protein, iron and vitamin D to support mucosal immunity and reduce recurrence, particularly in 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saline gargles several times a day help relieve symptoms and clear crypt debris.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vitamin-C- and zinc-rich foods (citrus, vegetables, pulses, nuts) as part of a healthy immune-supporting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to keep the throat mucosa moist and aid clearance of secretions.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acute exacerbation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tonsillitis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sleep duration to support immune recovery (about 9–12 hours for 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report snoring, mouth-breathing, restless sleep or witnessed apnoeas, which indicate obstructive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sleeping environment smoke-free and well-ventilated to reduce airway irritation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ENT assessment when obstructive sleep symptoms persist, as adenotonsillectomy is often curative.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enlarged tonsils/adenoids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sleep-disordered breathing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strictly smoke-free — secondhand smoke roughly doubles a child’s risk of chronic/recurrent tonsillitis in a dose-dependent 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parents and household members who smoke to quit, offering referral to cessation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 should stop smoking to reduce chronic pharyngeal irritation and the risk of peritonsillar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exposure to biomass and other indoor smoke, which similarly irritate the upper-airway mucosa.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smoking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using indoor biomass fuel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irritates the pharyngeal mucosa and impairs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alcohol and smoking, a combination that further raises the risk of suppurative throat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alcohol-containing mouthwashes if they worsen throat dryness and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recurrent quinsy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relaxation, adequate rest and routine, as sustained stress can lower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quality-of-life impact of recurrent infections — missed school/work, disturbed sleep and pain — with reassurance and a clear management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 child with abrupt-onset OCD or tics after a streptococcal infection, seek specialist assessment for PANDAS.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counselling before tonsillectomy to reduce anxiety in children and parents.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recurrences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their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tonsillectomy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prescribed antibiotic (usually penicillin/amoxicillin, or a macrolide if penicillin-allergic) exactly, and complete the full course for streptococcal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recommended analgesia and warm saline gargles for symptom relief during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clear indications for tonsillectomy — recurrent infections meeting Paradise criteria, obstructive sleep apnoea, recurrent peritonsillar abscess, or suspicion of malignancy — and its benefits and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oral and hand hygiene, and do not share utensils, cups or towels during active infection, to limit spread within the household.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to screen for and manage complications such as rheumatic fever and glomerulonephritis after streptococcal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confirmed streptococcal tonsillitis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Candidates for tonsillectomy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index cases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4342/" TargetMode="External"/><Relationship Id="rId10" Type="http://schemas.openxmlformats.org/officeDocument/2006/relationships/hyperlink" Target="https://www.medpulse.in/Article/Volume2Issue11/MedPulse_2_11_20.pdf" TargetMode="External"/><Relationship Id="rId11" Type="http://schemas.openxmlformats.org/officeDocument/2006/relationships/hyperlink" Target="http://impactfactor.org/PDF/IJPCR/15/IJPCR,Vol15,Issue3,Article8.pdf" TargetMode="External"/><Relationship Id="rId12" Type="http://schemas.openxmlformats.org/officeDocument/2006/relationships/hyperlink" Target="https://medicaldialogues.in/cardiology-ctvs/news/echo-based-rheumatic-heart-disease-prevalence-in-school-going-children-report-from-meghalaya-165146" TargetMode="External"/><Relationship Id="rId13" Type="http://schemas.openxmlformats.org/officeDocument/2006/relationships/hyperlink" Target="https://www.populationmedicine.eu/Impact-of-secondhand-cigarette-smoking-on-the-prevalence-of-pediatric-chronic-or,214739,0,2.html" TargetMode="External"/><Relationship Id="rId14" Type="http://schemas.openxmlformats.org/officeDocument/2006/relationships/hyperlink" Target="https://pubmed.ncbi.nlm.nih.gov/23568043/" TargetMode="External"/><Relationship Id="rId15" Type="http://schemas.openxmlformats.org/officeDocument/2006/relationships/hyperlink" Target="https://www.aafp.org/pubs/afp/issues/2023/0100/tonsillitis-tonsilloliths.html" TargetMode="External"/><Relationship Id="rId16" Type="http://schemas.openxmlformats.org/officeDocument/2006/relationships/hyperlink" Target="https://pmc.ncbi.nlm.nih.gov/articles/PMC6248716/" TargetMode="External"/><Relationship Id="rId17" Type="http://schemas.openxmlformats.org/officeDocument/2006/relationships/hyperlink" Target="https://pmc.ncbi.nlm.nih.gov/articles/PMC10453215/" TargetMode="External"/><Relationship Id="rId18" Type="http://schemas.openxmlformats.org/officeDocument/2006/relationships/hyperlink" Target="https://www.mdcalc.com/calc/10081/paradise-criteria-tonsillectomy-children" TargetMode="External"/><Relationship Id="rId19" Type="http://schemas.openxmlformats.org/officeDocument/2006/relationships/hyperlink" Target="https://pubmed.ncbi.nlm.nih.gov/34379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