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Nasal Polyposis</w:t>
      </w:r>
    </w:p>
    <w:p>
      <w:pPr>
        <w:spacing w:before="0" w:after="160"/>
      </w:pPr>
      <w:r>
        <w:rPr>
          <w:rFonts w:ascii="Calibri" w:hAnsi="Calibri"/>
          <w:b/>
          <w:i w:val="0"/>
          <w:color w:val="212121"/>
          <w:sz w:val="22"/>
        </w:rPr>
        <w:t xml:space="preserve">AKA </w:t>
      </w:r>
      <w:r>
        <w:rPr>
          <w:rFonts w:ascii="Calibri" w:hAnsi="Calibri"/>
          <w:b w:val="0"/>
          <w:i w:val="0"/>
          <w:color w:val="212121"/>
          <w:sz w:val="22"/>
        </w:rPr>
        <w:t>i.e., Nasal polyps, Chronic rhinosinusitis with nasal polyps (CRSwNP), Sinonasal polyposis, Polyps in the nose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Nasal polyposis refers to benign, non-neoplastic, oedematous inflammatory outgrowths of the sinonasal mucosa that most often arise from the ethmoid sinuses and the middle meatus and prolapse into the nasal cavity as smooth, pale, grape-like, insensate masses. It is the clinical hallmark of chronic rhinosinusitis with nasal polyps (CRSwNP), which in most Indian and Western patients is driven by a type-2 (eosinophilic) mucosal inflammatory process. Patients typically present with bilateral nasal obstruction, reduction or loss of smell (hyposmia/anosmia), rhinorrhoea, postnasal drip and facial pressure persisting for more than 12 weeks.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Nasal polyps affect an estimated 1-4% of the general adult population and are uncommon in children (about 0.1%), in whom their presence should prompt a search for cystic fibrosis. In India they form part of a large chronic-rhinosinusitis burden: a Northern Indian tertiary-care study detected nasal polyps in 9.71% of patients with non-allergic respiratory disease and 2.12% of those with allergic disease, and allergic fungal rhinosinusitis (favoured by the hot, humid climate and Aspergillus flavus) accounts for up to about a quarter of nasal-polyposis cases in some Indian centres.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Nasal polyposis is diagnosed clinically within the EPOS 2020 framework for chronic rhinosinusitis, requiring persistent symptoms plus objective confirmation of polyps on endoscopy and/or CT.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Two or more symptoms for ≥ 12 weeks, one of which must be nasal blockage/obstruction/congestion OR anterior/posterior nasal discharge, ± facial pain or pressure, ± reduction or loss of smell;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Nasal endoscopy showing bilateral, pale/bluish-grey, semi-translucent, oedematous polyps in the middle meatus or olfactory cleft (graded by an endoscopic polyp score, 0–4);</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Anterior rhinoscopy demonstrating smooth, mobile, insensate masses that are non-tender and do not bleed on probing and do not shrink with a topical decongestant (this distinguishes a polyp from a hypertrophied inferior turbinate);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CT of the paranasal sinuses (coronal) showing mucosal opacification of the ethmoids and ostiomeatal complex, scored by the Lund–Mackay system (0–24); required to plan surgery and to detect complications or bony erosion;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Unilateral polyp or atypical features (bleeding, pain, orbital or neurological signs, bony erosion) mandate biopsy and imaging to exclude antrochoanal polyp, inverting papilloma or malignancy;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Work-up for underlying drivers: aspirin/NSAID reaction history (AERD), asthma/spirometry assessment, allergy and total-IgE testing, fungal smear/culture with allergic mucin (AFRS), and sweat-chloride or CFTR testing in children (cystic fibrosis).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Nasal polyposis is classified by laterality/origin, by the EPOS 2020 phenotype and endotype, by associated systemic disease, and by severity, which together guide treatment and predict recurrence:</w:t>
      </w:r>
    </w:p>
    <w:p>
      <w:pPr>
        <w:spacing w:before="0" w:after="80"/>
      </w:pPr>
      <w:r>
        <w:rPr>
          <w:rFonts w:ascii="Calibri" w:hAnsi="Calibri"/>
          <w:b w:val="0"/>
          <w:i w:val="0"/>
          <w:color w:val="212121"/>
          <w:sz w:val="21"/>
        </w:rPr>
        <w:t>(1) By laterality/origin — bilateral diffuse (ethmoidal) polyposis, the common inflammatory type; versus a unilateral solitary antrochoanal polyp (Killian polyp), arising from the maxillary antrum and seen chiefly in children and young adults, which always requires exclusion of a neoplasm;</w:t>
      </w:r>
    </w:p>
    <w:p>
      <w:pPr>
        <w:spacing w:before="0" w:after="80"/>
      </w:pPr>
      <w:r>
        <w:rPr>
          <w:rFonts w:ascii="Calibri" w:hAnsi="Calibri"/>
          <w:b w:val="0"/>
          <w:i w:val="0"/>
          <w:color w:val="212121"/>
          <w:sz w:val="21"/>
        </w:rPr>
        <w:t>(2) By EPOS 2020 phenotype/endotype — primary CRSwNP (localized/unilateral or diffuse/bilateral), sub-divided into type-2 (eosinophilic) inflammation, which dominates most CRSwNP, versus non-type-2 inflammation; and secondary CRSwNP arising from a local, mechanical or systemic disease;</w:t>
      </w:r>
    </w:p>
    <w:p>
      <w:pPr>
        <w:spacing w:before="0" w:after="80"/>
      </w:pPr>
      <w:r>
        <w:rPr>
          <w:rFonts w:ascii="Calibri" w:hAnsi="Calibri"/>
          <w:b w:val="0"/>
          <w:i w:val="0"/>
          <w:color w:val="212121"/>
          <w:sz w:val="21"/>
        </w:rPr>
        <w:t>(3) By associated systemic disease — allergic fungal rhinosinusitis (AFRS), aspirin-exacerbated respiratory disease (AERD / Samter triad = asthma + nasal polyps + NSAID sensitivity), cystic-fibrosis-related polyps, eosinophilic granulomatosis with polyangiitis (EGPA), and primary ciliary dyskinesia;</w:t>
      </w:r>
    </w:p>
    <w:p>
      <w:pPr>
        <w:spacing w:before="0" w:after="80"/>
      </w:pPr>
      <w:r>
        <w:rPr>
          <w:rFonts w:ascii="Calibri" w:hAnsi="Calibri"/>
          <w:b w:val="0"/>
          <w:i w:val="0"/>
          <w:color w:val="212121"/>
          <w:sz w:val="21"/>
        </w:rPr>
        <w:t>(4) By severity — graded on the endoscopic polyp score (0 = none to 4 = polyps completely obstructing the nasal cavity) and the radiological Lund–Mackay CT score, both used to stage disease and to monitor post-treatment recurrence.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Type-2 eosinophilic inflammation: IL-4/IL-5/IL-13-driven eosinophilic mucosal inflammation with epithelial-barrier dysfunction is the central mechanism in the majority of CRSwNP.</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Aspirin/NSAID intolerance (AERD): cyclo-oxygenase-1 inhibition shunts arachidonic acid toward cysteinyl-leukotrienes, driving aggressive, recurrence-prone polyp formation (Samter triad).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Allergic fungal rhinosinusitis: an intense eosinophilic and IgE-mediated response to inhaled fungi (especially Aspergillus flavus) in atopic hosts — particularly relevant in hot, humid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Genetic/systemic disease: cystic fibrosis and primary ciliary dyskinesia impair mucociliary clearance and are the main causes of nasal polyps in children.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infection and Staphylococcus aureus superantigens/biofilms: amplify local IgE production and eosinophilic inflammation, sustaining polyp growth.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irritants: tobacco smoke, indoor biomass-fuel smoke, occupational dusts and urban air pollution perpetuate mucosal inflammation.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Anatomical/mechanical factors: ostiomeatal obstruction and mucus stasis promote oedema and polyp formation.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Incidence rises with age as cumulative eosinophilic inflammation, allergen and irritant exposure remodel the sinonasal mucosa. Benign multiple polyposis usually manifests after age 20 and is most common in the 40-60 year band.</w:t>
            </w:r>
          </w:p>
          <w:p>
            <w:pPr>
              <w:spacing w:after="40" w:before="60" w:line="259" w:lineRule="auto"/>
            </w:pPr>
            <w:r>
              <w:rPr>
                <w:rFonts w:ascii="Calibri" w:hAnsi="Calibri"/>
                <w:b w:val="0"/>
                <w:i w:val="0"/>
                <w:color w:val="212121"/>
                <w:sz w:val="19"/>
              </w:rPr>
              <w:t>Prevalence in the general adult population is grossly estimated at 1-4%, with peak occurrence between 40 and 60 years.</w:t>
            </w:r>
          </w:p>
          <w:p>
            <w:pPr>
              <w:spacing w:after="40" w:line="252" w:lineRule="auto"/>
            </w:pPr>
            <w:hyperlink r:id="rId9">
              <w:r>
                <w:rPr>
                  <w:rFonts w:ascii="Calibri" w:hAnsi="Calibri" w:cs="Calibri"/>
                  <w:sz w:val="18"/>
                  <w:color w:val="1155CC"/>
                  <w:u w:val="single"/>
                </w:rPr>
                <w:t xml:space="preserve">link.springer.com — Epidemiology of Nasal Polyps</w:t>
              </w:r>
            </w:hyperlink>
          </w:p>
          <w:p>
            <w:pPr>
              <w:spacing w:before="60" w:after="40"/>
            </w:pPr>
            <w:r>
              <w:rPr>
                <w:rFonts w:ascii="Calibri" w:hAnsi="Calibri"/>
                <w:b w:val="0"/>
                <w:i w:val="0"/>
                <w:color w:val="5A5A5A"/>
                <w:sz w:val="18"/>
              </w:rPr>
              <w:t>#nasalpolyps  #CRSwNP  #eosinophilic  #middleage  #type2inflammation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tend to have longstanding, diffuse, recurrence-prone disease with more comorbidity (asthma, OSA, cardiovascular disease) that complicates medical and surgical management.</w:t>
            </w:r>
          </w:p>
          <w:p>
            <w:pPr>
              <w:spacing w:after="40" w:before="60" w:line="259" w:lineRule="auto"/>
            </w:pPr>
            <w:r>
              <w:rPr>
                <w:rFonts w:ascii="Calibri" w:hAnsi="Calibri"/>
                <w:b w:val="0"/>
                <w:i w:val="0"/>
                <w:color w:val="212121"/>
                <w:sz w:val="19"/>
              </w:rPr>
              <w:t>Polyposis is typically persistent and multiply-recurrent in this group; disease burden and comorbidity increase management complexity.</w:t>
            </w:r>
          </w:p>
          <w:p>
            <w:pPr>
              <w:spacing w:before="60" w:after="40"/>
            </w:pPr>
            <w:r>
              <w:rPr>
                <w:rFonts w:ascii="Calibri" w:hAnsi="Calibri"/>
                <w:b w:val="0"/>
                <w:i w:val="0"/>
                <w:color w:val="5A5A5A"/>
                <w:sz w:val="18"/>
              </w:rPr>
              <w:t>#elderly  #recurrence  #comorbidity  #chronicdisease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Nasal polyps are rare before age 10; when found in a child they should trigger a search for cystic fibrosis or primary ciliary dyskinesia, or an antrochoanal polyp.</w:t>
            </w:r>
          </w:p>
          <w:p>
            <w:pPr>
              <w:spacing w:after="40" w:before="60" w:line="259" w:lineRule="auto"/>
            </w:pPr>
            <w:r>
              <w:rPr>
                <w:rFonts w:ascii="Calibri" w:hAnsi="Calibri"/>
                <w:b w:val="0"/>
                <w:i w:val="0"/>
                <w:color w:val="212121"/>
                <w:sz w:val="19"/>
              </w:rPr>
              <w:t>Incidence of nasal polyps in children is about 0.1%, rising to 6-48% in children with cystic fibrosis.</w:t>
            </w:r>
          </w:p>
          <w:p>
            <w:pPr>
              <w:spacing w:after="40" w:line="252" w:lineRule="auto"/>
            </w:pPr>
            <w:hyperlink r:id="rId10">
              <w:r>
                <w:rPr>
                  <w:rFonts w:ascii="Calibri" w:hAnsi="Calibri" w:cs="Calibri"/>
                  <w:sz w:val="18"/>
                  <w:color w:val="1155CC"/>
                  <w:u w:val="single"/>
                </w:rPr>
                <w:t xml:space="preserve">emedicine.medscape.com — Nasal Polyps</w:t>
              </w:r>
            </w:hyperlink>
          </w:p>
          <w:p>
            <w:pPr>
              <w:spacing w:before="60" w:after="40"/>
            </w:pPr>
            <w:r>
              <w:rPr>
                <w:rFonts w:ascii="Calibri" w:hAnsi="Calibri"/>
                <w:b w:val="0"/>
                <w:i w:val="0"/>
                <w:color w:val="5A5A5A"/>
                <w:sz w:val="18"/>
              </w:rPr>
              <w:t>#paediatric  #cysticfibrosis  #antrochoanal  #PCD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Adult nasal polyposis shows a clear male predominance, and young men also carry a higher post-surgical recurrence risk.</w:t>
            </w:r>
          </w:p>
          <w:p>
            <w:pPr>
              <w:spacing w:after="40" w:before="60" w:line="259" w:lineRule="auto"/>
            </w:pPr>
            <w:r>
              <w:rPr>
                <w:rFonts w:ascii="Calibri" w:hAnsi="Calibri"/>
                <w:b w:val="0"/>
                <w:i w:val="0"/>
                <w:color w:val="212121"/>
                <w:sz w:val="19"/>
              </w:rPr>
              <w:t>The adult male-to-female ratio is approximately 2-4:1.</w:t>
            </w:r>
          </w:p>
          <w:p>
            <w:pPr>
              <w:spacing w:after="40" w:line="252" w:lineRule="auto"/>
            </w:pPr>
            <w:hyperlink r:id="rId10">
              <w:r>
                <w:rPr>
                  <w:rFonts w:ascii="Calibri" w:hAnsi="Calibri" w:cs="Calibri"/>
                  <w:sz w:val="18"/>
                  <w:color w:val="1155CC"/>
                  <w:u w:val="single"/>
                </w:rPr>
                <w:t xml:space="preserve">emedicine.medscape.com — Nasal Polyps</w:t>
              </w:r>
            </w:hyperlink>
          </w:p>
          <w:p>
            <w:pPr>
              <w:spacing w:before="60" w:after="40"/>
            </w:pPr>
            <w:r>
              <w:rPr>
                <w:rFonts w:ascii="Calibri" w:hAnsi="Calibri"/>
                <w:b w:val="0"/>
                <w:i w:val="0"/>
                <w:color w:val="5A5A5A"/>
                <w:sz w:val="18"/>
              </w:rPr>
              <w:t>#male  #recurrence  #sexdifference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 &amp; West Indian tertiary-care populations</w:t>
            </w:r>
          </w:p>
        </w:tc>
        <w:tc>
          <w:tcPr>
            <w:tcW w:type="dxa" w:w="4276"/>
            <w:vAlign w:val="top"/>
          </w:tcPr>
          <w:p>
            <w:pPr>
              <w:spacing w:after="60" w:line="259" w:lineRule="auto"/>
            </w:pPr>
            <w:r>
              <w:rPr>
                <w:rFonts w:ascii="Calibri" w:hAnsi="Calibri"/>
                <w:b w:val="0"/>
                <w:i w:val="0"/>
                <w:color w:val="212121"/>
                <w:sz w:val="19"/>
              </w:rPr>
              <w:t>In hot, humid and agricultural parts of India, allergic fungal rhinosinusitis is a major driver of nasal polyposis, producing bulky, often unilateral polyps with allergic mucin.</w:t>
            </w:r>
          </w:p>
          <w:p>
            <w:pPr>
              <w:spacing w:after="40" w:before="60" w:line="259" w:lineRule="auto"/>
            </w:pPr>
            <w:r>
              <w:rPr>
                <w:rFonts w:ascii="Calibri" w:hAnsi="Calibri"/>
                <w:b w:val="0"/>
                <w:i w:val="0"/>
                <w:color w:val="212121"/>
                <w:sz w:val="19"/>
              </w:rPr>
              <w:t>Allergic fungal rhinosinusitis was diagnosed in 25 of 100 (25%) nasal-polyposis patients in a Western Rajasthan study, with Aspergillus flavus the predominant fungus.</w:t>
            </w:r>
          </w:p>
          <w:p>
            <w:pPr>
              <w:spacing w:after="40" w:line="252" w:lineRule="auto"/>
            </w:pPr>
            <w:hyperlink r:id="rId11">
              <w:r>
                <w:rPr>
                  <w:rFonts w:ascii="Calibri" w:hAnsi="Calibri" w:cs="Calibri"/>
                  <w:sz w:val="18"/>
                  <w:color w:val="1155CC"/>
                  <w:u w:val="single"/>
                </w:rPr>
                <w:t xml:space="preserve">link.springer.com — AFRS in Western Rajasthan</w:t>
              </w:r>
            </w:hyperlink>
          </w:p>
          <w:p>
            <w:pPr>
              <w:spacing w:before="60" w:after="40"/>
            </w:pPr>
            <w:r>
              <w:rPr>
                <w:rFonts w:ascii="Calibri" w:hAnsi="Calibri"/>
                <w:b w:val="0"/>
                <w:i w:val="0"/>
                <w:color w:val="5A5A5A"/>
                <w:sz w:val="18"/>
              </w:rPr>
              <w:t>#India  #AFRS  #Aspergillus  #allergicmucin  #Rajasthan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humid &amp; agricultural belts</w:t>
            </w:r>
          </w:p>
        </w:tc>
        <w:tc>
          <w:tcPr>
            <w:tcW w:type="dxa" w:w="4276"/>
            <w:vAlign w:val="top"/>
          </w:tcPr>
          <w:p>
            <w:pPr>
              <w:spacing w:after="60" w:line="259" w:lineRule="auto"/>
            </w:pPr>
            <w:r>
              <w:rPr>
                <w:rFonts w:ascii="Calibri" w:hAnsi="Calibri"/>
                <w:b w:val="0"/>
                <w:i w:val="0"/>
                <w:color w:val="212121"/>
                <w:sz w:val="19"/>
              </w:rPr>
              <w:t>Warm, humid conditions and heavy agricultural fungal-spore exposure promote fungal sensitisation and eosinophilic sinonasal inflammation, increasing polyp formation.</w:t>
            </w:r>
          </w:p>
          <w:p>
            <w:pPr>
              <w:spacing w:after="40" w:before="60" w:line="259" w:lineRule="auto"/>
            </w:pPr>
            <w:r>
              <w:rPr>
                <w:rFonts w:ascii="Calibri" w:hAnsi="Calibri"/>
                <w:b w:val="0"/>
                <w:i w:val="0"/>
                <w:color w:val="212121"/>
                <w:sz w:val="19"/>
              </w:rPr>
              <w:t>Fungal antigen exposure is a recognised regional driver of eosinophilic, IgE-mediated polyposis in tropical climates.</w:t>
            </w:r>
          </w:p>
          <w:p>
            <w:pPr>
              <w:spacing w:before="60" w:after="40"/>
            </w:pPr>
            <w:r>
              <w:rPr>
                <w:rFonts w:ascii="Calibri" w:hAnsi="Calibri"/>
                <w:b w:val="0"/>
                <w:i w:val="0"/>
                <w:color w:val="5A5A5A"/>
                <w:sz w:val="18"/>
              </w:rPr>
              <w:t>#humidity  #fungalspores  #tropical  #agriculture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Air pollution</w:t>
            </w:r>
          </w:p>
        </w:tc>
        <w:tc>
          <w:tcPr>
            <w:tcW w:type="dxa" w:w="2160"/>
            <w:vAlign w:val="top"/>
          </w:tcPr>
          <w:p>
            <w:pPr>
              <w:spacing w:after="40" w:before="0" w:line="259" w:lineRule="auto"/>
            </w:pPr>
            <w:r>
              <w:rPr>
                <w:rFonts w:ascii="Calibri" w:hAnsi="Calibri"/>
                <w:b w:val="0"/>
                <w:i w:val="0"/>
                <w:color w:val="212121"/>
                <w:sz w:val="19"/>
              </w:rPr>
              <w:t>Urban Indian metros</w:t>
            </w:r>
          </w:p>
        </w:tc>
        <w:tc>
          <w:tcPr>
            <w:tcW w:type="dxa" w:w="4276"/>
            <w:vAlign w:val="top"/>
          </w:tcPr>
          <w:p>
            <w:pPr>
              <w:spacing w:after="60" w:line="259" w:lineRule="auto"/>
            </w:pPr>
            <w:r>
              <w:rPr>
                <w:rFonts w:ascii="Calibri" w:hAnsi="Calibri"/>
                <w:b w:val="0"/>
                <w:i w:val="0"/>
                <w:color w:val="212121"/>
                <w:sz w:val="19"/>
              </w:rPr>
              <w:t>Chronic exposure to particulate matter and traffic-related pollutants injures the nasal epithelial barrier and sustains chronic rhinosinusitis and polyp inflammation.</w:t>
            </w:r>
          </w:p>
          <w:p>
            <w:pPr>
              <w:spacing w:after="40" w:before="60" w:line="259" w:lineRule="auto"/>
            </w:pPr>
            <w:r>
              <w:rPr>
                <w:rFonts w:ascii="Calibri" w:hAnsi="Calibri"/>
                <w:b w:val="0"/>
                <w:i w:val="0"/>
                <w:color w:val="212121"/>
                <w:sz w:val="19"/>
              </w:rPr>
              <w:t>Ambient air pollution is associated with increased chronic-rhinosinusitis symptom burden and mucosal inflammation.</w:t>
            </w:r>
          </w:p>
          <w:p>
            <w:pPr>
              <w:spacing w:after="40" w:line="252" w:lineRule="auto"/>
            </w:pPr>
            <w:hyperlink r:id="rId12">
              <w:r>
                <w:rPr>
                  <w:rFonts w:ascii="Calibri" w:hAnsi="Calibri" w:cs="Calibri"/>
                  <w:sz w:val="18"/>
                  <w:color w:val="1155CC"/>
                  <w:u w:val="single"/>
                </w:rPr>
                <w:t xml:space="preserve">pmc.ncbi.nlm.nih.gov — Air Pollution &amp; CRS</w:t>
              </w:r>
            </w:hyperlink>
          </w:p>
          <w:p>
            <w:pPr>
              <w:spacing w:before="60" w:after="40"/>
            </w:pPr>
            <w:r>
              <w:rPr>
                <w:rFonts w:ascii="Calibri" w:hAnsi="Calibri"/>
                <w:b w:val="0"/>
                <w:i w:val="0"/>
                <w:color w:val="5A5A5A"/>
                <w:sz w:val="18"/>
              </w:rPr>
              <w:t>#airpollution  #PM2_5  #urban  #barrierdysfunction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&amp; biomass-smoke exposed</w:t>
            </w:r>
          </w:p>
        </w:tc>
        <w:tc>
          <w:tcPr>
            <w:tcW w:type="dxa" w:w="4276"/>
            <w:vAlign w:val="top"/>
          </w:tcPr>
          <w:p>
            <w:pPr>
              <w:spacing w:after="60" w:line="259" w:lineRule="auto"/>
            </w:pPr>
            <w:r>
              <w:rPr>
                <w:rFonts w:ascii="Calibri" w:hAnsi="Calibri"/>
                <w:b w:val="0"/>
                <w:i w:val="0"/>
                <w:color w:val="212121"/>
                <w:sz w:val="19"/>
              </w:rPr>
              <w:t>Tobacco smoke, second-hand smoke and indoor biomass-fuel smoke are mucosal irritants that perpetuate inflammation, worsen symptoms and increase post-operative recurrence.</w:t>
            </w:r>
          </w:p>
          <w:p>
            <w:pPr>
              <w:spacing w:after="40" w:before="60" w:line="259" w:lineRule="auto"/>
            </w:pPr>
            <w:r>
              <w:rPr>
                <w:rFonts w:ascii="Calibri" w:hAnsi="Calibri"/>
                <w:b w:val="0"/>
                <w:i w:val="0"/>
                <w:color w:val="212121"/>
                <w:sz w:val="19"/>
              </w:rPr>
              <w:t>Smoking and environmental irritants are established risk factors for chronic rhinitis and rhinosinusitis.</w:t>
            </w:r>
          </w:p>
          <w:p>
            <w:pPr>
              <w:spacing w:after="40" w:line="252" w:lineRule="auto"/>
            </w:pPr>
            <w:hyperlink r:id="rId13">
              <w:r>
                <w:rPr>
                  <w:rFonts w:ascii="Calibri" w:hAnsi="Calibri" w:cs="Calibri"/>
                  <w:sz w:val="18"/>
                  <w:color w:val="1155CC"/>
                  <w:u w:val="single"/>
                </w:rPr>
                <w:t xml:space="preserve">pmc.ncbi.nlm.nih.gov — Occupational/environmental risk factors for CRS</w:t>
              </w:r>
            </w:hyperlink>
          </w:p>
          <w:p>
            <w:pPr>
              <w:spacing w:before="60" w:after="40"/>
            </w:pPr>
            <w:r>
              <w:rPr>
                <w:rFonts w:ascii="Calibri" w:hAnsi="Calibri"/>
                <w:b w:val="0"/>
                <w:i w:val="0"/>
                <w:color w:val="5A5A5A"/>
                <w:sz w:val="18"/>
              </w:rPr>
              <w:t>#smoking  #biomass  #irritant  #indoorair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Woodworkers, textile, agricultural &amp; chemical workers</w:t>
            </w:r>
          </w:p>
        </w:tc>
        <w:tc>
          <w:tcPr>
            <w:tcW w:type="dxa" w:w="4276"/>
            <w:vAlign w:val="top"/>
          </w:tcPr>
          <w:p>
            <w:pPr>
              <w:spacing w:after="60" w:line="259" w:lineRule="auto"/>
            </w:pPr>
            <w:r>
              <w:rPr>
                <w:rFonts w:ascii="Calibri" w:hAnsi="Calibri"/>
                <w:b w:val="0"/>
                <w:i w:val="0"/>
                <w:color w:val="212121"/>
                <w:sz w:val="19"/>
              </w:rPr>
              <w:t>Occupational inhalation of wood, textile and grain dusts and chemical fumes irritates the sinonasal mucosa and is linked to chronic rhinosinusitis.</w:t>
            </w:r>
          </w:p>
          <w:p>
            <w:pPr>
              <w:spacing w:after="40" w:before="60" w:line="259" w:lineRule="auto"/>
            </w:pPr>
            <w:r>
              <w:rPr>
                <w:rFonts w:ascii="Calibri" w:hAnsi="Calibri"/>
                <w:b w:val="0"/>
                <w:i w:val="0"/>
                <w:color w:val="212121"/>
                <w:sz w:val="19"/>
              </w:rPr>
              <w:t>Occupational dusts, fumes and irritants are consistently associated with chronic rhinosinusitis in systematic reviews.</w:t>
            </w:r>
          </w:p>
          <w:p>
            <w:pPr>
              <w:spacing w:after="40" w:line="252" w:lineRule="auto"/>
            </w:pPr>
            <w:hyperlink r:id="rId13">
              <w:r>
                <w:rPr>
                  <w:rFonts w:ascii="Calibri" w:hAnsi="Calibri" w:cs="Calibri"/>
                  <w:sz w:val="18"/>
                  <w:color w:val="1155CC"/>
                  <w:u w:val="single"/>
                </w:rPr>
                <w:t xml:space="preserve">pmc.ncbi.nlm.nih.gov — Occupational/environmental risk factors for CRS</w:t>
              </w:r>
            </w:hyperlink>
          </w:p>
          <w:p>
            <w:pPr>
              <w:spacing w:before="60" w:after="40"/>
            </w:pPr>
            <w:r>
              <w:rPr>
                <w:rFonts w:ascii="Calibri" w:hAnsi="Calibri"/>
                <w:b w:val="0"/>
                <w:i w:val="0"/>
                <w:color w:val="5A5A5A"/>
                <w:sz w:val="18"/>
              </w:rPr>
              <w:t>#occupational  #dust  #fumes  #agrarian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Adults with high BMI</w:t>
            </w:r>
          </w:p>
        </w:tc>
        <w:tc>
          <w:tcPr>
            <w:tcW w:type="dxa" w:w="4276"/>
            <w:vAlign w:val="top"/>
          </w:tcPr>
          <w:p>
            <w:pPr>
              <w:spacing w:after="60" w:line="259" w:lineRule="auto"/>
            </w:pPr>
            <w:r>
              <w:rPr>
                <w:rFonts w:ascii="Calibri" w:hAnsi="Calibri"/>
                <w:b w:val="0"/>
                <w:i w:val="0"/>
                <w:color w:val="212121"/>
                <w:sz w:val="19"/>
              </w:rPr>
              <w:t>Obesity is linked to systemic inflammation, greater sinonasal symptom burden and a much higher risk of coexisting obstructive sleep apnoea, which compounds nasal obstruction.</w:t>
            </w:r>
          </w:p>
          <w:p>
            <w:pPr>
              <w:spacing w:after="40" w:before="60" w:line="259" w:lineRule="auto"/>
            </w:pPr>
            <w:r>
              <w:rPr>
                <w:rFonts w:ascii="Calibri" w:hAnsi="Calibri"/>
                <w:b w:val="0"/>
                <w:i w:val="0"/>
                <w:color w:val="212121"/>
                <w:sz w:val="19"/>
              </w:rPr>
              <w:t>Higher BMI is associated with increased symptom burden and sleep-disordered breathing in CRSwNP.</w:t>
            </w:r>
          </w:p>
          <w:p>
            <w:pPr>
              <w:spacing w:before="60" w:after="40"/>
            </w:pPr>
            <w:r>
              <w:rPr>
                <w:rFonts w:ascii="Calibri" w:hAnsi="Calibri"/>
                <w:b w:val="0"/>
                <w:i w:val="0"/>
                <w:color w:val="5A5A5A"/>
                <w:sz w:val="18"/>
              </w:rPr>
              <w:t>#obesity  #OSA  #symptomburden  #metabolic</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Aspirin / salicylate sensitivity</w:t>
            </w:r>
          </w:p>
        </w:tc>
        <w:tc>
          <w:tcPr>
            <w:tcW w:type="dxa" w:w="2160"/>
            <w:vAlign w:val="top"/>
          </w:tcPr>
          <w:p>
            <w:pPr>
              <w:spacing w:after="40" w:before="0" w:line="259" w:lineRule="auto"/>
            </w:pPr>
            <w:r>
              <w:rPr>
                <w:rFonts w:ascii="Calibri" w:hAnsi="Calibri"/>
                <w:b w:val="0"/>
                <w:i w:val="0"/>
                <w:color w:val="212121"/>
                <w:sz w:val="19"/>
              </w:rPr>
              <w:t>NSAID-reactive individuals</w:t>
            </w:r>
          </w:p>
        </w:tc>
        <w:tc>
          <w:tcPr>
            <w:tcW w:type="dxa" w:w="4276"/>
            <w:vAlign w:val="top"/>
          </w:tcPr>
          <w:p>
            <w:pPr>
              <w:spacing w:after="60" w:line="259" w:lineRule="auto"/>
            </w:pPr>
            <w:r>
              <w:rPr>
                <w:rFonts w:ascii="Calibri" w:hAnsi="Calibri"/>
                <w:b w:val="0"/>
                <w:i w:val="0"/>
                <w:color w:val="212121"/>
                <w:sz w:val="19"/>
              </w:rPr>
              <w:t>In aspirin-exacerbated respiratory disease, ingestion of aspirin, other COX-1 NSAIDs and salicylate-rich foods provokes leukotriene surges that fuel aggressive polyp formation.</w:t>
            </w:r>
          </w:p>
          <w:p>
            <w:pPr>
              <w:spacing w:after="40" w:before="60" w:line="259" w:lineRule="auto"/>
            </w:pPr>
            <w:r>
              <w:rPr>
                <w:rFonts w:ascii="Calibri" w:hAnsi="Calibri"/>
                <w:b w:val="0"/>
                <w:i w:val="0"/>
                <w:color w:val="212121"/>
                <w:sz w:val="19"/>
              </w:rPr>
              <w:t>Up to 50% of aspirin-intolerant patients have nasal polyps, and up to 36% of nasal-polyp patients have some form of analgesic intolerance.</w:t>
            </w:r>
          </w:p>
          <w:p>
            <w:pPr>
              <w:spacing w:after="40" w:line="252" w:lineRule="auto"/>
            </w:pPr>
            <w:hyperlink r:id="rId9">
              <w:r>
                <w:rPr>
                  <w:rFonts w:ascii="Calibri" w:hAnsi="Calibri" w:cs="Calibri"/>
                  <w:sz w:val="18"/>
                  <w:color w:val="1155CC"/>
                  <w:u w:val="single"/>
                </w:rPr>
                <w:t xml:space="preserve">link.springer.com — Epidemiology of Nasal Polyps</w:t>
              </w:r>
            </w:hyperlink>
          </w:p>
          <w:p>
            <w:pPr>
              <w:spacing w:before="60" w:after="40"/>
            </w:pPr>
            <w:r>
              <w:rPr>
                <w:rFonts w:ascii="Calibri" w:hAnsi="Calibri"/>
                <w:b w:val="0"/>
                <w:i w:val="0"/>
                <w:color w:val="5A5A5A"/>
                <w:sz w:val="18"/>
              </w:rPr>
              <w:t>#aspirin  #NSAID  #AERD  #salicylate  #leukotrienes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Low-antioxidant / pro-inflammatory diet</w:t>
            </w:r>
          </w:p>
        </w:tc>
        <w:tc>
          <w:tcPr>
            <w:tcW w:type="dxa" w:w="2160"/>
            <w:vAlign w:val="top"/>
          </w:tcPr>
          <w:p>
            <w:pPr>
              <w:spacing w:after="40" w:before="0" w:line="259" w:lineRule="auto"/>
            </w:pPr>
            <w:r>
              <w:rPr>
                <w:rFonts w:ascii="Calibri" w:hAnsi="Calibri"/>
                <w:b w:val="0"/>
                <w:i w:val="0"/>
                <w:color w:val="212121"/>
                <w:sz w:val="19"/>
              </w:rPr>
              <w:t>Diets low in fruit/vegetables, high in processed food</w:t>
            </w:r>
          </w:p>
        </w:tc>
        <w:tc>
          <w:tcPr>
            <w:tcW w:type="dxa" w:w="4276"/>
            <w:vAlign w:val="top"/>
          </w:tcPr>
          <w:p>
            <w:pPr>
              <w:spacing w:after="60" w:line="259" w:lineRule="auto"/>
            </w:pPr>
            <w:r>
              <w:rPr>
                <w:rFonts w:ascii="Calibri" w:hAnsi="Calibri"/>
                <w:b w:val="0"/>
                <w:i w:val="0"/>
                <w:color w:val="212121"/>
                <w:sz w:val="19"/>
              </w:rPr>
              <w:t>Diets poor in antioxidants and omega-3 and high in processed, pro-inflammatory foods may amplify systemic and mucosal type-2 inflammation, though evidence is indirect.</w:t>
            </w:r>
          </w:p>
          <w:p>
            <w:pPr>
              <w:spacing w:after="40" w:before="60" w:line="259" w:lineRule="auto"/>
            </w:pPr>
            <w:r>
              <w:rPr>
                <w:rFonts w:ascii="Calibri" w:hAnsi="Calibri"/>
                <w:b w:val="0"/>
                <w:i w:val="0"/>
                <w:color w:val="212121"/>
                <w:sz w:val="19"/>
              </w:rPr>
              <w:t>An anti-inflammatory, antioxidant-rich diet is generally advised to support mucosal health in chronic airway inflammation.</w:t>
            </w:r>
          </w:p>
          <w:p>
            <w:pPr>
              <w:spacing w:before="60" w:after="40"/>
            </w:pPr>
            <w:r>
              <w:rPr>
                <w:rFonts w:ascii="Calibri" w:hAnsi="Calibri"/>
                <w:b w:val="0"/>
                <w:i w:val="0"/>
                <w:color w:val="5A5A5A"/>
                <w:sz w:val="18"/>
              </w:rPr>
              <w:t>#diet  #antioxidants  #omega3  #inflammation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atopy</w:t>
            </w:r>
          </w:p>
        </w:tc>
        <w:tc>
          <w:tcPr>
            <w:tcW w:type="dxa" w:w="2160"/>
            <w:vAlign w:val="top"/>
          </w:tcPr>
          <w:p>
            <w:pPr>
              <w:spacing w:after="40" w:before="0" w:line="259" w:lineRule="auto"/>
            </w:pPr>
            <w:r>
              <w:rPr>
                <w:rFonts w:ascii="Calibri" w:hAnsi="Calibri"/>
                <w:b w:val="0"/>
                <w:i w:val="0"/>
                <w:color w:val="212121"/>
                <w:sz w:val="19"/>
              </w:rPr>
              <w:t>Atopic families (allergic rhinitis, asthma, eczema)</w:t>
            </w:r>
          </w:p>
        </w:tc>
        <w:tc>
          <w:tcPr>
            <w:tcW w:type="dxa" w:w="4276"/>
            <w:vAlign w:val="top"/>
          </w:tcPr>
          <w:p>
            <w:pPr>
              <w:spacing w:after="60" w:line="259" w:lineRule="auto"/>
            </w:pPr>
            <w:r>
              <w:rPr>
                <w:rFonts w:ascii="Calibri" w:hAnsi="Calibri"/>
                <w:b w:val="0"/>
                <w:i w:val="0"/>
                <w:color w:val="212121"/>
                <w:sz w:val="19"/>
              </w:rPr>
              <w:t>A personal or family background of atopy and type-2 immune bias predisposes to eosinophilic sinonasal inflammation and polyp formation.</w:t>
            </w:r>
          </w:p>
          <w:p>
            <w:pPr>
              <w:spacing w:after="40" w:before="60" w:line="259" w:lineRule="auto"/>
            </w:pPr>
            <w:r>
              <w:rPr>
                <w:rFonts w:ascii="Calibri" w:hAnsi="Calibri"/>
                <w:b w:val="0"/>
                <w:i w:val="0"/>
                <w:color w:val="212121"/>
                <w:sz w:val="19"/>
              </w:rPr>
              <w:t>Nasal polyps cluster with atopic, eosinophilic type-2 airway disease.</w:t>
            </w:r>
          </w:p>
          <w:p>
            <w:pPr>
              <w:spacing w:before="60" w:after="40"/>
            </w:pPr>
            <w:r>
              <w:rPr>
                <w:rFonts w:ascii="Calibri" w:hAnsi="Calibri"/>
                <w:b w:val="0"/>
                <w:i w:val="0"/>
                <w:color w:val="5A5A5A"/>
                <w:sz w:val="18"/>
              </w:rPr>
              <w:t>#atopy  #familyhistory  #type2  #eosinophilia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Cystic fibrosis / ciliary defect</w:t>
            </w:r>
          </w:p>
        </w:tc>
        <w:tc>
          <w:tcPr>
            <w:tcW w:type="dxa" w:w="2160"/>
            <w:vAlign w:val="top"/>
          </w:tcPr>
          <w:p>
            <w:pPr>
              <w:spacing w:after="40" w:before="0" w:line="259" w:lineRule="auto"/>
            </w:pPr>
            <w:r>
              <w:rPr>
                <w:rFonts w:ascii="Calibri" w:hAnsi="Calibri"/>
                <w:b w:val="0"/>
                <w:i w:val="0"/>
                <w:color w:val="212121"/>
                <w:sz w:val="19"/>
              </w:rPr>
              <w:t>Children &amp; young adults with CF or primary ciliary dyskinesia</w:t>
            </w:r>
          </w:p>
        </w:tc>
        <w:tc>
          <w:tcPr>
            <w:tcW w:type="dxa" w:w="4276"/>
            <w:vAlign w:val="top"/>
          </w:tcPr>
          <w:p>
            <w:pPr>
              <w:spacing w:after="60" w:line="259" w:lineRule="auto"/>
            </w:pPr>
            <w:r>
              <w:rPr>
                <w:rFonts w:ascii="Calibri" w:hAnsi="Calibri"/>
                <w:b w:val="0"/>
                <w:i w:val="0"/>
                <w:color w:val="212121"/>
                <w:sz w:val="19"/>
              </w:rPr>
              <w:t>CFTR-mediated thick secretions and defective ciliary clearance cause stasis, chronic infection and early, often bilateral polyps — the leading cause of paediatric polyposis.</w:t>
            </w:r>
          </w:p>
          <w:p>
            <w:pPr>
              <w:spacing w:after="40" w:before="60" w:line="259" w:lineRule="auto"/>
            </w:pPr>
            <w:r>
              <w:rPr>
                <w:rFonts w:ascii="Calibri" w:hAnsi="Calibri"/>
                <w:b w:val="0"/>
                <w:i w:val="0"/>
                <w:color w:val="212121"/>
                <w:sz w:val="19"/>
              </w:rPr>
              <w:t>Nasal polyps occur in 6-44% of patients with cystic fibrosis.</w:t>
            </w:r>
          </w:p>
          <w:p>
            <w:pPr>
              <w:spacing w:after="40" w:line="252" w:lineRule="auto"/>
            </w:pPr>
            <w:hyperlink r:id="rId10">
              <w:r>
                <w:rPr>
                  <w:rFonts w:ascii="Calibri" w:hAnsi="Calibri" w:cs="Calibri"/>
                  <w:sz w:val="18"/>
                  <w:color w:val="1155CC"/>
                  <w:u w:val="single"/>
                </w:rPr>
                <w:t xml:space="preserve">emedicine.medscape.com — Nasal Polyps</w:t>
              </w:r>
            </w:hyperlink>
          </w:p>
          <w:p>
            <w:pPr>
              <w:spacing w:before="60" w:after="40"/>
            </w:pPr>
            <w:r>
              <w:rPr>
                <w:rFonts w:ascii="Calibri" w:hAnsi="Calibri"/>
                <w:b w:val="0"/>
                <w:i w:val="0"/>
                <w:color w:val="5A5A5A"/>
                <w:sz w:val="18"/>
              </w:rPr>
              <w:t>#cysticfibrosis  #CFTR  #PCD  #mucociliary  #paediatric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Asthma</w:t>
            </w:r>
          </w:p>
        </w:tc>
        <w:tc>
          <w:tcPr>
            <w:tcW w:type="dxa" w:w="2160"/>
            <w:vAlign w:val="top"/>
          </w:tcPr>
          <w:p>
            <w:pPr>
              <w:spacing w:after="40" w:before="0" w:line="259" w:lineRule="auto"/>
            </w:pPr>
            <w:r>
              <w:rPr>
                <w:rFonts w:ascii="Calibri" w:hAnsi="Calibri"/>
                <w:b w:val="0"/>
                <w:i w:val="0"/>
                <w:color w:val="212121"/>
                <w:sz w:val="19"/>
              </w:rPr>
              <w:t>Patients with bronchial asthma</w:t>
            </w:r>
          </w:p>
        </w:tc>
        <w:tc>
          <w:tcPr>
            <w:tcW w:type="dxa" w:w="4276"/>
            <w:vAlign w:val="top"/>
          </w:tcPr>
          <w:p>
            <w:pPr>
              <w:spacing w:after="60" w:line="259" w:lineRule="auto"/>
            </w:pPr>
            <w:r>
              <w:rPr>
                <w:rFonts w:ascii="Calibri" w:hAnsi="Calibri"/>
                <w:b w:val="0"/>
                <w:i w:val="0"/>
                <w:color w:val="212121"/>
                <w:sz w:val="19"/>
              </w:rPr>
              <w:t>Asthma and nasal polyposis share type-2 eosinophilic inflammation across a unified airway; coexisting asthma predicts more severe, recurrent polyps and worse control of both.</w:t>
            </w:r>
          </w:p>
          <w:p>
            <w:pPr>
              <w:spacing w:after="40" w:before="60" w:line="259" w:lineRule="auto"/>
            </w:pPr>
            <w:r>
              <w:rPr>
                <w:rFonts w:ascii="Calibri" w:hAnsi="Calibri"/>
                <w:b w:val="0"/>
                <w:i w:val="0"/>
                <w:color w:val="212121"/>
                <w:sz w:val="19"/>
              </w:rPr>
              <w:t>Bronchial asthma is present in 20-50% of patients with nasal polyps.</w:t>
            </w:r>
          </w:p>
          <w:p>
            <w:pPr>
              <w:spacing w:after="40" w:line="252" w:lineRule="auto"/>
            </w:pPr>
            <w:hyperlink r:id="rId10">
              <w:r>
                <w:rPr>
                  <w:rFonts w:ascii="Calibri" w:hAnsi="Calibri" w:cs="Calibri"/>
                  <w:sz w:val="18"/>
                  <w:color w:val="1155CC"/>
                  <w:u w:val="single"/>
                </w:rPr>
                <w:t xml:space="preserve">emedicine.medscape.com — Nasal Polyps</w:t>
              </w:r>
            </w:hyperlink>
          </w:p>
          <w:p>
            <w:pPr>
              <w:spacing w:before="60" w:after="40"/>
            </w:pPr>
            <w:r>
              <w:rPr>
                <w:rFonts w:ascii="Calibri" w:hAnsi="Calibri"/>
                <w:b w:val="0"/>
                <w:i w:val="0"/>
                <w:color w:val="5A5A5A"/>
                <w:sz w:val="18"/>
              </w:rPr>
              <w:t>#asthma  #unitedairway  #type2  #eosinophilic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Aspirin-exacerbated respiratory disease</w:t>
            </w:r>
          </w:p>
        </w:tc>
        <w:tc>
          <w:tcPr>
            <w:tcW w:type="dxa" w:w="2160"/>
            <w:vAlign w:val="top"/>
          </w:tcPr>
          <w:p>
            <w:pPr>
              <w:spacing w:after="40" w:before="0" w:line="259" w:lineRule="auto"/>
            </w:pPr>
            <w:r>
              <w:rPr>
                <w:rFonts w:ascii="Calibri" w:hAnsi="Calibri"/>
                <w:b w:val="0"/>
                <w:i w:val="0"/>
                <w:color w:val="212121"/>
                <w:sz w:val="19"/>
              </w:rPr>
              <w:t>AERD / Samter triad patients</w:t>
            </w:r>
          </w:p>
        </w:tc>
        <w:tc>
          <w:tcPr>
            <w:tcW w:type="dxa" w:w="4276"/>
            <w:vAlign w:val="top"/>
          </w:tcPr>
          <w:p>
            <w:pPr>
              <w:spacing w:after="60" w:line="259" w:lineRule="auto"/>
            </w:pPr>
            <w:r>
              <w:rPr>
                <w:rFonts w:ascii="Calibri" w:hAnsi="Calibri"/>
                <w:b w:val="0"/>
                <w:i w:val="0"/>
                <w:color w:val="212121"/>
                <w:sz w:val="19"/>
              </w:rPr>
              <w:t>The triad of asthma, nasal polyps and NSAID sensitivity produces particularly aggressive, rapidly recurrent, treatment-resistant polyposis.</w:t>
            </w:r>
          </w:p>
          <w:p>
            <w:pPr>
              <w:spacing w:after="40" w:before="60" w:line="259" w:lineRule="auto"/>
            </w:pPr>
            <w:r>
              <w:rPr>
                <w:rFonts w:ascii="Calibri" w:hAnsi="Calibri"/>
                <w:b w:val="0"/>
                <w:i w:val="0"/>
                <w:color w:val="212121"/>
                <w:sz w:val="19"/>
              </w:rPr>
              <w:t>AERD is present in about 9.7% of patients with nasal polyps and in around 7% of asthmatics overall (rising to ~15% in severe asthma) by meta-analysis.</w:t>
            </w:r>
          </w:p>
          <w:p>
            <w:pPr>
              <w:spacing w:after="40" w:line="252" w:lineRule="auto"/>
            </w:pPr>
            <w:hyperlink r:id="rId14">
              <w:r>
                <w:rPr>
                  <w:rFonts w:ascii="Calibri" w:hAnsi="Calibri" w:cs="Calibri"/>
                  <w:sz w:val="18"/>
                  <w:color w:val="1155CC"/>
                  <w:u w:val="single"/>
                </w:rPr>
                <w:t xml:space="preserve">pubmed.ncbi.nlm.nih.gov/25282015 — AERD meta-analysis</w:t>
              </w:r>
            </w:hyperlink>
          </w:p>
          <w:p>
            <w:pPr>
              <w:spacing w:before="60" w:after="40"/>
            </w:pPr>
            <w:r>
              <w:rPr>
                <w:rFonts w:ascii="Calibri" w:hAnsi="Calibri"/>
                <w:b w:val="0"/>
                <w:i w:val="0"/>
                <w:color w:val="5A5A5A"/>
                <w:sz w:val="18"/>
              </w:rPr>
              <w:t>#AERD  #Samtertriad  #aspirin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Allergic rhinitis / atopy</w:t>
            </w:r>
          </w:p>
        </w:tc>
        <w:tc>
          <w:tcPr>
            <w:tcW w:type="dxa" w:w="2160"/>
            <w:vAlign w:val="top"/>
          </w:tcPr>
          <w:p>
            <w:pPr>
              <w:spacing w:after="40" w:before="0" w:line="259" w:lineRule="auto"/>
            </w:pPr>
            <w:r>
              <w:rPr>
                <w:rFonts w:ascii="Calibri" w:hAnsi="Calibri"/>
                <w:b w:val="0"/>
                <w:i w:val="0"/>
                <w:color w:val="212121"/>
                <w:sz w:val="19"/>
              </w:rPr>
              <w:t>Patients with allergic rhinitis</w:t>
            </w:r>
          </w:p>
        </w:tc>
        <w:tc>
          <w:tcPr>
            <w:tcW w:type="dxa" w:w="4276"/>
            <w:vAlign w:val="top"/>
          </w:tcPr>
          <w:p>
            <w:pPr>
              <w:spacing w:after="60" w:line="259" w:lineRule="auto"/>
            </w:pPr>
            <w:r>
              <w:rPr>
                <w:rFonts w:ascii="Calibri" w:hAnsi="Calibri"/>
                <w:b w:val="0"/>
                <w:i w:val="0"/>
                <w:color w:val="212121"/>
                <w:sz w:val="19"/>
              </w:rPr>
              <w:t>Chronic allergic and eosinophilic upper-airway inflammation shares mechanisms with polyposis and frequently coexists, amplifying obstruction and rhinorrhoea.</w:t>
            </w:r>
          </w:p>
          <w:p>
            <w:pPr>
              <w:spacing w:after="40" w:before="60" w:line="259" w:lineRule="auto"/>
            </w:pPr>
            <w:r>
              <w:rPr>
                <w:rFonts w:ascii="Calibri" w:hAnsi="Calibri"/>
                <w:b w:val="0"/>
                <w:i w:val="0"/>
                <w:color w:val="212121"/>
                <w:sz w:val="19"/>
              </w:rPr>
              <w:t>Allergic and eosinophilic rhinitis commonly coexist with CRSwNP as part of type-2 airway disease.</w:t>
            </w:r>
          </w:p>
          <w:p>
            <w:pPr>
              <w:spacing w:before="60" w:after="40"/>
            </w:pPr>
            <w:r>
              <w:rPr>
                <w:rFonts w:ascii="Calibri" w:hAnsi="Calibri"/>
                <w:b w:val="0"/>
                <w:i w:val="0"/>
                <w:color w:val="5A5A5A"/>
                <w:sz w:val="18"/>
              </w:rPr>
              <w:t>#allergicrhinitis  #atopy  #IgE  #type2</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Allergic fungal rhinosinusitis</w:t>
            </w:r>
          </w:p>
        </w:tc>
        <w:tc>
          <w:tcPr>
            <w:tcW w:type="dxa" w:w="2160"/>
            <w:vAlign w:val="top"/>
          </w:tcPr>
          <w:p>
            <w:pPr>
              <w:spacing w:after="40" w:before="0" w:line="259" w:lineRule="auto"/>
            </w:pPr>
            <w:r>
              <w:rPr>
                <w:rFonts w:ascii="Calibri" w:hAnsi="Calibri"/>
                <w:b w:val="0"/>
                <w:i w:val="0"/>
                <w:color w:val="212121"/>
                <w:sz w:val="19"/>
              </w:rPr>
              <w:t>Atopic patients with fungal sensitisation</w:t>
            </w:r>
          </w:p>
        </w:tc>
        <w:tc>
          <w:tcPr>
            <w:tcW w:type="dxa" w:w="4276"/>
            <w:vAlign w:val="top"/>
          </w:tcPr>
          <w:p>
            <w:pPr>
              <w:spacing w:after="60" w:line="259" w:lineRule="auto"/>
            </w:pPr>
            <w:r>
              <w:rPr>
                <w:rFonts w:ascii="Calibri" w:hAnsi="Calibri"/>
                <w:b w:val="0"/>
                <w:i w:val="0"/>
                <w:color w:val="212121"/>
                <w:sz w:val="19"/>
              </w:rPr>
              <w:t>An intense allergic reaction to inhaled fungi drives eosinophilic mucin and expansile polyps that can remodel and erode bone, especially in the Indian climate.</w:t>
            </w:r>
          </w:p>
          <w:p>
            <w:pPr>
              <w:spacing w:after="40" w:before="60" w:line="259" w:lineRule="auto"/>
            </w:pPr>
            <w:r>
              <w:rPr>
                <w:rFonts w:ascii="Calibri" w:hAnsi="Calibri"/>
                <w:b w:val="0"/>
                <w:i w:val="0"/>
                <w:color w:val="212121"/>
                <w:sz w:val="19"/>
              </w:rPr>
              <w:t>AFRS accounted for up to 25% of nasal-polyposis cases in an Indian tertiary-care series, with Aspergillus flavus predominating.</w:t>
            </w:r>
          </w:p>
          <w:p>
            <w:pPr>
              <w:spacing w:after="40" w:line="252" w:lineRule="auto"/>
            </w:pPr>
            <w:hyperlink r:id="rId11">
              <w:r>
                <w:rPr>
                  <w:rFonts w:ascii="Calibri" w:hAnsi="Calibri" w:cs="Calibri"/>
                  <w:sz w:val="18"/>
                  <w:color w:val="1155CC"/>
                  <w:u w:val="single"/>
                </w:rPr>
                <w:t xml:space="preserve">link.springer.com — AFRS in Western Rajasthan</w:t>
              </w:r>
            </w:hyperlink>
          </w:p>
          <w:p>
            <w:pPr>
              <w:spacing w:before="60" w:after="40"/>
            </w:pPr>
            <w:r>
              <w:rPr>
                <w:rFonts w:ascii="Calibri" w:hAnsi="Calibri"/>
                <w:b w:val="0"/>
                <w:i w:val="0"/>
                <w:color w:val="5A5A5A"/>
                <w:sz w:val="18"/>
              </w:rPr>
              <w:t>#AFRS  #Aspergillus  #allergicmucin  #India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effect on polyp formation, but obesity and physical inactivity increase systemic inflammation, symptom burden and coexisting obstructive sleep apnoea; weight control and regular activity help overall airway and metabolic health.</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 aspirin-exacerbated respiratory disease, aspirin, COX-1 NSAIDs and salicylate-rich foods can provoke acute upper- and lower-airway reactions; an antioxidant-rich, anti-inflammatory diet is advised, though direct dietary prevention evidence is limited.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Bilateral nasal obstruction and hyposmia fragment sleep and strongly predispose to obstructive sleep apnoea; polyp burden and untreated OSA reinforce each other.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smoke, second-hand smoke and biomass-fuel smoke are mucosal irritants that sustain chronic rhinosinusitis, worsen symptoms and raise the risk of post-operative recurrence; cessation is a core recommendation.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 classically wine — commonly triggers acute nasal congestion and airway symptoms in CRSwNP and is a frequent, dose-related provoker in AERD.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Persistent obstruction, anosmia, facial pressure and disturbed sleep markedly reduce quality of life and are associated with depression and anxiety, which in turn worsen symptom perception.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daily saline irrigation support mucociliary clearance and symptom relief, but hydration has no proven role in preventing polyp formation.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role in the development or control of nasal polyposis.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saline nasal irrigation ('nasal hygiene') reduces symptoms, clears mucin/crusts and lowers recurrence after surgery; neglected sinonasal hygiene favours secondary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Aspirin/NSAIDs, inhaled fungi and allergens, viral upper-respiratory infections, air pollution and occupational irritants precipitate exacerbations and accelerate polyp growth.</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supine position can transiently worsen nocturnal nasal congestion and obstruction, but posture has no meaningful role in causing polyposis; a head-elevated position may ease night-time symptoms.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Aspirin/NSAID reaction history</w:t>
            </w:r>
          </w:p>
        </w:tc>
        <w:tc>
          <w:tcPr>
            <w:tcW w:type="dxa" w:w="1655"/>
            <w:vAlign w:val="top"/>
          </w:tcPr>
          <w:p>
            <w:pPr>
              <w:spacing w:after="40" w:before="0" w:line="259" w:lineRule="auto"/>
            </w:pPr>
            <w:r>
              <w:rPr>
                <w:rFonts w:ascii="Calibri" w:hAnsi="Calibri"/>
                <w:b w:val="0"/>
                <w:i w:val="0"/>
                <w:color w:val="212121"/>
                <w:sz w:val="19"/>
              </w:rPr>
              <w:t>Adults with asthma &amp; polyps</w:t>
            </w:r>
          </w:p>
        </w:tc>
        <w:tc>
          <w:tcPr>
            <w:tcW w:type="dxa" w:w="1512"/>
            <w:vAlign w:val="top"/>
          </w:tcPr>
          <w:p>
            <w:pPr>
              <w:spacing w:after="40" w:before="0" w:line="259" w:lineRule="auto"/>
            </w:pPr>
            <w:r>
              <w:rPr>
                <w:rFonts w:ascii="Calibri" w:hAnsi="Calibri"/>
                <w:b w:val="0"/>
                <w:i w:val="0"/>
                <w:color w:val="212121"/>
                <w:sz w:val="19"/>
              </w:rPr>
              <w:t>No reaction to NSAIDs</w:t>
            </w:r>
          </w:p>
        </w:tc>
        <w:tc>
          <w:tcPr>
            <w:tcW w:type="dxa" w:w="1512"/>
            <w:vAlign w:val="top"/>
          </w:tcPr>
          <w:p>
            <w:pPr>
              <w:spacing w:after="40" w:before="0" w:line="259" w:lineRule="auto"/>
            </w:pPr>
            <w:r>
              <w:rPr>
                <w:rFonts w:ascii="Calibri" w:hAnsi="Calibri"/>
                <w:b w:val="0"/>
                <w:i w:val="0"/>
                <w:color w:val="212121"/>
                <w:sz w:val="19"/>
              </w:rPr>
              <w:t>Naso-ocular or bronchial reaction within ~30 min-3 h of NSAID</w:t>
            </w:r>
          </w:p>
        </w:tc>
        <w:tc>
          <w:tcPr>
            <w:tcW w:type="dxa" w:w="1468"/>
            <w:vAlign w:val="top"/>
          </w:tcPr>
          <w:p>
            <w:pPr>
              <w:spacing w:after="60" w:line="259" w:lineRule="auto"/>
            </w:pPr>
            <w:r>
              <w:rPr>
                <w:rFonts w:ascii="Calibri" w:hAnsi="Calibri"/>
                <w:b w:val="0"/>
                <w:i w:val="0"/>
                <w:color w:val="212121"/>
                <w:sz w:val="19"/>
              </w:rPr>
              <w:t>A positive history/challenge defines AERD and mandates NSAID avoidance ± aspirin desensitisation</w:t>
            </w:r>
          </w:p>
          <w:p>
            <w:pPr>
              <w:spacing w:after="40" w:line="252" w:lineRule="auto"/>
            </w:pPr>
            <w:hyperlink r:id="rId14">
              <w:r>
                <w:rPr>
                  <w:rFonts w:ascii="Calibri" w:hAnsi="Calibri" w:cs="Calibri"/>
                  <w:sz w:val="18"/>
                  <w:color w:val="1155CC"/>
                  <w:u w:val="single"/>
                </w:rPr>
                <w:t xml:space="preserve">https://pubmed.ncbi.nlm.nih.gov/25282015/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serum IgE (kU/L)</w:t>
            </w:r>
          </w:p>
        </w:tc>
        <w:tc>
          <w:tcPr>
            <w:tcW w:type="dxa" w:w="1655"/>
            <w:vAlign w:val="top"/>
          </w:tcPr>
          <w:p>
            <w:pPr>
              <w:spacing w:after="40" w:before="0" w:line="259" w:lineRule="auto"/>
            </w:pPr>
            <w:r>
              <w:rPr>
                <w:rFonts w:ascii="Calibri" w:hAnsi="Calibri"/>
                <w:b w:val="0"/>
                <w:i w:val="0"/>
                <w:color w:val="212121"/>
                <w:sz w:val="19"/>
              </w:rPr>
              <w:t>Type-2 / AFRS patients</w:t>
            </w:r>
          </w:p>
        </w:tc>
        <w:tc>
          <w:tcPr>
            <w:tcW w:type="dxa" w:w="1512"/>
            <w:vAlign w:val="top"/>
          </w:tcPr>
          <w:p>
            <w:pPr>
              <w:spacing w:after="40" w:before="0" w:line="259" w:lineRule="auto"/>
            </w:pPr>
            <w:r>
              <w:rPr>
                <w:rFonts w:ascii="Calibri" w:hAnsi="Calibri"/>
                <w:b w:val="0"/>
                <w:i w:val="0"/>
                <w:color w:val="212121"/>
                <w:sz w:val="19"/>
              </w:rPr>
              <w:t>&lt; 100 kU/L</w:t>
            </w:r>
          </w:p>
        </w:tc>
        <w:tc>
          <w:tcPr>
            <w:tcW w:type="dxa" w:w="1512"/>
            <w:vAlign w:val="top"/>
          </w:tcPr>
          <w:p>
            <w:pPr>
              <w:spacing w:after="40" w:before="0" w:line="259" w:lineRule="auto"/>
            </w:pPr>
            <w:r>
              <w:rPr>
                <w:rFonts w:ascii="Calibri" w:hAnsi="Calibri"/>
                <w:b w:val="0"/>
                <w:i w:val="0"/>
                <w:color w:val="212121"/>
                <w:sz w:val="19"/>
              </w:rPr>
              <w:t>Markedly elevated (often &gt; 1000 in AFRS)</w:t>
            </w:r>
          </w:p>
        </w:tc>
        <w:tc>
          <w:tcPr>
            <w:tcW w:type="dxa" w:w="1468"/>
            <w:vAlign w:val="top"/>
          </w:tcPr>
          <w:p>
            <w:pPr>
              <w:spacing w:after="60" w:line="259" w:lineRule="auto"/>
            </w:pPr>
            <w:r>
              <w:rPr>
                <w:rFonts w:ascii="Calibri" w:hAnsi="Calibri"/>
                <w:b w:val="0"/>
                <w:i w:val="0"/>
                <w:color w:val="212121"/>
                <w:sz w:val="19"/>
              </w:rPr>
              <w:t>High total IgE supports type-2/allergic-fungal endotype and biologic candidacy</w:t>
            </w:r>
          </w:p>
          <w:p>
            <w:pPr>
              <w:spacing w:after="40" w:line="252" w:lineRule="auto"/>
            </w:pPr>
            <w:hyperlink r:id="rId11">
              <w:r>
                <w:rPr>
                  <w:rFonts w:ascii="Calibri" w:hAnsi="Calibri" w:cs="Calibri"/>
                  <w:sz w:val="18"/>
                  <w:color w:val="1155CC"/>
                  <w:u w:val="single"/>
                </w:rPr>
                <w:t xml:space="preserve">https://link.springer.com/article/10.1007/s12070-021-02937-7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absolute eosinophil count (cells/µL)</w:t>
            </w:r>
          </w:p>
        </w:tc>
        <w:tc>
          <w:tcPr>
            <w:tcW w:type="dxa" w:w="1655"/>
            <w:vAlign w:val="top"/>
          </w:tcPr>
          <w:p>
            <w:pPr>
              <w:spacing w:after="40" w:before="0" w:line="259" w:lineRule="auto"/>
            </w:pPr>
            <w:r>
              <w:rPr>
                <w:rFonts w:ascii="Calibri" w:hAnsi="Calibri"/>
                <w:b w:val="0"/>
                <w:i w:val="0"/>
                <w:color w:val="212121"/>
                <w:sz w:val="19"/>
              </w:rPr>
              <w:t>Eosinophilic CRSwNP</w:t>
            </w:r>
          </w:p>
        </w:tc>
        <w:tc>
          <w:tcPr>
            <w:tcW w:type="dxa" w:w="1512"/>
            <w:vAlign w:val="top"/>
          </w:tcPr>
          <w:p>
            <w:pPr>
              <w:spacing w:after="40" w:before="0" w:line="259" w:lineRule="auto"/>
            </w:pPr>
            <w:r>
              <w:rPr>
                <w:rFonts w:ascii="Calibri" w:hAnsi="Calibri"/>
                <w:b w:val="0"/>
                <w:i w:val="0"/>
                <w:color w:val="212121"/>
                <w:sz w:val="19"/>
              </w:rPr>
              <w:t>&lt; 500 cells/µL</w:t>
            </w:r>
          </w:p>
        </w:tc>
        <w:tc>
          <w:tcPr>
            <w:tcW w:type="dxa" w:w="1512"/>
            <w:vAlign w:val="top"/>
          </w:tcPr>
          <w:p>
            <w:pPr>
              <w:spacing w:after="40" w:before="0" w:line="259" w:lineRule="auto"/>
            </w:pPr>
            <w:r>
              <w:rPr>
                <w:rFonts w:ascii="Calibri" w:hAnsi="Calibri"/>
                <w:b w:val="0"/>
                <w:i w:val="0"/>
                <w:color w:val="212121"/>
                <w:sz w:val="19"/>
              </w:rPr>
              <w:t>≥ 500 cells/µL (higher predicts recurrence)</w:t>
            </w:r>
          </w:p>
        </w:tc>
        <w:tc>
          <w:tcPr>
            <w:tcW w:type="dxa" w:w="1468"/>
            <w:vAlign w:val="top"/>
          </w:tcPr>
          <w:p>
            <w:pPr>
              <w:spacing w:after="40" w:before="0" w:line="259" w:lineRule="auto"/>
            </w:pPr>
            <w:r>
              <w:rPr>
                <w:rFonts w:ascii="Calibri" w:hAnsi="Calibri"/>
                <w:b w:val="0"/>
                <w:i w:val="0"/>
                <w:color w:val="212121"/>
                <w:sz w:val="19"/>
              </w:rPr>
              <w:t>Blood/tissue eosinophilia marks the type-2 endotype and higher recurrence risk</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active or passive smoke exposure worsens disease and post-operative recurrence</w:t>
            </w:r>
          </w:p>
          <w:p>
            <w:pPr>
              <w:spacing w:after="40" w:line="252" w:lineRule="auto"/>
            </w:pPr>
            <w:hyperlink r:id="rId13">
              <w:r>
                <w:rPr>
                  <w:rFonts w:ascii="Calibri" w:hAnsi="Calibri" w:cs="Calibri"/>
                  <w:sz w:val="18"/>
                  <w:color w:val="1155CC"/>
                  <w:u w:val="single"/>
                </w:rPr>
                <w:t xml:space="preserve">https://pmc.ncbi.nlm.nih.gov/articles/PMC4681694/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Indoor biomass/second-hand smoke exposure</w:t>
            </w:r>
          </w:p>
        </w:tc>
        <w:tc>
          <w:tcPr>
            <w:tcW w:type="dxa" w:w="1655"/>
            <w:vAlign w:val="top"/>
          </w:tcPr>
          <w:p>
            <w:pPr>
              <w:spacing w:after="40" w:before="0" w:line="259" w:lineRule="auto"/>
            </w:pPr>
            <w:r>
              <w:rPr>
                <w:rFonts w:ascii="Calibri" w:hAnsi="Calibri"/>
                <w:b w:val="0"/>
                <w:i w:val="0"/>
                <w:color w:val="212121"/>
                <w:sz w:val="19"/>
              </w:rPr>
              <w:t>Rural households, non-smoking women &amp; children</w:t>
            </w:r>
          </w:p>
        </w:tc>
        <w:tc>
          <w:tcPr>
            <w:tcW w:type="dxa" w:w="1512"/>
            <w:vAlign w:val="top"/>
          </w:tcPr>
          <w:p>
            <w:pPr>
              <w:spacing w:after="40" w:before="0" w:line="259" w:lineRule="auto"/>
            </w:pPr>
            <w:r>
              <w:rPr>
                <w:rFonts w:ascii="Calibri" w:hAnsi="Calibri"/>
                <w:b w:val="0"/>
                <w:i w:val="0"/>
                <w:color w:val="212121"/>
                <w:sz w:val="19"/>
              </w:rPr>
              <w:t>No indoor smoke exposure</w:t>
            </w:r>
          </w:p>
        </w:tc>
        <w:tc>
          <w:tcPr>
            <w:tcW w:type="dxa" w:w="1512"/>
            <w:vAlign w:val="top"/>
          </w:tcPr>
          <w:p>
            <w:pPr>
              <w:spacing w:after="40" w:before="0" w:line="259" w:lineRule="auto"/>
            </w:pPr>
            <w:r>
              <w:rPr>
                <w:rFonts w:ascii="Calibri" w:hAnsi="Calibri"/>
                <w:b w:val="0"/>
                <w:i w:val="0"/>
                <w:color w:val="212121"/>
                <w:sz w:val="19"/>
              </w:rPr>
              <w:t>Daily cooking-smoke or second-hand-smoke exposure</w:t>
            </w:r>
          </w:p>
        </w:tc>
        <w:tc>
          <w:tcPr>
            <w:tcW w:type="dxa" w:w="1468"/>
            <w:vAlign w:val="top"/>
          </w:tcPr>
          <w:p>
            <w:pPr>
              <w:spacing w:after="40" w:before="0" w:line="259" w:lineRule="auto"/>
            </w:pPr>
            <w:r>
              <w:rPr>
                <w:rFonts w:ascii="Calibri" w:hAnsi="Calibri"/>
                <w:b w:val="0"/>
                <w:i w:val="0"/>
                <w:color w:val="212121"/>
                <w:sz w:val="19"/>
              </w:rPr>
              <w:t>Improved ventilation and clean fuels reduce mucosal irritant load</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 (hours/night)</w:t>
            </w:r>
          </w:p>
        </w:tc>
        <w:tc>
          <w:tcPr>
            <w:tcW w:type="dxa" w:w="1655"/>
            <w:vAlign w:val="top"/>
          </w:tcPr>
          <w:p>
            <w:pPr>
              <w:spacing w:after="40" w:before="0" w:line="259" w:lineRule="auto"/>
            </w:pPr>
            <w:r>
              <w:rPr>
                <w:rFonts w:ascii="Calibri" w:hAnsi="Calibri"/>
                <w:b w:val="0"/>
                <w:i w:val="0"/>
                <w:color w:val="212121"/>
                <w:sz w:val="19"/>
              </w:rPr>
              <w:t>Patients with obstruction/OSA risk</w:t>
            </w:r>
          </w:p>
        </w:tc>
        <w:tc>
          <w:tcPr>
            <w:tcW w:type="dxa" w:w="1512"/>
            <w:vAlign w:val="top"/>
          </w:tcPr>
          <w:p>
            <w:pPr>
              <w:spacing w:after="40" w:before="0" w:line="259" w:lineRule="auto"/>
            </w:pPr>
            <w:r>
              <w:rPr>
                <w:rFonts w:ascii="Calibri" w:hAnsi="Calibri"/>
                <w:b w:val="0"/>
                <w:i w:val="0"/>
                <w:color w:val="212121"/>
                <w:sz w:val="19"/>
              </w:rPr>
              <w:t>7-9 h with unobstructed breathing</w:t>
            </w:r>
          </w:p>
        </w:tc>
        <w:tc>
          <w:tcPr>
            <w:tcW w:type="dxa" w:w="1512"/>
            <w:vAlign w:val="top"/>
          </w:tcPr>
          <w:p>
            <w:pPr>
              <w:spacing w:after="40" w:before="0" w:line="259" w:lineRule="auto"/>
            </w:pPr>
            <w:r>
              <w:rPr>
                <w:rFonts w:ascii="Calibri" w:hAnsi="Calibri"/>
                <w:b w:val="0"/>
                <w:i w:val="0"/>
                <w:color w:val="212121"/>
                <w:sz w:val="19"/>
              </w:rPr>
              <w:t>&lt; 6 h, loud snoring, witnessed apnoeas</w:t>
            </w:r>
          </w:p>
        </w:tc>
        <w:tc>
          <w:tcPr>
            <w:tcW w:type="dxa" w:w="1468"/>
            <w:vAlign w:val="top"/>
          </w:tcPr>
          <w:p>
            <w:pPr>
              <w:spacing w:after="40" w:before="0" w:line="259" w:lineRule="auto"/>
            </w:pPr>
            <w:r>
              <w:rPr>
                <w:rFonts w:ascii="Calibri" w:hAnsi="Calibri"/>
                <w:b w:val="0"/>
                <w:i w:val="0"/>
                <w:color w:val="212121"/>
                <w:sz w:val="19"/>
              </w:rPr>
              <w:t>Screen for OSA (e.g., STOP-BANG) when nasal obstruction and snoring coexist</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Saline nasal irrigation frequency</w:t>
            </w:r>
          </w:p>
        </w:tc>
        <w:tc>
          <w:tcPr>
            <w:tcW w:type="dxa" w:w="1655"/>
            <w:vAlign w:val="top"/>
          </w:tcPr>
          <w:p>
            <w:pPr>
              <w:spacing w:after="40" w:before="0" w:line="259" w:lineRule="auto"/>
            </w:pPr>
            <w:r>
              <w:rPr>
                <w:rFonts w:ascii="Calibri" w:hAnsi="Calibri"/>
                <w:b w:val="0"/>
                <w:i w:val="0"/>
                <w:color w:val="212121"/>
                <w:sz w:val="19"/>
              </w:rPr>
              <w:t>All CRSwNP patients (esp. post-op)</w:t>
            </w:r>
          </w:p>
        </w:tc>
        <w:tc>
          <w:tcPr>
            <w:tcW w:type="dxa" w:w="1512"/>
            <w:vAlign w:val="top"/>
          </w:tcPr>
          <w:p>
            <w:pPr>
              <w:spacing w:after="40" w:before="0" w:line="259" w:lineRule="auto"/>
            </w:pPr>
            <w:r>
              <w:rPr>
                <w:rFonts w:ascii="Calibri" w:hAnsi="Calibri"/>
                <w:b w:val="0"/>
                <w:i w:val="0"/>
                <w:color w:val="212121"/>
                <w:sz w:val="19"/>
              </w:rPr>
              <w:t>≥ 1-2 times/day</w:t>
            </w:r>
          </w:p>
        </w:tc>
        <w:tc>
          <w:tcPr>
            <w:tcW w:type="dxa" w:w="1512"/>
            <w:vAlign w:val="top"/>
          </w:tcPr>
          <w:p>
            <w:pPr>
              <w:spacing w:after="40" w:before="0" w:line="259" w:lineRule="auto"/>
            </w:pPr>
            <w:r>
              <w:rPr>
                <w:rFonts w:ascii="Calibri" w:hAnsi="Calibri"/>
                <w:b w:val="0"/>
                <w:i w:val="0"/>
                <w:color w:val="212121"/>
                <w:sz w:val="19"/>
              </w:rPr>
              <w:t>Irregular or no irrigation</w:t>
            </w:r>
          </w:p>
        </w:tc>
        <w:tc>
          <w:tcPr>
            <w:tcW w:type="dxa" w:w="1468"/>
            <w:vAlign w:val="top"/>
          </w:tcPr>
          <w:p>
            <w:pPr>
              <w:spacing w:after="40" w:before="0" w:line="259" w:lineRule="auto"/>
            </w:pPr>
            <w:r>
              <w:rPr>
                <w:rFonts w:ascii="Calibri" w:hAnsi="Calibri"/>
                <w:b w:val="0"/>
                <w:i w:val="0"/>
                <w:color w:val="212121"/>
                <w:sz w:val="19"/>
              </w:rPr>
              <w:t>Large-volume saline irrigation improves symptoms and reduces recurrence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Overweight/obese 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(obese)</w:t>
            </w:r>
          </w:p>
        </w:tc>
        <w:tc>
          <w:tcPr>
            <w:tcW w:type="dxa" w:w="1468"/>
            <w:vAlign w:val="top"/>
          </w:tcPr>
          <w:p>
            <w:pPr>
              <w:spacing w:after="40" w:before="0" w:line="259" w:lineRule="auto"/>
            </w:pPr>
            <w:r>
              <w:rPr>
                <w:rFonts w:ascii="Calibri" w:hAnsi="Calibri"/>
                <w:b w:val="0"/>
                <w:i w:val="0"/>
                <w:color w:val="212121"/>
                <w:sz w:val="19"/>
              </w:rPr>
              <w:t>Higher BMI raises symptom burden and OSA risk in CRSwNP</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Endoscopic polyp grade</w:t>
            </w:r>
          </w:p>
        </w:tc>
        <w:tc>
          <w:tcPr>
            <w:tcW w:type="dxa" w:w="1655"/>
            <w:vAlign w:val="top"/>
          </w:tcPr>
          <w:p>
            <w:pPr>
              <w:spacing w:after="40" w:before="0" w:line="259" w:lineRule="auto"/>
            </w:pPr>
            <w:r>
              <w:rPr>
                <w:rFonts w:ascii="Calibri" w:hAnsi="Calibri"/>
                <w:b w:val="0"/>
                <w:i w:val="0"/>
                <w:color w:val="212121"/>
                <w:sz w:val="19"/>
              </w:rPr>
              <w:t>Patients under endoscopic follow-up</w:t>
            </w:r>
          </w:p>
        </w:tc>
        <w:tc>
          <w:tcPr>
            <w:tcW w:type="dxa" w:w="1512"/>
            <w:vAlign w:val="top"/>
          </w:tcPr>
          <w:p>
            <w:pPr>
              <w:spacing w:after="40" w:before="0" w:line="259" w:lineRule="auto"/>
            </w:pPr>
            <w:r>
              <w:rPr>
                <w:rFonts w:ascii="Calibri" w:hAnsi="Calibri"/>
                <w:b w:val="0"/>
                <w:i w:val="0"/>
                <w:color w:val="212121"/>
                <w:sz w:val="19"/>
              </w:rPr>
              <w:t>Grade 0 (no polyps)</w:t>
            </w:r>
          </w:p>
        </w:tc>
        <w:tc>
          <w:tcPr>
            <w:tcW w:type="dxa" w:w="1512"/>
            <w:vAlign w:val="top"/>
          </w:tcPr>
          <w:p>
            <w:pPr>
              <w:spacing w:after="40" w:before="0" w:line="259" w:lineRule="auto"/>
            </w:pPr>
            <w:r>
              <w:rPr>
                <w:rFonts w:ascii="Calibri" w:hAnsi="Calibri"/>
                <w:b w:val="0"/>
                <w:i w:val="0"/>
                <w:color w:val="212121"/>
                <w:sz w:val="19"/>
              </w:rPr>
              <w:t>Grade ≥ 2 (polyps beyond middle turbinate / obstructing)</w:t>
            </w:r>
          </w:p>
        </w:tc>
        <w:tc>
          <w:tcPr>
            <w:tcW w:type="dxa" w:w="1468"/>
            <w:vAlign w:val="top"/>
          </w:tcPr>
          <w:p>
            <w:pPr>
              <w:spacing w:after="40" w:before="0" w:line="259" w:lineRule="auto"/>
            </w:pPr>
            <w:r>
              <w:rPr>
                <w:rFonts w:ascii="Calibri" w:hAnsi="Calibri"/>
                <w:b w:val="0"/>
                <w:i w:val="0"/>
                <w:color w:val="212121"/>
                <w:sz w:val="19"/>
              </w:rPr>
              <w:t>Standardised grading tracks disease and recurrence over time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Lund–Mackay CT score</w:t>
            </w:r>
          </w:p>
        </w:tc>
        <w:tc>
          <w:tcPr>
            <w:tcW w:type="dxa" w:w="1655"/>
            <w:vAlign w:val="top"/>
          </w:tcPr>
          <w:p>
            <w:pPr>
              <w:spacing w:after="40" w:before="0" w:line="259" w:lineRule="auto"/>
            </w:pPr>
            <w:r>
              <w:rPr>
                <w:rFonts w:ascii="Calibri" w:hAnsi="Calibri"/>
                <w:b w:val="0"/>
                <w:i w:val="0"/>
                <w:color w:val="212121"/>
                <w:sz w:val="19"/>
              </w:rPr>
              <w:t>Pre-operative / refractory patients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Higher scores (≥ 12 indicates extensive disease; max 24)</w:t>
            </w:r>
          </w:p>
        </w:tc>
        <w:tc>
          <w:tcPr>
            <w:tcW w:type="dxa" w:w="1468"/>
            <w:vAlign w:val="top"/>
          </w:tcPr>
          <w:p>
            <w:pPr>
              <w:spacing w:after="40" w:before="0" w:line="259" w:lineRule="auto"/>
            </w:pPr>
            <w:r>
              <w:rPr>
                <w:rFonts w:ascii="Calibri" w:hAnsi="Calibri"/>
                <w:b w:val="0"/>
                <w:i w:val="0"/>
                <w:color w:val="212121"/>
                <w:sz w:val="19"/>
              </w:rPr>
              <w:t>CT staging guides surgery and documents extent of sinus involvement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SNOT-22 quality-of-life score</w:t>
            </w:r>
          </w:p>
        </w:tc>
        <w:tc>
          <w:tcPr>
            <w:tcW w:type="dxa" w:w="1655"/>
            <w:vAlign w:val="top"/>
          </w:tcPr>
          <w:p>
            <w:pPr>
              <w:spacing w:after="40" w:before="0" w:line="259" w:lineRule="auto"/>
            </w:pPr>
            <w:r>
              <w:rPr>
                <w:rFonts w:ascii="Calibri" w:hAnsi="Calibri"/>
                <w:b w:val="0"/>
                <w:i w:val="0"/>
                <w:color w:val="212121"/>
                <w:sz w:val="19"/>
              </w:rPr>
              <w:t>Adults with CRSwNP</w:t>
            </w:r>
          </w:p>
        </w:tc>
        <w:tc>
          <w:tcPr>
            <w:tcW w:type="dxa" w:w="1512"/>
            <w:vAlign w:val="top"/>
          </w:tcPr>
          <w:p>
            <w:pPr>
              <w:spacing w:after="40" w:before="0" w:line="259" w:lineRule="auto"/>
            </w:pPr>
            <w:r>
              <w:rPr>
                <w:rFonts w:ascii="Calibri" w:hAnsi="Calibri"/>
                <w:b w:val="0"/>
                <w:i w:val="0"/>
                <w:color w:val="212121"/>
                <w:sz w:val="19"/>
              </w:rPr>
              <w:t>&lt; 20 (mild)</w:t>
            </w:r>
          </w:p>
        </w:tc>
        <w:tc>
          <w:tcPr>
            <w:tcW w:type="dxa" w:w="1512"/>
            <w:vAlign w:val="top"/>
          </w:tcPr>
          <w:p>
            <w:pPr>
              <w:spacing w:after="40" w:before="0" w:line="259" w:lineRule="auto"/>
            </w:pPr>
            <w:r>
              <w:rPr>
                <w:rFonts w:ascii="Calibri" w:hAnsi="Calibri"/>
                <w:b w:val="0"/>
                <w:i w:val="0"/>
                <w:color w:val="212121"/>
                <w:sz w:val="19"/>
              </w:rPr>
              <w:t>≥ 20 (higher = worse; &gt; 50 severe impact)</w:t>
            </w:r>
          </w:p>
        </w:tc>
        <w:tc>
          <w:tcPr>
            <w:tcW w:type="dxa" w:w="1468"/>
            <w:vAlign w:val="top"/>
          </w:tcPr>
          <w:p>
            <w:pPr>
              <w:spacing w:after="40" w:before="0" w:line="259" w:lineRule="auto"/>
            </w:pPr>
            <w:r>
              <w:rPr>
                <w:rFonts w:ascii="Calibri" w:hAnsi="Calibri"/>
                <w:b w:val="0"/>
                <w:i w:val="0"/>
                <w:color w:val="212121"/>
                <w:sz w:val="19"/>
              </w:rPr>
              <w:t>Patient-reported outcome tracking QoL, sleep and mood burden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Sense of smell (UPSIT / Sniffin' Sticks)</w:t>
            </w:r>
          </w:p>
        </w:tc>
        <w:tc>
          <w:tcPr>
            <w:tcW w:type="dxa" w:w="1655"/>
            <w:vAlign w:val="top"/>
          </w:tcPr>
          <w:p>
            <w:pPr>
              <w:spacing w:after="40" w:before="0" w:line="259" w:lineRule="auto"/>
            </w:pPr>
            <w:r>
              <w:rPr>
                <w:rFonts w:ascii="Calibri" w:hAnsi="Calibri"/>
                <w:b w:val="0"/>
                <w:i w:val="0"/>
                <w:color w:val="212121"/>
                <w:sz w:val="19"/>
              </w:rPr>
              <w:t>All polyposis patients</w:t>
            </w:r>
          </w:p>
        </w:tc>
        <w:tc>
          <w:tcPr>
            <w:tcW w:type="dxa" w:w="1512"/>
            <w:vAlign w:val="top"/>
          </w:tcPr>
          <w:p>
            <w:pPr>
              <w:spacing w:after="40" w:before="0" w:line="259" w:lineRule="auto"/>
            </w:pPr>
            <w:r>
              <w:rPr>
                <w:rFonts w:ascii="Calibri" w:hAnsi="Calibri"/>
                <w:b w:val="0"/>
                <w:i w:val="0"/>
                <w:color w:val="212121"/>
                <w:sz w:val="19"/>
              </w:rPr>
              <w:t>Normosmia</w:t>
            </w:r>
          </w:p>
        </w:tc>
        <w:tc>
          <w:tcPr>
            <w:tcW w:type="dxa" w:w="1512"/>
            <w:vAlign w:val="top"/>
          </w:tcPr>
          <w:p>
            <w:pPr>
              <w:spacing w:after="40" w:before="0" w:line="259" w:lineRule="auto"/>
            </w:pPr>
            <w:r>
              <w:rPr>
                <w:rFonts w:ascii="Calibri" w:hAnsi="Calibri"/>
                <w:b w:val="0"/>
                <w:i w:val="0"/>
                <w:color w:val="212121"/>
                <w:sz w:val="19"/>
              </w:rPr>
              <w:t>Hyposmia or anosmia</w:t>
            </w:r>
          </w:p>
        </w:tc>
        <w:tc>
          <w:tcPr>
            <w:tcW w:type="dxa" w:w="1468"/>
            <w:vAlign w:val="top"/>
          </w:tcPr>
          <w:p>
            <w:pPr>
              <w:spacing w:after="40" w:before="0" w:line="259" w:lineRule="auto"/>
            </w:pPr>
            <w:r>
              <w:rPr>
                <w:rFonts w:ascii="Calibri" w:hAnsi="Calibri"/>
                <w:b w:val="0"/>
                <w:i w:val="0"/>
                <w:color w:val="212121"/>
                <w:sz w:val="19"/>
              </w:rPr>
              <w:t>Smell loss is a sensitive marker of ethmoid/olfactory-cleft polyp burden and treatment response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Endoscopic polyp grade (0-4)</w:t>
            </w:r>
          </w:p>
        </w:tc>
        <w:tc>
          <w:tcPr>
            <w:tcW w:type="dxa" w:w="892"/>
            <w:vAlign w:val="top"/>
          </w:tcPr>
          <w:p>
            <w:pPr>
              <w:spacing w:after="40" w:before="0" w:line="259" w:lineRule="auto"/>
            </w:pPr>
            <w:r>
              <w:rPr>
                <w:rFonts w:ascii="Calibri" w:hAnsi="Calibri"/>
                <w:b w:val="0"/>
                <w:i w:val="0"/>
                <w:color w:val="212121"/>
                <w:sz w:val="16"/>
              </w:rPr>
              <w:t>Diagnostic nasal endoscopy</w:t>
            </w:r>
          </w:p>
        </w:tc>
        <w:tc>
          <w:tcPr>
            <w:tcW w:type="dxa" w:w="950"/>
            <w:vAlign w:val="top"/>
          </w:tcPr>
          <w:p>
            <w:pPr>
              <w:spacing w:after="40" w:before="0" w:line="259" w:lineRule="auto"/>
            </w:pPr>
            <w:r>
              <w:rPr>
                <w:rFonts w:ascii="Calibri" w:hAnsi="Calibri"/>
                <w:b w:val="0"/>
                <w:i w:val="0"/>
                <w:color w:val="212121"/>
                <w:sz w:val="16"/>
              </w:rPr>
              <w:t>Grade 0 (no polyps)</w:t>
            </w:r>
          </w:p>
        </w:tc>
        <w:tc>
          <w:tcPr>
            <w:tcW w:type="dxa" w:w="950"/>
            <w:vAlign w:val="top"/>
          </w:tcPr>
          <w:p>
            <w:pPr>
              <w:spacing w:after="40" w:before="0" w:line="259" w:lineRule="auto"/>
            </w:pPr>
            <w:r>
              <w:rPr>
                <w:rFonts w:ascii="Calibri" w:hAnsi="Calibri"/>
                <w:b w:val="0"/>
                <w:i w:val="0"/>
                <w:color w:val="212121"/>
                <w:sz w:val="16"/>
              </w:rPr>
              <w:t>Bilateral middle-meatal polyps, grade ≥ 1</w:t>
            </w:r>
          </w:p>
        </w:tc>
        <w:tc>
          <w:tcPr>
            <w:tcW w:type="dxa" w:w="1036"/>
            <w:vAlign w:val="top"/>
          </w:tcPr>
          <w:p>
            <w:pPr>
              <w:spacing w:after="40" w:before="0" w:line="259" w:lineRule="auto"/>
            </w:pPr>
            <w:r>
              <w:rPr>
                <w:rFonts w:ascii="Calibri" w:hAnsi="Calibri"/>
                <w:b w:val="0"/>
                <w:i w:val="0"/>
                <w:color w:val="212121"/>
                <w:sz w:val="16"/>
              </w:rPr>
              <w:t>Confirms and grades polyps; primary objective diagnostic tool</w:t>
            </w:r>
          </w:p>
        </w:tc>
        <w:tc>
          <w:tcPr>
            <w:tcW w:type="dxa" w:w="1036"/>
            <w:vAlign w:val="top"/>
          </w:tcPr>
          <w:p>
            <w:pPr>
              <w:spacing w:after="40" w:before="0" w:line="259" w:lineRule="auto"/>
            </w:pPr>
            <w:r>
              <w:rPr>
                <w:rFonts w:ascii="Calibri" w:hAnsi="Calibri"/>
                <w:b w:val="0"/>
                <w:i w:val="0"/>
                <w:color w:val="212121"/>
                <w:sz w:val="16"/>
              </w:rPr>
              <w:t>All suspected CRSwNP, post-operative follow-up</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Rigid/flexible endoscopy after topical decongestant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Lund–Mackay score (0-24)</w:t>
            </w:r>
          </w:p>
        </w:tc>
        <w:tc>
          <w:tcPr>
            <w:tcW w:type="dxa" w:w="892"/>
            <w:vAlign w:val="top"/>
          </w:tcPr>
          <w:p>
            <w:pPr>
              <w:spacing w:after="40" w:before="0" w:line="259" w:lineRule="auto"/>
            </w:pPr>
            <w:r>
              <w:rPr>
                <w:rFonts w:ascii="Calibri" w:hAnsi="Calibri"/>
                <w:b w:val="0"/>
                <w:i w:val="0"/>
                <w:color w:val="212121"/>
                <w:sz w:val="16"/>
              </w:rPr>
              <w:t>CT paranasal sinuses (coronal)</w:t>
            </w:r>
          </w:p>
        </w:tc>
        <w:tc>
          <w:tcPr>
            <w:tcW w:type="dxa" w:w="950"/>
            <w:vAlign w:val="top"/>
          </w:tcPr>
          <w:p>
            <w:pPr>
              <w:spacing w:after="40" w:before="0" w:line="259" w:lineRule="auto"/>
            </w:pPr>
            <w:r>
              <w:rPr>
                <w:rFonts w:ascii="Calibri" w:hAnsi="Calibri"/>
                <w:b w:val="0"/>
                <w:i w:val="0"/>
                <w:color w:val="212121"/>
                <w:sz w:val="16"/>
              </w:rPr>
              <w:t>0 (clear sinuses)</w:t>
            </w:r>
          </w:p>
        </w:tc>
        <w:tc>
          <w:tcPr>
            <w:tcW w:type="dxa" w:w="950"/>
            <w:vAlign w:val="top"/>
          </w:tcPr>
          <w:p>
            <w:pPr>
              <w:spacing w:after="40" w:before="0" w:line="259" w:lineRule="auto"/>
            </w:pPr>
            <w:r>
              <w:rPr>
                <w:rFonts w:ascii="Calibri" w:hAnsi="Calibri"/>
                <w:b w:val="0"/>
                <w:i w:val="0"/>
                <w:color w:val="212121"/>
                <w:sz w:val="16"/>
              </w:rPr>
              <w:t>Mucosal opacification of ethmoids/OMC; higher score</w:t>
            </w:r>
          </w:p>
        </w:tc>
        <w:tc>
          <w:tcPr>
            <w:tcW w:type="dxa" w:w="1036"/>
            <w:vAlign w:val="top"/>
          </w:tcPr>
          <w:p>
            <w:pPr>
              <w:spacing w:after="40" w:before="0" w:line="259" w:lineRule="auto"/>
            </w:pPr>
            <w:r>
              <w:rPr>
                <w:rFonts w:ascii="Calibri" w:hAnsi="Calibri"/>
                <w:b w:val="0"/>
                <w:i w:val="0"/>
                <w:color w:val="212121"/>
                <w:sz w:val="16"/>
              </w:rPr>
              <w:t>Maps disease extent, plans surgery, detects erosion/complications</w:t>
            </w:r>
          </w:p>
        </w:tc>
        <w:tc>
          <w:tcPr>
            <w:tcW w:type="dxa" w:w="1036"/>
            <w:vAlign w:val="top"/>
          </w:tcPr>
          <w:p>
            <w:pPr>
              <w:spacing w:after="40" w:before="0" w:line="259" w:lineRule="auto"/>
            </w:pPr>
            <w:r>
              <w:rPr>
                <w:rFonts w:ascii="Calibri" w:hAnsi="Calibri"/>
                <w:b w:val="0"/>
                <w:i w:val="0"/>
                <w:color w:val="212121"/>
                <w:sz w:val="16"/>
              </w:rPr>
              <w:t>Pre-operative, refractory or complicated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pre-op</w:t>
            </w:r>
          </w:p>
        </w:tc>
        <w:tc>
          <w:tcPr>
            <w:tcW w:type="dxa" w:w="720"/>
            <w:vAlign w:val="top"/>
          </w:tcPr>
          <w:p>
            <w:pPr>
              <w:spacing w:after="40" w:before="0" w:line="259" w:lineRule="auto"/>
            </w:pPr>
            <w:r>
              <w:rPr>
                <w:rFonts w:ascii="Calibri" w:hAnsi="Calibri"/>
                <w:b w:val="0"/>
                <w:i w:val="0"/>
                <w:color w:val="212121"/>
                <w:sz w:val="16"/>
              </w:rPr>
              <w:t>Avoid routine early CT during acute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Absolute eosinophil count</w:t>
            </w:r>
          </w:p>
        </w:tc>
        <w:tc>
          <w:tcPr>
            <w:tcW w:type="dxa" w:w="892"/>
            <w:vAlign w:val="top"/>
          </w:tcPr>
          <w:p>
            <w:pPr>
              <w:spacing w:after="40" w:before="0" w:line="259" w:lineRule="auto"/>
            </w:pPr>
            <w:r>
              <w:rPr>
                <w:rFonts w:ascii="Calibri" w:hAnsi="Calibri"/>
                <w:b w:val="0"/>
                <w:i w:val="0"/>
                <w:color w:val="212121"/>
                <w:sz w:val="16"/>
              </w:rPr>
              <w:t>Complete blood count with differential</w:t>
            </w:r>
          </w:p>
        </w:tc>
        <w:tc>
          <w:tcPr>
            <w:tcW w:type="dxa" w:w="950"/>
            <w:vAlign w:val="top"/>
          </w:tcPr>
          <w:p>
            <w:pPr>
              <w:spacing w:after="40" w:before="0" w:line="259" w:lineRule="auto"/>
            </w:pPr>
            <w:r>
              <w:rPr>
                <w:rFonts w:ascii="Calibri" w:hAnsi="Calibri"/>
                <w:b w:val="0"/>
                <w:i w:val="0"/>
                <w:color w:val="212121"/>
                <w:sz w:val="16"/>
              </w:rPr>
              <w:t>&lt; 500 cells/µL</w:t>
            </w:r>
          </w:p>
        </w:tc>
        <w:tc>
          <w:tcPr>
            <w:tcW w:type="dxa" w:w="950"/>
            <w:vAlign w:val="top"/>
          </w:tcPr>
          <w:p>
            <w:pPr>
              <w:spacing w:after="40" w:before="0" w:line="259" w:lineRule="auto"/>
            </w:pPr>
            <w:r>
              <w:rPr>
                <w:rFonts w:ascii="Calibri" w:hAnsi="Calibri"/>
                <w:b w:val="0"/>
                <w:i w:val="0"/>
                <w:color w:val="212121"/>
                <w:sz w:val="16"/>
              </w:rPr>
              <w:t>≥ 500 cells/µL</w:t>
            </w:r>
          </w:p>
        </w:tc>
        <w:tc>
          <w:tcPr>
            <w:tcW w:type="dxa" w:w="1036"/>
            <w:vAlign w:val="top"/>
          </w:tcPr>
          <w:p>
            <w:pPr>
              <w:spacing w:after="40" w:before="0" w:line="259" w:lineRule="auto"/>
            </w:pPr>
            <w:r>
              <w:rPr>
                <w:rFonts w:ascii="Calibri" w:hAnsi="Calibri"/>
                <w:b w:val="0"/>
                <w:i w:val="0"/>
                <w:color w:val="212121"/>
                <w:sz w:val="16"/>
              </w:rPr>
              <w:t>Marks type-2 eosinophilic endotype; predicts recurrence</w:t>
            </w:r>
          </w:p>
        </w:tc>
        <w:tc>
          <w:tcPr>
            <w:tcW w:type="dxa" w:w="1036"/>
            <w:vAlign w:val="top"/>
          </w:tcPr>
          <w:p>
            <w:pPr>
              <w:spacing w:after="40" w:before="0" w:line="259" w:lineRule="auto"/>
            </w:pPr>
            <w:r>
              <w:rPr>
                <w:rFonts w:ascii="Calibri" w:hAnsi="Calibri"/>
                <w:b w:val="0"/>
                <w:i w:val="0"/>
                <w:color w:val="212121"/>
                <w:sz w:val="16"/>
              </w:rPr>
              <w:t>Eosinophilic CRSwNP, asthma, AERD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Corticosteroids transiently lower counts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Total &amp; specific serum IgE</w:t>
            </w:r>
          </w:p>
        </w:tc>
        <w:tc>
          <w:tcPr>
            <w:tcW w:type="dxa" w:w="892"/>
            <w:vAlign w:val="top"/>
          </w:tcPr>
          <w:p>
            <w:pPr>
              <w:spacing w:after="40" w:before="0" w:line="259" w:lineRule="auto"/>
            </w:pPr>
            <w:r>
              <w:rPr>
                <w:rFonts w:ascii="Calibri" w:hAnsi="Calibri"/>
                <w:b w:val="0"/>
                <w:i w:val="0"/>
                <w:color w:val="212121"/>
                <w:sz w:val="16"/>
              </w:rPr>
              <w:t>Serum IgE / allergen panel</w:t>
            </w:r>
          </w:p>
        </w:tc>
        <w:tc>
          <w:tcPr>
            <w:tcW w:type="dxa" w:w="950"/>
            <w:vAlign w:val="top"/>
          </w:tcPr>
          <w:p>
            <w:pPr>
              <w:spacing w:after="40" w:before="0" w:line="259" w:lineRule="auto"/>
            </w:pPr>
            <w:r>
              <w:rPr>
                <w:rFonts w:ascii="Calibri" w:hAnsi="Calibri"/>
                <w:b w:val="0"/>
                <w:i w:val="0"/>
                <w:color w:val="212121"/>
                <w:sz w:val="16"/>
              </w:rPr>
              <w:t>Total IgE &lt; 100 kU/L</w:t>
            </w:r>
          </w:p>
        </w:tc>
        <w:tc>
          <w:tcPr>
            <w:tcW w:type="dxa" w:w="950"/>
            <w:vAlign w:val="top"/>
          </w:tcPr>
          <w:p>
            <w:pPr>
              <w:spacing w:after="40" w:before="0" w:line="259" w:lineRule="auto"/>
            </w:pPr>
            <w:r>
              <w:rPr>
                <w:rFonts w:ascii="Calibri" w:hAnsi="Calibri"/>
                <w:b w:val="0"/>
                <w:i w:val="0"/>
                <w:color w:val="212121"/>
                <w:sz w:val="16"/>
              </w:rPr>
              <w:t>Elevated total IgE; positive fungal/allergen-specific IgE</w:t>
            </w:r>
          </w:p>
        </w:tc>
        <w:tc>
          <w:tcPr>
            <w:tcW w:type="dxa" w:w="1036"/>
            <w:vAlign w:val="top"/>
          </w:tcPr>
          <w:p>
            <w:pPr>
              <w:spacing w:after="40" w:before="0" w:line="259" w:lineRule="auto"/>
            </w:pPr>
            <w:r>
              <w:rPr>
                <w:rFonts w:ascii="Calibri" w:hAnsi="Calibri"/>
                <w:b w:val="0"/>
                <w:i w:val="0"/>
                <w:color w:val="212121"/>
                <w:sz w:val="16"/>
              </w:rPr>
              <w:t>Supports atopic type-2 and allergic-fungal endotypes</w:t>
            </w:r>
          </w:p>
        </w:tc>
        <w:tc>
          <w:tcPr>
            <w:tcW w:type="dxa" w:w="1036"/>
            <w:vAlign w:val="top"/>
          </w:tcPr>
          <w:p>
            <w:pPr>
              <w:spacing w:after="40" w:before="0" w:line="259" w:lineRule="auto"/>
            </w:pPr>
            <w:r>
              <w:rPr>
                <w:rFonts w:ascii="Calibri" w:hAnsi="Calibri"/>
                <w:b w:val="0"/>
                <w:i w:val="0"/>
                <w:color w:val="212121"/>
                <w:sz w:val="16"/>
              </w:rPr>
              <w:t>Atopic patients, AFRS, biologic candidates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Endotyping</w:t>
            </w:r>
          </w:p>
        </w:tc>
        <w:tc>
          <w:tcPr>
            <w:tcW w:type="dxa" w:w="720"/>
            <w:vAlign w:val="top"/>
          </w:tcPr>
          <w:p>
            <w:pPr>
              <w:spacing w:after="40" w:before="0" w:line="259" w:lineRule="auto"/>
            </w:pPr>
            <w:r>
              <w:rPr>
                <w:rFonts w:ascii="Calibri" w:hAnsi="Calibri"/>
                <w:b w:val="0"/>
                <w:i w:val="0"/>
                <w:color w:val="212121"/>
                <w:sz w:val="16"/>
              </w:rPr>
              <w:t>Very high IgE with fungal sensitisation suggests AFRS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Fungal smear, culture &amp; allergic mucin</w:t>
            </w:r>
          </w:p>
        </w:tc>
        <w:tc>
          <w:tcPr>
            <w:tcW w:type="dxa" w:w="892"/>
            <w:vAlign w:val="top"/>
          </w:tcPr>
          <w:p>
            <w:pPr>
              <w:spacing w:after="40" w:before="0" w:line="259" w:lineRule="auto"/>
            </w:pPr>
            <w:r>
              <w:rPr>
                <w:rFonts w:ascii="Calibri" w:hAnsi="Calibri"/>
                <w:b w:val="0"/>
                <w:i w:val="0"/>
                <w:color w:val="212121"/>
                <w:sz w:val="16"/>
              </w:rPr>
              <w:t>KOH mount / fungal culture / histology of mucin</w:t>
            </w:r>
          </w:p>
        </w:tc>
        <w:tc>
          <w:tcPr>
            <w:tcW w:type="dxa" w:w="950"/>
            <w:vAlign w:val="top"/>
          </w:tcPr>
          <w:p>
            <w:pPr>
              <w:spacing w:after="40" w:before="0" w:line="259" w:lineRule="auto"/>
            </w:pPr>
            <w:r>
              <w:rPr>
                <w:rFonts w:ascii="Calibri" w:hAnsi="Calibri"/>
                <w:b w:val="0"/>
                <w:i w:val="0"/>
                <w:color w:val="212121"/>
                <w:sz w:val="16"/>
              </w:rPr>
              <w:t>No fungal elements or allergic mucin</w:t>
            </w:r>
          </w:p>
        </w:tc>
        <w:tc>
          <w:tcPr>
            <w:tcW w:type="dxa" w:w="950"/>
            <w:vAlign w:val="top"/>
          </w:tcPr>
          <w:p>
            <w:pPr>
              <w:spacing w:after="40" w:before="0" w:line="259" w:lineRule="auto"/>
            </w:pPr>
            <w:r>
              <w:rPr>
                <w:rFonts w:ascii="Calibri" w:hAnsi="Calibri"/>
                <w:b w:val="0"/>
                <w:i w:val="0"/>
                <w:color w:val="212121"/>
                <w:sz w:val="16"/>
              </w:rPr>
              <w:t>Eosinophilic (allergic) mucin with non-invasive fungal hyphae, Charcot-Leyden crystals</w:t>
            </w:r>
          </w:p>
        </w:tc>
        <w:tc>
          <w:tcPr>
            <w:tcW w:type="dxa" w:w="1036"/>
            <w:vAlign w:val="top"/>
          </w:tcPr>
          <w:p>
            <w:pPr>
              <w:spacing w:after="40" w:before="0" w:line="259" w:lineRule="auto"/>
            </w:pPr>
            <w:r>
              <w:rPr>
                <w:rFonts w:ascii="Calibri" w:hAnsi="Calibri"/>
                <w:b w:val="0"/>
                <w:i w:val="0"/>
                <w:color w:val="212121"/>
                <w:sz w:val="16"/>
              </w:rPr>
              <w:t>Confirms allergic fungal rhinosinusitis</w:t>
            </w:r>
          </w:p>
        </w:tc>
        <w:tc>
          <w:tcPr>
            <w:tcW w:type="dxa" w:w="1036"/>
            <w:vAlign w:val="top"/>
          </w:tcPr>
          <w:p>
            <w:pPr>
              <w:spacing w:after="40" w:before="0" w:line="259" w:lineRule="auto"/>
            </w:pPr>
            <w:r>
              <w:rPr>
                <w:rFonts w:ascii="Calibri" w:hAnsi="Calibri"/>
                <w:b w:val="0"/>
                <w:i w:val="0"/>
                <w:color w:val="212121"/>
                <w:sz w:val="16"/>
              </w:rPr>
              <w:t>AFRS-suspected, Indian tertiary centres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(AFRS)</w:t>
            </w:r>
          </w:p>
        </w:tc>
        <w:tc>
          <w:tcPr>
            <w:tcW w:type="dxa" w:w="720"/>
            <w:vAlign w:val="top"/>
          </w:tcPr>
          <w:p>
            <w:pPr>
              <w:spacing w:after="40" w:before="0" w:line="259" w:lineRule="auto"/>
            </w:pPr>
            <w:r>
              <w:rPr>
                <w:rFonts w:ascii="Calibri" w:hAnsi="Calibri"/>
                <w:b w:val="0"/>
                <w:i w:val="0"/>
                <w:color w:val="212121"/>
                <w:sz w:val="16"/>
              </w:rPr>
              <w:t>Distinguish non-invasive AFRS from invasive fungal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Polyp histology (H&amp;E)</w:t>
            </w:r>
          </w:p>
        </w:tc>
        <w:tc>
          <w:tcPr>
            <w:tcW w:type="dxa" w:w="892"/>
            <w:vAlign w:val="top"/>
          </w:tcPr>
          <w:p>
            <w:pPr>
              <w:spacing w:after="40" w:before="0" w:line="259" w:lineRule="auto"/>
            </w:pPr>
            <w:r>
              <w:rPr>
                <w:rFonts w:ascii="Calibri" w:hAnsi="Calibri"/>
                <w:b w:val="0"/>
                <w:i w:val="0"/>
                <w:color w:val="212121"/>
                <w:sz w:val="16"/>
              </w:rPr>
              <w:t>Histopathological examination of excised tissue</w:t>
            </w:r>
          </w:p>
        </w:tc>
        <w:tc>
          <w:tcPr>
            <w:tcW w:type="dxa" w:w="950"/>
            <w:vAlign w:val="top"/>
          </w:tcPr>
          <w:p>
            <w:pPr>
              <w:spacing w:after="40" w:before="0" w:line="259" w:lineRule="auto"/>
            </w:pPr>
            <w:r>
              <w:rPr>
                <w:rFonts w:ascii="Calibri" w:hAnsi="Calibri"/>
                <w:b w:val="0"/>
                <w:i w:val="0"/>
                <w:color w:val="212121"/>
                <w:sz w:val="16"/>
              </w:rPr>
              <w:t>Benign oedematous polyp with eosinophil-rich stroma</w:t>
            </w:r>
          </w:p>
        </w:tc>
        <w:tc>
          <w:tcPr>
            <w:tcW w:type="dxa" w:w="950"/>
            <w:vAlign w:val="top"/>
          </w:tcPr>
          <w:p>
            <w:pPr>
              <w:spacing w:after="40" w:before="0" w:line="259" w:lineRule="auto"/>
            </w:pPr>
            <w:r>
              <w:rPr>
                <w:rFonts w:ascii="Calibri" w:hAnsi="Calibri"/>
                <w:b w:val="0"/>
                <w:i w:val="0"/>
                <w:color w:val="212121"/>
                <w:sz w:val="16"/>
              </w:rPr>
              <w:t>Atypia, inverted papilloma or malignancy (esp. unilateral)</w:t>
            </w:r>
          </w:p>
        </w:tc>
        <w:tc>
          <w:tcPr>
            <w:tcW w:type="dxa" w:w="1036"/>
            <w:vAlign w:val="top"/>
          </w:tcPr>
          <w:p>
            <w:pPr>
              <w:spacing w:after="40" w:before="0" w:line="259" w:lineRule="auto"/>
            </w:pPr>
            <w:r>
              <w:rPr>
                <w:rFonts w:ascii="Calibri" w:hAnsi="Calibri"/>
                <w:b w:val="0"/>
                <w:i w:val="0"/>
                <w:color w:val="212121"/>
                <w:sz w:val="16"/>
              </w:rPr>
              <w:t>Confirms benign polyp and excludes neoplasm in unilateral/atypical masses</w:t>
            </w:r>
          </w:p>
        </w:tc>
        <w:tc>
          <w:tcPr>
            <w:tcW w:type="dxa" w:w="1036"/>
            <w:vAlign w:val="top"/>
          </w:tcPr>
          <w:p>
            <w:pPr>
              <w:spacing w:after="40" w:before="0" w:line="259" w:lineRule="auto"/>
            </w:pPr>
            <w:r>
              <w:rPr>
                <w:rFonts w:ascii="Calibri" w:hAnsi="Calibri"/>
                <w:b w:val="0"/>
                <w:i w:val="0"/>
                <w:color w:val="212121"/>
                <w:sz w:val="16"/>
              </w:rPr>
              <w:t>Unilateral polyp, bleeding or atypical mass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Excludes malignancy</w:t>
            </w:r>
          </w:p>
        </w:tc>
        <w:tc>
          <w:tcPr>
            <w:tcW w:type="dxa" w:w="720"/>
            <w:vAlign w:val="top"/>
          </w:tcPr>
          <w:p>
            <w:pPr>
              <w:spacing w:after="40" w:before="0" w:line="259" w:lineRule="auto"/>
            </w:pPr>
            <w:r>
              <w:rPr>
                <w:rFonts w:ascii="Calibri" w:hAnsi="Calibri"/>
                <w:b w:val="0"/>
                <w:i w:val="0"/>
                <w:color w:val="212121"/>
                <w:sz w:val="16"/>
              </w:rPr>
              <w:t>Mandatory for all unilateral sinonasal masses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Genetics/biochemistry</w:t>
            </w:r>
          </w:p>
        </w:tc>
        <w:tc>
          <w:tcPr>
            <w:tcW w:type="dxa" w:w="1036"/>
            <w:vAlign w:val="top"/>
          </w:tcPr>
          <w:p>
            <w:pPr>
              <w:spacing w:after="40" w:before="0" w:line="259" w:lineRule="auto"/>
            </w:pPr>
            <w:r>
              <w:rPr>
                <w:rFonts w:ascii="Calibri" w:hAnsi="Calibri"/>
                <w:b w:val="0"/>
                <w:i w:val="0"/>
                <w:color w:val="212121"/>
                <w:sz w:val="16"/>
              </w:rPr>
              <w:t>Sweat chloride / CFTR analysis</w:t>
            </w:r>
          </w:p>
        </w:tc>
        <w:tc>
          <w:tcPr>
            <w:tcW w:type="dxa" w:w="892"/>
            <w:vAlign w:val="top"/>
          </w:tcPr>
          <w:p>
            <w:pPr>
              <w:spacing w:after="40" w:before="0" w:line="259" w:lineRule="auto"/>
            </w:pPr>
            <w:r>
              <w:rPr>
                <w:rFonts w:ascii="Calibri" w:hAnsi="Calibri"/>
                <w:b w:val="0"/>
                <w:i w:val="0"/>
                <w:color w:val="212121"/>
                <w:sz w:val="16"/>
              </w:rPr>
              <w:t>Sweat-chloride test ± CFTR genotyping</w:t>
            </w:r>
          </w:p>
        </w:tc>
        <w:tc>
          <w:tcPr>
            <w:tcW w:type="dxa" w:w="950"/>
            <w:vAlign w:val="top"/>
          </w:tcPr>
          <w:p>
            <w:pPr>
              <w:spacing w:after="40" w:before="0" w:line="259" w:lineRule="auto"/>
            </w:pPr>
            <w:r>
              <w:rPr>
                <w:rFonts w:ascii="Calibri" w:hAnsi="Calibri"/>
                <w:b w:val="0"/>
                <w:i w:val="0"/>
                <w:color w:val="212121"/>
                <w:sz w:val="16"/>
              </w:rPr>
              <w:t>Sweat chloride &lt; 30 mmol/L</w:t>
            </w:r>
          </w:p>
        </w:tc>
        <w:tc>
          <w:tcPr>
            <w:tcW w:type="dxa" w:w="950"/>
            <w:vAlign w:val="top"/>
          </w:tcPr>
          <w:p>
            <w:pPr>
              <w:spacing w:after="40" w:before="0" w:line="259" w:lineRule="auto"/>
            </w:pPr>
            <w:r>
              <w:rPr>
                <w:rFonts w:ascii="Calibri" w:hAnsi="Calibri"/>
                <w:b w:val="0"/>
                <w:i w:val="0"/>
                <w:color w:val="212121"/>
                <w:sz w:val="16"/>
              </w:rPr>
              <w:t>≥ 60 mmol/L (diagnostic of cystic fibrosis)</w:t>
            </w:r>
          </w:p>
        </w:tc>
        <w:tc>
          <w:tcPr>
            <w:tcW w:type="dxa" w:w="1036"/>
            <w:vAlign w:val="top"/>
          </w:tcPr>
          <w:p>
            <w:pPr>
              <w:spacing w:after="40" w:before="0" w:line="259" w:lineRule="auto"/>
            </w:pPr>
            <w:r>
              <w:rPr>
                <w:rFonts w:ascii="Calibri" w:hAnsi="Calibri"/>
                <w:b w:val="0"/>
                <w:i w:val="0"/>
                <w:color w:val="212121"/>
                <w:sz w:val="16"/>
              </w:rPr>
              <w:t>Identifies cystic fibrosis underlying paediatric polyposis</w:t>
            </w:r>
          </w:p>
        </w:tc>
        <w:tc>
          <w:tcPr>
            <w:tcW w:type="dxa" w:w="1036"/>
            <w:vAlign w:val="top"/>
          </w:tcPr>
          <w:p>
            <w:pPr>
              <w:spacing w:after="40" w:before="0" w:line="259" w:lineRule="auto"/>
            </w:pPr>
            <w:r>
              <w:rPr>
                <w:rFonts w:ascii="Calibri" w:hAnsi="Calibri"/>
                <w:b w:val="0"/>
                <w:i w:val="0"/>
                <w:color w:val="212121"/>
                <w:sz w:val="16"/>
              </w:rPr>
              <w:t>Children with nasal polyps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(children)</w:t>
            </w:r>
          </w:p>
        </w:tc>
        <w:tc>
          <w:tcPr>
            <w:tcW w:type="dxa" w:w="720"/>
            <w:vAlign w:val="top"/>
          </w:tcPr>
          <w:p>
            <w:pPr>
              <w:spacing w:after="40" w:before="0" w:line="259" w:lineRule="auto"/>
            </w:pPr>
            <w:r>
              <w:rPr>
                <w:rFonts w:ascii="Calibri" w:hAnsi="Calibri"/>
                <w:b w:val="0"/>
                <w:i w:val="0"/>
                <w:color w:val="212121"/>
                <w:sz w:val="16"/>
              </w:rPr>
              <w:t>Consider primary ciliary dyskinesia if CF excluded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Spirometry (FEV1/FVC)</w:t>
            </w:r>
          </w:p>
        </w:tc>
        <w:tc>
          <w:tcPr>
            <w:tcW w:type="dxa" w:w="892"/>
            <w:vAlign w:val="top"/>
          </w:tcPr>
          <w:p>
            <w:pPr>
              <w:spacing w:after="40" w:before="0" w:line="259" w:lineRule="auto"/>
            </w:pPr>
            <w:r>
              <w:rPr>
                <w:rFonts w:ascii="Calibri" w:hAnsi="Calibri"/>
                <w:b w:val="0"/>
                <w:i w:val="0"/>
                <w:color w:val="212121"/>
                <w:sz w:val="16"/>
              </w:rPr>
              <w:t>Spirometry ± reversibility</w:t>
            </w:r>
          </w:p>
        </w:tc>
        <w:tc>
          <w:tcPr>
            <w:tcW w:type="dxa" w:w="950"/>
            <w:vAlign w:val="top"/>
          </w:tcPr>
          <w:p>
            <w:pPr>
              <w:spacing w:after="40" w:before="0" w:line="259" w:lineRule="auto"/>
            </w:pPr>
            <w:r>
              <w:rPr>
                <w:rFonts w:ascii="Calibri" w:hAnsi="Calibri"/>
                <w:b w:val="0"/>
                <w:i w:val="0"/>
                <w:color w:val="212121"/>
                <w:sz w:val="16"/>
              </w:rPr>
              <w:t>FEV1/FVC ≥ 0.70, no reversibility</w:t>
            </w:r>
          </w:p>
        </w:tc>
        <w:tc>
          <w:tcPr>
            <w:tcW w:type="dxa" w:w="950"/>
            <w:vAlign w:val="top"/>
          </w:tcPr>
          <w:p>
            <w:pPr>
              <w:spacing w:after="40" w:before="0" w:line="259" w:lineRule="auto"/>
            </w:pPr>
            <w:r>
              <w:rPr>
                <w:rFonts w:ascii="Calibri" w:hAnsi="Calibri"/>
                <w:b w:val="0"/>
                <w:i w:val="0"/>
                <w:color w:val="212121"/>
                <w:sz w:val="16"/>
              </w:rPr>
              <w:t>Obstruction with bronchodilator reversibility</w:t>
            </w:r>
          </w:p>
        </w:tc>
        <w:tc>
          <w:tcPr>
            <w:tcW w:type="dxa" w:w="1036"/>
            <w:vAlign w:val="top"/>
          </w:tcPr>
          <w:p>
            <w:pPr>
              <w:spacing w:after="40" w:before="0" w:line="259" w:lineRule="auto"/>
            </w:pPr>
            <w:r>
              <w:rPr>
                <w:rFonts w:ascii="Calibri" w:hAnsi="Calibri"/>
                <w:b w:val="0"/>
                <w:i w:val="0"/>
                <w:color w:val="212121"/>
                <w:sz w:val="16"/>
              </w:rPr>
              <w:t>Detects coexisting asthma across the united airway</w:t>
            </w:r>
          </w:p>
        </w:tc>
        <w:tc>
          <w:tcPr>
            <w:tcW w:type="dxa" w:w="1036"/>
            <w:vAlign w:val="top"/>
          </w:tcPr>
          <w:p>
            <w:pPr>
              <w:spacing w:after="40" w:before="0" w:line="259" w:lineRule="auto"/>
            </w:pPr>
            <w:r>
              <w:rPr>
                <w:rFonts w:ascii="Calibri" w:hAnsi="Calibri"/>
                <w:b w:val="0"/>
                <w:i w:val="0"/>
                <w:color w:val="212121"/>
                <w:sz w:val="16"/>
              </w:rPr>
              <w:t>Polyposis with wheeze/cough, AERD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Guides combined upper- and lower-airway therapy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Nasal obstruction, hyposmia/anosmia, rhinorrhoea, PND, facial pressure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2 symptoms for ≥ 12 weeks</w:t>
            </w:r>
          </w:p>
        </w:tc>
        <w:tc>
          <w:tcPr>
            <w:tcW w:type="dxa" w:w="1036"/>
            <w:vAlign w:val="top"/>
          </w:tcPr>
          <w:p>
            <w:pPr>
              <w:spacing w:after="40" w:before="0" w:line="259" w:lineRule="auto"/>
            </w:pPr>
            <w:r>
              <w:rPr>
                <w:rFonts w:ascii="Calibri" w:hAnsi="Calibri"/>
                <w:b w:val="0"/>
                <w:i w:val="0"/>
                <w:color w:val="212121"/>
                <w:sz w:val="16"/>
              </w:rPr>
              <w:t>Meets EPOS symptom criteria for chronic rhinosinusitis</w:t>
            </w:r>
          </w:p>
        </w:tc>
        <w:tc>
          <w:tcPr>
            <w:tcW w:type="dxa" w:w="1036"/>
            <w:vAlign w:val="top"/>
          </w:tcPr>
          <w:p>
            <w:pPr>
              <w:spacing w:after="40" w:before="0" w:line="259" w:lineRule="auto"/>
            </w:pPr>
            <w:r>
              <w:rPr>
                <w:rFonts w:ascii="Calibri" w:hAnsi="Calibri"/>
                <w:b w:val="0"/>
                <w:i w:val="0"/>
                <w:color w:val="212121"/>
                <w:sz w:val="16"/>
              </w:rPr>
              <w:t>Adults with persistent nasal symptoms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Bilateral, progressive obstruction with smell loss is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Anterior rhinoscopy / endoscopy</w:t>
            </w:r>
          </w:p>
        </w:tc>
        <w:tc>
          <w:tcPr>
            <w:tcW w:type="dxa" w:w="979"/>
            <w:vAlign w:val="top"/>
          </w:tcPr>
          <w:p>
            <w:pPr>
              <w:spacing w:after="40" w:before="0" w:line="259" w:lineRule="auto"/>
            </w:pPr>
            <w:r>
              <w:rPr>
                <w:rFonts w:ascii="Calibri" w:hAnsi="Calibri"/>
                <w:b w:val="0"/>
                <w:i w:val="0"/>
                <w:color w:val="212121"/>
                <w:sz w:val="16"/>
              </w:rPr>
              <w:t>Pale, insensate, mobile masses in middle meatus</w:t>
            </w:r>
          </w:p>
        </w:tc>
        <w:tc>
          <w:tcPr>
            <w:tcW w:type="dxa" w:w="950"/>
            <w:vAlign w:val="top"/>
          </w:tcPr>
          <w:p>
            <w:pPr>
              <w:spacing w:after="40" w:before="0" w:line="259" w:lineRule="auto"/>
            </w:pPr>
            <w:r>
              <w:rPr>
                <w:rFonts w:ascii="Calibri" w:hAnsi="Calibri"/>
                <w:b w:val="0"/>
                <w:i w:val="0"/>
                <w:color w:val="212121"/>
                <w:sz w:val="16"/>
              </w:rPr>
              <w:t>Pink, sensitive, contractile turbinates</w:t>
            </w:r>
          </w:p>
        </w:tc>
        <w:tc>
          <w:tcPr>
            <w:tcW w:type="dxa" w:w="950"/>
            <w:vAlign w:val="top"/>
          </w:tcPr>
          <w:p>
            <w:pPr>
              <w:spacing w:after="40" w:before="0" w:line="259" w:lineRule="auto"/>
            </w:pPr>
            <w:r>
              <w:rPr>
                <w:rFonts w:ascii="Calibri" w:hAnsi="Calibri"/>
                <w:b w:val="0"/>
                <w:i w:val="0"/>
                <w:color w:val="212121"/>
                <w:sz w:val="16"/>
              </w:rPr>
              <w:t>Grey/bluish, semi-translucent, non-tender polyps not shrinking with decongestant</w:t>
            </w:r>
          </w:p>
        </w:tc>
        <w:tc>
          <w:tcPr>
            <w:tcW w:type="dxa" w:w="1036"/>
            <w:vAlign w:val="top"/>
          </w:tcPr>
          <w:p>
            <w:pPr>
              <w:spacing w:after="40" w:before="0" w:line="259" w:lineRule="auto"/>
            </w:pPr>
            <w:r>
              <w:rPr>
                <w:rFonts w:ascii="Calibri" w:hAnsi="Calibri"/>
                <w:b w:val="0"/>
                <w:i w:val="0"/>
                <w:color w:val="212121"/>
                <w:sz w:val="16"/>
              </w:rPr>
              <w:t>Distinguishes polyps from turbinate hypertrophy</w:t>
            </w:r>
          </w:p>
        </w:tc>
        <w:tc>
          <w:tcPr>
            <w:tcW w:type="dxa" w:w="1036"/>
            <w:vAlign w:val="top"/>
          </w:tcPr>
          <w:p>
            <w:pPr>
              <w:spacing w:after="40" w:before="0" w:line="259" w:lineRule="auto"/>
            </w:pPr>
            <w:r>
              <w:rPr>
                <w:rFonts w:ascii="Calibri" w:hAnsi="Calibri"/>
                <w:b w:val="0"/>
                <w:i w:val="0"/>
                <w:color w:val="212121"/>
                <w:sz w:val="16"/>
              </w:rPr>
              <w:t>All suspected polyposis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Insensate and non-bleeding on gentle probing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Special test</w:t>
            </w:r>
          </w:p>
        </w:tc>
        <w:tc>
          <w:tcPr>
            <w:tcW w:type="dxa" w:w="950"/>
            <w:vAlign w:val="top"/>
          </w:tcPr>
          <w:p>
            <w:pPr>
              <w:spacing w:after="40" w:before="0" w:line="259" w:lineRule="auto"/>
            </w:pPr>
            <w:r>
              <w:rPr>
                <w:rFonts w:ascii="Calibri" w:hAnsi="Calibri"/>
                <w:b w:val="0"/>
                <w:i w:val="0"/>
                <w:color w:val="212121"/>
                <w:sz w:val="16"/>
              </w:rPr>
              <w:t>Smell assessment</w:t>
            </w:r>
          </w:p>
        </w:tc>
        <w:tc>
          <w:tcPr>
            <w:tcW w:type="dxa" w:w="979"/>
            <w:vAlign w:val="top"/>
          </w:tcPr>
          <w:p>
            <w:pPr>
              <w:spacing w:after="40" w:before="0" w:line="259" w:lineRule="auto"/>
            </w:pPr>
            <w:r>
              <w:rPr>
                <w:rFonts w:ascii="Calibri" w:hAnsi="Calibri"/>
                <w:b w:val="0"/>
                <w:i w:val="0"/>
                <w:color w:val="212121"/>
                <w:sz w:val="16"/>
              </w:rPr>
              <w:t>Olfactory function</w:t>
            </w:r>
          </w:p>
        </w:tc>
        <w:tc>
          <w:tcPr>
            <w:tcW w:type="dxa" w:w="950"/>
            <w:vAlign w:val="top"/>
          </w:tcPr>
          <w:p>
            <w:pPr>
              <w:spacing w:after="40" w:before="0" w:line="259" w:lineRule="auto"/>
            </w:pPr>
            <w:r>
              <w:rPr>
                <w:rFonts w:ascii="Calibri" w:hAnsi="Calibri"/>
                <w:b w:val="0"/>
                <w:i w:val="0"/>
                <w:color w:val="212121"/>
                <w:sz w:val="16"/>
              </w:rPr>
              <w:t>Normosmia</w:t>
            </w:r>
          </w:p>
        </w:tc>
        <w:tc>
          <w:tcPr>
            <w:tcW w:type="dxa" w:w="950"/>
            <w:vAlign w:val="top"/>
          </w:tcPr>
          <w:p>
            <w:pPr>
              <w:spacing w:after="40" w:before="0" w:line="259" w:lineRule="auto"/>
            </w:pPr>
            <w:r>
              <w:rPr>
                <w:rFonts w:ascii="Calibri" w:hAnsi="Calibri"/>
                <w:b w:val="0"/>
                <w:i w:val="0"/>
                <w:color w:val="212121"/>
                <w:sz w:val="16"/>
              </w:rPr>
              <w:t>Hyposmia / anosmia</w:t>
            </w:r>
          </w:p>
        </w:tc>
        <w:tc>
          <w:tcPr>
            <w:tcW w:type="dxa" w:w="1036"/>
            <w:vAlign w:val="top"/>
          </w:tcPr>
          <w:p>
            <w:pPr>
              <w:spacing w:after="40" w:before="0" w:line="259" w:lineRule="auto"/>
            </w:pPr>
            <w:r>
              <w:rPr>
                <w:rFonts w:ascii="Calibri" w:hAnsi="Calibri"/>
                <w:b w:val="0"/>
                <w:i w:val="0"/>
                <w:color w:val="212121"/>
                <w:sz w:val="16"/>
              </w:rPr>
              <w:t>Reflects ethmoid/olfactory-cleft polyp burden and treatment response</w:t>
            </w:r>
          </w:p>
        </w:tc>
        <w:tc>
          <w:tcPr>
            <w:tcW w:type="dxa" w:w="1036"/>
            <w:vAlign w:val="top"/>
          </w:tcPr>
          <w:p>
            <w:pPr>
              <w:spacing w:after="40" w:before="0" w:line="259" w:lineRule="auto"/>
            </w:pPr>
            <w:r>
              <w:rPr>
                <w:rFonts w:ascii="Calibri" w:hAnsi="Calibri"/>
                <w:b w:val="0"/>
                <w:i w:val="0"/>
                <w:color w:val="212121"/>
                <w:sz w:val="16"/>
              </w:rPr>
              <w:t>Patients reporting smell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UPSIT or Sniffin' Sticks where available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Aspirin/NSAID reaction history</w:t>
            </w:r>
          </w:p>
        </w:tc>
        <w:tc>
          <w:tcPr>
            <w:tcW w:type="dxa" w:w="979"/>
            <w:vAlign w:val="top"/>
          </w:tcPr>
          <w:p>
            <w:pPr>
              <w:spacing w:after="40" w:before="0" w:line="259" w:lineRule="auto"/>
            </w:pPr>
            <w:r>
              <w:rPr>
                <w:rFonts w:ascii="Calibri" w:hAnsi="Calibri"/>
                <w:b w:val="0"/>
                <w:i w:val="0"/>
                <w:color w:val="212121"/>
                <w:sz w:val="16"/>
              </w:rPr>
              <w:t>Respiratory reaction to aspirin/NSAIDs</w:t>
            </w:r>
          </w:p>
        </w:tc>
        <w:tc>
          <w:tcPr>
            <w:tcW w:type="dxa" w:w="950"/>
            <w:vAlign w:val="top"/>
          </w:tcPr>
          <w:p>
            <w:pPr>
              <w:spacing w:after="40" w:before="0" w:line="259" w:lineRule="auto"/>
            </w:pPr>
            <w:r>
              <w:rPr>
                <w:rFonts w:ascii="Calibri" w:hAnsi="Calibri"/>
                <w:b w:val="0"/>
                <w:i w:val="0"/>
                <w:color w:val="212121"/>
                <w:sz w:val="16"/>
              </w:rPr>
              <w:t>No reaction</w:t>
            </w:r>
          </w:p>
        </w:tc>
        <w:tc>
          <w:tcPr>
            <w:tcW w:type="dxa" w:w="950"/>
            <w:vAlign w:val="top"/>
          </w:tcPr>
          <w:p>
            <w:pPr>
              <w:spacing w:after="40" w:before="0" w:line="259" w:lineRule="auto"/>
            </w:pPr>
            <w:r>
              <w:rPr>
                <w:rFonts w:ascii="Calibri" w:hAnsi="Calibri"/>
                <w:b w:val="0"/>
                <w:i w:val="0"/>
                <w:color w:val="212121"/>
                <w:sz w:val="16"/>
              </w:rPr>
              <w:t>Naso-ocular/bronchial reaction after NSAID</w:t>
            </w:r>
          </w:p>
        </w:tc>
        <w:tc>
          <w:tcPr>
            <w:tcW w:type="dxa" w:w="1036"/>
            <w:vAlign w:val="top"/>
          </w:tcPr>
          <w:p>
            <w:pPr>
              <w:spacing w:after="40" w:before="0" w:line="259" w:lineRule="auto"/>
            </w:pPr>
            <w:r>
              <w:rPr>
                <w:rFonts w:ascii="Calibri" w:hAnsi="Calibri"/>
                <w:b w:val="0"/>
                <w:i w:val="0"/>
                <w:color w:val="212121"/>
                <w:sz w:val="16"/>
              </w:rPr>
              <w:t>Screens for aspirin-exacerbated respiratory disease</w:t>
            </w:r>
          </w:p>
        </w:tc>
        <w:tc>
          <w:tcPr>
            <w:tcW w:type="dxa" w:w="1036"/>
            <w:vAlign w:val="top"/>
          </w:tcPr>
          <w:p>
            <w:pPr>
              <w:spacing w:after="40" w:before="0" w:line="259" w:lineRule="auto"/>
            </w:pPr>
            <w:r>
              <w:rPr>
                <w:rFonts w:ascii="Calibri" w:hAnsi="Calibri"/>
                <w:b w:val="0"/>
                <w:i w:val="0"/>
                <w:color w:val="212121"/>
                <w:sz w:val="16"/>
              </w:rPr>
              <w:t>Asthma + polyps (Samter triad)</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Positive history mandates NSAID avoidance and specialist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Asthma / atopy history</w:t>
            </w:r>
          </w:p>
        </w:tc>
        <w:tc>
          <w:tcPr>
            <w:tcW w:type="dxa" w:w="979"/>
            <w:vAlign w:val="top"/>
          </w:tcPr>
          <w:p>
            <w:pPr>
              <w:spacing w:after="40" w:before="0" w:line="259" w:lineRule="auto"/>
            </w:pPr>
            <w:r>
              <w:rPr>
                <w:rFonts w:ascii="Calibri" w:hAnsi="Calibri"/>
                <w:b w:val="0"/>
                <w:i w:val="0"/>
                <w:color w:val="212121"/>
                <w:sz w:val="16"/>
              </w:rPr>
              <w:t>Wheeze, allergic rhinitis, eczema, family history</w:t>
            </w:r>
          </w:p>
        </w:tc>
        <w:tc>
          <w:tcPr>
            <w:tcW w:type="dxa" w:w="950"/>
            <w:vAlign w:val="top"/>
          </w:tcPr>
          <w:p>
            <w:pPr>
              <w:spacing w:after="40" w:before="0" w:line="259" w:lineRule="auto"/>
            </w:pPr>
            <w:r>
              <w:rPr>
                <w:rFonts w:ascii="Calibri" w:hAnsi="Calibri"/>
                <w:b w:val="0"/>
                <w:i w:val="0"/>
                <w:color w:val="212121"/>
                <w:sz w:val="16"/>
              </w:rPr>
              <w:t>No respiratory/atopic history</w:t>
            </w:r>
          </w:p>
        </w:tc>
        <w:tc>
          <w:tcPr>
            <w:tcW w:type="dxa" w:w="950"/>
            <w:vAlign w:val="top"/>
          </w:tcPr>
          <w:p>
            <w:pPr>
              <w:spacing w:after="40" w:before="0" w:line="259" w:lineRule="auto"/>
            </w:pPr>
            <w:r>
              <w:rPr>
                <w:rFonts w:ascii="Calibri" w:hAnsi="Calibri"/>
                <w:b w:val="0"/>
                <w:i w:val="0"/>
                <w:color w:val="212121"/>
                <w:sz w:val="16"/>
              </w:rPr>
              <w:t>Coexisting asthma or atopy</w:t>
            </w:r>
          </w:p>
        </w:tc>
        <w:tc>
          <w:tcPr>
            <w:tcW w:type="dxa" w:w="1036"/>
            <w:vAlign w:val="top"/>
          </w:tcPr>
          <w:p>
            <w:pPr>
              <w:spacing w:after="40" w:before="0" w:line="259" w:lineRule="auto"/>
            </w:pPr>
            <w:r>
              <w:rPr>
                <w:rFonts w:ascii="Calibri" w:hAnsi="Calibri"/>
                <w:b w:val="0"/>
                <w:i w:val="0"/>
                <w:color w:val="212121"/>
                <w:sz w:val="16"/>
              </w:rPr>
              <w:t>Identifies united-airway type-2 disease</w:t>
            </w:r>
          </w:p>
        </w:tc>
        <w:tc>
          <w:tcPr>
            <w:tcW w:type="dxa" w:w="1036"/>
            <w:vAlign w:val="top"/>
          </w:tcPr>
          <w:p>
            <w:pPr>
              <w:spacing w:after="40" w:before="0" w:line="259" w:lineRule="auto"/>
            </w:pPr>
            <w:r>
              <w:rPr>
                <w:rFonts w:ascii="Calibri" w:hAnsi="Calibri"/>
                <w:b w:val="0"/>
                <w:i w:val="0"/>
                <w:color w:val="212121"/>
                <w:sz w:val="16"/>
              </w:rPr>
              <w:t>Asthmatic and atopic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Refer for spirometry when asthma is suspected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Laterality &amp; red-flag assessment</w:t>
            </w:r>
          </w:p>
        </w:tc>
        <w:tc>
          <w:tcPr>
            <w:tcW w:type="dxa" w:w="979"/>
            <w:vAlign w:val="top"/>
          </w:tcPr>
          <w:p>
            <w:pPr>
              <w:spacing w:after="40" w:before="0" w:line="259" w:lineRule="auto"/>
            </w:pPr>
            <w:r>
              <w:rPr>
                <w:rFonts w:ascii="Calibri" w:hAnsi="Calibri"/>
                <w:b w:val="0"/>
                <w:i w:val="0"/>
                <w:color w:val="212121"/>
                <w:sz w:val="16"/>
              </w:rPr>
              <w:t>Unilateral mass, epistaxis, pain, orbital/visual or neurological signs</w:t>
            </w:r>
          </w:p>
        </w:tc>
        <w:tc>
          <w:tcPr>
            <w:tcW w:type="dxa" w:w="950"/>
            <w:vAlign w:val="top"/>
          </w:tcPr>
          <w:p>
            <w:pPr>
              <w:spacing w:after="40" w:before="0" w:line="259" w:lineRule="auto"/>
            </w:pPr>
            <w:r>
              <w:rPr>
                <w:rFonts w:ascii="Calibri" w:hAnsi="Calibri"/>
                <w:b w:val="0"/>
                <w:i w:val="0"/>
                <w:color w:val="212121"/>
                <w:sz w:val="16"/>
              </w:rPr>
              <w:t>Bilateral symmetric polyps, no red flags</w:t>
            </w:r>
          </w:p>
        </w:tc>
        <w:tc>
          <w:tcPr>
            <w:tcW w:type="dxa" w:w="950"/>
            <w:vAlign w:val="top"/>
          </w:tcPr>
          <w:p>
            <w:pPr>
              <w:spacing w:after="40" w:before="0" w:line="259" w:lineRule="auto"/>
            </w:pPr>
            <w:r>
              <w:rPr>
                <w:rFonts w:ascii="Calibri" w:hAnsi="Calibri"/>
                <w:b w:val="0"/>
                <w:i w:val="0"/>
                <w:color w:val="212121"/>
                <w:sz w:val="16"/>
              </w:rPr>
              <w:t>Unilateral polyp, bleeding, proptosis, diplopia, cheek/orbital swelling</w:t>
            </w:r>
          </w:p>
        </w:tc>
        <w:tc>
          <w:tcPr>
            <w:tcW w:type="dxa" w:w="1036"/>
            <w:vAlign w:val="top"/>
          </w:tcPr>
          <w:p>
            <w:pPr>
              <w:spacing w:after="40" w:before="0" w:line="259" w:lineRule="auto"/>
            </w:pPr>
            <w:r>
              <w:rPr>
                <w:rFonts w:ascii="Calibri" w:hAnsi="Calibri"/>
                <w:b w:val="0"/>
                <w:i w:val="0"/>
                <w:color w:val="212121"/>
                <w:sz w:val="16"/>
              </w:rPr>
              <w:t>Flags possible neoplasm or invasive/expansile fungal disease</w:t>
            </w:r>
          </w:p>
        </w:tc>
        <w:tc>
          <w:tcPr>
            <w:tcW w:type="dxa" w:w="1036"/>
            <w:vAlign w:val="top"/>
          </w:tcPr>
          <w:p>
            <w:pPr>
              <w:spacing w:after="40" w:before="0" w:line="259" w:lineRule="auto"/>
            </w:pPr>
            <w:r>
              <w:rPr>
                <w:rFonts w:ascii="Calibri" w:hAnsi="Calibri"/>
                <w:b w:val="0"/>
                <w:i w:val="0"/>
                <w:color w:val="212121"/>
                <w:sz w:val="16"/>
              </w:rPr>
              <w:t>Any unilateral or atypical mass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Mandates imaging and biopsy before any manipulation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Posterior rhinoscopy / nasopharyngoscopy</w:t>
            </w:r>
          </w:p>
        </w:tc>
        <w:tc>
          <w:tcPr>
            <w:tcW w:type="dxa" w:w="979"/>
            <w:vAlign w:val="top"/>
          </w:tcPr>
          <w:p>
            <w:pPr>
              <w:spacing w:after="40" w:before="0" w:line="259" w:lineRule="auto"/>
            </w:pPr>
            <w:r>
              <w:rPr>
                <w:rFonts w:ascii="Calibri" w:hAnsi="Calibri"/>
                <w:b w:val="0"/>
                <w:i w:val="0"/>
                <w:color w:val="212121"/>
                <w:sz w:val="16"/>
              </w:rPr>
              <w:t>Choanal / nasopharyngeal extension</w:t>
            </w:r>
          </w:p>
        </w:tc>
        <w:tc>
          <w:tcPr>
            <w:tcW w:type="dxa" w:w="950"/>
            <w:vAlign w:val="top"/>
          </w:tcPr>
          <w:p>
            <w:pPr>
              <w:spacing w:after="40" w:before="0" w:line="259" w:lineRule="auto"/>
            </w:pPr>
            <w:r>
              <w:rPr>
                <w:rFonts w:ascii="Calibri" w:hAnsi="Calibri"/>
                <w:b w:val="0"/>
                <w:i w:val="0"/>
                <w:color w:val="212121"/>
                <w:sz w:val="16"/>
              </w:rPr>
              <w:t>Clear choana and nasopharynx</w:t>
            </w:r>
          </w:p>
        </w:tc>
        <w:tc>
          <w:tcPr>
            <w:tcW w:type="dxa" w:w="950"/>
            <w:vAlign w:val="top"/>
          </w:tcPr>
          <w:p>
            <w:pPr>
              <w:spacing w:after="40" w:before="0" w:line="259" w:lineRule="auto"/>
            </w:pPr>
            <w:r>
              <w:rPr>
                <w:rFonts w:ascii="Calibri" w:hAnsi="Calibri"/>
                <w:b w:val="0"/>
                <w:i w:val="0"/>
                <w:color w:val="212121"/>
                <w:sz w:val="16"/>
              </w:rPr>
              <w:t>Single polyp filling choana/nasopharynx (antrochoanal polyp)</w:t>
            </w:r>
          </w:p>
        </w:tc>
        <w:tc>
          <w:tcPr>
            <w:tcW w:type="dxa" w:w="1036"/>
            <w:vAlign w:val="top"/>
          </w:tcPr>
          <w:p>
            <w:pPr>
              <w:spacing w:after="40" w:before="0" w:line="259" w:lineRule="auto"/>
            </w:pPr>
            <w:r>
              <w:rPr>
                <w:rFonts w:ascii="Calibri" w:hAnsi="Calibri"/>
                <w:b w:val="0"/>
                <w:i w:val="0"/>
                <w:color w:val="212121"/>
                <w:sz w:val="16"/>
              </w:rPr>
              <w:t>Identifies antrochoanal polyp and adenoidal masses</w:t>
            </w:r>
          </w:p>
        </w:tc>
        <w:tc>
          <w:tcPr>
            <w:tcW w:type="dxa" w:w="1036"/>
            <w:vAlign w:val="top"/>
          </w:tcPr>
          <w:p>
            <w:pPr>
              <w:spacing w:after="40" w:before="0" w:line="259" w:lineRule="auto"/>
            </w:pPr>
            <w:r>
              <w:rPr>
                <w:rFonts w:ascii="Calibri" w:hAnsi="Calibri"/>
                <w:b w:val="0"/>
                <w:i w:val="0"/>
                <w:color w:val="212121"/>
                <w:sz w:val="16"/>
              </w:rPr>
              <w:t>Children/young adults with unilateral obstruction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Antrochoanal polyp arises from the maxillary antrum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Questionnaire</w:t>
            </w:r>
          </w:p>
        </w:tc>
        <w:tc>
          <w:tcPr>
            <w:tcW w:type="dxa" w:w="950"/>
            <w:vAlign w:val="top"/>
          </w:tcPr>
          <w:p>
            <w:pPr>
              <w:spacing w:after="40" w:before="0" w:line="259" w:lineRule="auto"/>
            </w:pPr>
            <w:r>
              <w:rPr>
                <w:rFonts w:ascii="Calibri" w:hAnsi="Calibri"/>
                <w:b w:val="0"/>
                <w:i w:val="0"/>
                <w:color w:val="212121"/>
                <w:sz w:val="16"/>
              </w:rPr>
              <w:t>Quality-of-life &amp; sleep screen</w:t>
            </w:r>
          </w:p>
        </w:tc>
        <w:tc>
          <w:tcPr>
            <w:tcW w:type="dxa" w:w="979"/>
            <w:vAlign w:val="top"/>
          </w:tcPr>
          <w:p>
            <w:pPr>
              <w:spacing w:after="40" w:before="0" w:line="259" w:lineRule="auto"/>
            </w:pPr>
            <w:r>
              <w:rPr>
                <w:rFonts w:ascii="Calibri" w:hAnsi="Calibri"/>
                <w:b w:val="0"/>
                <w:i w:val="0"/>
                <w:color w:val="212121"/>
                <w:sz w:val="16"/>
              </w:rPr>
              <w:t>SNOT-22 and OSA screen (e.g., STOP-BANG)</w:t>
            </w:r>
          </w:p>
        </w:tc>
        <w:tc>
          <w:tcPr>
            <w:tcW w:type="dxa" w:w="950"/>
            <w:vAlign w:val="top"/>
          </w:tcPr>
          <w:p>
            <w:pPr>
              <w:spacing w:after="40" w:before="0" w:line="259" w:lineRule="auto"/>
            </w:pPr>
            <w:r>
              <w:rPr>
                <w:rFonts w:ascii="Calibri" w:hAnsi="Calibri"/>
                <w:b w:val="0"/>
                <w:i w:val="0"/>
                <w:color w:val="212121"/>
                <w:sz w:val="16"/>
              </w:rPr>
              <w:t>Low symptom &amp; OSA-risk scores</w:t>
            </w:r>
          </w:p>
        </w:tc>
        <w:tc>
          <w:tcPr>
            <w:tcW w:type="dxa" w:w="950"/>
            <w:vAlign w:val="top"/>
          </w:tcPr>
          <w:p>
            <w:pPr>
              <w:spacing w:after="40" w:before="0" w:line="259" w:lineRule="auto"/>
            </w:pPr>
            <w:r>
              <w:rPr>
                <w:rFonts w:ascii="Calibri" w:hAnsi="Calibri"/>
                <w:b w:val="0"/>
                <w:i w:val="0"/>
                <w:color w:val="212121"/>
                <w:sz w:val="16"/>
              </w:rPr>
              <w:t>High SNOT-22; high OSA risk</w:t>
            </w:r>
          </w:p>
        </w:tc>
        <w:tc>
          <w:tcPr>
            <w:tcW w:type="dxa" w:w="1036"/>
            <w:vAlign w:val="top"/>
          </w:tcPr>
          <w:p>
            <w:pPr>
              <w:spacing w:after="40" w:before="0" w:line="259" w:lineRule="auto"/>
            </w:pPr>
            <w:r>
              <w:rPr>
                <w:rFonts w:ascii="Calibri" w:hAnsi="Calibri"/>
                <w:b w:val="0"/>
                <w:i w:val="0"/>
                <w:color w:val="212121"/>
                <w:sz w:val="16"/>
              </w:rPr>
              <w:t>Quantifies burden and flags sleep-disordered breathing</w:t>
            </w:r>
          </w:p>
        </w:tc>
        <w:tc>
          <w:tcPr>
            <w:tcW w:type="dxa" w:w="1036"/>
            <w:vAlign w:val="top"/>
          </w:tcPr>
          <w:p>
            <w:pPr>
              <w:spacing w:after="40" w:before="0" w:line="259" w:lineRule="auto"/>
            </w:pPr>
            <w:r>
              <w:rPr>
                <w:rFonts w:ascii="Calibri" w:hAnsi="Calibri"/>
                <w:b w:val="0"/>
                <w:i w:val="0"/>
                <w:color w:val="212121"/>
                <w:sz w:val="16"/>
              </w:rPr>
              <w:t>All CRSwNP, snorers, obese patients</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Guides escalation and polysomnography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Bilateral nasal obstruction / blockage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persistent blockage of both nostrils from space-occupying polyps — the cardinal symptom.</w:t>
            </w:r>
          </w:p>
        </w:tc>
      </w:tr>
      <w:tr>
        <w:trPr>
          <w:cantSplit/>
        </w:trPr>
        <w:tc>
          <w:tcPr>
            <w:tcW w:type="dxa" w:w="2304"/>
            <w:vAlign w:val="top"/>
          </w:tcPr>
          <w:p>
            <w:pPr>
              <w:spacing w:after="40" w:before="0" w:line="259" w:lineRule="auto"/>
            </w:pPr>
            <w:r>
              <w:rPr>
                <w:rFonts w:ascii="Calibri" w:hAnsi="Calibri"/>
                <w:b/>
                <w:i w:val="0"/>
                <w:color w:val="212121"/>
                <w:sz w:val="19"/>
              </w:rPr>
              <w:t>Reduced or lost sense of smell (hyposmia/anosmia)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Polyps in the olfactory cleft and ethmoids block odorants; often the earliest and most persistent complaint.</w:t>
            </w:r>
          </w:p>
        </w:tc>
      </w:tr>
      <w:tr>
        <w:trPr>
          <w:cantSplit/>
        </w:trPr>
        <w:tc>
          <w:tcPr>
            <w:tcW w:type="dxa" w:w="2304"/>
            <w:vAlign w:val="top"/>
          </w:tcPr>
          <w:p>
            <w:pPr>
              <w:spacing w:after="40" w:before="0" w:line="259" w:lineRule="auto"/>
            </w:pPr>
            <w:r>
              <w:rPr>
                <w:rFonts w:ascii="Calibri" w:hAnsi="Calibri"/>
                <w:b/>
                <w:i w:val="0"/>
                <w:color w:val="212121"/>
                <w:sz w:val="19"/>
              </w:rPr>
              <w:t>Reduced sense of taste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Flavour perception falls secondary to impaired smell.</w:t>
            </w:r>
          </w:p>
        </w:tc>
      </w:tr>
      <w:tr>
        <w:trPr>
          <w:cantSplit/>
        </w:trPr>
        <w:tc>
          <w:tcPr>
            <w:tcW w:type="dxa" w:w="2304"/>
            <w:vAlign w:val="top"/>
          </w:tcPr>
          <w:p>
            <w:pPr>
              <w:spacing w:after="40" w:before="0" w:line="259" w:lineRule="auto"/>
            </w:pPr>
            <w:r>
              <w:rPr>
                <w:rFonts w:ascii="Calibri" w:hAnsi="Calibri"/>
                <w:b/>
                <w:i w:val="0"/>
                <w:color w:val="212121"/>
                <w:sz w:val="19"/>
              </w:rPr>
              <w:t>Nasal discharge / rhinorrhoea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Watery to thick anterior discharge; may be mucopurulent with secondary infection.</w:t>
            </w:r>
          </w:p>
        </w:tc>
      </w:tr>
      <w:tr>
        <w:trPr>
          <w:cantSplit/>
        </w:trPr>
        <w:tc>
          <w:tcPr>
            <w:tcW w:type="dxa" w:w="2304"/>
            <w:vAlign w:val="top"/>
          </w:tcPr>
          <w:p>
            <w:pPr>
              <w:spacing w:after="40" w:before="0" w:line="259" w:lineRule="auto"/>
            </w:pPr>
            <w:r>
              <w:rPr>
                <w:rFonts w:ascii="Calibri" w:hAnsi="Calibri"/>
                <w:b/>
                <w:i w:val="0"/>
                <w:color w:val="212121"/>
                <w:sz w:val="19"/>
              </w:rPr>
              <w:t>Postnasal drip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Mucus dripping into the throat causing throat-clearing and chronic cough.</w:t>
            </w:r>
          </w:p>
        </w:tc>
      </w:tr>
      <w:tr>
        <w:trPr>
          <w:cantSplit/>
        </w:trPr>
        <w:tc>
          <w:tcPr>
            <w:tcW w:type="dxa" w:w="2304"/>
            <w:vAlign w:val="top"/>
          </w:tcPr>
          <w:p>
            <w:pPr>
              <w:spacing w:after="40" w:before="0" w:line="259" w:lineRule="auto"/>
            </w:pPr>
            <w:r>
              <w:rPr>
                <w:rFonts w:ascii="Calibri" w:hAnsi="Calibri"/>
                <w:b/>
                <w:i w:val="0"/>
                <w:color w:val="212121"/>
                <w:sz w:val="19"/>
              </w:rPr>
              <w:t>Nasal congestion &amp; obligate mouth-breathing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Constant stuffiness forces mouth-breathing, dry mouth and disturbed sleep.</w:t>
            </w:r>
          </w:p>
        </w:tc>
      </w:tr>
      <w:tr>
        <w:trPr>
          <w:cantSplit/>
        </w:trPr>
        <w:tc>
          <w:tcPr>
            <w:tcW w:type="dxa" w:w="2304"/>
            <w:vAlign w:val="top"/>
          </w:tcPr>
          <w:p>
            <w:pPr>
              <w:spacing w:after="40" w:before="0" w:line="259" w:lineRule="auto"/>
            </w:pPr>
            <w:r>
              <w:rPr>
                <w:rFonts w:ascii="Calibri" w:hAnsi="Calibri"/>
                <w:b/>
                <w:i w:val="0"/>
                <w:color w:val="212121"/>
                <w:sz w:val="19"/>
              </w:rPr>
              <w:t>Facial pressure / heaviness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fullness over the cheeks, nasal bridge or forehead from sinus obstruction.</w:t>
            </w:r>
          </w:p>
        </w:tc>
      </w:tr>
      <w:tr>
        <w:trPr>
          <w:cantSplit/>
        </w:trPr>
        <w:tc>
          <w:tcPr>
            <w:tcW w:type="dxa" w:w="2304"/>
            <w:vAlign w:val="top"/>
          </w:tcPr>
          <w:p>
            <w:pPr>
              <w:spacing w:after="40" w:before="0" w:line="259" w:lineRule="auto"/>
            </w:pPr>
            <w:r>
              <w:rPr>
                <w:rFonts w:ascii="Calibri" w:hAnsi="Calibri"/>
                <w:b/>
                <w:i w:val="0"/>
                <w:color w:val="212121"/>
                <w:sz w:val="19"/>
              </w:rPr>
              <w:t>Hyponasal (blocked) voice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nasal resonance ('rhinolalia clausa') from obstruction of the nasal airway.</w:t>
            </w:r>
          </w:p>
        </w:tc>
      </w:tr>
      <w:tr>
        <w:trPr>
          <w:cantSplit/>
        </w:trPr>
        <w:tc>
          <w:tcPr>
            <w:tcW w:type="dxa" w:w="2304"/>
            <w:vAlign w:val="top"/>
          </w:tcPr>
          <w:p>
            <w:pPr>
              <w:spacing w:after="40" w:before="0" w:line="259" w:lineRule="auto"/>
            </w:pPr>
            <w:r>
              <w:rPr>
                <w:rFonts w:ascii="Calibri" w:hAnsi="Calibri"/>
                <w:b/>
                <w:i w:val="0"/>
                <w:color w:val="212121"/>
                <w:sz w:val="19"/>
              </w:rPr>
              <w:t>Snoring &amp; disturbed / unrefreshing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Nasal obstruction fragments sleep and predisposes to obstructive sleep apnoea.</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Frontal or diffuse headache related to sinus obstruction and pressure.</w:t>
            </w:r>
          </w:p>
        </w:tc>
      </w:tr>
      <w:tr>
        <w:trPr>
          <w:cantSplit/>
        </w:trPr>
        <w:tc>
          <w:tcPr>
            <w:tcW w:type="dxa" w:w="2304"/>
            <w:vAlign w:val="top"/>
          </w:tcPr>
          <w:p>
            <w:pPr>
              <w:spacing w:after="40" w:before="0" w:line="259" w:lineRule="auto"/>
            </w:pPr>
            <w:r>
              <w:rPr>
                <w:rFonts w:ascii="Calibri" w:hAnsi="Calibri"/>
                <w:b/>
                <w:i w:val="0"/>
                <w:color w:val="212121"/>
                <w:sz w:val="19"/>
              </w:rPr>
              <w:t>Sneezing and nasal/ocular itch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when allergic rhinitis or fungal sensitisation coexists.</w:t>
            </w:r>
          </w:p>
        </w:tc>
      </w:tr>
      <w:tr>
        <w:trPr>
          <w:cantSplit/>
        </w:trPr>
        <w:tc>
          <w:tcPr>
            <w:tcW w:type="dxa" w:w="2304"/>
            <w:vAlign w:val="top"/>
          </w:tcPr>
          <w:p>
            <w:pPr>
              <w:spacing w:after="40" w:before="0" w:line="259" w:lineRule="auto"/>
            </w:pPr>
            <w:r>
              <w:rPr>
                <w:rFonts w:ascii="Calibri" w:hAnsi="Calibri"/>
                <w:b/>
                <w:i w:val="0"/>
                <w:color w:val="212121"/>
                <w:sz w:val="19"/>
              </w:rPr>
              <w:t>Minor epistaxis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Occasional blood-streaked mucus; frank/unilateral bleeding is a red flag for neoplasm.</w:t>
            </w:r>
          </w:p>
        </w:tc>
      </w:tr>
      <w:tr>
        <w:trPr>
          <w:cantSplit/>
        </w:trPr>
        <w:tc>
          <w:tcPr>
            <w:tcW w:type="dxa" w:w="2304"/>
            <w:vAlign w:val="top"/>
          </w:tcPr>
          <w:p>
            <w:pPr>
              <w:spacing w:after="40" w:before="0" w:line="259" w:lineRule="auto"/>
            </w:pPr>
            <w:r>
              <w:rPr>
                <w:rFonts w:ascii="Calibri" w:hAnsi="Calibri"/>
                <w:b/>
                <w:i w:val="0"/>
                <w:color w:val="212121"/>
                <w:sz w:val="19"/>
              </w:rPr>
              <w:t>Visual disturbance / diplopia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orbital extension of a large or allergic-fungal polyp — needs urgent imaging.</w:t>
            </w:r>
          </w:p>
        </w:tc>
      </w:tr>
      <w:tr>
        <w:trPr>
          <w:cantSplit/>
        </w:trPr>
        <w:tc>
          <w:tcPr>
            <w:tcW w:type="dxa" w:w="2304"/>
            <w:vAlign w:val="top"/>
          </w:tcPr>
          <w:p>
            <w:pPr>
              <w:spacing w:after="40" w:before="0" w:line="259" w:lineRule="auto"/>
            </w:pPr>
            <w:r>
              <w:rPr>
                <w:rFonts w:ascii="Calibri" w:hAnsi="Calibri"/>
                <w:b/>
                <w:i w:val="0"/>
                <w:color w:val="212121"/>
                <w:sz w:val="19"/>
              </w:rPr>
              <w:t>Facial deformity / broadening of the nasal bridge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Massive polyposis or AFRS, especially in children, can remodel bone (frog-face/hypertelorism).</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Pale, semi-translucent, grey/bluish smooth mobile masses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Seen on anterior rhinoscopy/endoscopy in the middle meatus — the defining physical finding.</w:t>
            </w:r>
          </w:p>
        </w:tc>
      </w:tr>
      <w:tr>
        <w:trPr>
          <w:cantSplit/>
        </w:trPr>
        <w:tc>
          <w:tcPr>
            <w:tcW w:type="dxa" w:w="3456"/>
            <w:vAlign w:val="top"/>
          </w:tcPr>
          <w:p>
            <w:pPr>
              <w:spacing w:after="40" w:before="0" w:line="259" w:lineRule="auto"/>
            </w:pPr>
            <w:r>
              <w:rPr>
                <w:rFonts w:ascii="Calibri" w:hAnsi="Calibri"/>
                <w:b/>
                <w:i w:val="0"/>
                <w:color w:val="212121"/>
                <w:sz w:val="19"/>
              </w:rPr>
              <w:t>Insensate, non-tender, non-bleeding on probing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Gentle probing causes no pain or bleeding, unlike a sensitive, vascular turbinate.</w:t>
            </w:r>
          </w:p>
        </w:tc>
      </w:tr>
      <w:tr>
        <w:trPr>
          <w:cantSplit/>
        </w:trPr>
        <w:tc>
          <w:tcPr>
            <w:tcW w:type="dxa" w:w="3456"/>
            <w:vAlign w:val="top"/>
          </w:tcPr>
          <w:p>
            <w:pPr>
              <w:spacing w:after="40" w:before="0" w:line="259" w:lineRule="auto"/>
            </w:pPr>
            <w:r>
              <w:rPr>
                <w:rFonts w:ascii="Calibri" w:hAnsi="Calibri"/>
                <w:b/>
                <w:i w:val="0"/>
                <w:color w:val="212121"/>
                <w:sz w:val="19"/>
              </w:rPr>
              <w:t>No shrinkage with topical decongestant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Polyps stay unchanged after decongestant, whereas turbinates contract — a key bedside discriminator.</w:t>
            </w:r>
          </w:p>
        </w:tc>
      </w:tr>
      <w:tr>
        <w:trPr>
          <w:cantSplit/>
        </w:trPr>
        <w:tc>
          <w:tcPr>
            <w:tcW w:type="dxa" w:w="3456"/>
            <w:vAlign w:val="top"/>
          </w:tcPr>
          <w:p>
            <w:pPr>
              <w:spacing w:after="40" w:before="0" w:line="259" w:lineRule="auto"/>
            </w:pPr>
            <w:r>
              <w:rPr>
                <w:rFonts w:ascii="Calibri" w:hAnsi="Calibri"/>
                <w:b/>
                <w:i w:val="0"/>
                <w:color w:val="212121"/>
                <w:sz w:val="19"/>
              </w:rPr>
              <w:t>Thick mucin or mucopurulent discharge in middle meatus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Eosinophilic ('allergic') mucin is characteristic of eosinophilic and allergic-fungal disease.</w:t>
            </w:r>
          </w:p>
        </w:tc>
      </w:tr>
      <w:tr>
        <w:trPr>
          <w:cantSplit/>
        </w:trPr>
        <w:tc>
          <w:tcPr>
            <w:tcW w:type="dxa" w:w="3456"/>
            <w:vAlign w:val="top"/>
          </w:tcPr>
          <w:p>
            <w:pPr>
              <w:spacing w:after="40" w:before="0" w:line="259" w:lineRule="auto"/>
            </w:pPr>
            <w:r>
              <w:rPr>
                <w:rFonts w:ascii="Calibri" w:hAnsi="Calibri"/>
                <w:b/>
                <w:i w:val="0"/>
                <w:color w:val="212121"/>
                <w:sz w:val="19"/>
              </w:rPr>
              <w:t>Hyponasal voice and obligate mouth-breathing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signs of significant bilateral nasal airway obstruction.</w:t>
            </w:r>
          </w:p>
        </w:tc>
      </w:tr>
      <w:tr>
        <w:trPr>
          <w:cantSplit/>
        </w:trPr>
        <w:tc>
          <w:tcPr>
            <w:tcW w:type="dxa" w:w="3456"/>
            <w:vAlign w:val="top"/>
          </w:tcPr>
          <w:p>
            <w:pPr>
              <w:spacing w:after="40" w:before="0" w:line="259" w:lineRule="auto"/>
            </w:pPr>
            <w:r>
              <w:rPr>
                <w:rFonts w:ascii="Calibri" w:hAnsi="Calibri"/>
                <w:b/>
                <w:i w:val="0"/>
                <w:color w:val="212121"/>
                <w:sz w:val="19"/>
              </w:rPr>
              <w:t>Anosmia on formal smell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Demonstrable smell loss correlates with ethmoid/olfactory-cleft polyp burden.</w:t>
            </w:r>
          </w:p>
        </w:tc>
      </w:tr>
      <w:tr>
        <w:trPr>
          <w:cantSplit/>
        </w:trPr>
        <w:tc>
          <w:tcPr>
            <w:tcW w:type="dxa" w:w="3456"/>
            <w:vAlign w:val="top"/>
          </w:tcPr>
          <w:p>
            <w:pPr>
              <w:spacing w:after="40" w:before="0" w:line="259" w:lineRule="auto"/>
            </w:pPr>
            <w:r>
              <w:rPr>
                <w:rFonts w:ascii="Calibri" w:hAnsi="Calibri"/>
                <w:b/>
                <w:i w:val="0"/>
                <w:color w:val="212121"/>
                <w:sz w:val="19"/>
              </w:rPr>
              <w:t>Reduced peak nasal inspiratory flow</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 measure of the degree of nasal airway obstruction.</w:t>
            </w:r>
          </w:p>
        </w:tc>
      </w:tr>
      <w:tr>
        <w:trPr>
          <w:cantSplit/>
        </w:trPr>
        <w:tc>
          <w:tcPr>
            <w:tcW w:type="dxa" w:w="3456"/>
            <w:vAlign w:val="top"/>
          </w:tcPr>
          <w:p>
            <w:pPr>
              <w:spacing w:after="40" w:before="0" w:line="259" w:lineRule="auto"/>
            </w:pPr>
            <w:r>
              <w:rPr>
                <w:rFonts w:ascii="Calibri" w:hAnsi="Calibri"/>
                <w:b/>
                <w:i w:val="0"/>
                <w:color w:val="212121"/>
                <w:sz w:val="19"/>
              </w:rPr>
              <w:t>Solitary polyp visible in the nasopharynx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On posterior rhinoscopy/endoscopy suggests an antrochoanal polyp arising from the maxillary antrum.</w:t>
            </w:r>
          </w:p>
        </w:tc>
      </w:tr>
      <w:tr>
        <w:trPr>
          <w:cantSplit/>
        </w:trPr>
        <w:tc>
          <w:tcPr>
            <w:tcW w:type="dxa" w:w="3456"/>
            <w:vAlign w:val="top"/>
          </w:tcPr>
          <w:p>
            <w:pPr>
              <w:spacing w:after="40" w:before="0" w:line="259" w:lineRule="auto"/>
            </w:pPr>
            <w:r>
              <w:rPr>
                <w:rFonts w:ascii="Calibri" w:hAnsi="Calibri"/>
                <w:b/>
                <w:i w:val="0"/>
                <w:color w:val="212121"/>
                <w:sz w:val="19"/>
              </w:rPr>
              <w:t>Broadening of the nasal bridge / hypertelorism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'Frog-face' deformity from massive polyposis or expansile allergic-fungal disease, mainly in children.</w:t>
            </w:r>
          </w:p>
        </w:tc>
      </w:tr>
      <w:tr>
        <w:trPr>
          <w:cantSplit/>
        </w:trPr>
        <w:tc>
          <w:tcPr>
            <w:tcW w:type="dxa" w:w="3456"/>
            <w:vAlign w:val="top"/>
          </w:tcPr>
          <w:p>
            <w:pPr>
              <w:spacing w:after="40" w:before="0" w:line="259" w:lineRule="auto"/>
            </w:pPr>
            <w:r>
              <w:rPr>
                <w:rFonts w:ascii="Calibri" w:hAnsi="Calibri"/>
                <w:b/>
                <w:i w:val="0"/>
                <w:color w:val="212121"/>
                <w:sz w:val="19"/>
              </w:rPr>
              <w:t>Proptosis / restricted eye movements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Orbital displacement from bulky AFRS or expansile disease eroding the lamina papyracea — urgent.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bilateral nasal obstruction and obligate mouth-breathing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hyposmia / anosmia and reduced taste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chronic-rhinosinusitis exacerbations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Sleep-disordered breathing and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Mucocele / mucopyocele formation from obstructed sinus outflow</w:t>
            </w:r>
          </w:p>
        </w:tc>
        <w:tc>
          <w:tcPr>
            <w:tcW w:type="dxa" w:w="2980"/>
            <w:vAlign w:val="top"/>
          </w:tcPr>
          <w:p>
            <w:pPr>
              <w:spacing w:after="40" w:before="0" w:line="259" w:lineRule="auto"/>
            </w:pPr>
            <w:r>
              <w:rPr>
                <w:rFonts w:ascii="Calibri" w:hAnsi="Calibri"/>
                <w:b w:val="0"/>
                <w:i w:val="0"/>
                <w:color w:val="212121"/>
                <w:sz w:val="19"/>
              </w:rPr>
              <w:t>Direct consequences of space-occupying polyps and obstructed sinus drainage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sinusitis and acute exacerbations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or poorly controlled asthma (united airway)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Eustachian-tube dysfunction and otitis media with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Orbital extension — proptosis, diplopia (especially AFRS)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Bony remodelling and erosion from expansile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Markedly reduced quality of life, with depression and anxiety</w:t>
            </w:r>
          </w:p>
        </w:tc>
        <w:tc>
          <w:tcPr>
            <w:tcW w:type="dxa" w:w="2980"/>
            <w:vAlign w:val="top"/>
          </w:tcPr>
          <w:p>
            <w:pPr>
              <w:spacing w:after="40" w:before="0" w:line="259" w:lineRule="auto"/>
            </w:pPr>
            <w:r>
              <w:rPr>
                <w:rFonts w:ascii="Calibri" w:hAnsi="Calibri"/>
                <w:b w:val="0"/>
                <w:i w:val="0"/>
                <w:color w:val="212121"/>
                <w:sz w:val="19"/>
              </w:rPr>
              <w:t>Arise from chronic inflammation, obstruction, infection and expansile/eosinophilic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after surgery requiring revision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dependence on intranasal/systemic corticosteroids or biologic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(irreversible) anosmia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Intracranial or intra-orbital extension of allergic-fungal disease (sight- or life-threatening)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Skull-base erosion by mucopyocele</w:t>
            </w:r>
          </w:p>
        </w:tc>
        <w:tc>
          <w:tcPr>
            <w:tcW w:type="dxa" w:w="2980"/>
            <w:vAlign w:val="top"/>
          </w:tcPr>
          <w:p>
            <w:pPr>
              <w:spacing w:after="40" w:before="0" w:line="259" w:lineRule="auto"/>
            </w:pPr>
            <w:r>
              <w:rPr>
                <w:rFonts w:ascii="Calibri" w:hAnsi="Calibri"/>
                <w:b w:val="0"/>
                <w:i w:val="0"/>
                <w:color w:val="212121"/>
                <w:sz w:val="19"/>
              </w:rPr>
              <w:t>Irreversible or high-burden outcomes of longstanding, recurrent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Asthma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type-2 eosinophilic inflammation across the united airway; coexisting asthma predicts more severe, recurrent polyps and worse control of both conditions.</w:t>
            </w:r>
          </w:p>
          <w:p>
            <w:pPr>
              <w:spacing w:after="40" w:before="0" w:line="259" w:lineRule="auto"/>
            </w:pPr>
            <w:r>
              <w:rPr>
                <w:rFonts w:ascii="Calibri" w:hAnsi="Calibri"/>
                <w:b/>
                <w:i w:val="0"/>
                <w:color w:val="212121"/>
                <w:sz w:val="19"/>
              </w:rPr>
              <w:t>20-50% of nasal-polyp patients</w:t>
            </w:r>
          </w:p>
        </w:tc>
      </w:tr>
      <w:tr>
        <w:trPr>
          <w:cantSplit/>
        </w:trPr>
        <w:tc>
          <w:tcPr>
            <w:tcW w:type="dxa" w:w="2232"/>
            <w:vAlign w:val="top"/>
          </w:tcPr>
          <w:p>
            <w:pPr>
              <w:spacing w:after="40" w:before="0" w:line="259" w:lineRule="auto"/>
            </w:pPr>
            <w:r>
              <w:rPr>
                <w:rFonts w:ascii="Calibri" w:hAnsi="Calibri"/>
                <w:b/>
                <w:i w:val="0"/>
                <w:color w:val="212121"/>
                <w:sz w:val="19"/>
              </w:rPr>
              <w:t>Allergic fungal rhinosinusitis (AFRS)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intense allergic reaction to inhaled fungi (esp. Aspergillus flavus) generating eosinophilic mucin and expansile polyps; a major driver of polyposis in India.</w:t>
            </w:r>
          </w:p>
          <w:p>
            <w:pPr>
              <w:spacing w:after="40" w:before="0" w:line="259" w:lineRule="auto"/>
            </w:pPr>
            <w:r>
              <w:rPr>
                <w:rFonts w:ascii="Calibri" w:hAnsi="Calibri"/>
                <w:b/>
                <w:i w:val="0"/>
                <w:color w:val="212121"/>
                <w:sz w:val="19"/>
              </w:rPr>
              <w:t>Up to ~25% of NP cases (India)</w:t>
            </w:r>
          </w:p>
        </w:tc>
      </w:tr>
      <w:tr>
        <w:trPr>
          <w:cantSplit/>
        </w:trPr>
        <w:tc>
          <w:tcPr>
            <w:tcW w:type="dxa" w:w="2232"/>
            <w:vAlign w:val="top"/>
          </w:tcPr>
          <w:p>
            <w:pPr>
              <w:spacing w:after="40" w:before="0" w:line="259" w:lineRule="auto"/>
            </w:pPr>
            <w:r>
              <w:rPr>
                <w:rFonts w:ascii="Calibri" w:hAnsi="Calibri"/>
                <w:b/>
                <w:i w:val="0"/>
                <w:color w:val="212121"/>
                <w:sz w:val="19"/>
              </w:rPr>
              <w:t>Aspirin-exacerbated respiratory disease (Samter triad)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Asthma + nasal polyps + NSAID sensitivity producing aggressive, rapidly recurrent, treatment-resistant polyposis; may warrant aspirin desensitisation.</w:t>
            </w:r>
          </w:p>
          <w:p>
            <w:pPr>
              <w:spacing w:after="40" w:before="0" w:line="259" w:lineRule="auto"/>
            </w:pPr>
            <w:r>
              <w:rPr>
                <w:rFonts w:ascii="Calibri" w:hAnsi="Calibri"/>
                <w:b/>
                <w:i w:val="0"/>
                <w:color w:val="212121"/>
                <w:sz w:val="19"/>
              </w:rPr>
              <w:t>~9.7% of NP patients</w:t>
            </w:r>
          </w:p>
        </w:tc>
      </w:tr>
      <w:tr>
        <w:trPr>
          <w:cantSplit/>
        </w:trPr>
        <w:tc>
          <w:tcPr>
            <w:tcW w:type="dxa" w:w="2232"/>
            <w:vAlign w:val="top"/>
          </w:tcPr>
          <w:p>
            <w:pPr>
              <w:spacing w:after="40" w:before="0" w:line="259" w:lineRule="auto"/>
            </w:pPr>
            <w:r>
              <w:rPr>
                <w:rFonts w:ascii="Calibri" w:hAnsi="Calibri"/>
                <w:b/>
                <w:i w:val="0"/>
                <w:color w:val="212121"/>
                <w:sz w:val="19"/>
              </w:rPr>
              <w:t>Allergic rhinitis / atopy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allergic, eosinophilic upper-airway inflammation frequently coexists and amplifies obstruction and rhinorrhoea.</w:t>
            </w:r>
          </w:p>
        </w:tc>
      </w:tr>
      <w:tr>
        <w:trPr>
          <w:cantSplit/>
        </w:trPr>
        <w:tc>
          <w:tcPr>
            <w:tcW w:type="dxa" w:w="2232"/>
            <w:vAlign w:val="top"/>
          </w:tcPr>
          <w:p>
            <w:pPr>
              <w:spacing w:after="40" w:before="0" w:line="259" w:lineRule="auto"/>
            </w:pPr>
            <w:r>
              <w:rPr>
                <w:rFonts w:ascii="Calibri" w:hAnsi="Calibri"/>
                <w:b/>
                <w:i w:val="0"/>
                <w:color w:val="212121"/>
                <w:sz w:val="19"/>
              </w:rPr>
              <w:t>Aspirin/NSAID (analgesic) intolerance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Analgesic intolerance is common in polyp patients and dictates avoidance of COX-1 NSAIDs.</w:t>
            </w:r>
          </w:p>
          <w:p>
            <w:pPr>
              <w:spacing w:after="40" w:before="0" w:line="259" w:lineRule="auto"/>
            </w:pPr>
            <w:r>
              <w:rPr>
                <w:rFonts w:ascii="Calibri" w:hAnsi="Calibri"/>
                <w:b/>
                <w:i w:val="0"/>
                <w:color w:val="212121"/>
                <w:sz w:val="19"/>
              </w:rPr>
              <w:t>Up to 36%</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Bilateral nasal obstruction from polyps predisposes to and worsens sleep-disordered breathing; each aggravates the other.</w:t>
            </w:r>
          </w:p>
        </w:tc>
      </w:tr>
      <w:tr>
        <w:trPr>
          <w:cantSplit/>
        </w:trPr>
        <w:tc>
          <w:tcPr>
            <w:tcW w:type="dxa" w:w="2232"/>
            <w:vAlign w:val="top"/>
          </w:tcPr>
          <w:p>
            <w:pPr>
              <w:spacing w:after="40" w:before="0" w:line="259" w:lineRule="auto"/>
            </w:pPr>
            <w:r>
              <w:rPr>
                <w:rFonts w:ascii="Calibri" w:hAnsi="Calibri"/>
                <w:b/>
                <w:i w:val="0"/>
                <w:color w:val="212121"/>
                <w:sz w:val="19"/>
              </w:rPr>
              <w:t>Cystic fibrosis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CFTR-related thick secretions and impaired clearance cause early bilateral polyps; the leading systemic cause of paediatric polyposis.</w:t>
            </w:r>
          </w:p>
          <w:p>
            <w:pPr>
              <w:spacing w:after="40" w:before="0" w:line="259" w:lineRule="auto"/>
            </w:pPr>
            <w:r>
              <w:rPr>
                <w:rFonts w:ascii="Calibri" w:hAnsi="Calibri"/>
                <w:b/>
                <w:i w:val="0"/>
                <w:color w:val="212121"/>
                <w:sz w:val="19"/>
              </w:rPr>
              <w:t>Nasal polyps in 6-44% of CF</w:t>
            </w:r>
          </w:p>
        </w:tc>
      </w:tr>
      <w:tr>
        <w:trPr>
          <w:cantSplit/>
        </w:trPr>
        <w:tc>
          <w:tcPr>
            <w:tcW w:type="dxa" w:w="2232"/>
            <w:vAlign w:val="top"/>
          </w:tcPr>
          <w:p>
            <w:pPr>
              <w:spacing w:after="40" w:before="0" w:line="259" w:lineRule="auto"/>
            </w:pPr>
            <w:r>
              <w:rPr>
                <w:rFonts w:ascii="Calibri" w:hAnsi="Calibri"/>
                <w:b/>
                <w:i w:val="0"/>
                <w:color w:val="212121"/>
                <w:sz w:val="19"/>
              </w:rPr>
              <w:t>Chronic rhinosinusitis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Nasal polyps define the CRSwNP subtype; the two are inseparable expressions of the same disease.</w:t>
            </w:r>
          </w:p>
        </w:tc>
      </w:tr>
      <w:tr>
        <w:trPr>
          <w:cantSplit/>
        </w:trPr>
        <w:tc>
          <w:tcPr>
            <w:tcW w:type="dxa" w:w="2232"/>
            <w:vAlign w:val="top"/>
          </w:tcPr>
          <w:p>
            <w:pPr>
              <w:spacing w:after="40" w:before="0" w:line="259" w:lineRule="auto"/>
            </w:pPr>
            <w:r>
              <w:rPr>
                <w:rFonts w:ascii="Calibri" w:hAnsi="Calibri"/>
                <w:b/>
                <w:i w:val="0"/>
                <w:color w:val="212121"/>
                <w:sz w:val="19"/>
              </w:rPr>
              <w:t>Primary ciliary dyskinesia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Defective mucociliary clearance causes stasis, chronic infection and paediatric polyps.</w:t>
            </w:r>
          </w:p>
        </w:tc>
      </w:tr>
      <w:tr>
        <w:trPr>
          <w:cantSplit/>
        </w:trPr>
        <w:tc>
          <w:tcPr>
            <w:tcW w:type="dxa" w:w="2232"/>
            <w:vAlign w:val="top"/>
          </w:tcPr>
          <w:p>
            <w:pPr>
              <w:spacing w:after="40" w:before="0" w:line="259" w:lineRule="auto"/>
            </w:pPr>
            <w:r>
              <w:rPr>
                <w:rFonts w:ascii="Calibri" w:hAnsi="Calibri"/>
                <w:b/>
                <w:i w:val="0"/>
                <w:color w:val="212121"/>
                <w:sz w:val="19"/>
              </w:rPr>
              <w:t>Eosinophilic granulomatosis with polyangiitis (EGPA)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Nasal polyposis is a frequent sinonasal feature of this eosinophilic vasculitis; new systemic symptoms warrant work-up.</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greater sinonasal symptom burden and a much higher risk of coexisting OSA.</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Persistent obstruction, anosmia, facial pressure and disturbed sleep substantially reduce quality of life and drive mood symptoms.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persistent (&gt;12 week) bilateral nasal blockage with loss of smell, runny nose and facial pressure as reasons to seek an ENT assessment rather than repeated over-the-counter decongestants.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had any breathing or nasal reaction to aspirin or pain-killers (NSAIDs), tell your doctor and avoid these drugs — they can trigger severe flare-ups (aspirin-exacerbated respiratory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one-sided polyps, nose bleeds, severe facial pain, eye swelling, double vision or a change in vision — these are red flags that need imaging.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in children nasal polyps are uncommon and may point to cystic fibrosis, so appropriate testing is important.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intranasal corticosteroid sprays regularly and correctly (aim into the nostril, away from the septum) — they are the mainstay of long-term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to tobacco smoke, cooking (biomass) smoke, dust and strong fumes, which keep the nasal lining inflamed.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chronic nasal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Asthmatics / atopic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children with polyps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&amp; biomass-exposed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daily intranasal corticosteroids and saline irrigation even when symptoms improve, as polyps commonly recur if treatment stops.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endoscopic follow-up so polyp grade and symptoms can be tracked and treatment stepped up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about short oral-steroid courses, and about biologic (anti-IL-4/5/IgE) therapy or aspirin desensitisation when disease is severe, recurrent or associated with asthma/AERD.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endoscopic sinus surgery relieves obstruction and restores drainage but is not a cure — ongoing medical therapy after surgery prevents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asthma well controlled and coordinate ENT and chest care, since the upper and lower airway behave as 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 recurrent CRSwNP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AERD &amp; asthmatic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as this lowers sinonasal symptom burden and the risk of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 aerobic activity (e.g., ≥150 minutes/week of brisk walking) to reduce systemic inflammation and improve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clean-air environments for outdoor exercise and avoid high-pollution or high-pollen times of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saline rinses after dusty or high-pollen activity to clear irritants from the nose.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dwellers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aspirin-exacerbated respiratory disease, avoid aspirin and COX-1 NSAIDs, and discuss whether very high-salicylate foods provoke your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antioxidant-rich, anti-inflammatory diet with plenty of fruits, vegetables, whole grains and omega-3 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and pro-inflammatory foods that may aggravate type-2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keep nasal secretions thin and support mucociliary clearance.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 eosinophilic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CRSwNP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obstruction actively (intranasal steroids, saline, and surgery where indicated) to improve breathing and sleep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with the head slightly elevated to ease night-time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screened for obstructive sleep apnoea if you snore loudly, wake unrefreshed or have witnessed breathing pauses, and use CPAP if prescribed.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free of dust, smoke and strong fragrances that trigger congestion.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obstruction/snoring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OSA-risk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avoid second-hand smoke, which worsen chronic rhinosinusitis and increase recurrence after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to clean cooking fuels and improve kitchen ventilation to cut indoor biomass-smoke exposure, especially for women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appropriate respiratory protection when exposed to occupational dusts, wood particles or chemical fumes.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nicotine-replacement or cessation support to help quit successfully.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biomass-exposed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 particularly wine — if it reliably triggers nasal congestion or breathing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especially cautious with alcohol if you have aspirin-exacerbated respiratory disease, as reactions can be marked.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Track which drinks provoke symptoms and avoid those triggers.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CRSwNP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Alcohol-sensitive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that long-standing loss of smell, blocked breathing and poor sleep commonly cause low mood and anxiety, and that treating the disease improves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validated questionnaires (e.g., SNOT-22) with your clinician to track symptom and quality-of-life burden over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psychological support or counselling if anosmia or chronic symptoms are affecting mood, appetite or daily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sleep and physical activity, which support mental well-being alongside medical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anosmia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Severe/refractory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Poor-sleep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chapter/10.1007/978-3-031-33199-2_2" TargetMode="External"/><Relationship Id="rId10" Type="http://schemas.openxmlformats.org/officeDocument/2006/relationships/hyperlink" Target="https://emedicine.medscape.com/article/994274-overview" TargetMode="External"/><Relationship Id="rId11" Type="http://schemas.openxmlformats.org/officeDocument/2006/relationships/hyperlink" Target="https://link.springer.com/article/10.1007/s12070-021-02937-7" TargetMode="External"/><Relationship Id="rId12" Type="http://schemas.openxmlformats.org/officeDocument/2006/relationships/hyperlink" Target="https://pmc.ncbi.nlm.nih.gov/articles/PMC8590820/" TargetMode="External"/><Relationship Id="rId13" Type="http://schemas.openxmlformats.org/officeDocument/2006/relationships/hyperlink" Target="https://pmc.ncbi.nlm.nih.gov/articles/PMC4681694/" TargetMode="External"/><Relationship Id="rId14" Type="http://schemas.openxmlformats.org/officeDocument/2006/relationships/hyperlink" Target="https://pubmed.ncbi.nlm.nih.gov/25282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