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Vocal Cord Nodules / Polyps</w:t>
      </w:r>
    </w:p>
    <w:p>
      <w:pPr>
        <w:spacing w:before="0" w:after="160"/>
      </w:pPr>
      <w:r>
        <w:rPr>
          <w:rFonts w:ascii="Calibri" w:hAnsi="Calibri"/>
          <w:b/>
          <w:i w:val="0"/>
          <w:color w:val="212121"/>
          <w:sz w:val="22"/>
        </w:rPr>
        <w:t xml:space="preserve">AKA </w:t>
      </w:r>
      <w:r>
        <w:rPr>
          <w:rFonts w:ascii="Calibri" w:hAnsi="Calibri"/>
          <w:b w:val="0"/>
          <w:i w:val="0"/>
          <w:color w:val="212121"/>
          <w:sz w:val="22"/>
        </w:rPr>
        <w:t>i.e., Vocal fold nodules and polyps, Singer's nodules, Screamer's / Teacher's nodules, Phonotrauma lesions, Chorditis (polypoid), benign vocal-fold lesions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Vocal cord (fold) nodules and polyps are benign, non-cancerous lesions of the vibrating vocal-fold mucosa that develop from phonotrauma — repeated forceful, loud or prolonged voice use. Nodules are typically bilateral, symmetrical, callus-like thickenings at the junction of the anterior one-third and posterior two-thirds of the membranous vocal fold (the point of maximum vibratory impact), whereas polyps are usually unilateral, softer, oedematous or haemorrhagic swellings that may follow a single episode of vocal trauma or chronic irritation. Both disrupt the mucosal wave and complete glottic closure, producing chronic hoarseness, breathiness and vocal fatigue. They are the commonest benign structural laryngeal lesions in professional voice users such as teachers and singers.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There is no single national figure, but the burden is best understood through India's large population of professional voice users, in whom nodules and polyps are the commonest benign vocal-fold lesions. Among Indian school teachers, point prevalence of voice problems is about 17–19% (17.4% in primary-school teachers; 18.5% in female secondary-school teachers), while a South-Indian study found 45.4% currently symptomatic, 52.8% in the past year and up to 70.1% at some point in their teaching career. In children presenting with hoarseness, vocal nodules account for roughly three-quarters (~76%) and polyps about one-sixth (~15%) of cases.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Vocal nodules and polyps are diagnosed clinically and confirmed by laryngeal visualisation; the priority is to characterise the lesion, quantify the voice deficit and exclude malignancy: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dysphonia (a hoarse, rough or breathy voice) lasting more than 2–3 weeks, especially in a professional voice user, warrants laryngeal examination rather than self-medication;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laryngoscopy (indirect mirror, flexible fibre-optic nasendoscopy or rigid endoscopy) showing bilateral symmetrical swellings at the anterior-1/3–posterior-2/3 junction (nodules) or a unilateral sessile/pedunculated lesion (polyp);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videostroboscopy demonstrating reduced or absent mucosal wave over the lesion, an “hourglass” glottic closure gap and phase asymmetry — the key test that distinguishes and stages the lesion;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perceptual voice grading (GRBAS) and a patient-reported Voice Handicap Index (VHI / VHI-10) to capture severity and functional impact;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acoustic and aerodynamic measures (jitter, shimmer, harmonics-to-noise ratio, maximum phonation time) as objective adjuncts to document baseline and treatment response;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biopsy / histopathology is reserved for any suspicious feature — leukoplakia, ulceration, a fixed or immobile fold, or a lesion that fails to resolve with voice therapy — to exclude dysplasia or carcinoma.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Benign phonotrauma lesions form a spectrum; the clinically useful distinctions are:</w:t>
      </w:r>
    </w:p>
    <w:p>
      <w:pPr>
        <w:spacing w:before="0" w:after="80"/>
      </w:pPr>
      <w:r>
        <w:rPr>
          <w:rFonts w:ascii="Calibri" w:hAnsi="Calibri"/>
          <w:b w:val="0"/>
          <w:i w:val="0"/>
          <w:color w:val="212121"/>
          <w:sz w:val="21"/>
        </w:rPr>
        <w:t>(1) Vocal-fold nodules — bilateral, symmetrical, broad-based thickenings at the mid-membranous fold; acute nodules are soft, reddish and oedematous while chronic nodules become firm, white and fibrotic. They are the classic “singer's”, “screamer's” or “teacher's” nodules of habitual vocal overuse;</w:t>
      </w:r>
    </w:p>
    <w:p>
      <w:pPr>
        <w:spacing w:before="0" w:after="80"/>
      </w:pPr>
      <w:r>
        <w:rPr>
          <w:rFonts w:ascii="Calibri" w:hAnsi="Calibri"/>
          <w:b w:val="0"/>
          <w:i w:val="0"/>
          <w:color w:val="212121"/>
          <w:sz w:val="21"/>
        </w:rPr>
        <w:t>(2) Vocal-fold polyps — usually unilateral, often larger than nodules; subtypes include sessile versus pedunculated, and gelatinous/oedematous versus haemorrhagic (angiomatous). Polyps frequently follow a single violent phonotraumatic event or chronic smoking/reflux;</w:t>
      </w:r>
    </w:p>
    <w:p>
      <w:pPr>
        <w:spacing w:before="0" w:after="80"/>
      </w:pPr>
      <w:r>
        <w:rPr>
          <w:rFonts w:ascii="Calibri" w:hAnsi="Calibri"/>
          <w:b w:val="0"/>
          <w:i w:val="0"/>
          <w:color w:val="212121"/>
          <w:sz w:val="21"/>
        </w:rPr>
        <w:t>(3) Related phonotrauma lesions — Reinke's oedema (polypoid corditis/degeneration): diffuse bilateral fluid accumulation in the superficial lamina propria, strongly linked to smoking and deepening the voice, especially in women; plus vocal-fold cysts, pseudocysts, fibrous masses and reactive contact lesions;</w:t>
      </w:r>
    </w:p>
    <w:p>
      <w:pPr>
        <w:spacing w:before="0" w:after="80"/>
      </w:pPr>
      <w:r>
        <w:rPr>
          <w:rFonts w:ascii="Calibri" w:hAnsi="Calibri"/>
          <w:b w:val="0"/>
          <w:i w:val="0"/>
          <w:color w:val="212121"/>
          <w:sz w:val="21"/>
        </w:rPr>
        <w:t>(4) By dominant driver — primary phonotrauma (voice overuse/misuse and faulty technique) versus contributory/aggravating factors (laryngopharyngeal reflux, smoking, allergy, dehydration, hypothyroidism), which usually coexist and must all be addressed.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Phonotrauma / vocal abuse: repetitive high-impact collision of the vocal folds during loud, prolonged or effortful voicing (shouting, sustained teaching, singing, cheering) causes mechanical shearing stress at the mid-membranous fold, leading to micro-haemorrhage, oedema and eventual callus (nodule) or focal swelling (polyp) formation.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Occupational voice demand: teachers, singers, street vendors, hawkers, auctioneers, clergy, call-centre agents, fitness instructors, lawyers and politicians carry the highest exposure through high vocal load, often without amplification and against background noise.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Smoking and irritant exposure: chronic tobacco smoke, chalk dust and air pollution inflame the vocal-fold mucosa and are particularly linked to polyps and Reinke's (polypoid) oedema.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Laryngopharyngeal reflux (LPR) / GERD: acid and pepsin reaching the posterior larynx injure and sensitise the mucosa, potentiate phonotrauma and delay healing of existing lesions.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Faulty vocal technique and muscle-tension dysphonia: hard glottal attack, excessive laryngeal muscle tension and poor breath support raise collision forces and predispose to lesion formation.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Mucosal dehydration and dryness: low fluid intake, mouth-breathing, low ambient humidity, caffeine and some drugs reduce vocal-fold lubrication and raise phonation-threshold pressure and vibratory stress.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Contributory conditions: recurrent upper-respiratory infections, allergic rhinitis with throat-clearing and post-nasal drip, and hypothyroidism all add mucosal load and voice change.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professional voice users, ~30–50 y)</w:t>
            </w:r>
          </w:p>
        </w:tc>
        <w:tc>
          <w:tcPr>
            <w:tcW w:type="dxa" w:w="4276"/>
            <w:vAlign w:val="top"/>
          </w:tcPr>
          <w:p>
            <w:pPr>
              <w:spacing w:after="60" w:line="259" w:lineRule="auto"/>
            </w:pPr>
            <w:r>
              <w:rPr>
                <w:rFonts w:ascii="Calibri" w:hAnsi="Calibri"/>
                <w:b w:val="0"/>
                <w:i w:val="0"/>
                <w:color w:val="212121"/>
                <w:sz w:val="19"/>
              </w:rPr>
              <w:t>Cumulative vocal load in the most vocally active working years drives phonotrauma; nodules and polyps typically present at younger ages than smoking-related polypoid oedema.</w:t>
            </w:r>
          </w:p>
          <w:p>
            <w:pPr>
              <w:spacing w:after="40" w:before="60" w:line="259" w:lineRule="auto"/>
            </w:pPr>
            <w:r>
              <w:rPr>
                <w:rFonts w:ascii="Calibri" w:hAnsi="Calibri"/>
                <w:b w:val="0"/>
                <w:i w:val="0"/>
                <w:color w:val="212121"/>
                <w:sz w:val="19"/>
              </w:rPr>
              <w:t>In a large clinical series, patients with nodules and polyps were significantly younger than those with Reinke's/polypoid oedema (p&lt;0.001).</w:t>
            </w:r>
          </w:p>
          <w:p>
            <w:pPr>
              <w:spacing w:after="40" w:line="252" w:lineRule="auto"/>
            </w:pPr>
            <w:hyperlink r:id="rId9">
              <w:r>
                <w:rPr>
                  <w:rFonts w:ascii="Calibri" w:hAnsi="Calibri" w:cs="Calibri"/>
                  <w:sz w:val="18"/>
                  <w:color w:val="1155CC"/>
                  <w:u w:val="single"/>
                </w:rPr>
                <w:t xml:space="preserve">pubmed.ncbi.nlm.nih.gov/30498270 — socio-demographics of vocal-fold lesions</w:t>
              </w:r>
            </w:hyperlink>
          </w:p>
          <w:p>
            <w:pPr>
              <w:spacing w:before="60" w:after="40"/>
            </w:pPr>
            <w:r>
              <w:rPr>
                <w:rFonts w:ascii="Calibri" w:hAnsi="Calibri"/>
                <w:b w:val="0"/>
                <w:i w:val="0"/>
                <w:color w:val="5A5A5A"/>
                <w:sz w:val="18"/>
              </w:rPr>
              <w:t>#phonotrauma  #professionalvoice  #vocaloverload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(pre-pubertal, peak 4–7 y)</w:t>
            </w:r>
          </w:p>
        </w:tc>
        <w:tc>
          <w:tcPr>
            <w:tcW w:type="dxa" w:w="4276"/>
            <w:vAlign w:val="top"/>
          </w:tcPr>
          <w:p>
            <w:pPr>
              <w:spacing w:after="60" w:line="259" w:lineRule="auto"/>
            </w:pPr>
            <w:r>
              <w:rPr>
                <w:rFonts w:ascii="Calibri" w:hAnsi="Calibri"/>
                <w:b w:val="0"/>
                <w:i w:val="0"/>
                <w:color w:val="212121"/>
                <w:sz w:val="19"/>
              </w:rPr>
              <w:t>Nodules are the leading cause of paediatric hoarseness, driven by habitual screaming and loud play; boys are affected far more than girls before puberty.</w:t>
            </w:r>
          </w:p>
          <w:p>
            <w:pPr>
              <w:spacing w:after="40" w:before="60" w:line="259" w:lineRule="auto"/>
            </w:pPr>
            <w:r>
              <w:rPr>
                <w:rFonts w:ascii="Calibri" w:hAnsi="Calibri"/>
                <w:b w:val="0"/>
                <w:i w:val="0"/>
                <w:color w:val="212121"/>
                <w:sz w:val="19"/>
              </w:rPr>
              <w:t>In 1,782 children with hoarseness, vocal nodules made up 76.5% and polyps 15.2% of cases, with a strong male predominance (1,325 boys vs 457 girls) peaking at 4–7 years.</w:t>
            </w:r>
          </w:p>
          <w:p>
            <w:pPr>
              <w:spacing w:after="40" w:line="252" w:lineRule="auto"/>
            </w:pPr>
            <w:hyperlink r:id="rId10">
              <w:r>
                <w:rPr>
                  <w:rFonts w:ascii="Calibri" w:hAnsi="Calibri" w:cs="Calibri"/>
                  <w:sz w:val="18"/>
                  <w:color w:val="1155CC"/>
                  <w:u w:val="single"/>
                </w:rPr>
                <w:t xml:space="preserve">pubmed.ncbi.nlm.nih.gov/39138041 — 1,782 paediatric hoarseness cases</w:t>
              </w:r>
            </w:hyperlink>
          </w:p>
          <w:p>
            <w:pPr>
              <w:spacing w:before="60" w:after="40"/>
            </w:pPr>
            <w:r>
              <w:rPr>
                <w:rFonts w:ascii="Calibri" w:hAnsi="Calibri"/>
                <w:b w:val="0"/>
                <w:i w:val="0"/>
                <w:color w:val="5A5A5A"/>
                <w:sz w:val="18"/>
              </w:rPr>
              <w:t>#paediatric  #screamersnodules  #boys  #childvoice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Age-related bowing (presbyphonia) plus decades of smoking predispose to polyps and polypoid (Reinke's) oedema; any persistent hoarseness in this group must exclude laryngeal cancer.</w:t>
            </w:r>
          </w:p>
          <w:p>
            <w:pPr>
              <w:spacing w:after="40" w:before="60" w:line="259" w:lineRule="auto"/>
            </w:pPr>
            <w:r>
              <w:rPr>
                <w:rFonts w:ascii="Calibri" w:hAnsi="Calibri"/>
                <w:b w:val="0"/>
                <w:i w:val="0"/>
                <w:color w:val="212121"/>
                <w:sz w:val="19"/>
              </w:rPr>
              <w:t>Smoking is considered the single most significant risk factor for Reinke's/polypoid vocal-fold oedema.</w:t>
            </w:r>
          </w:p>
          <w:p>
            <w:pPr>
              <w:spacing w:after="40" w:line="252" w:lineRule="auto"/>
            </w:pPr>
            <w:hyperlink r:id="rId11">
              <w:r>
                <w:rPr>
                  <w:rFonts w:ascii="Calibri" w:hAnsi="Calibri" w:cs="Calibri"/>
                  <w:sz w:val="18"/>
                  <w:color w:val="1155CC"/>
                  <w:u w:val="single"/>
                </w:rPr>
                <w:t xml:space="preserve">pubmed.ncbi.nlm.nih.gov/37603666 — Reinke oedema (StatPearls)</w:t>
              </w:r>
            </w:hyperlink>
          </w:p>
          <w:p>
            <w:pPr>
              <w:spacing w:before="60" w:after="40"/>
            </w:pPr>
            <w:r>
              <w:rPr>
                <w:rFonts w:ascii="Calibri" w:hAnsi="Calibri"/>
                <w:b w:val="0"/>
                <w:i w:val="0"/>
                <w:color w:val="5A5A5A"/>
                <w:sz w:val="18"/>
              </w:rPr>
              <w:t>#presbyphonia  #reinkes  #smokinglarynx  #excludecancer</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females</w:t>
            </w:r>
          </w:p>
        </w:tc>
        <w:tc>
          <w:tcPr>
            <w:tcW w:type="dxa" w:w="4276"/>
            <w:vAlign w:val="top"/>
          </w:tcPr>
          <w:p>
            <w:pPr>
              <w:spacing w:after="60" w:line="259" w:lineRule="auto"/>
            </w:pPr>
            <w:r>
              <w:rPr>
                <w:rFonts w:ascii="Calibri" w:hAnsi="Calibri"/>
                <w:b w:val="0"/>
                <w:i w:val="0"/>
                <w:color w:val="212121"/>
                <w:sz w:val="19"/>
              </w:rPr>
              <w:t>Higher habitual fundamental frequency means more vocal-fold collisions per second, and a thinner mucosal cover; nodules are therefore commonest in adult women, particularly teachers and singers.</w:t>
            </w:r>
          </w:p>
          <w:p>
            <w:pPr>
              <w:spacing w:after="40" w:before="60" w:line="259" w:lineRule="auto"/>
            </w:pPr>
            <w:r>
              <w:rPr>
                <w:rFonts w:ascii="Calibri" w:hAnsi="Calibri"/>
                <w:b w:val="0"/>
                <w:i w:val="0"/>
                <w:color w:val="212121"/>
                <w:sz w:val="19"/>
              </w:rPr>
              <w:t>Nodules (and oedema) were significantly more frequent in women than in men compared with polyps (p&lt;0.001).</w:t>
            </w:r>
          </w:p>
          <w:p>
            <w:pPr>
              <w:spacing w:after="40" w:line="252" w:lineRule="auto"/>
            </w:pPr>
            <w:hyperlink r:id="rId9">
              <w:r>
                <w:rPr>
                  <w:rFonts w:ascii="Calibri" w:hAnsi="Calibri" w:cs="Calibri"/>
                  <w:sz w:val="18"/>
                  <w:color w:val="1155CC"/>
                  <w:u w:val="single"/>
                </w:rPr>
                <w:t xml:space="preserve">pubmed.ncbi.nlm.nih.gov/30498270 — sex distribution of vocal-fold lesions</w:t>
              </w:r>
            </w:hyperlink>
          </w:p>
          <w:p>
            <w:pPr>
              <w:spacing w:before="60" w:after="40"/>
            </w:pPr>
            <w:r>
              <w:rPr>
                <w:rFonts w:ascii="Calibri" w:hAnsi="Calibri"/>
                <w:b w:val="0"/>
                <w:i w:val="0"/>
                <w:color w:val="5A5A5A"/>
                <w:sz w:val="18"/>
              </w:rPr>
              <w:t>#women  #highpitch  #singersnodules  #teachervoice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 males</w:t>
            </w:r>
          </w:p>
        </w:tc>
        <w:tc>
          <w:tcPr>
            <w:tcW w:type="dxa" w:w="4276"/>
            <w:vAlign w:val="top"/>
          </w:tcPr>
          <w:p>
            <w:pPr>
              <w:spacing w:after="60" w:line="259" w:lineRule="auto"/>
            </w:pPr>
            <w:r>
              <w:rPr>
                <w:rFonts w:ascii="Calibri" w:hAnsi="Calibri"/>
                <w:b w:val="0"/>
                <w:i w:val="0"/>
                <w:color w:val="212121"/>
                <w:sz w:val="19"/>
              </w:rPr>
              <w:t>Polyps and smoking-related lesions are relatively more common in men, while in childhood the nodule burden falls mainly on boys.</w:t>
            </w:r>
          </w:p>
          <w:p>
            <w:pPr>
              <w:spacing w:after="40" w:before="60" w:line="259" w:lineRule="auto"/>
            </w:pPr>
            <w:r>
              <w:rPr>
                <w:rFonts w:ascii="Calibri" w:hAnsi="Calibri"/>
                <w:b w:val="0"/>
                <w:i w:val="0"/>
                <w:color w:val="212121"/>
                <w:sz w:val="19"/>
              </w:rPr>
              <w:t>In a 10-year review of 1,156 patients, polyps occurred in both sexes in middle age whereas nodules were commonest in boys and middle-aged women; vocal abuse was the leading cause.</w:t>
            </w:r>
          </w:p>
          <w:p>
            <w:pPr>
              <w:spacing w:after="40" w:line="252" w:lineRule="auto"/>
            </w:pPr>
            <w:hyperlink r:id="rId12">
              <w:r>
                <w:rPr>
                  <w:rFonts w:ascii="Calibri" w:hAnsi="Calibri" w:cs="Calibri"/>
                  <w:sz w:val="18"/>
                  <w:color w:val="1155CC"/>
                  <w:u w:val="single"/>
                </w:rPr>
                <w:t xml:space="preserve">pubmed.ncbi.nlm.nih.gov/6651652 — 1,156-patient review of polyps &amp; nodules</w:t>
              </w:r>
            </w:hyperlink>
          </w:p>
          <w:p>
            <w:pPr>
              <w:spacing w:before="60" w:after="40"/>
            </w:pPr>
            <w:r>
              <w:rPr>
                <w:rFonts w:ascii="Calibri" w:hAnsi="Calibri"/>
                <w:b w:val="0"/>
                <w:i w:val="0"/>
                <w:color w:val="5A5A5A"/>
                <w:sz w:val="18"/>
              </w:rPr>
              <w:t>#men  #polyps  #vocalabuse  #smoking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Informal-sector loud voice users</w:t>
            </w:r>
          </w:p>
        </w:tc>
        <w:tc>
          <w:tcPr>
            <w:tcW w:type="dxa" w:w="4276"/>
            <w:vAlign w:val="top"/>
          </w:tcPr>
          <w:p>
            <w:pPr>
              <w:spacing w:after="60" w:line="259" w:lineRule="auto"/>
            </w:pPr>
            <w:r>
              <w:rPr>
                <w:rFonts w:ascii="Calibri" w:hAnsi="Calibri"/>
                <w:b w:val="0"/>
                <w:i w:val="0"/>
                <w:color w:val="212121"/>
                <w:sz w:val="19"/>
              </w:rPr>
              <w:t>Street vendors, hawkers, bus conductors, market and auction callers project the voice loudly for hours in noisy environments without amplification or vocal training, a high-risk pattern that often goes unassessed.</w:t>
            </w:r>
          </w:p>
          <w:p>
            <w:pPr>
              <w:spacing w:after="40" w:before="60" w:line="259" w:lineRule="auto"/>
            </w:pPr>
            <w:r>
              <w:rPr>
                <w:rFonts w:ascii="Calibri" w:hAnsi="Calibri"/>
                <w:b w:val="0"/>
                <w:i w:val="0"/>
                <w:color w:val="212121"/>
                <w:sz w:val="19"/>
              </w:rPr>
              <w:t>High background classroom/environmental noise and heavy voice use are consistently identified risk factors for occupational voice problems in Indian studies.</w:t>
            </w:r>
          </w:p>
          <w:p>
            <w:pPr>
              <w:spacing w:after="40" w:line="252" w:lineRule="auto"/>
            </w:pPr>
            <w:hyperlink r:id="rId13">
              <w:r>
                <w:rPr>
                  <w:rFonts w:ascii="Calibri" w:hAnsi="Calibri" w:cs="Calibri"/>
                  <w:sz w:val="18"/>
                  <w:color w:val="1155CC"/>
                  <w:u w:val="single"/>
                </w:rPr>
                <w:t xml:space="preserve">pubmed.ncbi.nlm.nih.gov/27363867 — risk factors in Indian teachers</w:t>
              </w:r>
            </w:hyperlink>
          </w:p>
          <w:p>
            <w:pPr>
              <w:spacing w:before="60" w:after="40"/>
            </w:pPr>
            <w:r>
              <w:rPr>
                <w:rFonts w:ascii="Calibri" w:hAnsi="Calibri"/>
                <w:b w:val="0"/>
                <w:i w:val="0"/>
                <w:color w:val="5A5A5A"/>
                <w:sz w:val="18"/>
              </w:rPr>
              <w:t>#vendors  #informalsector  #noamplification  #backgroundnoise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Occupation / region (India)</w:t>
            </w:r>
          </w:p>
        </w:tc>
        <w:tc>
          <w:tcPr>
            <w:tcW w:type="dxa" w:w="2160"/>
            <w:vAlign w:val="top"/>
          </w:tcPr>
          <w:p>
            <w:pPr>
              <w:spacing w:after="40" w:before="0" w:line="259" w:lineRule="auto"/>
            </w:pPr>
            <w:r>
              <w:rPr>
                <w:rFonts w:ascii="Calibri" w:hAnsi="Calibri"/>
                <w:b w:val="0"/>
                <w:i w:val="0"/>
                <w:color w:val="212121"/>
                <w:sz w:val="19"/>
              </w:rPr>
              <w:t>Indian school teachers</w:t>
            </w:r>
          </w:p>
        </w:tc>
        <w:tc>
          <w:tcPr>
            <w:tcW w:type="dxa" w:w="4276"/>
            <w:vAlign w:val="top"/>
          </w:tcPr>
          <w:p>
            <w:pPr>
              <w:spacing w:after="60" w:line="259" w:lineRule="auto"/>
            </w:pPr>
            <w:r>
              <w:rPr>
                <w:rFonts w:ascii="Calibri" w:hAnsi="Calibri"/>
                <w:b w:val="0"/>
                <w:i w:val="0"/>
                <w:color w:val="212121"/>
                <w:sz w:val="19"/>
              </w:rPr>
              <w:t>Teachers are the archetypal at-risk group in India — long speaking hours, large classes, background noise, chalk dust and no amplification generate sustained phonotrauma.</w:t>
            </w:r>
          </w:p>
          <w:p>
            <w:pPr>
              <w:spacing w:after="40" w:before="60" w:line="259" w:lineRule="auto"/>
            </w:pPr>
            <w:r>
              <w:rPr>
                <w:rFonts w:ascii="Calibri" w:hAnsi="Calibri"/>
                <w:b w:val="0"/>
                <w:i w:val="0"/>
                <w:color w:val="212121"/>
                <w:sz w:val="19"/>
              </w:rPr>
              <w:t>Point prevalence of voice problems ~17–19% in Indian teachers, rising to 45.4% currently symptomatic and up to 70.1% over a teaching career in South-Indian data.</w:t>
            </w:r>
          </w:p>
          <w:p>
            <w:pPr>
              <w:spacing w:after="40" w:line="252" w:lineRule="auto"/>
            </w:pPr>
            <w:hyperlink r:id="rId14">
              <w:r>
                <w:rPr>
                  <w:rFonts w:ascii="Calibri" w:hAnsi="Calibri" w:cs="Calibri"/>
                  <w:sz w:val="18"/>
                  <w:color w:val="1155CC"/>
                  <w:u w:val="single"/>
                </w:rPr>
                <w:t xml:space="preserve">pubmed.ncbi.nlm.nih.gov/31350112 — voice disorders in South-Indian teachers</w:t>
              </w:r>
            </w:hyperlink>
          </w:p>
          <w:p>
            <w:pPr>
              <w:spacing w:before="60" w:after="40"/>
            </w:pPr>
            <w:r>
              <w:rPr>
                <w:rFonts w:ascii="Calibri" w:hAnsi="Calibri"/>
                <w:b w:val="0"/>
                <w:i w:val="0"/>
                <w:color w:val="5A5A5A"/>
                <w:sz w:val="18"/>
              </w:rPr>
              <w:t>#teachers  #occupationalvoice  #chalkdust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Singers &amp; performers (Indian classical, playback, devotional)</w:t>
            </w:r>
          </w:p>
        </w:tc>
        <w:tc>
          <w:tcPr>
            <w:tcW w:type="dxa" w:w="4276"/>
            <w:vAlign w:val="top"/>
          </w:tcPr>
          <w:p>
            <w:pPr>
              <w:spacing w:after="60" w:line="259" w:lineRule="auto"/>
            </w:pPr>
            <w:r>
              <w:rPr>
                <w:rFonts w:ascii="Calibri" w:hAnsi="Calibri"/>
                <w:b w:val="0"/>
                <w:i w:val="0"/>
                <w:color w:val="212121"/>
                <w:sz w:val="19"/>
              </w:rPr>
              <w:t>Sustained high-pitch, high-intensity singing and long rehearsal/performance hours produce the classic bilateral “singer's nodules” and haemorrhagic polyps.</w:t>
            </w:r>
          </w:p>
          <w:p>
            <w:pPr>
              <w:spacing w:after="40" w:before="60" w:line="259" w:lineRule="auto"/>
            </w:pPr>
            <w:r>
              <w:rPr>
                <w:rFonts w:ascii="Calibri" w:hAnsi="Calibri"/>
                <w:b w:val="0"/>
                <w:i w:val="0"/>
                <w:color w:val="212121"/>
                <w:sz w:val="19"/>
              </w:rPr>
              <w:t>Vocal abuse/overuse is the single most important aetiological factor for both nodules and polyps across large clinical series.</w:t>
            </w:r>
          </w:p>
          <w:p>
            <w:pPr>
              <w:spacing w:after="40" w:line="252" w:lineRule="auto"/>
            </w:pPr>
            <w:hyperlink r:id="rId12">
              <w:r>
                <w:rPr>
                  <w:rFonts w:ascii="Calibri" w:hAnsi="Calibri" w:cs="Calibri"/>
                  <w:sz w:val="18"/>
                  <w:color w:val="1155CC"/>
                  <w:u w:val="single"/>
                </w:rPr>
                <w:t xml:space="preserve">pubmed.ncbi.nlm.nih.gov/6651652 — vocal abuse as leading cause</w:t>
              </w:r>
            </w:hyperlink>
          </w:p>
          <w:p>
            <w:pPr>
              <w:spacing w:before="60" w:after="40"/>
            </w:pPr>
            <w:r>
              <w:rPr>
                <w:rFonts w:ascii="Calibri" w:hAnsi="Calibri"/>
                <w:b w:val="0"/>
                <w:i w:val="0"/>
                <w:color w:val="5A5A5A"/>
                <w:sz w:val="18"/>
              </w:rPr>
              <w:t>#singers  #singersnodules  #performers  #highpitch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Vocal overuse / misuse</w:t>
            </w:r>
          </w:p>
        </w:tc>
        <w:tc>
          <w:tcPr>
            <w:tcW w:type="dxa" w:w="2160"/>
            <w:vAlign w:val="top"/>
          </w:tcPr>
          <w:p>
            <w:pPr>
              <w:spacing w:after="40" w:before="0" w:line="259" w:lineRule="auto"/>
            </w:pPr>
            <w:r>
              <w:rPr>
                <w:rFonts w:ascii="Calibri" w:hAnsi="Calibri"/>
                <w:b w:val="0"/>
                <w:i w:val="0"/>
                <w:color w:val="212121"/>
                <w:sz w:val="19"/>
              </w:rPr>
              <w:t>Habitual loud talkers, coaches, cheerleaders, call-centre agents</w:t>
            </w:r>
          </w:p>
        </w:tc>
        <w:tc>
          <w:tcPr>
            <w:tcW w:type="dxa" w:w="4276"/>
            <w:vAlign w:val="top"/>
          </w:tcPr>
          <w:p>
            <w:pPr>
              <w:spacing w:after="60" w:line="259" w:lineRule="auto"/>
            </w:pPr>
            <w:r>
              <w:rPr>
                <w:rFonts w:ascii="Calibri" w:hAnsi="Calibri"/>
                <w:b w:val="0"/>
                <w:i w:val="0"/>
                <w:color w:val="212121"/>
                <w:sz w:val="19"/>
              </w:rPr>
              <w:t>Frequent shouting, cheering at events, talking over noise and hard glottal attack multiply vocal-fold impact stress and are a direct route to phonotrauma lesions.</w:t>
            </w:r>
          </w:p>
          <w:p>
            <w:pPr>
              <w:spacing w:after="40" w:before="60" w:line="259" w:lineRule="auto"/>
            </w:pPr>
            <w:r>
              <w:rPr>
                <w:rFonts w:ascii="Calibri" w:hAnsi="Calibri"/>
                <w:b w:val="0"/>
                <w:i w:val="0"/>
                <w:color w:val="212121"/>
                <w:sz w:val="19"/>
              </w:rPr>
              <w:t>Improper vocal technique (breath-holding while speaking, jaw/teeth clenching) and high vocal load were significant risk factors in Indian teachers.</w:t>
            </w:r>
          </w:p>
          <w:p>
            <w:pPr>
              <w:spacing w:after="40" w:line="252" w:lineRule="auto"/>
            </w:pPr>
            <w:hyperlink r:id="rId13">
              <w:r>
                <w:rPr>
                  <w:rFonts w:ascii="Calibri" w:hAnsi="Calibri" w:cs="Calibri"/>
                  <w:sz w:val="18"/>
                  <w:color w:val="1155CC"/>
                  <w:u w:val="single"/>
                </w:rPr>
                <w:t xml:space="preserve">pubmed.ncbi.nlm.nih.gov/27363867 — vocal technique risk factors</w:t>
              </w:r>
            </w:hyperlink>
          </w:p>
          <w:p>
            <w:pPr>
              <w:spacing w:before="60" w:after="40"/>
            </w:pPr>
            <w:r>
              <w:rPr>
                <w:rFonts w:ascii="Calibri" w:hAnsi="Calibri"/>
                <w:b w:val="0"/>
                <w:i w:val="0"/>
                <w:color w:val="5A5A5A"/>
                <w:sz w:val="18"/>
              </w:rPr>
              <w:t>#shouting  #vocalmisuse  #hardattack  #callcentre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long-term smokers</w:t>
            </w:r>
          </w:p>
        </w:tc>
        <w:tc>
          <w:tcPr>
            <w:tcW w:type="dxa" w:w="4276"/>
            <w:vAlign w:val="top"/>
          </w:tcPr>
          <w:p>
            <w:pPr>
              <w:spacing w:after="60" w:line="259" w:lineRule="auto"/>
            </w:pPr>
            <w:r>
              <w:rPr>
                <w:rFonts w:ascii="Calibri" w:hAnsi="Calibri"/>
                <w:b w:val="0"/>
                <w:i w:val="0"/>
                <w:color w:val="212121"/>
                <w:sz w:val="19"/>
              </w:rPr>
              <w:t>Tobacco smoke chronically inflames the vocal-fold mucosa, favouring polyps and diffuse polypoid (Reinke's) oedema and adding a background risk of malignancy.</w:t>
            </w:r>
          </w:p>
          <w:p>
            <w:pPr>
              <w:spacing w:after="40" w:before="60" w:line="259" w:lineRule="auto"/>
            </w:pPr>
            <w:r>
              <w:rPr>
                <w:rFonts w:ascii="Calibri" w:hAnsi="Calibri"/>
                <w:b w:val="0"/>
                <w:i w:val="0"/>
                <w:color w:val="212121"/>
                <w:sz w:val="19"/>
              </w:rPr>
              <w:t>Patients with oedema and polyps were significantly more often current smokers than those with nodules (p&lt;0.05 to p&lt;0.001).</w:t>
            </w:r>
          </w:p>
          <w:p>
            <w:pPr>
              <w:spacing w:after="40" w:line="252" w:lineRule="auto"/>
            </w:pPr>
            <w:hyperlink r:id="rId9">
              <w:r>
                <w:rPr>
                  <w:rFonts w:ascii="Calibri" w:hAnsi="Calibri" w:cs="Calibri"/>
                  <w:sz w:val="18"/>
                  <w:color w:val="1155CC"/>
                  <w:u w:val="single"/>
                </w:rPr>
                <w:t xml:space="preserve">pubmed.ncbi.nlm.nih.gov/30498270 — smoking &amp; vocal-fold lesions</w:t>
              </w:r>
            </w:hyperlink>
          </w:p>
          <w:p>
            <w:pPr>
              <w:spacing w:before="60" w:after="40"/>
            </w:pPr>
            <w:r>
              <w:rPr>
                <w:rFonts w:ascii="Calibri" w:hAnsi="Calibri"/>
                <w:b w:val="0"/>
                <w:i w:val="0"/>
                <w:color w:val="5A5A5A"/>
                <w:sz w:val="18"/>
              </w:rPr>
              <w:t>#smoking  #reinkes  #polyps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dehydrates the mucosa, promotes reflux and disinhibits loud effortful voicing (bars, parties), compounding phonotrauma and delaying healing.</w:t>
            </w:r>
          </w:p>
          <w:p>
            <w:pPr>
              <w:spacing w:after="40" w:before="60" w:line="259" w:lineRule="auto"/>
            </w:pPr>
            <w:r>
              <w:rPr>
                <w:rFonts w:ascii="Calibri" w:hAnsi="Calibri"/>
                <w:b w:val="0"/>
                <w:i w:val="0"/>
                <w:color w:val="212121"/>
                <w:sz w:val="19"/>
              </w:rPr>
              <w:t>Alcohol is a recognised mucosal irritant and reflux promoter that aggravates chronic laryngeal inflammation.</w:t>
            </w:r>
          </w:p>
          <w:p>
            <w:pPr>
              <w:spacing w:before="60" w:after="40"/>
            </w:pPr>
            <w:r>
              <w:rPr>
                <w:rFonts w:ascii="Calibri" w:hAnsi="Calibri"/>
                <w:b w:val="0"/>
                <w:i w:val="0"/>
                <w:color w:val="5A5A5A"/>
                <w:sz w:val="18"/>
              </w:rPr>
              <w:t>#alcohol  #dehydration  #refluxtrigger  #loudvoice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Reflux-provoking diet</w:t>
            </w:r>
          </w:p>
        </w:tc>
        <w:tc>
          <w:tcPr>
            <w:tcW w:type="dxa" w:w="2160"/>
            <w:vAlign w:val="top"/>
          </w:tcPr>
          <w:p>
            <w:pPr>
              <w:spacing w:after="40" w:before="0" w:line="259" w:lineRule="auto"/>
            </w:pPr>
            <w:r>
              <w:rPr>
                <w:rFonts w:ascii="Calibri" w:hAnsi="Calibri"/>
                <w:b w:val="0"/>
                <w:i w:val="0"/>
                <w:color w:val="212121"/>
                <w:sz w:val="19"/>
              </w:rPr>
              <w:t>Spicy, fried, late-night and caffeinated-diet consumers</w:t>
            </w:r>
          </w:p>
        </w:tc>
        <w:tc>
          <w:tcPr>
            <w:tcW w:type="dxa" w:w="4276"/>
            <w:vAlign w:val="top"/>
          </w:tcPr>
          <w:p>
            <w:pPr>
              <w:spacing w:after="60" w:line="259" w:lineRule="auto"/>
            </w:pPr>
            <w:r>
              <w:rPr>
                <w:rFonts w:ascii="Calibri" w:hAnsi="Calibri"/>
                <w:b w:val="0"/>
                <w:i w:val="0"/>
                <w:color w:val="212121"/>
                <w:sz w:val="19"/>
              </w:rPr>
              <w:t>Typical Indian dietary patterns — spicy, oily food, late dinners, tea/coffee and carbonated drinks — promote laryngopharyngeal reflux, which sensitises the larynx and aggravates phonotrauma lesions.</w:t>
            </w:r>
          </w:p>
          <w:p>
            <w:pPr>
              <w:spacing w:after="40" w:before="60" w:line="259" w:lineRule="auto"/>
            </w:pPr>
            <w:r>
              <w:rPr>
                <w:rFonts w:ascii="Calibri" w:hAnsi="Calibri"/>
                <w:b w:val="0"/>
                <w:i w:val="0"/>
                <w:color w:val="212121"/>
                <w:sz w:val="19"/>
              </w:rPr>
              <w:t>Acid reflux was identified as a significant risk factor for voice problems among Indian primary-school teachers.</w:t>
            </w:r>
          </w:p>
          <w:p>
            <w:pPr>
              <w:spacing w:after="40" w:line="252" w:lineRule="auto"/>
            </w:pPr>
            <w:hyperlink r:id="rId13">
              <w:r>
                <w:rPr>
                  <w:rFonts w:ascii="Calibri" w:hAnsi="Calibri" w:cs="Calibri"/>
                  <w:sz w:val="18"/>
                  <w:color w:val="1155CC"/>
                  <w:u w:val="single"/>
                </w:rPr>
                <w:t xml:space="preserve">pubmed.ncbi.nlm.nih.gov/27363867 — reflux as a voice-problem risk factor</w:t>
              </w:r>
            </w:hyperlink>
          </w:p>
          <w:p>
            <w:pPr>
              <w:spacing w:before="60" w:after="40"/>
            </w:pPr>
            <w:r>
              <w:rPr>
                <w:rFonts w:ascii="Calibri" w:hAnsi="Calibri"/>
                <w:b w:val="0"/>
                <w:i w:val="0"/>
                <w:color w:val="5A5A5A"/>
                <w:sz w:val="18"/>
              </w:rPr>
              <w:t>#lpr  #spicyfood  #latemeals  #refluxdiet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water intake / dehydration</w:t>
            </w:r>
          </w:p>
        </w:tc>
        <w:tc>
          <w:tcPr>
            <w:tcW w:type="dxa" w:w="2160"/>
            <w:vAlign w:val="top"/>
          </w:tcPr>
          <w:p>
            <w:pPr>
              <w:spacing w:after="40" w:before="0" w:line="259" w:lineRule="auto"/>
            </w:pPr>
            <w:r>
              <w:rPr>
                <w:rFonts w:ascii="Calibri" w:hAnsi="Calibri"/>
                <w:b w:val="0"/>
                <w:i w:val="0"/>
                <w:color w:val="212121"/>
                <w:sz w:val="19"/>
              </w:rPr>
              <w:t>People with poor hydration &amp; high caffeine intake</w:t>
            </w:r>
          </w:p>
        </w:tc>
        <w:tc>
          <w:tcPr>
            <w:tcW w:type="dxa" w:w="4276"/>
            <w:vAlign w:val="top"/>
          </w:tcPr>
          <w:p>
            <w:pPr>
              <w:spacing w:after="60" w:line="259" w:lineRule="auto"/>
            </w:pPr>
            <w:r>
              <w:rPr>
                <w:rFonts w:ascii="Calibri" w:hAnsi="Calibri"/>
                <w:b w:val="0"/>
                <w:i w:val="0"/>
                <w:color w:val="212121"/>
                <w:sz w:val="19"/>
              </w:rPr>
              <w:t>Inadequate systemic and surface hydration raises phonation-threshold pressure, so the folds must work harder to vibrate — increasing collision stress and lesion risk.</w:t>
            </w:r>
          </w:p>
          <w:p>
            <w:pPr>
              <w:spacing w:after="40" w:before="60" w:line="259" w:lineRule="auto"/>
            </w:pPr>
            <w:r>
              <w:rPr>
                <w:rFonts w:ascii="Calibri" w:hAnsi="Calibri"/>
                <w:b w:val="0"/>
                <w:i w:val="0"/>
                <w:color w:val="212121"/>
                <w:sz w:val="19"/>
              </w:rPr>
              <w:t>Clinical guidance consistently recommends maintaining hydration as a core element of vocal hygiene for at-risk voice users.</w:t>
            </w:r>
          </w:p>
          <w:p>
            <w:pPr>
              <w:spacing w:before="60" w:after="40"/>
            </w:pPr>
            <w:r>
              <w:rPr>
                <w:rFonts w:ascii="Calibri" w:hAnsi="Calibri"/>
                <w:b w:val="0"/>
                <w:i w:val="0"/>
                <w:color w:val="5A5A5A"/>
                <w:sz w:val="18"/>
              </w:rPr>
              <w:t>#hydration  #dryvoice  #phonationthreshold  #vocalhygiene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Individual susceptibility / family history</w:t>
            </w:r>
          </w:p>
        </w:tc>
        <w:tc>
          <w:tcPr>
            <w:tcW w:type="dxa" w:w="2160"/>
            <w:vAlign w:val="top"/>
          </w:tcPr>
          <w:p>
            <w:pPr>
              <w:spacing w:after="40" w:before="0" w:line="259" w:lineRule="auto"/>
            </w:pPr>
            <w:r>
              <w:rPr>
                <w:rFonts w:ascii="Calibri" w:hAnsi="Calibri"/>
                <w:b w:val="0"/>
                <w:i w:val="0"/>
                <w:color w:val="212121"/>
                <w:sz w:val="19"/>
              </w:rPr>
              <w:t>People with a thin, hypervascular or fragile mucosal cover</w:t>
            </w:r>
          </w:p>
        </w:tc>
        <w:tc>
          <w:tcPr>
            <w:tcW w:type="dxa" w:w="4276"/>
            <w:vAlign w:val="top"/>
          </w:tcPr>
          <w:p>
            <w:pPr>
              <w:spacing w:after="60" w:line="259" w:lineRule="auto"/>
            </w:pPr>
            <w:r>
              <w:rPr>
                <w:rFonts w:ascii="Calibri" w:hAnsi="Calibri"/>
                <w:b w:val="0"/>
                <w:i w:val="0"/>
                <w:color w:val="212121"/>
                <w:sz w:val="19"/>
              </w:rPr>
              <w:t>Individual differences in vocal-fold lamina propria, hyaluronic-acid distribution and mucosal vascularity mean some people form nodules or haemorrhagic polyps under the same vocal load that others tolerate.</w:t>
            </w:r>
          </w:p>
          <w:p>
            <w:pPr>
              <w:spacing w:after="40" w:before="60" w:line="259" w:lineRule="auto"/>
            </w:pPr>
            <w:r>
              <w:rPr>
                <w:rFonts w:ascii="Calibri" w:hAnsi="Calibri"/>
                <w:b w:val="0"/>
                <w:i w:val="0"/>
                <w:color w:val="212121"/>
                <w:sz w:val="19"/>
              </w:rPr>
              <w:t>No single gene is implicated; susceptibility is understood as an individual mucosal/biomechanical trait interacting with vocal behaviour.</w:t>
            </w:r>
          </w:p>
          <w:p>
            <w:pPr>
              <w:spacing w:before="60" w:after="40"/>
            </w:pPr>
            <w:r>
              <w:rPr>
                <w:rFonts w:ascii="Calibri" w:hAnsi="Calibri"/>
                <w:b w:val="0"/>
                <w:i w:val="0"/>
                <w:color w:val="5A5A5A"/>
                <w:sz w:val="18"/>
              </w:rPr>
              <w:t>#susceptibility  #laminapropria  #mucosalfragility  #biomechanics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Laryngopharyngeal reflux / GERD</w:t>
            </w:r>
          </w:p>
        </w:tc>
        <w:tc>
          <w:tcPr>
            <w:tcW w:type="dxa" w:w="2160"/>
            <w:vAlign w:val="top"/>
          </w:tcPr>
          <w:p>
            <w:pPr>
              <w:spacing w:after="40" w:before="0" w:line="259" w:lineRule="auto"/>
            </w:pPr>
            <w:r>
              <w:rPr>
                <w:rFonts w:ascii="Calibri" w:hAnsi="Calibri"/>
                <w:b w:val="0"/>
                <w:i w:val="0"/>
                <w:color w:val="212121"/>
                <w:sz w:val="19"/>
              </w:rPr>
              <w:t>Patients with LPR or GERD</w:t>
            </w:r>
          </w:p>
        </w:tc>
        <w:tc>
          <w:tcPr>
            <w:tcW w:type="dxa" w:w="4276"/>
            <w:vAlign w:val="top"/>
          </w:tcPr>
          <w:p>
            <w:pPr>
              <w:spacing w:after="60" w:line="259" w:lineRule="auto"/>
            </w:pPr>
            <w:r>
              <w:rPr>
                <w:rFonts w:ascii="Calibri" w:hAnsi="Calibri"/>
                <w:b w:val="0"/>
                <w:i w:val="0"/>
                <w:color w:val="212121"/>
                <w:sz w:val="19"/>
              </w:rPr>
              <w:t>Acid-pepsin exposure inflames and sensitises the posterior larynx and vocal folds, provoking chronic throat-clearing and impairing healing — a major co-driver of benign vocal-fold lesions.</w:t>
            </w:r>
          </w:p>
          <w:p>
            <w:pPr>
              <w:spacing w:after="40" w:before="60" w:line="259" w:lineRule="auto"/>
            </w:pPr>
            <w:r>
              <w:rPr>
                <w:rFonts w:ascii="Calibri" w:hAnsi="Calibri"/>
                <w:b w:val="0"/>
                <w:i w:val="0"/>
                <w:color w:val="212121"/>
                <w:sz w:val="19"/>
              </w:rPr>
              <w:t>Acid reflux was a significant risk factor for voice problems in Indian teachers, and reflux is one of the commonest aggravators of persistent dysphonia.</w:t>
            </w:r>
          </w:p>
          <w:p>
            <w:pPr>
              <w:spacing w:after="40" w:line="252" w:lineRule="auto"/>
            </w:pPr>
            <w:hyperlink r:id="rId13">
              <w:r>
                <w:rPr>
                  <w:rFonts w:ascii="Calibri" w:hAnsi="Calibri" w:cs="Calibri"/>
                  <w:sz w:val="18"/>
                  <w:color w:val="1155CC"/>
                  <w:u w:val="single"/>
                </w:rPr>
                <w:t xml:space="preserve">pubmed.ncbi.nlm.nih.gov/27363867 — reflux &amp; teacher voice problems</w:t>
              </w:r>
            </w:hyperlink>
          </w:p>
          <w:p>
            <w:pPr>
              <w:spacing w:before="60" w:after="40"/>
            </w:pPr>
            <w:r>
              <w:rPr>
                <w:rFonts w:ascii="Calibri" w:hAnsi="Calibri"/>
                <w:b w:val="0"/>
                <w:i w:val="0"/>
                <w:color w:val="5A5A5A"/>
                <w:sz w:val="18"/>
              </w:rPr>
              <w:t>#lpr  #gerd  #throatclearing  #posteriorlaryngitis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Allergic rhinitis / chronic rhinosinusitis</w:t>
            </w:r>
          </w:p>
        </w:tc>
        <w:tc>
          <w:tcPr>
            <w:tcW w:type="dxa" w:w="2160"/>
            <w:vAlign w:val="top"/>
          </w:tcPr>
          <w:p>
            <w:pPr>
              <w:spacing w:after="40" w:before="0" w:line="259" w:lineRule="auto"/>
            </w:pPr>
            <w:r>
              <w:rPr>
                <w:rFonts w:ascii="Calibri" w:hAnsi="Calibri"/>
                <w:b w:val="0"/>
                <w:i w:val="0"/>
                <w:color w:val="212121"/>
                <w:sz w:val="19"/>
              </w:rPr>
              <w:t>Patients with nasal allergy &amp; post-nasal drip</w:t>
            </w:r>
          </w:p>
        </w:tc>
        <w:tc>
          <w:tcPr>
            <w:tcW w:type="dxa" w:w="4276"/>
            <w:vAlign w:val="top"/>
          </w:tcPr>
          <w:p>
            <w:pPr>
              <w:spacing w:after="60" w:line="259" w:lineRule="auto"/>
            </w:pPr>
            <w:r>
              <w:rPr>
                <w:rFonts w:ascii="Calibri" w:hAnsi="Calibri"/>
                <w:b w:val="0"/>
                <w:i w:val="0"/>
                <w:color w:val="212121"/>
                <w:sz w:val="19"/>
              </w:rPr>
              <w:t>Post-nasal drip and allergy trigger chronic throat-clearing and coughing (each a burst of phonotrauma) and force mouth-breathing that dries the vocal folds.</w:t>
            </w:r>
          </w:p>
          <w:p>
            <w:pPr>
              <w:spacing w:after="40" w:before="60" w:line="259" w:lineRule="auto"/>
            </w:pPr>
            <w:r>
              <w:rPr>
                <w:rFonts w:ascii="Calibri" w:hAnsi="Calibri"/>
                <w:b w:val="0"/>
                <w:i w:val="0"/>
                <w:color w:val="212121"/>
                <w:sz w:val="19"/>
              </w:rPr>
              <w:t>Repeated respiratory allergies were among the significant contributing factors to voice disorders in Indian female secondary-school teachers.</w:t>
            </w:r>
          </w:p>
          <w:p>
            <w:pPr>
              <w:spacing w:after="40" w:line="252" w:lineRule="auto"/>
            </w:pPr>
            <w:hyperlink r:id="rId15">
              <w:r>
                <w:rPr>
                  <w:rFonts w:ascii="Calibri" w:hAnsi="Calibri" w:cs="Calibri"/>
                  <w:sz w:val="18"/>
                  <w:color w:val="1155CC"/>
                  <w:u w:val="single"/>
                </w:rPr>
                <w:t xml:space="preserve">pubmed.ncbi.nlm.nih.gov/36452570 — allergy &amp; teacher voice disorders</w:t>
              </w:r>
            </w:hyperlink>
          </w:p>
          <w:p>
            <w:pPr>
              <w:spacing w:before="60" w:after="40"/>
            </w:pPr>
            <w:r>
              <w:rPr>
                <w:rFonts w:ascii="Calibri" w:hAnsi="Calibri"/>
                <w:b w:val="0"/>
                <w:i w:val="0"/>
                <w:color w:val="5A5A5A"/>
                <w:sz w:val="18"/>
              </w:rPr>
              <w:t>#allergicrhinitis  #postnasaldrip  #throatclearing  #mouthbreathing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untreated / poorly controlled hypothyroidism</w:t>
            </w:r>
          </w:p>
        </w:tc>
        <w:tc>
          <w:tcPr>
            <w:tcW w:type="dxa" w:w="4276"/>
            <w:vAlign w:val="top"/>
          </w:tcPr>
          <w:p>
            <w:pPr>
              <w:spacing w:after="60" w:line="259" w:lineRule="auto"/>
            </w:pPr>
            <w:r>
              <w:rPr>
                <w:rFonts w:ascii="Calibri" w:hAnsi="Calibri"/>
                <w:b w:val="0"/>
                <w:i w:val="0"/>
                <w:color w:val="212121"/>
                <w:sz w:val="19"/>
              </w:rPr>
              <w:t>Low thyroid hormone causes myxoedematous, boggy vocal folds and a Reinke's-like mucosal change, deepening and roughening the voice and lowering the threshold for lesions.</w:t>
            </w:r>
          </w:p>
          <w:p>
            <w:pPr>
              <w:spacing w:after="40" w:before="60" w:line="259" w:lineRule="auto"/>
            </w:pPr>
            <w:r>
              <w:rPr>
                <w:rFonts w:ascii="Calibri" w:hAnsi="Calibri"/>
                <w:b w:val="0"/>
                <w:i w:val="0"/>
                <w:color w:val="212121"/>
                <w:sz w:val="19"/>
              </w:rPr>
              <w:t>Thyroid problems were identified as a risk factor for voice problems among Indian teachers.</w:t>
            </w:r>
          </w:p>
          <w:p>
            <w:pPr>
              <w:spacing w:after="40" w:line="252" w:lineRule="auto"/>
            </w:pPr>
            <w:hyperlink r:id="rId13">
              <w:r>
                <w:rPr>
                  <w:rFonts w:ascii="Calibri" w:hAnsi="Calibri" w:cs="Calibri"/>
                  <w:sz w:val="18"/>
                  <w:color w:val="1155CC"/>
                  <w:u w:val="single"/>
                </w:rPr>
                <w:t xml:space="preserve">pubmed.ncbi.nlm.nih.gov/27363867 — thyroid &amp; teacher voice problems</w:t>
              </w:r>
            </w:hyperlink>
          </w:p>
          <w:p>
            <w:pPr>
              <w:spacing w:before="60" w:after="40"/>
            </w:pPr>
            <w:r>
              <w:rPr>
                <w:rFonts w:ascii="Calibri" w:hAnsi="Calibri"/>
                <w:b w:val="0"/>
                <w:i w:val="0"/>
                <w:color w:val="5A5A5A"/>
                <w:sz w:val="18"/>
              </w:rPr>
              <w:t>#hypothyroidism  #myxoedema  #boggyfolds  #voicechange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Muscle-tension dysphonia (hyperfunction)</w:t>
            </w:r>
          </w:p>
        </w:tc>
        <w:tc>
          <w:tcPr>
            <w:tcW w:type="dxa" w:w="2160"/>
            <w:vAlign w:val="top"/>
          </w:tcPr>
          <w:p>
            <w:pPr>
              <w:spacing w:after="40" w:before="0" w:line="259" w:lineRule="auto"/>
            </w:pPr>
            <w:r>
              <w:rPr>
                <w:rFonts w:ascii="Calibri" w:hAnsi="Calibri"/>
                <w:b w:val="0"/>
                <w:i w:val="0"/>
                <w:color w:val="212121"/>
                <w:sz w:val="19"/>
              </w:rPr>
              <w:t>Patients with hyperfunctional / effortful voicing</w:t>
            </w:r>
          </w:p>
        </w:tc>
        <w:tc>
          <w:tcPr>
            <w:tcW w:type="dxa" w:w="4276"/>
            <w:vAlign w:val="top"/>
          </w:tcPr>
          <w:p>
            <w:pPr>
              <w:spacing w:after="60" w:line="259" w:lineRule="auto"/>
            </w:pPr>
            <w:r>
              <w:rPr>
                <w:rFonts w:ascii="Calibri" w:hAnsi="Calibri"/>
                <w:b w:val="0"/>
                <w:i w:val="0"/>
                <w:color w:val="212121"/>
                <w:sz w:val="19"/>
              </w:rPr>
              <w:t>Excess laryngeal and paralaryngeal muscle tension increases medial compression and collision forces; primary muscle-tension dysphonia is a common precursor of secondary nodules and a frequent co-existing pattern.</w:t>
            </w:r>
          </w:p>
          <w:p>
            <w:pPr>
              <w:spacing w:after="40" w:before="60" w:line="259" w:lineRule="auto"/>
            </w:pPr>
            <w:r>
              <w:rPr>
                <w:rFonts w:ascii="Calibri" w:hAnsi="Calibri"/>
                <w:b w:val="0"/>
                <w:i w:val="0"/>
                <w:color w:val="212121"/>
                <w:sz w:val="19"/>
              </w:rPr>
              <w:t>Nodules were significantly more frequent in professional voice users, whose high demand typically coexists with hyperfunctional voicing (p=0.006).</w:t>
            </w:r>
          </w:p>
          <w:p>
            <w:pPr>
              <w:spacing w:after="40" w:line="252" w:lineRule="auto"/>
            </w:pPr>
            <w:hyperlink r:id="rId9">
              <w:r>
                <w:rPr>
                  <w:rFonts w:ascii="Calibri" w:hAnsi="Calibri" w:cs="Calibri"/>
                  <w:sz w:val="18"/>
                  <w:color w:val="1155CC"/>
                  <w:u w:val="single"/>
                </w:rPr>
                <w:t xml:space="preserve">pubmed.ncbi.nlm.nih.gov/30498270 — nodules in professional voice users</w:t>
              </w:r>
            </w:hyperlink>
          </w:p>
          <w:p>
            <w:pPr>
              <w:spacing w:before="60" w:after="40"/>
            </w:pPr>
            <w:r>
              <w:rPr>
                <w:rFonts w:ascii="Calibri" w:hAnsi="Calibri"/>
                <w:b w:val="0"/>
                <w:i w:val="0"/>
                <w:color w:val="5A5A5A"/>
                <w:sz w:val="18"/>
              </w:rPr>
              <w:t>#muscletension  #hyperfunction  #medialcompression  #secondarynodules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General aerobic fitness supports the breath control and postural stability that underlie efficient, low-impact voicing; conversely, breath-holding/grunting during heavy lifting and shouting during sport are bursts of phonotrauma.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Reflux-provoking eating patterns (spicy, fatty and late meals, carbonated drinks) drive laryngopharyngeal reflux, which sensitises the larynx and aggravates nodules and polyps; acid reflux is a documented voice-problem risk factor in Indian teachers.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or short sleep increases vocal fatigue, muscle tension and hard glottal attack, and slows mucosal recovery, so lesions are more likely to form and less likely to heal in the chronically sleep-deprived.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smoke chronically inflames the vocal-fold mucosa and is the single most significant risk factor for Reinke's/polypoid oedema; smokers have significantly more oedema and polyps than non-smokers.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dehydrates the mucosa, promotes reflux and disinhibits loud, effortful voicing, compounding phonotrauma and delaying healing of existing lesions.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Stress and anxiety raise laryngeal muscle tension and hard glottal attack; psychological stress during teaching is a risk factor, and depression and anxiety are strikingly common among patients with vocal-fold lesions.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systemic and surface hydration lowers phonation-threshold pressure and protects the mucosal wave, reducing the vibratory stress that produces nodules and polyps; hydration is a core vocal-hygiene measure.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mild diuretic/drying effect and can promote reflux; its direct contribution is small but it adds to mucosal dehydration when intake is high and fluid replacement is poor.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Vocal hygiene — voice rest, avoiding shouting and throat-clearing, using amplification and hydrating — is central to preventing and treating phonotrauma lesions; hand hygiene also reduces the upper-respiratory infections that trigger voice misuse.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vocal overload (shouting at an event, prolonged teaching without amplification, continuing to voice through an upper-respiratory infection), habitual throat-clearing and a single violent phonatory effort can precipitate a polyp or worsen nodules.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Head-forward, slumped or tense posture (e.g. hunching over a desk or phone) raises laryngeal and neck-muscle tension and impairs breath support, increasing vocal-fold collision forces during phonation.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Daily vocal load (hours of loud/effortful voicing)</w:t>
            </w:r>
          </w:p>
        </w:tc>
        <w:tc>
          <w:tcPr>
            <w:tcW w:type="dxa" w:w="1655"/>
            <w:vAlign w:val="top"/>
          </w:tcPr>
          <w:p>
            <w:pPr>
              <w:spacing w:after="40" w:before="0" w:line="259" w:lineRule="auto"/>
            </w:pPr>
            <w:r>
              <w:rPr>
                <w:rFonts w:ascii="Calibri" w:hAnsi="Calibri"/>
                <w:b w:val="0"/>
                <w:i w:val="0"/>
                <w:color w:val="212121"/>
                <w:sz w:val="19"/>
              </w:rPr>
              <w:t>Teachers, singers, vendors</w:t>
            </w:r>
          </w:p>
        </w:tc>
        <w:tc>
          <w:tcPr>
            <w:tcW w:type="dxa" w:w="1512"/>
            <w:vAlign w:val="top"/>
          </w:tcPr>
          <w:p>
            <w:pPr>
              <w:spacing w:after="40" w:before="0" w:line="259" w:lineRule="auto"/>
            </w:pPr>
            <w:r>
              <w:rPr>
                <w:rFonts w:ascii="Calibri" w:hAnsi="Calibri"/>
                <w:b w:val="0"/>
                <w:i w:val="0"/>
                <w:color w:val="212121"/>
                <w:sz w:val="19"/>
              </w:rPr>
              <w:t>≤ 4 h with regular voice breaks</w:t>
            </w:r>
          </w:p>
        </w:tc>
        <w:tc>
          <w:tcPr>
            <w:tcW w:type="dxa" w:w="1512"/>
            <w:vAlign w:val="top"/>
          </w:tcPr>
          <w:p>
            <w:pPr>
              <w:spacing w:after="40" w:before="0" w:line="259" w:lineRule="auto"/>
            </w:pPr>
            <w:r>
              <w:rPr>
                <w:rFonts w:ascii="Calibri" w:hAnsi="Calibri"/>
                <w:b w:val="0"/>
                <w:i w:val="0"/>
                <w:color w:val="212121"/>
                <w:sz w:val="19"/>
              </w:rPr>
              <w:t>&gt; 6 h continuous loud voicing without breaks</w:t>
            </w:r>
          </w:p>
        </w:tc>
        <w:tc>
          <w:tcPr>
            <w:tcW w:type="dxa" w:w="1468"/>
            <w:vAlign w:val="top"/>
          </w:tcPr>
          <w:p>
            <w:pPr>
              <w:spacing w:after="60" w:line="259" w:lineRule="auto"/>
            </w:pPr>
            <w:r>
              <w:rPr>
                <w:rFonts w:ascii="Calibri" w:hAnsi="Calibri"/>
                <w:b w:val="0"/>
                <w:i w:val="0"/>
                <w:color w:val="212121"/>
                <w:sz w:val="19"/>
              </w:rPr>
              <w:t>High cumulative vocal load is the primary driver of phonotrauma lesions.</w:t>
            </w:r>
          </w:p>
          <w:p>
            <w:pPr>
              <w:spacing w:after="40" w:line="252" w:lineRule="auto"/>
            </w:pPr>
            <w:hyperlink r:id="rId13">
              <w:r>
                <w:rPr>
                  <w:rFonts w:ascii="Calibri" w:hAnsi="Calibri" w:cs="Calibri"/>
                  <w:sz w:val="18"/>
                  <w:color w:val="1155CC"/>
                  <w:u w:val="single"/>
                </w:rPr>
                <w:t xml:space="preserve">https://pubmed.ncbi.nlm.nih.gov/27363867/</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Weekly aerobic activity (minutes)</w:t>
            </w:r>
          </w:p>
        </w:tc>
        <w:tc>
          <w:tcPr>
            <w:tcW w:type="dxa" w:w="1655"/>
            <w:vAlign w:val="top"/>
          </w:tcPr>
          <w:p>
            <w:pPr>
              <w:spacing w:after="40" w:before="0" w:line="259" w:lineRule="auto"/>
            </w:pPr>
            <w:r>
              <w:rPr>
                <w:rFonts w:ascii="Calibri" w:hAnsi="Calibri"/>
                <w:b w:val="0"/>
                <w:i w:val="0"/>
                <w:color w:val="212121"/>
                <w:sz w:val="19"/>
              </w:rPr>
              <w:t>Adults, professional voice users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60 min/week (deconditioned breath support)</w:t>
            </w:r>
          </w:p>
        </w:tc>
        <w:tc>
          <w:tcPr>
            <w:tcW w:type="dxa" w:w="1468"/>
            <w:vAlign w:val="top"/>
          </w:tcPr>
          <w:p>
            <w:pPr>
              <w:spacing w:after="40" w:before="0" w:line="259" w:lineRule="auto"/>
            </w:pPr>
            <w:r>
              <w:rPr>
                <w:rFonts w:ascii="Calibri" w:hAnsi="Calibri"/>
                <w:b w:val="0"/>
                <w:i w:val="0"/>
                <w:color w:val="212121"/>
                <w:sz w:val="19"/>
              </w:rPr>
              <w:t>Fitness supports breath control and reduces compensatory laryngeal effort.</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Reflux Symptom Index (RSI)</w:t>
            </w:r>
          </w:p>
        </w:tc>
        <w:tc>
          <w:tcPr>
            <w:tcW w:type="dxa" w:w="1655"/>
            <w:vAlign w:val="top"/>
          </w:tcPr>
          <w:p>
            <w:pPr>
              <w:spacing w:after="40" w:before="0" w:line="259" w:lineRule="auto"/>
            </w:pPr>
            <w:r>
              <w:rPr>
                <w:rFonts w:ascii="Calibri" w:hAnsi="Calibri"/>
                <w:b w:val="0"/>
                <w:i w:val="0"/>
                <w:color w:val="212121"/>
                <w:sz w:val="19"/>
              </w:rPr>
              <w:t>Adults with dysphonia</w:t>
            </w:r>
          </w:p>
        </w:tc>
        <w:tc>
          <w:tcPr>
            <w:tcW w:type="dxa" w:w="1512"/>
            <w:vAlign w:val="top"/>
          </w:tcPr>
          <w:p>
            <w:pPr>
              <w:spacing w:after="40" w:before="0" w:line="259" w:lineRule="auto"/>
            </w:pPr>
            <w:r>
              <w:rPr>
                <w:rFonts w:ascii="Calibri" w:hAnsi="Calibri"/>
                <w:b w:val="0"/>
                <w:i w:val="0"/>
                <w:color w:val="212121"/>
                <w:sz w:val="19"/>
              </w:rPr>
              <w:t>≤ 13</w:t>
            </w:r>
          </w:p>
        </w:tc>
        <w:tc>
          <w:tcPr>
            <w:tcW w:type="dxa" w:w="1512"/>
            <w:vAlign w:val="top"/>
          </w:tcPr>
          <w:p>
            <w:pPr>
              <w:spacing w:after="40" w:before="0" w:line="259" w:lineRule="auto"/>
            </w:pPr>
            <w:r>
              <w:rPr>
                <w:rFonts w:ascii="Calibri" w:hAnsi="Calibri"/>
                <w:b w:val="0"/>
                <w:i w:val="0"/>
                <w:color w:val="212121"/>
                <w:sz w:val="19"/>
              </w:rPr>
              <w:t>&gt; 13 (suggests laryngopharyngeal reflux)</w:t>
            </w:r>
          </w:p>
        </w:tc>
        <w:tc>
          <w:tcPr>
            <w:tcW w:type="dxa" w:w="1468"/>
            <w:vAlign w:val="top"/>
          </w:tcPr>
          <w:p>
            <w:pPr>
              <w:spacing w:after="40" w:before="0" w:line="259" w:lineRule="auto"/>
            </w:pPr>
            <w:r>
              <w:rPr>
                <w:rFonts w:ascii="Calibri" w:hAnsi="Calibri"/>
                <w:b w:val="0"/>
                <w:i w:val="0"/>
                <w:color w:val="212121"/>
                <w:sz w:val="19"/>
              </w:rPr>
              <w:t>Elevated RSI flags reflux that aggravates and perpetuates lesions.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water intake (litres)</w:t>
            </w:r>
          </w:p>
        </w:tc>
        <w:tc>
          <w:tcPr>
            <w:tcW w:type="dxa" w:w="1655"/>
            <w:vAlign w:val="top"/>
          </w:tcPr>
          <w:p>
            <w:pPr>
              <w:spacing w:after="40" w:before="0" w:line="259" w:lineRule="auto"/>
            </w:pPr>
            <w:r>
              <w:rPr>
                <w:rFonts w:ascii="Calibri" w:hAnsi="Calibri"/>
                <w:b w:val="0"/>
                <w:i w:val="0"/>
                <w:color w:val="212121"/>
                <w:sz w:val="19"/>
              </w:rPr>
              <w:t>All voice users</w:t>
            </w:r>
          </w:p>
        </w:tc>
        <w:tc>
          <w:tcPr>
            <w:tcW w:type="dxa" w:w="1512"/>
            <w:vAlign w:val="top"/>
          </w:tcPr>
          <w:p>
            <w:pPr>
              <w:spacing w:after="40" w:before="0" w:line="259" w:lineRule="auto"/>
            </w:pPr>
            <w:r>
              <w:rPr>
                <w:rFonts w:ascii="Calibri" w:hAnsi="Calibri"/>
                <w:b w:val="0"/>
                <w:i w:val="0"/>
                <w:color w:val="212121"/>
                <w:sz w:val="19"/>
              </w:rPr>
              <w:t>~2–3 L/day (adjusted for climate)</w:t>
            </w:r>
          </w:p>
        </w:tc>
        <w:tc>
          <w:tcPr>
            <w:tcW w:type="dxa" w:w="1512"/>
            <w:vAlign w:val="top"/>
          </w:tcPr>
          <w:p>
            <w:pPr>
              <w:spacing w:after="40" w:before="0" w:line="259" w:lineRule="auto"/>
            </w:pPr>
            <w:r>
              <w:rPr>
                <w:rFonts w:ascii="Calibri" w:hAnsi="Calibri"/>
                <w:b w:val="0"/>
                <w:i w:val="0"/>
                <w:color w:val="212121"/>
                <w:sz w:val="19"/>
              </w:rPr>
              <w:t>&lt; 1.5 L/day / persistent dry throat</w:t>
            </w:r>
          </w:p>
        </w:tc>
        <w:tc>
          <w:tcPr>
            <w:tcW w:type="dxa" w:w="1468"/>
            <w:vAlign w:val="top"/>
          </w:tcPr>
          <w:p>
            <w:pPr>
              <w:spacing w:after="40" w:before="0" w:line="259" w:lineRule="auto"/>
            </w:pPr>
            <w:r>
              <w:rPr>
                <w:rFonts w:ascii="Calibri" w:hAnsi="Calibri"/>
                <w:b w:val="0"/>
                <w:i w:val="0"/>
                <w:color w:val="212121"/>
                <w:sz w:val="19"/>
              </w:rPr>
              <w:t>Hydration lowers phonation-threshold pressure and protects the mucosal wave.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promotes polyps and Reinke's oedema and adds malignancy risk.</w:t>
            </w:r>
          </w:p>
          <w:p>
            <w:pPr>
              <w:spacing w:after="40" w:line="252" w:lineRule="auto"/>
            </w:pPr>
            <w:hyperlink r:id="rId11">
              <w:r>
                <w:rPr>
                  <w:rFonts w:ascii="Calibri" w:hAnsi="Calibri" w:cs="Calibri"/>
                  <w:sz w:val="18"/>
                  <w:color w:val="1155CC"/>
                  <w:u w:val="single"/>
                </w:rPr>
                <w:t xml:space="preserve">https://pubmed.ncbi.nlm.nih.gov/37603666/</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low occasional intake</w:t>
            </w:r>
          </w:p>
        </w:tc>
        <w:tc>
          <w:tcPr>
            <w:tcW w:type="dxa" w:w="1512"/>
            <w:vAlign w:val="top"/>
          </w:tcPr>
          <w:p>
            <w:pPr>
              <w:spacing w:after="40" w:before="0" w:line="259" w:lineRule="auto"/>
            </w:pPr>
            <w:r>
              <w:rPr>
                <w:rFonts w:ascii="Calibri" w:hAnsi="Calibri"/>
                <w:b w:val="0"/>
                <w:i w:val="0"/>
                <w:color w:val="212121"/>
                <w:sz w:val="19"/>
              </w:rPr>
              <w:t>Regular/heavy intake with dry throat or reflux</w:t>
            </w:r>
          </w:p>
        </w:tc>
        <w:tc>
          <w:tcPr>
            <w:tcW w:type="dxa" w:w="1468"/>
            <w:vAlign w:val="top"/>
          </w:tcPr>
          <w:p>
            <w:pPr>
              <w:spacing w:after="40" w:before="0" w:line="259" w:lineRule="auto"/>
            </w:pPr>
            <w:r>
              <w:rPr>
                <w:rFonts w:ascii="Calibri" w:hAnsi="Calibri"/>
                <w:b w:val="0"/>
                <w:i w:val="0"/>
                <w:color w:val="212121"/>
                <w:sz w:val="19"/>
              </w:rPr>
              <w:t>Alcohol dehydrates the mucosa and promotes reflux and loud voicing.</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h/night</w:t>
            </w:r>
          </w:p>
        </w:tc>
        <w:tc>
          <w:tcPr>
            <w:tcW w:type="dxa" w:w="1512"/>
            <w:vAlign w:val="top"/>
          </w:tcPr>
          <w:p>
            <w:pPr>
              <w:spacing w:after="40" w:before="0" w:line="259" w:lineRule="auto"/>
            </w:pPr>
            <w:r>
              <w:rPr>
                <w:rFonts w:ascii="Calibri" w:hAnsi="Calibri"/>
                <w:b w:val="0"/>
                <w:i w:val="0"/>
                <w:color w:val="212121"/>
                <w:sz w:val="19"/>
              </w:rPr>
              <w:t>&lt; 6 h/night</w:t>
            </w:r>
          </w:p>
        </w:tc>
        <w:tc>
          <w:tcPr>
            <w:tcW w:type="dxa" w:w="1468"/>
            <w:vAlign w:val="top"/>
          </w:tcPr>
          <w:p>
            <w:pPr>
              <w:spacing w:after="40" w:before="0" w:line="259" w:lineRule="auto"/>
            </w:pPr>
            <w:r>
              <w:rPr>
                <w:rFonts w:ascii="Calibri" w:hAnsi="Calibri"/>
                <w:b w:val="0"/>
                <w:i w:val="0"/>
                <w:color w:val="212121"/>
                <w:sz w:val="19"/>
              </w:rPr>
              <w:t>Short sleep worsens vocal fatigue and slows mucosal healing.</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Caffeinated drinks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2–3 cups/day with fluid replacement</w:t>
            </w:r>
          </w:p>
        </w:tc>
        <w:tc>
          <w:tcPr>
            <w:tcW w:type="dxa" w:w="1512"/>
            <w:vAlign w:val="top"/>
          </w:tcPr>
          <w:p>
            <w:pPr>
              <w:spacing w:after="40" w:before="0" w:line="259" w:lineRule="auto"/>
            </w:pPr>
            <w:r>
              <w:rPr>
                <w:rFonts w:ascii="Calibri" w:hAnsi="Calibri"/>
                <w:b w:val="0"/>
                <w:i w:val="0"/>
                <w:color w:val="212121"/>
                <w:sz w:val="19"/>
              </w:rPr>
              <w:t>&gt; 4 cups/day or replacing water with caffeine</w:t>
            </w:r>
          </w:p>
        </w:tc>
        <w:tc>
          <w:tcPr>
            <w:tcW w:type="dxa" w:w="1468"/>
            <w:vAlign w:val="top"/>
          </w:tcPr>
          <w:p>
            <w:pPr>
              <w:spacing w:after="40" w:before="0" w:line="259" w:lineRule="auto"/>
            </w:pPr>
            <w:r>
              <w:rPr>
                <w:rFonts w:ascii="Calibri" w:hAnsi="Calibri"/>
                <w:b w:val="0"/>
                <w:i w:val="0"/>
                <w:color w:val="212121"/>
                <w:sz w:val="19"/>
              </w:rPr>
              <w:t>Excess caffeine adds to mucosal drying and reflux.</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anxiety level</w:t>
            </w:r>
          </w:p>
        </w:tc>
        <w:tc>
          <w:tcPr>
            <w:tcW w:type="dxa" w:w="1655"/>
            <w:vAlign w:val="top"/>
          </w:tcPr>
          <w:p>
            <w:pPr>
              <w:spacing w:after="40" w:before="0" w:line="259" w:lineRule="auto"/>
            </w:pPr>
            <w:r>
              <w:rPr>
                <w:rFonts w:ascii="Calibri" w:hAnsi="Calibri"/>
                <w:b w:val="0"/>
                <w:i w:val="0"/>
                <w:color w:val="212121"/>
                <w:sz w:val="19"/>
              </w:rPr>
              <w:t>Professional voice users</w:t>
            </w:r>
          </w:p>
        </w:tc>
        <w:tc>
          <w:tcPr>
            <w:tcW w:type="dxa" w:w="1512"/>
            <w:vAlign w:val="top"/>
          </w:tcPr>
          <w:p>
            <w:pPr>
              <w:spacing w:after="40" w:before="0" w:line="259" w:lineRule="auto"/>
            </w:pPr>
            <w:r>
              <w:rPr>
                <w:rFonts w:ascii="Calibri" w:hAnsi="Calibri"/>
                <w:b w:val="0"/>
                <w:i w:val="0"/>
                <w:color w:val="212121"/>
                <w:sz w:val="19"/>
              </w:rPr>
              <w:t>Low, well-managed</w:t>
            </w:r>
          </w:p>
        </w:tc>
        <w:tc>
          <w:tcPr>
            <w:tcW w:type="dxa" w:w="1512"/>
            <w:vAlign w:val="top"/>
          </w:tcPr>
          <w:p>
            <w:pPr>
              <w:spacing w:after="40" w:before="0" w:line="259" w:lineRule="auto"/>
            </w:pPr>
            <w:r>
              <w:rPr>
                <w:rFonts w:ascii="Calibri" w:hAnsi="Calibri"/>
                <w:b w:val="0"/>
                <w:i w:val="0"/>
                <w:color w:val="212121"/>
                <w:sz w:val="19"/>
              </w:rPr>
              <w:t>High stress with throat tightness / hard glottal attack</w:t>
            </w:r>
          </w:p>
        </w:tc>
        <w:tc>
          <w:tcPr>
            <w:tcW w:type="dxa" w:w="1468"/>
            <w:vAlign w:val="top"/>
          </w:tcPr>
          <w:p>
            <w:pPr>
              <w:spacing w:after="60" w:line="259" w:lineRule="auto"/>
            </w:pPr>
            <w:r>
              <w:rPr>
                <w:rFonts w:ascii="Calibri" w:hAnsi="Calibri"/>
                <w:b w:val="0"/>
                <w:i w:val="0"/>
                <w:color w:val="212121"/>
                <w:sz w:val="19"/>
              </w:rPr>
              <w:t>Stress and anxiety raise laryngeal muscle tension; both are common in lesion patients.</w:t>
            </w:r>
          </w:p>
          <w:p>
            <w:pPr>
              <w:spacing w:after="40" w:line="252" w:lineRule="auto"/>
            </w:pPr>
            <w:hyperlink r:id="rId16">
              <w:r>
                <w:rPr>
                  <w:rFonts w:ascii="Calibri" w:hAnsi="Calibri" w:cs="Calibri"/>
                  <w:sz w:val="18"/>
                  <w:color w:val="1155CC"/>
                  <w:u w:val="single"/>
                </w:rPr>
                <w:t xml:space="preserve">https://pubmed.ncbi.nlm.nih.gov/32355993/</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Voice-rest breaks during heavy use</w:t>
            </w:r>
          </w:p>
        </w:tc>
        <w:tc>
          <w:tcPr>
            <w:tcW w:type="dxa" w:w="1655"/>
            <w:vAlign w:val="top"/>
          </w:tcPr>
          <w:p>
            <w:pPr>
              <w:spacing w:after="40" w:before="0" w:line="259" w:lineRule="auto"/>
            </w:pPr>
            <w:r>
              <w:rPr>
                <w:rFonts w:ascii="Calibri" w:hAnsi="Calibri"/>
                <w:b w:val="0"/>
                <w:i w:val="0"/>
                <w:color w:val="212121"/>
                <w:sz w:val="19"/>
              </w:rPr>
              <w:t>Teachers, singers, call-centre staff</w:t>
            </w:r>
          </w:p>
        </w:tc>
        <w:tc>
          <w:tcPr>
            <w:tcW w:type="dxa" w:w="1512"/>
            <w:vAlign w:val="top"/>
          </w:tcPr>
          <w:p>
            <w:pPr>
              <w:spacing w:after="40" w:before="0" w:line="259" w:lineRule="auto"/>
            </w:pPr>
            <w:r>
              <w:rPr>
                <w:rFonts w:ascii="Calibri" w:hAnsi="Calibri"/>
                <w:b w:val="0"/>
                <w:i w:val="0"/>
                <w:color w:val="212121"/>
                <w:sz w:val="19"/>
              </w:rPr>
              <w:t>Short vocal rest every 30–60 min; use amplification</w:t>
            </w:r>
          </w:p>
        </w:tc>
        <w:tc>
          <w:tcPr>
            <w:tcW w:type="dxa" w:w="1512"/>
            <w:vAlign w:val="top"/>
          </w:tcPr>
          <w:p>
            <w:pPr>
              <w:spacing w:after="40" w:before="0" w:line="259" w:lineRule="auto"/>
            </w:pPr>
            <w:r>
              <w:rPr>
                <w:rFonts w:ascii="Calibri" w:hAnsi="Calibri"/>
                <w:b w:val="0"/>
                <w:i w:val="0"/>
                <w:color w:val="212121"/>
                <w:sz w:val="19"/>
              </w:rPr>
              <w:t>Continuous voicing with no breaks or amplification</w:t>
            </w:r>
          </w:p>
        </w:tc>
        <w:tc>
          <w:tcPr>
            <w:tcW w:type="dxa" w:w="1468"/>
            <w:vAlign w:val="top"/>
          </w:tcPr>
          <w:p>
            <w:pPr>
              <w:spacing w:after="40" w:before="0" w:line="259" w:lineRule="auto"/>
            </w:pPr>
            <w:r>
              <w:rPr>
                <w:rFonts w:ascii="Calibri" w:hAnsi="Calibri"/>
                <w:b w:val="0"/>
                <w:i w:val="0"/>
                <w:color w:val="212121"/>
                <w:sz w:val="19"/>
              </w:rPr>
              <w:t>Scheduled voice rest and amplification are core preventive vocal hygiene.</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Head/neck posture during voicing</w:t>
            </w:r>
          </w:p>
        </w:tc>
        <w:tc>
          <w:tcPr>
            <w:tcW w:type="dxa" w:w="1655"/>
            <w:vAlign w:val="top"/>
          </w:tcPr>
          <w:p>
            <w:pPr>
              <w:spacing w:after="40" w:before="0" w:line="259" w:lineRule="auto"/>
            </w:pPr>
            <w:r>
              <w:rPr>
                <w:rFonts w:ascii="Calibri" w:hAnsi="Calibri"/>
                <w:b w:val="0"/>
                <w:i w:val="0"/>
                <w:color w:val="212121"/>
                <w:sz w:val="19"/>
              </w:rPr>
              <w:t>Desk &amp; phone workers, teachers</w:t>
            </w:r>
          </w:p>
        </w:tc>
        <w:tc>
          <w:tcPr>
            <w:tcW w:type="dxa" w:w="1512"/>
            <w:vAlign w:val="top"/>
          </w:tcPr>
          <w:p>
            <w:pPr>
              <w:spacing w:after="40" w:before="0" w:line="259" w:lineRule="auto"/>
            </w:pPr>
            <w:r>
              <w:rPr>
                <w:rFonts w:ascii="Calibri" w:hAnsi="Calibri"/>
                <w:b w:val="0"/>
                <w:i w:val="0"/>
                <w:color w:val="212121"/>
                <w:sz w:val="19"/>
              </w:rPr>
              <w:t>Neutral, aligned head and relaxed neck</w:t>
            </w:r>
          </w:p>
        </w:tc>
        <w:tc>
          <w:tcPr>
            <w:tcW w:type="dxa" w:w="1512"/>
            <w:vAlign w:val="top"/>
          </w:tcPr>
          <w:p>
            <w:pPr>
              <w:spacing w:after="40" w:before="0" w:line="259" w:lineRule="auto"/>
            </w:pPr>
            <w:r>
              <w:rPr>
                <w:rFonts w:ascii="Calibri" w:hAnsi="Calibri"/>
                <w:b w:val="0"/>
                <w:i w:val="0"/>
                <w:color w:val="212121"/>
                <w:sz w:val="19"/>
              </w:rPr>
              <w:t>Sustained head-forward/slumped posture</w:t>
            </w:r>
          </w:p>
        </w:tc>
        <w:tc>
          <w:tcPr>
            <w:tcW w:type="dxa" w:w="1468"/>
            <w:vAlign w:val="top"/>
          </w:tcPr>
          <w:p>
            <w:pPr>
              <w:spacing w:after="40" w:before="0" w:line="259" w:lineRule="auto"/>
            </w:pPr>
            <w:r>
              <w:rPr>
                <w:rFonts w:ascii="Calibri" w:hAnsi="Calibri"/>
                <w:b w:val="0"/>
                <w:i w:val="0"/>
                <w:color w:val="212121"/>
                <w:sz w:val="19"/>
              </w:rPr>
              <w:t>Poor posture increases laryngeal tension and collision forces.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Vocal-fold lesion (site, laterality, size)</w:t>
            </w:r>
          </w:p>
        </w:tc>
        <w:tc>
          <w:tcPr>
            <w:tcW w:type="dxa" w:w="892"/>
            <w:vAlign w:val="top"/>
          </w:tcPr>
          <w:p>
            <w:pPr>
              <w:spacing w:after="40" w:before="0" w:line="259" w:lineRule="auto"/>
            </w:pPr>
            <w:r>
              <w:rPr>
                <w:rFonts w:ascii="Calibri" w:hAnsi="Calibri"/>
                <w:b w:val="0"/>
                <w:i w:val="0"/>
                <w:color w:val="212121"/>
                <w:sz w:val="16"/>
              </w:rPr>
              <w:t>Flexible fibre-optic / rigid laryngoscopy</w:t>
            </w:r>
          </w:p>
        </w:tc>
        <w:tc>
          <w:tcPr>
            <w:tcW w:type="dxa" w:w="950"/>
            <w:vAlign w:val="top"/>
          </w:tcPr>
          <w:p>
            <w:pPr>
              <w:spacing w:after="40" w:before="0" w:line="259" w:lineRule="auto"/>
            </w:pPr>
            <w:r>
              <w:rPr>
                <w:rFonts w:ascii="Calibri" w:hAnsi="Calibri"/>
                <w:b w:val="0"/>
                <w:i w:val="0"/>
                <w:color w:val="212121"/>
                <w:sz w:val="16"/>
              </w:rPr>
              <w:t>Smooth, straight, mobile folds; no mass</w:t>
            </w:r>
          </w:p>
        </w:tc>
        <w:tc>
          <w:tcPr>
            <w:tcW w:type="dxa" w:w="950"/>
            <w:vAlign w:val="top"/>
          </w:tcPr>
          <w:p>
            <w:pPr>
              <w:spacing w:after="40" w:before="0" w:line="259" w:lineRule="auto"/>
            </w:pPr>
            <w:r>
              <w:rPr>
                <w:rFonts w:ascii="Calibri" w:hAnsi="Calibri"/>
                <w:b w:val="0"/>
                <w:i w:val="0"/>
                <w:color w:val="212121"/>
                <w:sz w:val="16"/>
              </w:rPr>
              <w:t>Bilateral mid-fold nodules or a unilateral polyp</w:t>
            </w:r>
          </w:p>
        </w:tc>
        <w:tc>
          <w:tcPr>
            <w:tcW w:type="dxa" w:w="1036"/>
            <w:vAlign w:val="top"/>
          </w:tcPr>
          <w:p>
            <w:pPr>
              <w:spacing w:after="40" w:before="0" w:line="259" w:lineRule="auto"/>
            </w:pPr>
            <w:r>
              <w:rPr>
                <w:rFonts w:ascii="Calibri" w:hAnsi="Calibri"/>
                <w:b w:val="0"/>
                <w:i w:val="0"/>
                <w:color w:val="212121"/>
                <w:sz w:val="16"/>
              </w:rPr>
              <w:t>Directly visualises and characterises the lesion</w:t>
            </w:r>
          </w:p>
        </w:tc>
        <w:tc>
          <w:tcPr>
            <w:tcW w:type="dxa" w:w="1036"/>
            <w:vAlign w:val="top"/>
          </w:tcPr>
          <w:p>
            <w:pPr>
              <w:spacing w:after="40" w:before="0" w:line="259" w:lineRule="auto"/>
            </w:pPr>
            <w:r>
              <w:rPr>
                <w:rFonts w:ascii="Calibri" w:hAnsi="Calibri"/>
                <w:b w:val="0"/>
                <w:i w:val="0"/>
                <w:color w:val="212121"/>
                <w:sz w:val="16"/>
              </w:rPr>
              <w:t>Any patient with dysphonia &gt; 2–3 weeks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First-line structural assessment of the larynx.</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Stroboscopy</w:t>
            </w:r>
          </w:p>
        </w:tc>
        <w:tc>
          <w:tcPr>
            <w:tcW w:type="dxa" w:w="1036"/>
            <w:vAlign w:val="top"/>
          </w:tcPr>
          <w:p>
            <w:pPr>
              <w:spacing w:after="40" w:before="0" w:line="259" w:lineRule="auto"/>
            </w:pPr>
            <w:r>
              <w:rPr>
                <w:rFonts w:ascii="Calibri" w:hAnsi="Calibri"/>
                <w:b w:val="0"/>
                <w:i w:val="0"/>
                <w:color w:val="212121"/>
                <w:sz w:val="16"/>
              </w:rPr>
              <w:t>Mucosal wave &amp; glottic closure</w:t>
            </w:r>
          </w:p>
        </w:tc>
        <w:tc>
          <w:tcPr>
            <w:tcW w:type="dxa" w:w="892"/>
            <w:vAlign w:val="top"/>
          </w:tcPr>
          <w:p>
            <w:pPr>
              <w:spacing w:after="40" w:before="0" w:line="259" w:lineRule="auto"/>
            </w:pPr>
            <w:r>
              <w:rPr>
                <w:rFonts w:ascii="Calibri" w:hAnsi="Calibri"/>
                <w:b w:val="0"/>
                <w:i w:val="0"/>
                <w:color w:val="212121"/>
                <w:sz w:val="16"/>
              </w:rPr>
              <w:t>Videostroboscopy</w:t>
            </w:r>
          </w:p>
        </w:tc>
        <w:tc>
          <w:tcPr>
            <w:tcW w:type="dxa" w:w="950"/>
            <w:vAlign w:val="top"/>
          </w:tcPr>
          <w:p>
            <w:pPr>
              <w:spacing w:after="40" w:before="0" w:line="259" w:lineRule="auto"/>
            </w:pPr>
            <w:r>
              <w:rPr>
                <w:rFonts w:ascii="Calibri" w:hAnsi="Calibri"/>
                <w:b w:val="0"/>
                <w:i w:val="0"/>
                <w:color w:val="212121"/>
                <w:sz w:val="16"/>
              </w:rPr>
              <w:t>Symmetric, periodic wave; complete closure</w:t>
            </w:r>
          </w:p>
        </w:tc>
        <w:tc>
          <w:tcPr>
            <w:tcW w:type="dxa" w:w="950"/>
            <w:vAlign w:val="top"/>
          </w:tcPr>
          <w:p>
            <w:pPr>
              <w:spacing w:after="40" w:before="0" w:line="259" w:lineRule="auto"/>
            </w:pPr>
            <w:r>
              <w:rPr>
                <w:rFonts w:ascii="Calibri" w:hAnsi="Calibri"/>
                <w:b w:val="0"/>
                <w:i w:val="0"/>
                <w:color w:val="212121"/>
                <w:sz w:val="16"/>
              </w:rPr>
              <w:t>Reduced/absent wave over lesion; hourglass gap; phase asymmetry</w:t>
            </w:r>
          </w:p>
        </w:tc>
        <w:tc>
          <w:tcPr>
            <w:tcW w:type="dxa" w:w="1036"/>
            <w:vAlign w:val="top"/>
          </w:tcPr>
          <w:p>
            <w:pPr>
              <w:spacing w:after="40" w:before="0" w:line="259" w:lineRule="auto"/>
            </w:pPr>
            <w:r>
              <w:rPr>
                <w:rFonts w:ascii="Calibri" w:hAnsi="Calibri"/>
                <w:b w:val="0"/>
                <w:i w:val="0"/>
                <w:color w:val="212121"/>
                <w:sz w:val="16"/>
              </w:rPr>
              <w:t>Confirms the lesion's effect on vibration and stages severity</w:t>
            </w:r>
          </w:p>
        </w:tc>
        <w:tc>
          <w:tcPr>
            <w:tcW w:type="dxa" w:w="1036"/>
            <w:vAlign w:val="top"/>
          </w:tcPr>
          <w:p>
            <w:pPr>
              <w:spacing w:after="40" w:before="0" w:line="259" w:lineRule="auto"/>
            </w:pPr>
            <w:r>
              <w:rPr>
                <w:rFonts w:ascii="Calibri" w:hAnsi="Calibri"/>
                <w:b w:val="0"/>
                <w:i w:val="0"/>
                <w:color w:val="212121"/>
                <w:sz w:val="16"/>
              </w:rPr>
              <w:t>Professional voice users,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confirmatory test</w:t>
            </w:r>
          </w:p>
        </w:tc>
        <w:tc>
          <w:tcPr>
            <w:tcW w:type="dxa" w:w="720"/>
            <w:vAlign w:val="top"/>
          </w:tcPr>
          <w:p>
            <w:pPr>
              <w:spacing w:after="40" w:before="0" w:line="259" w:lineRule="auto"/>
            </w:pPr>
            <w:r>
              <w:rPr>
                <w:rFonts w:ascii="Calibri" w:hAnsi="Calibri"/>
                <w:b w:val="0"/>
                <w:i w:val="0"/>
                <w:color w:val="212121"/>
                <w:sz w:val="16"/>
              </w:rPr>
              <w:t>Best test to differentiate nodule/polyp/cyst.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Acoustic analysis</w:t>
            </w:r>
          </w:p>
        </w:tc>
        <w:tc>
          <w:tcPr>
            <w:tcW w:type="dxa" w:w="1036"/>
            <w:vAlign w:val="top"/>
          </w:tcPr>
          <w:p>
            <w:pPr>
              <w:spacing w:after="40" w:before="0" w:line="259" w:lineRule="auto"/>
            </w:pPr>
            <w:r>
              <w:rPr>
                <w:rFonts w:ascii="Calibri" w:hAnsi="Calibri"/>
                <w:b w:val="0"/>
                <w:i w:val="0"/>
                <w:color w:val="212121"/>
                <w:sz w:val="16"/>
              </w:rPr>
              <w:t>Jitter, shimmer, harmonics-to-noise ratio</w:t>
            </w:r>
          </w:p>
        </w:tc>
        <w:tc>
          <w:tcPr>
            <w:tcW w:type="dxa" w:w="892"/>
            <w:vAlign w:val="top"/>
          </w:tcPr>
          <w:p>
            <w:pPr>
              <w:spacing w:after="40" w:before="0" w:line="259" w:lineRule="auto"/>
            </w:pPr>
            <w:r>
              <w:rPr>
                <w:rFonts w:ascii="Calibri" w:hAnsi="Calibri"/>
                <w:b w:val="0"/>
                <w:i w:val="0"/>
                <w:color w:val="212121"/>
                <w:sz w:val="16"/>
              </w:rPr>
              <w:t>Computerised voice analysis</w:t>
            </w:r>
          </w:p>
        </w:tc>
        <w:tc>
          <w:tcPr>
            <w:tcW w:type="dxa" w:w="950"/>
            <w:vAlign w:val="top"/>
          </w:tcPr>
          <w:p>
            <w:pPr>
              <w:spacing w:after="40" w:before="0" w:line="259" w:lineRule="auto"/>
            </w:pPr>
            <w:r>
              <w:rPr>
                <w:rFonts w:ascii="Calibri" w:hAnsi="Calibri"/>
                <w:b w:val="0"/>
                <w:i w:val="0"/>
                <w:color w:val="212121"/>
                <w:sz w:val="16"/>
              </w:rPr>
              <w:t>Jitter &lt;1%, shimmer &lt;3–5%, HNR high</w:t>
            </w:r>
          </w:p>
        </w:tc>
        <w:tc>
          <w:tcPr>
            <w:tcW w:type="dxa" w:w="950"/>
            <w:vAlign w:val="top"/>
          </w:tcPr>
          <w:p>
            <w:pPr>
              <w:spacing w:after="40" w:before="0" w:line="259" w:lineRule="auto"/>
            </w:pPr>
            <w:r>
              <w:rPr>
                <w:rFonts w:ascii="Calibri" w:hAnsi="Calibri"/>
                <w:b w:val="0"/>
                <w:i w:val="0"/>
                <w:color w:val="212121"/>
                <w:sz w:val="16"/>
              </w:rPr>
              <w:t>Raised jitter/shimmer, low HNR</w:t>
            </w:r>
          </w:p>
        </w:tc>
        <w:tc>
          <w:tcPr>
            <w:tcW w:type="dxa" w:w="1036"/>
            <w:vAlign w:val="top"/>
          </w:tcPr>
          <w:p>
            <w:pPr>
              <w:spacing w:after="40" w:before="0" w:line="259" w:lineRule="auto"/>
            </w:pPr>
            <w:r>
              <w:rPr>
                <w:rFonts w:ascii="Calibri" w:hAnsi="Calibri"/>
                <w:b w:val="0"/>
                <w:i w:val="0"/>
                <w:color w:val="212121"/>
                <w:sz w:val="16"/>
              </w:rPr>
              <w:t>Objective measure of dysphonia and treatment response</w:t>
            </w:r>
          </w:p>
        </w:tc>
        <w:tc>
          <w:tcPr>
            <w:tcW w:type="dxa" w:w="1036"/>
            <w:vAlign w:val="top"/>
          </w:tcPr>
          <w:p>
            <w:pPr>
              <w:spacing w:after="40" w:before="0" w:line="259" w:lineRule="auto"/>
            </w:pPr>
            <w:r>
              <w:rPr>
                <w:rFonts w:ascii="Calibri" w:hAnsi="Calibri"/>
                <w:b w:val="0"/>
                <w:i w:val="0"/>
                <w:color w:val="212121"/>
                <w:sz w:val="16"/>
              </w:rPr>
              <w:t>Singers, teachers, research/monitoring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Documents baseline and post-therapy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Aerodynamic</w:t>
            </w:r>
          </w:p>
        </w:tc>
        <w:tc>
          <w:tcPr>
            <w:tcW w:type="dxa" w:w="1036"/>
            <w:vAlign w:val="top"/>
          </w:tcPr>
          <w:p>
            <w:pPr>
              <w:spacing w:after="40" w:before="0" w:line="259" w:lineRule="auto"/>
            </w:pPr>
            <w:r>
              <w:rPr>
                <w:rFonts w:ascii="Calibri" w:hAnsi="Calibri"/>
                <w:b w:val="0"/>
                <w:i w:val="0"/>
                <w:color w:val="212121"/>
                <w:sz w:val="16"/>
              </w:rPr>
              <w:t>Maximum phonation time (MPT)</w:t>
            </w:r>
          </w:p>
        </w:tc>
        <w:tc>
          <w:tcPr>
            <w:tcW w:type="dxa" w:w="892"/>
            <w:vAlign w:val="top"/>
          </w:tcPr>
          <w:p>
            <w:pPr>
              <w:spacing w:after="40" w:before="0" w:line="259" w:lineRule="auto"/>
            </w:pPr>
            <w:r>
              <w:rPr>
                <w:rFonts w:ascii="Calibri" w:hAnsi="Calibri"/>
                <w:b w:val="0"/>
                <w:i w:val="0"/>
                <w:color w:val="212121"/>
                <w:sz w:val="16"/>
              </w:rPr>
              <w:t>Sustained /a/ timing</w:t>
            </w:r>
          </w:p>
        </w:tc>
        <w:tc>
          <w:tcPr>
            <w:tcW w:type="dxa" w:w="950"/>
            <w:vAlign w:val="top"/>
          </w:tcPr>
          <w:p>
            <w:pPr>
              <w:spacing w:after="40" w:before="0" w:line="259" w:lineRule="auto"/>
            </w:pPr>
            <w:r>
              <w:rPr>
                <w:rFonts w:ascii="Calibri" w:hAnsi="Calibri"/>
                <w:b w:val="0"/>
                <w:i w:val="0"/>
                <w:color w:val="212121"/>
                <w:sz w:val="16"/>
              </w:rPr>
              <w:t>≥ 15–20 s</w:t>
            </w:r>
          </w:p>
        </w:tc>
        <w:tc>
          <w:tcPr>
            <w:tcW w:type="dxa" w:w="950"/>
            <w:vAlign w:val="top"/>
          </w:tcPr>
          <w:p>
            <w:pPr>
              <w:spacing w:after="40" w:before="0" w:line="259" w:lineRule="auto"/>
            </w:pPr>
            <w:r>
              <w:rPr>
                <w:rFonts w:ascii="Calibri" w:hAnsi="Calibri"/>
                <w:b w:val="0"/>
                <w:i w:val="0"/>
                <w:color w:val="212121"/>
                <w:sz w:val="16"/>
              </w:rPr>
              <w:t>&lt; 10 s</w:t>
            </w:r>
          </w:p>
        </w:tc>
        <w:tc>
          <w:tcPr>
            <w:tcW w:type="dxa" w:w="1036"/>
            <w:vAlign w:val="top"/>
          </w:tcPr>
          <w:p>
            <w:pPr>
              <w:spacing w:after="40" w:before="0" w:line="259" w:lineRule="auto"/>
            </w:pPr>
            <w:r>
              <w:rPr>
                <w:rFonts w:ascii="Calibri" w:hAnsi="Calibri"/>
                <w:b w:val="0"/>
                <w:i w:val="0"/>
                <w:color w:val="212121"/>
                <w:sz w:val="16"/>
              </w:rPr>
              <w:t>Short MPT indicates glottic insufficiency from incomplete closure</w:t>
            </w:r>
          </w:p>
        </w:tc>
        <w:tc>
          <w:tcPr>
            <w:tcW w:type="dxa" w:w="1036"/>
            <w:vAlign w:val="top"/>
          </w:tcPr>
          <w:p>
            <w:pPr>
              <w:spacing w:after="40" w:before="0" w:line="259" w:lineRule="auto"/>
            </w:pPr>
            <w:r>
              <w:rPr>
                <w:rFonts w:ascii="Calibri" w:hAnsi="Calibri"/>
                <w:b w:val="0"/>
                <w:i w:val="0"/>
                <w:color w:val="212121"/>
                <w:sz w:val="16"/>
              </w:rPr>
              <w:t>Patients with breathy voice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Simple bedside aerodynamic measure.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Patient-reported</w:t>
            </w:r>
          </w:p>
        </w:tc>
        <w:tc>
          <w:tcPr>
            <w:tcW w:type="dxa" w:w="1036"/>
            <w:vAlign w:val="top"/>
          </w:tcPr>
          <w:p>
            <w:pPr>
              <w:spacing w:after="40" w:before="0" w:line="259" w:lineRule="auto"/>
            </w:pPr>
            <w:r>
              <w:rPr>
                <w:rFonts w:ascii="Calibri" w:hAnsi="Calibri"/>
                <w:b w:val="0"/>
                <w:i w:val="0"/>
                <w:color w:val="212121"/>
                <w:sz w:val="16"/>
              </w:rPr>
              <w:t>Voice Handicap Index (VHI / VHI-10)</w:t>
            </w:r>
          </w:p>
        </w:tc>
        <w:tc>
          <w:tcPr>
            <w:tcW w:type="dxa" w:w="892"/>
            <w:vAlign w:val="top"/>
          </w:tcPr>
          <w:p>
            <w:pPr>
              <w:spacing w:after="40" w:before="0" w:line="259" w:lineRule="auto"/>
            </w:pPr>
            <w:r>
              <w:rPr>
                <w:rFonts w:ascii="Calibri" w:hAnsi="Calibri"/>
                <w:b w:val="0"/>
                <w:i w:val="0"/>
                <w:color w:val="212121"/>
                <w:sz w:val="16"/>
              </w:rPr>
              <w:t>Validated questionnaire</w:t>
            </w:r>
          </w:p>
        </w:tc>
        <w:tc>
          <w:tcPr>
            <w:tcW w:type="dxa" w:w="950"/>
            <w:vAlign w:val="top"/>
          </w:tcPr>
          <w:p>
            <w:pPr>
              <w:spacing w:after="40" w:before="0" w:line="259" w:lineRule="auto"/>
            </w:pPr>
            <w:r>
              <w:rPr>
                <w:rFonts w:ascii="Calibri" w:hAnsi="Calibri"/>
                <w:b w:val="0"/>
                <w:i w:val="0"/>
                <w:color w:val="212121"/>
                <w:sz w:val="16"/>
              </w:rPr>
              <w:t>VHI-10 &lt; 11</w:t>
            </w:r>
          </w:p>
        </w:tc>
        <w:tc>
          <w:tcPr>
            <w:tcW w:type="dxa" w:w="950"/>
            <w:vAlign w:val="top"/>
          </w:tcPr>
          <w:p>
            <w:pPr>
              <w:spacing w:after="40" w:before="0" w:line="259" w:lineRule="auto"/>
            </w:pPr>
            <w:r>
              <w:rPr>
                <w:rFonts w:ascii="Calibri" w:hAnsi="Calibri"/>
                <w:b w:val="0"/>
                <w:i w:val="0"/>
                <w:color w:val="212121"/>
                <w:sz w:val="16"/>
              </w:rPr>
              <w:t>VHI-10 ≥ 11</w:t>
            </w:r>
          </w:p>
        </w:tc>
        <w:tc>
          <w:tcPr>
            <w:tcW w:type="dxa" w:w="1036"/>
            <w:vAlign w:val="top"/>
          </w:tcPr>
          <w:p>
            <w:pPr>
              <w:spacing w:after="40" w:before="0" w:line="259" w:lineRule="auto"/>
            </w:pPr>
            <w:r>
              <w:rPr>
                <w:rFonts w:ascii="Calibri" w:hAnsi="Calibri"/>
                <w:b w:val="0"/>
                <w:i w:val="0"/>
                <w:color w:val="212121"/>
                <w:sz w:val="16"/>
              </w:rPr>
              <w:t>Quantifies functional/psychosocial voice disability</w:t>
            </w:r>
          </w:p>
        </w:tc>
        <w:tc>
          <w:tcPr>
            <w:tcW w:type="dxa" w:w="1036"/>
            <w:vAlign w:val="top"/>
          </w:tcPr>
          <w:p>
            <w:pPr>
              <w:spacing w:after="40" w:before="0" w:line="259" w:lineRule="auto"/>
            </w:pPr>
            <w:r>
              <w:rPr>
                <w:rFonts w:ascii="Calibri" w:hAnsi="Calibri"/>
                <w:b w:val="0"/>
                <w:i w:val="0"/>
                <w:color w:val="212121"/>
                <w:sz w:val="16"/>
              </w:rPr>
              <w:t>All dysphonic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Outcome measure</w:t>
            </w:r>
          </w:p>
        </w:tc>
        <w:tc>
          <w:tcPr>
            <w:tcW w:type="dxa" w:w="720"/>
            <w:vAlign w:val="top"/>
          </w:tcPr>
          <w:p>
            <w:pPr>
              <w:spacing w:after="40" w:before="0" w:line="259" w:lineRule="auto"/>
            </w:pPr>
            <w:r>
              <w:rPr>
                <w:rFonts w:ascii="Calibri" w:hAnsi="Calibri"/>
                <w:b w:val="0"/>
                <w:i w:val="0"/>
                <w:color w:val="212121"/>
                <w:sz w:val="16"/>
              </w:rPr>
              <w:t>Tracks impact and response to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Reflux workup</w:t>
            </w:r>
          </w:p>
        </w:tc>
        <w:tc>
          <w:tcPr>
            <w:tcW w:type="dxa" w:w="1036"/>
            <w:vAlign w:val="top"/>
          </w:tcPr>
          <w:p>
            <w:pPr>
              <w:spacing w:after="40" w:before="0" w:line="259" w:lineRule="auto"/>
            </w:pPr>
            <w:r>
              <w:rPr>
                <w:rFonts w:ascii="Calibri" w:hAnsi="Calibri"/>
                <w:b w:val="0"/>
                <w:i w:val="0"/>
                <w:color w:val="212121"/>
                <w:sz w:val="16"/>
              </w:rPr>
              <w:t>Reflux Symptom Index (RSI)</w:t>
            </w:r>
          </w:p>
        </w:tc>
        <w:tc>
          <w:tcPr>
            <w:tcW w:type="dxa" w:w="892"/>
            <w:vAlign w:val="top"/>
          </w:tcPr>
          <w:p>
            <w:pPr>
              <w:spacing w:after="40" w:before="0" w:line="259" w:lineRule="auto"/>
            </w:pPr>
            <w:r>
              <w:rPr>
                <w:rFonts w:ascii="Calibri" w:hAnsi="Calibri"/>
                <w:b w:val="0"/>
                <w:i w:val="0"/>
                <w:color w:val="212121"/>
                <w:sz w:val="16"/>
              </w:rPr>
              <w:t>RSI questionnaire ± laryngoscopy signs</w:t>
            </w:r>
          </w:p>
        </w:tc>
        <w:tc>
          <w:tcPr>
            <w:tcW w:type="dxa" w:w="950"/>
            <w:vAlign w:val="top"/>
          </w:tcPr>
          <w:p>
            <w:pPr>
              <w:spacing w:after="40" w:before="0" w:line="259" w:lineRule="auto"/>
            </w:pPr>
            <w:r>
              <w:rPr>
                <w:rFonts w:ascii="Calibri" w:hAnsi="Calibri"/>
                <w:b w:val="0"/>
                <w:i w:val="0"/>
                <w:color w:val="212121"/>
                <w:sz w:val="16"/>
              </w:rPr>
              <w:t>≤ 13</w:t>
            </w:r>
          </w:p>
        </w:tc>
        <w:tc>
          <w:tcPr>
            <w:tcW w:type="dxa" w:w="950"/>
            <w:vAlign w:val="top"/>
          </w:tcPr>
          <w:p>
            <w:pPr>
              <w:spacing w:after="40" w:before="0" w:line="259" w:lineRule="auto"/>
            </w:pPr>
            <w:r>
              <w:rPr>
                <w:rFonts w:ascii="Calibri" w:hAnsi="Calibri"/>
                <w:b w:val="0"/>
                <w:i w:val="0"/>
                <w:color w:val="212121"/>
                <w:sz w:val="16"/>
              </w:rPr>
              <w:t>&gt; 13</w:t>
            </w:r>
          </w:p>
        </w:tc>
        <w:tc>
          <w:tcPr>
            <w:tcW w:type="dxa" w:w="1036"/>
            <w:vAlign w:val="top"/>
          </w:tcPr>
          <w:p>
            <w:pPr>
              <w:spacing w:after="40" w:before="0" w:line="259" w:lineRule="auto"/>
            </w:pPr>
            <w:r>
              <w:rPr>
                <w:rFonts w:ascii="Calibri" w:hAnsi="Calibri"/>
                <w:b w:val="0"/>
                <w:i w:val="0"/>
                <w:color w:val="212121"/>
                <w:sz w:val="16"/>
              </w:rPr>
              <w:t>Identifies laryngopharyngeal reflux as a co-driver</w:t>
            </w:r>
          </w:p>
        </w:tc>
        <w:tc>
          <w:tcPr>
            <w:tcW w:type="dxa" w:w="1036"/>
            <w:vAlign w:val="top"/>
          </w:tcPr>
          <w:p>
            <w:pPr>
              <w:spacing w:after="40" w:before="0" w:line="259" w:lineRule="auto"/>
            </w:pPr>
            <w:r>
              <w:rPr>
                <w:rFonts w:ascii="Calibri" w:hAnsi="Calibri"/>
                <w:b w:val="0"/>
                <w:i w:val="0"/>
                <w:color w:val="212121"/>
                <w:sz w:val="16"/>
              </w:rPr>
              <w:t>Patients with throat-clearing, globus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Contributory workup</w:t>
            </w:r>
          </w:p>
        </w:tc>
        <w:tc>
          <w:tcPr>
            <w:tcW w:type="dxa" w:w="720"/>
            <w:vAlign w:val="top"/>
          </w:tcPr>
          <w:p>
            <w:pPr>
              <w:spacing w:after="40" w:before="0" w:line="259" w:lineRule="auto"/>
            </w:pPr>
            <w:r>
              <w:rPr>
                <w:rFonts w:ascii="Calibri" w:hAnsi="Calibri"/>
                <w:b w:val="0"/>
                <w:i w:val="0"/>
                <w:color w:val="212121"/>
                <w:sz w:val="16"/>
              </w:rPr>
              <w:t>Guides anti-reflux measures.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Elevated TSH (hypothyroidism)</w:t>
            </w:r>
          </w:p>
        </w:tc>
        <w:tc>
          <w:tcPr>
            <w:tcW w:type="dxa" w:w="1036"/>
            <w:vAlign w:val="top"/>
          </w:tcPr>
          <w:p>
            <w:pPr>
              <w:spacing w:after="40" w:before="0" w:line="259" w:lineRule="auto"/>
            </w:pPr>
            <w:r>
              <w:rPr>
                <w:rFonts w:ascii="Calibri" w:hAnsi="Calibri"/>
                <w:b w:val="0"/>
                <w:i w:val="0"/>
                <w:color w:val="212121"/>
                <w:sz w:val="16"/>
              </w:rPr>
              <w:t>Excludes hypothyroid myxoedematous fold change</w:t>
            </w:r>
          </w:p>
        </w:tc>
        <w:tc>
          <w:tcPr>
            <w:tcW w:type="dxa" w:w="1036"/>
            <w:vAlign w:val="top"/>
          </w:tcPr>
          <w:p>
            <w:pPr>
              <w:spacing w:after="40" w:before="0" w:line="259" w:lineRule="auto"/>
            </w:pPr>
            <w:r>
              <w:rPr>
                <w:rFonts w:ascii="Calibri" w:hAnsi="Calibri"/>
                <w:b w:val="0"/>
                <w:i w:val="0"/>
                <w:color w:val="212121"/>
                <w:sz w:val="16"/>
              </w:rPr>
              <w:t>Older adults, women, unexplained voice change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 if the cause is thyroid-related.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Tissue diagnosis</w:t>
            </w:r>
          </w:p>
        </w:tc>
        <w:tc>
          <w:tcPr>
            <w:tcW w:type="dxa" w:w="892"/>
            <w:vAlign w:val="top"/>
          </w:tcPr>
          <w:p>
            <w:pPr>
              <w:spacing w:after="40" w:before="0" w:line="259" w:lineRule="auto"/>
            </w:pPr>
            <w:r>
              <w:rPr>
                <w:rFonts w:ascii="Calibri" w:hAnsi="Calibri"/>
                <w:b w:val="0"/>
                <w:i w:val="0"/>
                <w:color w:val="212121"/>
                <w:sz w:val="16"/>
              </w:rPr>
              <w:t>Biopsy / excision histology</w:t>
            </w:r>
          </w:p>
        </w:tc>
        <w:tc>
          <w:tcPr>
            <w:tcW w:type="dxa" w:w="950"/>
            <w:vAlign w:val="top"/>
          </w:tcPr>
          <w:p>
            <w:pPr>
              <w:spacing w:after="40" w:before="0" w:line="259" w:lineRule="auto"/>
            </w:pPr>
            <w:r>
              <w:rPr>
                <w:rFonts w:ascii="Calibri" w:hAnsi="Calibri"/>
                <w:b w:val="0"/>
                <w:i w:val="0"/>
                <w:color w:val="212121"/>
                <w:sz w:val="16"/>
              </w:rPr>
              <w:t>Benign nodule/polyp architecture</w:t>
            </w:r>
          </w:p>
        </w:tc>
        <w:tc>
          <w:tcPr>
            <w:tcW w:type="dxa" w:w="950"/>
            <w:vAlign w:val="top"/>
          </w:tcPr>
          <w:p>
            <w:pPr>
              <w:spacing w:after="40" w:before="0" w:line="259" w:lineRule="auto"/>
            </w:pPr>
            <w:r>
              <w:rPr>
                <w:rFonts w:ascii="Calibri" w:hAnsi="Calibri"/>
                <w:b w:val="0"/>
                <w:i w:val="0"/>
                <w:color w:val="212121"/>
                <w:sz w:val="16"/>
              </w:rPr>
              <w:t>Dysplasia or carcinoma</w:t>
            </w:r>
          </w:p>
        </w:tc>
        <w:tc>
          <w:tcPr>
            <w:tcW w:type="dxa" w:w="1036"/>
            <w:vAlign w:val="top"/>
          </w:tcPr>
          <w:p>
            <w:pPr>
              <w:spacing w:after="40" w:before="0" w:line="259" w:lineRule="auto"/>
            </w:pPr>
            <w:r>
              <w:rPr>
                <w:rFonts w:ascii="Calibri" w:hAnsi="Calibri"/>
                <w:b w:val="0"/>
                <w:i w:val="0"/>
                <w:color w:val="212121"/>
                <w:sz w:val="16"/>
              </w:rPr>
              <w:t>Excludes malignancy in suspicious or non-resolving lesions</w:t>
            </w:r>
          </w:p>
        </w:tc>
        <w:tc>
          <w:tcPr>
            <w:tcW w:type="dxa" w:w="1036"/>
            <w:vAlign w:val="top"/>
          </w:tcPr>
          <w:p>
            <w:pPr>
              <w:spacing w:after="40" w:before="0" w:line="259" w:lineRule="auto"/>
            </w:pPr>
            <w:r>
              <w:rPr>
                <w:rFonts w:ascii="Calibri" w:hAnsi="Calibri"/>
                <w:b w:val="0"/>
                <w:i w:val="0"/>
                <w:color w:val="212121"/>
                <w:sz w:val="16"/>
              </w:rPr>
              <w:t>Smokers, leukoplakia, immobile fold, non-resolving lesion</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Definitive when indicated</w:t>
            </w:r>
          </w:p>
        </w:tc>
        <w:tc>
          <w:tcPr>
            <w:tcW w:type="dxa" w:w="720"/>
            <w:vAlign w:val="top"/>
          </w:tcPr>
          <w:p>
            <w:pPr>
              <w:spacing w:after="40" w:before="0" w:line="259" w:lineRule="auto"/>
            </w:pPr>
            <w:r>
              <w:rPr>
                <w:rFonts w:ascii="Calibri" w:hAnsi="Calibri"/>
                <w:b w:val="0"/>
                <w:i w:val="0"/>
                <w:color w:val="212121"/>
                <w:sz w:val="16"/>
              </w:rPr>
              <w:t>Reserved for atypical/persistent lesions.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Hoarseness, breathiness, vocal fatigue &amp; duration</w:t>
            </w:r>
          </w:p>
        </w:tc>
        <w:tc>
          <w:tcPr>
            <w:tcW w:type="dxa" w:w="950"/>
            <w:vAlign w:val="top"/>
          </w:tcPr>
          <w:p>
            <w:pPr>
              <w:spacing w:after="40" w:before="0" w:line="259" w:lineRule="auto"/>
            </w:pPr>
            <w:r>
              <w:rPr>
                <w:rFonts w:ascii="Calibri" w:hAnsi="Calibri"/>
                <w:b w:val="0"/>
                <w:i w:val="0"/>
                <w:color w:val="212121"/>
                <w:sz w:val="16"/>
              </w:rPr>
              <w:t>Clear, stable voice</w:t>
            </w:r>
          </w:p>
        </w:tc>
        <w:tc>
          <w:tcPr>
            <w:tcW w:type="dxa" w:w="950"/>
            <w:vAlign w:val="top"/>
          </w:tcPr>
          <w:p>
            <w:pPr>
              <w:spacing w:after="40" w:before="0" w:line="259" w:lineRule="auto"/>
            </w:pPr>
            <w:r>
              <w:rPr>
                <w:rFonts w:ascii="Calibri" w:hAnsi="Calibri"/>
                <w:b w:val="0"/>
                <w:i w:val="0"/>
                <w:color w:val="212121"/>
                <w:sz w:val="16"/>
              </w:rPr>
              <w:t>Persistent hoarse/breathy voice &gt; 2–3 weeks</w:t>
            </w:r>
          </w:p>
        </w:tc>
        <w:tc>
          <w:tcPr>
            <w:tcW w:type="dxa" w:w="1036"/>
            <w:vAlign w:val="top"/>
          </w:tcPr>
          <w:p>
            <w:pPr>
              <w:spacing w:after="40" w:before="0" w:line="259" w:lineRule="auto"/>
            </w:pPr>
            <w:r>
              <w:rPr>
                <w:rFonts w:ascii="Calibri" w:hAnsi="Calibri"/>
                <w:b w:val="0"/>
                <w:i w:val="0"/>
                <w:color w:val="212121"/>
                <w:sz w:val="16"/>
              </w:rPr>
              <w:t>Cardinal presenting feature of a phonotrauma lesion</w:t>
            </w:r>
          </w:p>
        </w:tc>
        <w:tc>
          <w:tcPr>
            <w:tcW w:type="dxa" w:w="1036"/>
            <w:vAlign w:val="top"/>
          </w:tcPr>
          <w:p>
            <w:pPr>
              <w:spacing w:after="40" w:before="0" w:line="259" w:lineRule="auto"/>
            </w:pPr>
            <w:r>
              <w:rPr>
                <w:rFonts w:ascii="Calibri" w:hAnsi="Calibri"/>
                <w:b w:val="0"/>
                <w:i w:val="0"/>
                <w:color w:val="212121"/>
                <w:sz w:val="16"/>
              </w:rPr>
              <w:t>Teachers, singers, children with hoarseness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Duration guides urgency of laryngoscopy.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vocal-load history</w:t>
            </w:r>
          </w:p>
        </w:tc>
        <w:tc>
          <w:tcPr>
            <w:tcW w:type="dxa" w:w="979"/>
            <w:vAlign w:val="top"/>
          </w:tcPr>
          <w:p>
            <w:pPr>
              <w:spacing w:after="40" w:before="0" w:line="259" w:lineRule="auto"/>
            </w:pPr>
            <w:r>
              <w:rPr>
                <w:rFonts w:ascii="Calibri" w:hAnsi="Calibri"/>
                <w:b w:val="0"/>
                <w:i w:val="0"/>
                <w:color w:val="212121"/>
                <w:sz w:val="16"/>
              </w:rPr>
              <w:t>Hours of voice use, amplification, technique</w:t>
            </w:r>
          </w:p>
        </w:tc>
        <w:tc>
          <w:tcPr>
            <w:tcW w:type="dxa" w:w="950"/>
            <w:vAlign w:val="top"/>
          </w:tcPr>
          <w:p>
            <w:pPr>
              <w:spacing w:after="40" w:before="0" w:line="259" w:lineRule="auto"/>
            </w:pPr>
            <w:r>
              <w:rPr>
                <w:rFonts w:ascii="Calibri" w:hAnsi="Calibri"/>
                <w:b w:val="0"/>
                <w:i w:val="0"/>
                <w:color w:val="212121"/>
                <w:sz w:val="16"/>
              </w:rPr>
              <w:t>Moderate, well-supported voice use</w:t>
            </w:r>
          </w:p>
        </w:tc>
        <w:tc>
          <w:tcPr>
            <w:tcW w:type="dxa" w:w="950"/>
            <w:vAlign w:val="top"/>
          </w:tcPr>
          <w:p>
            <w:pPr>
              <w:spacing w:after="40" w:before="0" w:line="259" w:lineRule="auto"/>
            </w:pPr>
            <w:r>
              <w:rPr>
                <w:rFonts w:ascii="Calibri" w:hAnsi="Calibri"/>
                <w:b w:val="0"/>
                <w:i w:val="0"/>
                <w:color w:val="212121"/>
                <w:sz w:val="16"/>
              </w:rPr>
              <w:t>Prolonged loud voicing, shouting, no amplification</w:t>
            </w:r>
          </w:p>
        </w:tc>
        <w:tc>
          <w:tcPr>
            <w:tcW w:type="dxa" w:w="1036"/>
            <w:vAlign w:val="top"/>
          </w:tcPr>
          <w:p>
            <w:pPr>
              <w:spacing w:after="40" w:before="0" w:line="259" w:lineRule="auto"/>
            </w:pPr>
            <w:r>
              <w:rPr>
                <w:rFonts w:ascii="Calibri" w:hAnsi="Calibri"/>
                <w:b w:val="0"/>
                <w:i w:val="0"/>
                <w:color w:val="212121"/>
                <w:sz w:val="16"/>
              </w:rPr>
              <w:t>Establishes phonotrauma exposure</w:t>
            </w:r>
          </w:p>
        </w:tc>
        <w:tc>
          <w:tcPr>
            <w:tcW w:type="dxa" w:w="1036"/>
            <w:vAlign w:val="top"/>
          </w:tcPr>
          <w:p>
            <w:pPr>
              <w:spacing w:after="40" w:before="0" w:line="259" w:lineRule="auto"/>
            </w:pPr>
            <w:r>
              <w:rPr>
                <w:rFonts w:ascii="Calibri" w:hAnsi="Calibri"/>
                <w:b w:val="0"/>
                <w:i w:val="0"/>
                <w:color w:val="212121"/>
                <w:sz w:val="16"/>
              </w:rPr>
              <w:t>Professional voice users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Central to diagnosis and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Reflux &amp; allergy symptoms</w:t>
            </w:r>
          </w:p>
        </w:tc>
        <w:tc>
          <w:tcPr>
            <w:tcW w:type="dxa" w:w="979"/>
            <w:vAlign w:val="top"/>
          </w:tcPr>
          <w:p>
            <w:pPr>
              <w:spacing w:after="40" w:before="0" w:line="259" w:lineRule="auto"/>
            </w:pPr>
            <w:r>
              <w:rPr>
                <w:rFonts w:ascii="Calibri" w:hAnsi="Calibri"/>
                <w:b w:val="0"/>
                <w:i w:val="0"/>
                <w:color w:val="212121"/>
                <w:sz w:val="16"/>
              </w:rPr>
              <w:t>Heartburn, throat-clearing, globus, post-nasal drip</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Identifies aggravating LPR/allergy</w:t>
            </w:r>
          </w:p>
        </w:tc>
        <w:tc>
          <w:tcPr>
            <w:tcW w:type="dxa" w:w="1036"/>
            <w:vAlign w:val="top"/>
          </w:tcPr>
          <w:p>
            <w:pPr>
              <w:spacing w:after="40" w:before="0" w:line="259" w:lineRule="auto"/>
            </w:pPr>
            <w:r>
              <w:rPr>
                <w:rFonts w:ascii="Calibri" w:hAnsi="Calibri"/>
                <w:b w:val="0"/>
                <w:i w:val="0"/>
                <w:color w:val="212121"/>
                <w:sz w:val="16"/>
              </w:rPr>
              <w:t>Patients with chronic throat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Contributory</w:t>
            </w:r>
          </w:p>
        </w:tc>
        <w:tc>
          <w:tcPr>
            <w:tcW w:type="dxa" w:w="720"/>
            <w:vAlign w:val="top"/>
          </w:tcPr>
          <w:p>
            <w:pPr>
              <w:spacing w:after="40" w:before="0" w:line="259" w:lineRule="auto"/>
            </w:pPr>
            <w:r>
              <w:rPr>
                <w:rFonts w:ascii="Calibri" w:hAnsi="Calibri"/>
                <w:b w:val="0"/>
                <w:i w:val="0"/>
                <w:color w:val="212121"/>
                <w:sz w:val="16"/>
              </w:rPr>
              <w:t>Directs adjunctive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&amp; alcohol history</w:t>
            </w:r>
          </w:p>
        </w:tc>
        <w:tc>
          <w:tcPr>
            <w:tcW w:type="dxa" w:w="979"/>
            <w:vAlign w:val="top"/>
          </w:tcPr>
          <w:p>
            <w:pPr>
              <w:spacing w:after="40" w:before="0" w:line="259" w:lineRule="auto"/>
            </w:pPr>
            <w:r>
              <w:rPr>
                <w:rFonts w:ascii="Calibri" w:hAnsi="Calibri"/>
                <w:b w:val="0"/>
                <w:i w:val="0"/>
                <w:color w:val="212121"/>
                <w:sz w:val="16"/>
              </w:rPr>
              <w:t>Pack-years, alcohol intake</w:t>
            </w:r>
          </w:p>
        </w:tc>
        <w:tc>
          <w:tcPr>
            <w:tcW w:type="dxa" w:w="950"/>
            <w:vAlign w:val="top"/>
          </w:tcPr>
          <w:p>
            <w:pPr>
              <w:spacing w:after="40" w:before="0" w:line="259" w:lineRule="auto"/>
            </w:pPr>
            <w:r>
              <w:rPr>
                <w:rFonts w:ascii="Calibri" w:hAnsi="Calibri"/>
                <w:b w:val="0"/>
                <w:i w:val="0"/>
                <w:color w:val="212121"/>
                <w:sz w:val="16"/>
              </w:rPr>
              <w:t>Non-smoker, minimal alcohol</w:t>
            </w:r>
          </w:p>
        </w:tc>
        <w:tc>
          <w:tcPr>
            <w:tcW w:type="dxa" w:w="950"/>
            <w:vAlign w:val="top"/>
          </w:tcPr>
          <w:p>
            <w:pPr>
              <w:spacing w:after="40" w:before="0" w:line="259" w:lineRule="auto"/>
            </w:pPr>
            <w:r>
              <w:rPr>
                <w:rFonts w:ascii="Calibri" w:hAnsi="Calibri"/>
                <w:b w:val="0"/>
                <w:i w:val="0"/>
                <w:color w:val="212121"/>
                <w:sz w:val="16"/>
              </w:rPr>
              <w:t>Current smoker / heavy alcohol</w:t>
            </w:r>
          </w:p>
        </w:tc>
        <w:tc>
          <w:tcPr>
            <w:tcW w:type="dxa" w:w="1036"/>
            <w:vAlign w:val="top"/>
          </w:tcPr>
          <w:p>
            <w:pPr>
              <w:spacing w:after="40" w:before="0" w:line="259" w:lineRule="auto"/>
            </w:pPr>
            <w:r>
              <w:rPr>
                <w:rFonts w:ascii="Calibri" w:hAnsi="Calibri"/>
                <w:b w:val="0"/>
                <w:i w:val="0"/>
                <w:color w:val="212121"/>
                <w:sz w:val="16"/>
              </w:rPr>
              <w:t>Risk for polyps, Reinke's oedema and malignancy</w:t>
            </w:r>
          </w:p>
        </w:tc>
        <w:tc>
          <w:tcPr>
            <w:tcW w:type="dxa" w:w="1036"/>
            <w:vAlign w:val="top"/>
          </w:tcPr>
          <w:p>
            <w:pPr>
              <w:spacing w:after="40" w:before="0" w:line="259" w:lineRule="auto"/>
            </w:pPr>
            <w:r>
              <w:rPr>
                <w:rFonts w:ascii="Calibri" w:hAnsi="Calibri"/>
                <w:b w:val="0"/>
                <w:i w:val="0"/>
                <w:color w:val="212121"/>
                <w:sz w:val="16"/>
              </w:rPr>
              <w:t>Adults, elderly</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Prompts cessation advice and cancer vigilance.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Perceptual</w:t>
            </w:r>
          </w:p>
        </w:tc>
        <w:tc>
          <w:tcPr>
            <w:tcW w:type="dxa" w:w="950"/>
            <w:vAlign w:val="top"/>
          </w:tcPr>
          <w:p>
            <w:pPr>
              <w:spacing w:after="40" w:before="0" w:line="259" w:lineRule="auto"/>
            </w:pPr>
            <w:r>
              <w:rPr>
                <w:rFonts w:ascii="Calibri" w:hAnsi="Calibri"/>
                <w:b w:val="0"/>
                <w:i w:val="0"/>
                <w:color w:val="212121"/>
                <w:sz w:val="16"/>
              </w:rPr>
              <w:t>GRBAS voice rating</w:t>
            </w:r>
          </w:p>
        </w:tc>
        <w:tc>
          <w:tcPr>
            <w:tcW w:type="dxa" w:w="979"/>
            <w:vAlign w:val="top"/>
          </w:tcPr>
          <w:p>
            <w:pPr>
              <w:spacing w:after="40" w:before="0" w:line="259" w:lineRule="auto"/>
            </w:pPr>
            <w:r>
              <w:rPr>
                <w:rFonts w:ascii="Calibri" w:hAnsi="Calibri"/>
                <w:b w:val="0"/>
                <w:i w:val="0"/>
                <w:color w:val="212121"/>
                <w:sz w:val="16"/>
              </w:rPr>
              <w:t>Grade, Roughness, Breathiness, Asthenia, Strain</w:t>
            </w:r>
          </w:p>
        </w:tc>
        <w:tc>
          <w:tcPr>
            <w:tcW w:type="dxa" w:w="950"/>
            <w:vAlign w:val="top"/>
          </w:tcPr>
          <w:p>
            <w:pPr>
              <w:spacing w:after="40" w:before="0" w:line="259" w:lineRule="auto"/>
            </w:pPr>
            <w:r>
              <w:rPr>
                <w:rFonts w:ascii="Calibri" w:hAnsi="Calibri"/>
                <w:b w:val="0"/>
                <w:i w:val="0"/>
                <w:color w:val="212121"/>
                <w:sz w:val="16"/>
              </w:rPr>
              <w:t>G0 (normal)</w:t>
            </w:r>
          </w:p>
        </w:tc>
        <w:tc>
          <w:tcPr>
            <w:tcW w:type="dxa" w:w="950"/>
            <w:vAlign w:val="top"/>
          </w:tcPr>
          <w:p>
            <w:pPr>
              <w:spacing w:after="40" w:before="0" w:line="259" w:lineRule="auto"/>
            </w:pPr>
            <w:r>
              <w:rPr>
                <w:rFonts w:ascii="Calibri" w:hAnsi="Calibri"/>
                <w:b w:val="0"/>
                <w:i w:val="0"/>
                <w:color w:val="212121"/>
                <w:sz w:val="16"/>
              </w:rPr>
              <w:t>G1–G3 with roughness/breathiness</w:t>
            </w:r>
          </w:p>
        </w:tc>
        <w:tc>
          <w:tcPr>
            <w:tcW w:type="dxa" w:w="1036"/>
            <w:vAlign w:val="top"/>
          </w:tcPr>
          <w:p>
            <w:pPr>
              <w:spacing w:after="40" w:before="0" w:line="259" w:lineRule="auto"/>
            </w:pPr>
            <w:r>
              <w:rPr>
                <w:rFonts w:ascii="Calibri" w:hAnsi="Calibri"/>
                <w:b w:val="0"/>
                <w:i w:val="0"/>
                <w:color w:val="212121"/>
                <w:sz w:val="16"/>
              </w:rPr>
              <w:t>Standardised perceptual severity of dysphonia</w:t>
            </w:r>
          </w:p>
        </w:tc>
        <w:tc>
          <w:tcPr>
            <w:tcW w:type="dxa" w:w="1036"/>
            <w:vAlign w:val="top"/>
          </w:tcPr>
          <w:p>
            <w:pPr>
              <w:spacing w:after="40" w:before="0" w:line="259" w:lineRule="auto"/>
            </w:pPr>
            <w:r>
              <w:rPr>
                <w:rFonts w:ascii="Calibri" w:hAnsi="Calibri"/>
                <w:b w:val="0"/>
                <w:i w:val="0"/>
                <w:color w:val="212121"/>
                <w:sz w:val="16"/>
              </w:rPr>
              <w:t>All dysphonic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standard</w:t>
            </w:r>
          </w:p>
        </w:tc>
        <w:tc>
          <w:tcPr>
            <w:tcW w:type="dxa" w:w="720"/>
            <w:vAlign w:val="top"/>
          </w:tcPr>
          <w:p>
            <w:pPr>
              <w:spacing w:after="40" w:before="0" w:line="259" w:lineRule="auto"/>
            </w:pPr>
            <w:r>
              <w:rPr>
                <w:rFonts w:ascii="Calibri" w:hAnsi="Calibri"/>
                <w:b w:val="0"/>
                <w:i w:val="0"/>
                <w:color w:val="212121"/>
                <w:sz w:val="16"/>
              </w:rPr>
              <w:t>Reproducible clinician-rated scale.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Head &amp; neck / laryngeal palpation</w:t>
            </w:r>
          </w:p>
        </w:tc>
        <w:tc>
          <w:tcPr>
            <w:tcW w:type="dxa" w:w="979"/>
            <w:vAlign w:val="top"/>
          </w:tcPr>
          <w:p>
            <w:pPr>
              <w:spacing w:after="40" w:before="0" w:line="259" w:lineRule="auto"/>
            </w:pPr>
            <w:r>
              <w:rPr>
                <w:rFonts w:ascii="Calibri" w:hAnsi="Calibri"/>
                <w:b w:val="0"/>
                <w:i w:val="0"/>
                <w:color w:val="212121"/>
                <w:sz w:val="16"/>
              </w:rPr>
              <w:t>Laryngeal height, paralaryngeal tension, neck masses</w:t>
            </w:r>
          </w:p>
        </w:tc>
        <w:tc>
          <w:tcPr>
            <w:tcW w:type="dxa" w:w="950"/>
            <w:vAlign w:val="top"/>
          </w:tcPr>
          <w:p>
            <w:pPr>
              <w:spacing w:after="40" w:before="0" w:line="259" w:lineRule="auto"/>
            </w:pPr>
            <w:r>
              <w:rPr>
                <w:rFonts w:ascii="Calibri" w:hAnsi="Calibri"/>
                <w:b w:val="0"/>
                <w:i w:val="0"/>
                <w:color w:val="212121"/>
                <w:sz w:val="16"/>
              </w:rPr>
              <w:t>Mobile larynx, no tension or mass</w:t>
            </w:r>
          </w:p>
        </w:tc>
        <w:tc>
          <w:tcPr>
            <w:tcW w:type="dxa" w:w="950"/>
            <w:vAlign w:val="top"/>
          </w:tcPr>
          <w:p>
            <w:pPr>
              <w:spacing w:after="40" w:before="0" w:line="259" w:lineRule="auto"/>
            </w:pPr>
            <w:r>
              <w:rPr>
                <w:rFonts w:ascii="Calibri" w:hAnsi="Calibri"/>
                <w:b w:val="0"/>
                <w:i w:val="0"/>
                <w:color w:val="212121"/>
                <w:sz w:val="16"/>
              </w:rPr>
              <w:t>Raised, tense larynx; suspicious neck node</w:t>
            </w:r>
          </w:p>
        </w:tc>
        <w:tc>
          <w:tcPr>
            <w:tcW w:type="dxa" w:w="1036"/>
            <w:vAlign w:val="top"/>
          </w:tcPr>
          <w:p>
            <w:pPr>
              <w:spacing w:after="40" w:before="0" w:line="259" w:lineRule="auto"/>
            </w:pPr>
            <w:r>
              <w:rPr>
                <w:rFonts w:ascii="Calibri" w:hAnsi="Calibri"/>
                <w:b w:val="0"/>
                <w:i w:val="0"/>
                <w:color w:val="212121"/>
                <w:sz w:val="16"/>
              </w:rPr>
              <w:t>Detects muscle-tension pattern and red-flag masses</w:t>
            </w:r>
          </w:p>
        </w:tc>
        <w:tc>
          <w:tcPr>
            <w:tcW w:type="dxa" w:w="1036"/>
            <w:vAlign w:val="top"/>
          </w:tcPr>
          <w:p>
            <w:pPr>
              <w:spacing w:after="40" w:before="0" w:line="259" w:lineRule="auto"/>
            </w:pPr>
            <w:r>
              <w:rPr>
                <w:rFonts w:ascii="Calibri" w:hAnsi="Calibri"/>
                <w:b w:val="0"/>
                <w:i w:val="0"/>
                <w:color w:val="212121"/>
                <w:sz w:val="16"/>
              </w:rPr>
              <w:t>Hyperfunctional voicers, red-flag cases</w:t>
            </w:r>
          </w:p>
        </w:tc>
        <w:tc>
          <w:tcPr>
            <w:tcW w:type="dxa" w:w="720"/>
            <w:vAlign w:val="top"/>
          </w:tcPr>
          <w:p>
            <w:pPr>
              <w:spacing w:after="40" w:before="0" w:line="259" w:lineRule="auto"/>
            </w:pPr>
            <w:r>
              <w:rPr>
                <w:rFonts w:ascii="Calibri" w:hAnsi="Calibri"/>
                <w:b w:val="0"/>
                <w:i w:val="0"/>
                <w:color w:val="212121"/>
                <w:sz w:val="16"/>
              </w:rPr>
              <w:t>Posture;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Neck node with hoarseness needs urgent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Red-flag screen</w:t>
            </w:r>
          </w:p>
        </w:tc>
        <w:tc>
          <w:tcPr>
            <w:tcW w:type="dxa" w:w="950"/>
            <w:vAlign w:val="top"/>
          </w:tcPr>
          <w:p>
            <w:pPr>
              <w:spacing w:after="40" w:before="0" w:line="259" w:lineRule="auto"/>
            </w:pPr>
            <w:r>
              <w:rPr>
                <w:rFonts w:ascii="Calibri" w:hAnsi="Calibri"/>
                <w:b w:val="0"/>
                <w:i w:val="0"/>
                <w:color w:val="212121"/>
                <w:sz w:val="16"/>
              </w:rPr>
              <w:t>Alarm-symptom review</w:t>
            </w:r>
          </w:p>
        </w:tc>
        <w:tc>
          <w:tcPr>
            <w:tcW w:type="dxa" w:w="979"/>
            <w:vAlign w:val="top"/>
          </w:tcPr>
          <w:p>
            <w:pPr>
              <w:spacing w:after="40" w:before="0" w:line="259" w:lineRule="auto"/>
            </w:pPr>
            <w:r>
              <w:rPr>
                <w:rFonts w:ascii="Calibri" w:hAnsi="Calibri"/>
                <w:b w:val="0"/>
                <w:i w:val="0"/>
                <w:color w:val="212121"/>
                <w:sz w:val="16"/>
              </w:rPr>
              <w:t>Dysphagia, odynophagia, otalgia, weight loss, haemoptysis, stridor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Flags possible laryngeal malignancy or airway risk</w:t>
            </w:r>
          </w:p>
        </w:tc>
        <w:tc>
          <w:tcPr>
            <w:tcW w:type="dxa" w:w="1036"/>
            <w:vAlign w:val="top"/>
          </w:tcPr>
          <w:p>
            <w:pPr>
              <w:spacing w:after="40" w:before="0" w:line="259" w:lineRule="auto"/>
            </w:pPr>
            <w:r>
              <w:rPr>
                <w:rFonts w:ascii="Calibri" w:hAnsi="Calibri"/>
                <w:b w:val="0"/>
                <w:i w:val="0"/>
                <w:color w:val="212121"/>
                <w:sz w:val="16"/>
              </w:rPr>
              <w:t>Smokers, elderly, non-resolving hoarseness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Any alarm feature mandates urgent ENT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Psychosocial</w:t>
            </w:r>
          </w:p>
        </w:tc>
        <w:tc>
          <w:tcPr>
            <w:tcW w:type="dxa" w:w="950"/>
            <w:vAlign w:val="top"/>
          </w:tcPr>
          <w:p>
            <w:pPr>
              <w:spacing w:after="40" w:before="0" w:line="259" w:lineRule="auto"/>
            </w:pPr>
            <w:r>
              <w:rPr>
                <w:rFonts w:ascii="Calibri" w:hAnsi="Calibri"/>
                <w:b w:val="0"/>
                <w:i w:val="0"/>
                <w:color w:val="212121"/>
                <w:sz w:val="16"/>
              </w:rPr>
              <w:t>Mood &amp; voice-related quality of life</w:t>
            </w:r>
          </w:p>
        </w:tc>
        <w:tc>
          <w:tcPr>
            <w:tcW w:type="dxa" w:w="979"/>
            <w:vAlign w:val="top"/>
          </w:tcPr>
          <w:p>
            <w:pPr>
              <w:spacing w:after="40" w:before="0" w:line="259" w:lineRule="auto"/>
            </w:pPr>
            <w:r>
              <w:rPr>
                <w:rFonts w:ascii="Calibri" w:hAnsi="Calibri"/>
                <w:b w:val="0"/>
                <w:i w:val="0"/>
                <w:color w:val="212121"/>
                <w:sz w:val="16"/>
              </w:rPr>
              <w:t>Anxiety, low mood, occupational impact</w:t>
            </w:r>
          </w:p>
        </w:tc>
        <w:tc>
          <w:tcPr>
            <w:tcW w:type="dxa" w:w="950"/>
            <w:vAlign w:val="top"/>
          </w:tcPr>
          <w:p>
            <w:pPr>
              <w:spacing w:after="40" w:before="0" w:line="259" w:lineRule="auto"/>
            </w:pPr>
            <w:r>
              <w:rPr>
                <w:rFonts w:ascii="Calibri" w:hAnsi="Calibri"/>
                <w:b w:val="0"/>
                <w:i w:val="0"/>
                <w:color w:val="212121"/>
                <w:sz w:val="16"/>
              </w:rPr>
              <w:t>No significant distress</w:t>
            </w:r>
          </w:p>
        </w:tc>
        <w:tc>
          <w:tcPr>
            <w:tcW w:type="dxa" w:w="950"/>
            <w:vAlign w:val="top"/>
          </w:tcPr>
          <w:p>
            <w:pPr>
              <w:spacing w:after="40" w:before="0" w:line="259" w:lineRule="auto"/>
            </w:pPr>
            <w:r>
              <w:rPr>
                <w:rFonts w:ascii="Calibri" w:hAnsi="Calibri"/>
                <w:b w:val="0"/>
                <w:i w:val="0"/>
                <w:color w:val="212121"/>
                <w:sz w:val="16"/>
              </w:rPr>
              <w:t>Anxiety/depression, work absenteeism</w:t>
            </w:r>
          </w:p>
        </w:tc>
        <w:tc>
          <w:tcPr>
            <w:tcW w:type="dxa" w:w="1036"/>
            <w:vAlign w:val="top"/>
          </w:tcPr>
          <w:p>
            <w:pPr>
              <w:spacing w:after="40" w:before="0" w:line="259" w:lineRule="auto"/>
            </w:pPr>
            <w:r>
              <w:rPr>
                <w:rFonts w:ascii="Calibri" w:hAnsi="Calibri"/>
                <w:b w:val="0"/>
                <w:i w:val="0"/>
                <w:color w:val="212121"/>
                <w:sz w:val="16"/>
              </w:rPr>
              <w:t>Captures the high psychological burden of chronic dysphonia</w:t>
            </w:r>
          </w:p>
        </w:tc>
        <w:tc>
          <w:tcPr>
            <w:tcW w:type="dxa" w:w="1036"/>
            <w:vAlign w:val="top"/>
          </w:tcPr>
          <w:p>
            <w:pPr>
              <w:spacing w:after="40" w:before="0" w:line="259" w:lineRule="auto"/>
            </w:pPr>
            <w:r>
              <w:rPr>
                <w:rFonts w:ascii="Calibri" w:hAnsi="Calibri"/>
                <w:b w:val="0"/>
                <w:i w:val="0"/>
                <w:color w:val="212121"/>
                <w:sz w:val="16"/>
              </w:rPr>
              <w:t>Professional voice users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Holistic care</w:t>
            </w:r>
          </w:p>
        </w:tc>
        <w:tc>
          <w:tcPr>
            <w:tcW w:type="dxa" w:w="720"/>
            <w:vAlign w:val="top"/>
          </w:tcPr>
          <w:p>
            <w:pPr>
              <w:spacing w:after="40" w:before="0" w:line="259" w:lineRule="auto"/>
            </w:pPr>
            <w:r>
              <w:rPr>
                <w:rFonts w:ascii="Calibri" w:hAnsi="Calibri"/>
                <w:b w:val="0"/>
                <w:i w:val="0"/>
                <w:color w:val="212121"/>
                <w:sz w:val="16"/>
              </w:rPr>
              <w:t>Depression/anxiety are common in lesion patients.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hoarseness / roughness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rough, harsh voice from irregular vocal-fold vibration over the lesion.</w:t>
            </w:r>
          </w:p>
        </w:tc>
      </w:tr>
      <w:tr>
        <w:trPr>
          <w:cantSplit/>
        </w:trPr>
        <w:tc>
          <w:tcPr>
            <w:tcW w:type="dxa" w:w="2304"/>
            <w:vAlign w:val="top"/>
          </w:tcPr>
          <w:p>
            <w:pPr>
              <w:spacing w:after="40" w:before="0" w:line="259" w:lineRule="auto"/>
            </w:pPr>
            <w:r>
              <w:rPr>
                <w:rFonts w:ascii="Calibri" w:hAnsi="Calibri"/>
                <w:b/>
                <w:i w:val="0"/>
                <w:color w:val="212121"/>
                <w:sz w:val="19"/>
              </w:rPr>
              <w:t>Breathy voice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Air escapes through the incomplete (hourglass) glottic closure caused by the lesion.</w:t>
            </w:r>
          </w:p>
        </w:tc>
      </w:tr>
      <w:tr>
        <w:trPr>
          <w:cantSplit/>
        </w:trPr>
        <w:tc>
          <w:tcPr>
            <w:tcW w:type="dxa" w:w="2304"/>
            <w:vAlign w:val="top"/>
          </w:tcPr>
          <w:p>
            <w:pPr>
              <w:spacing w:after="40" w:before="0" w:line="259" w:lineRule="auto"/>
            </w:pPr>
            <w:r>
              <w:rPr>
                <w:rFonts w:ascii="Calibri" w:hAnsi="Calibri"/>
                <w:b/>
                <w:i w:val="0"/>
                <w:color w:val="212121"/>
                <w:sz w:val="19"/>
              </w:rPr>
              <w:t>Vocal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voice tires and weakens with use as the folds work harder to vibrate and close.</w:t>
            </w:r>
          </w:p>
        </w:tc>
      </w:tr>
      <w:tr>
        <w:trPr>
          <w:cantSplit/>
        </w:trPr>
        <w:tc>
          <w:tcPr>
            <w:tcW w:type="dxa" w:w="2304"/>
            <w:vAlign w:val="top"/>
          </w:tcPr>
          <w:p>
            <w:pPr>
              <w:spacing w:after="40" w:before="0" w:line="259" w:lineRule="auto"/>
            </w:pPr>
            <w:r>
              <w:rPr>
                <w:rFonts w:ascii="Calibri" w:hAnsi="Calibri"/>
                <w:b/>
                <w:i w:val="0"/>
                <w:color w:val="212121"/>
                <w:sz w:val="19"/>
              </w:rPr>
              <w:t>Reduced pitch range / loss of high notes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disabling for singers; the lesion stiffens the mucosa and limits the upper range.</w:t>
            </w:r>
          </w:p>
        </w:tc>
      </w:tr>
      <w:tr>
        <w:trPr>
          <w:cantSplit/>
        </w:trPr>
        <w:tc>
          <w:tcPr>
            <w:tcW w:type="dxa" w:w="2304"/>
            <w:vAlign w:val="top"/>
          </w:tcPr>
          <w:p>
            <w:pPr>
              <w:spacing w:after="40" w:before="0" w:line="259" w:lineRule="auto"/>
            </w:pPr>
            <w:r>
              <w:rPr>
                <w:rFonts w:ascii="Calibri" w:hAnsi="Calibri"/>
                <w:b/>
                <w:i w:val="0"/>
                <w:color w:val="212121"/>
                <w:sz w:val="19"/>
              </w:rPr>
              <w:t>Increased vocal effort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Speaking and singing feel strained and effortful, prompting compensatory muscle tension.</w:t>
            </w:r>
          </w:p>
        </w:tc>
      </w:tr>
      <w:tr>
        <w:trPr>
          <w:cantSplit/>
        </w:trPr>
        <w:tc>
          <w:tcPr>
            <w:tcW w:type="dxa" w:w="2304"/>
            <w:vAlign w:val="top"/>
          </w:tcPr>
          <w:p>
            <w:pPr>
              <w:spacing w:after="40" w:before="0" w:line="259" w:lineRule="auto"/>
            </w:pPr>
            <w:r>
              <w:rPr>
                <w:rFonts w:ascii="Calibri" w:hAnsi="Calibri"/>
                <w:b/>
                <w:i w:val="0"/>
                <w:color w:val="212121"/>
                <w:sz w:val="19"/>
              </w:rPr>
              <w:t>Frequent throat-clearing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mucus/obstruction leads to habitual clearing, which itself is further phonotrauma.</w:t>
            </w:r>
          </w:p>
        </w:tc>
      </w:tr>
      <w:tr>
        <w:trPr>
          <w:cantSplit/>
        </w:trPr>
        <w:tc>
          <w:tcPr>
            <w:tcW w:type="dxa" w:w="2304"/>
            <w:vAlign w:val="top"/>
          </w:tcPr>
          <w:p>
            <w:pPr>
              <w:spacing w:after="40" w:before="0" w:line="259" w:lineRule="auto"/>
            </w:pPr>
            <w:r>
              <w:rPr>
                <w:rFonts w:ascii="Calibri" w:hAnsi="Calibri"/>
                <w:b/>
                <w:i w:val="0"/>
                <w:color w:val="212121"/>
                <w:sz w:val="19"/>
              </w:rPr>
              <w:t>Dry or scratchy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Mucosal irritation and dehydration accompany the lesion and its causes.</w:t>
            </w:r>
          </w:p>
        </w:tc>
      </w:tr>
      <w:tr>
        <w:trPr>
          <w:cantSplit/>
        </w:trPr>
        <w:tc>
          <w:tcPr>
            <w:tcW w:type="dxa" w:w="2304"/>
            <w:vAlign w:val="top"/>
          </w:tcPr>
          <w:p>
            <w:pPr>
              <w:spacing w:after="40" w:before="0" w:line="259" w:lineRule="auto"/>
            </w:pPr>
            <w:r>
              <w:rPr>
                <w:rFonts w:ascii="Calibri" w:hAnsi="Calibri"/>
                <w:b/>
                <w:i w:val="0"/>
                <w:color w:val="212121"/>
                <w:sz w:val="19"/>
              </w:rPr>
              <w:t>Voice breaks / pitch instability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breaks or a double-tone (diplophonia) from asymmetric fold vibration.</w:t>
            </w:r>
          </w:p>
        </w:tc>
      </w:tr>
      <w:tr>
        <w:trPr>
          <w:cantSplit/>
        </w:trPr>
        <w:tc>
          <w:tcPr>
            <w:tcW w:type="dxa" w:w="2304"/>
            <w:vAlign w:val="top"/>
          </w:tcPr>
          <w:p>
            <w:pPr>
              <w:spacing w:after="40" w:before="0" w:line="259" w:lineRule="auto"/>
            </w:pPr>
            <w:r>
              <w:rPr>
                <w:rFonts w:ascii="Calibri" w:hAnsi="Calibri"/>
                <w:b/>
                <w:i w:val="0"/>
                <w:color w:val="212121"/>
                <w:sz w:val="19"/>
              </w:rPr>
              <w:t>Throat or neck ache with voice use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Aching or tension in the neck reflects hyperfunctional muscle-tension voicing.</w:t>
            </w:r>
          </w:p>
        </w:tc>
      </w:tr>
      <w:tr>
        <w:trPr>
          <w:cantSplit/>
        </w:trPr>
        <w:tc>
          <w:tcPr>
            <w:tcW w:type="dxa" w:w="2304"/>
            <w:vAlign w:val="top"/>
          </w:tcPr>
          <w:p>
            <w:pPr>
              <w:spacing w:after="40" w:before="0" w:line="259" w:lineRule="auto"/>
            </w:pPr>
            <w:r>
              <w:rPr>
                <w:rFonts w:ascii="Calibri" w:hAnsi="Calibri"/>
                <w:b/>
                <w:i w:val="0"/>
                <w:color w:val="212121"/>
                <w:sz w:val="19"/>
              </w:rPr>
              <w:t>Globus (lump-in-throat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reflects associated laryngopharyngeal reflux and throat-clearing.</w:t>
            </w:r>
          </w:p>
        </w:tc>
      </w:tr>
      <w:tr>
        <w:trPr>
          <w:cantSplit/>
        </w:trPr>
        <w:tc>
          <w:tcPr>
            <w:tcW w:type="dxa" w:w="2304"/>
            <w:vAlign w:val="top"/>
          </w:tcPr>
          <w:p>
            <w:pPr>
              <w:spacing w:after="40" w:before="0" w:line="259" w:lineRule="auto"/>
            </w:pPr>
            <w:r>
              <w:rPr>
                <w:rFonts w:ascii="Calibri" w:hAnsi="Calibri"/>
                <w:b/>
                <w:i w:val="0"/>
                <w:color w:val="212121"/>
                <w:sz w:val="19"/>
              </w:rPr>
              <w:t>Reduced loudness / poor projection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Difficulty being heard, particularly in noisy classrooms or on stage.</w:t>
            </w:r>
          </w:p>
        </w:tc>
      </w:tr>
      <w:tr>
        <w:trPr>
          <w:cantSplit/>
        </w:trPr>
        <w:tc>
          <w:tcPr>
            <w:tcW w:type="dxa" w:w="2304"/>
            <w:vAlign w:val="top"/>
          </w:tcPr>
          <w:p>
            <w:pPr>
              <w:spacing w:after="40" w:before="0" w:line="259" w:lineRule="auto"/>
            </w:pPr>
            <w:r>
              <w:rPr>
                <w:rFonts w:ascii="Calibri" w:hAnsi="Calibri"/>
                <w:b/>
                <w:i w:val="0"/>
                <w:color w:val="212121"/>
                <w:sz w:val="19"/>
              </w:rPr>
              <w:t>Transient complete voice loss (aphonia)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follow acute over-use or a vocal-fold haemorrhage into a polyp.</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Bilateral symmetrical nodules at the anterior-1/3–posterior-2/3 junction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laryngoscopic finding of vocal nodules at the point of maximum vibratory impact.</w:t>
            </w:r>
          </w:p>
        </w:tc>
      </w:tr>
      <w:tr>
        <w:trPr>
          <w:cantSplit/>
        </w:trPr>
        <w:tc>
          <w:tcPr>
            <w:tcW w:type="dxa" w:w="3456"/>
            <w:vAlign w:val="top"/>
          </w:tcPr>
          <w:p>
            <w:pPr>
              <w:spacing w:after="40" w:before="0" w:line="259" w:lineRule="auto"/>
            </w:pPr>
            <w:r>
              <w:rPr>
                <w:rFonts w:ascii="Calibri" w:hAnsi="Calibri"/>
                <w:b/>
                <w:i w:val="0"/>
                <w:color w:val="212121"/>
                <w:sz w:val="19"/>
              </w:rPr>
              <w:t>Unilateral sessile or pedunculated polyp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discrete, often larger lesion on one fold, sometimes with a feeding vessel.</w:t>
            </w:r>
          </w:p>
        </w:tc>
      </w:tr>
      <w:tr>
        <w:trPr>
          <w:cantSplit/>
        </w:trPr>
        <w:tc>
          <w:tcPr>
            <w:tcW w:type="dxa" w:w="3456"/>
            <w:vAlign w:val="top"/>
          </w:tcPr>
          <w:p>
            <w:pPr>
              <w:spacing w:after="40" w:before="0" w:line="259" w:lineRule="auto"/>
            </w:pPr>
            <w:r>
              <w:rPr>
                <w:rFonts w:ascii="Calibri" w:hAnsi="Calibri"/>
                <w:b/>
                <w:i w:val="0"/>
                <w:color w:val="212121"/>
                <w:sz w:val="19"/>
              </w:rPr>
              <w:t>“Hourglass” glottic closure gap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interposed lesion prevents full closure, leaving anterior and posterior gaps.</w:t>
            </w:r>
          </w:p>
        </w:tc>
      </w:tr>
      <w:tr>
        <w:trPr>
          <w:cantSplit/>
        </w:trPr>
        <w:tc>
          <w:tcPr>
            <w:tcW w:type="dxa" w:w="3456"/>
            <w:vAlign w:val="top"/>
          </w:tcPr>
          <w:p>
            <w:pPr>
              <w:spacing w:after="40" w:before="0" w:line="259" w:lineRule="auto"/>
            </w:pPr>
            <w:r>
              <w:rPr>
                <w:rFonts w:ascii="Calibri" w:hAnsi="Calibri"/>
                <w:b/>
                <w:i w:val="0"/>
                <w:color w:val="212121"/>
                <w:sz w:val="19"/>
              </w:rPr>
              <w:t>Reduced or absent mucosal wave over the lesion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Stroboscopic hallmark; the stiff lesion dampens the travelling mucosal wave.</w:t>
            </w:r>
          </w:p>
        </w:tc>
      </w:tr>
      <w:tr>
        <w:trPr>
          <w:cantSplit/>
        </w:trPr>
        <w:tc>
          <w:tcPr>
            <w:tcW w:type="dxa" w:w="3456"/>
            <w:vAlign w:val="top"/>
          </w:tcPr>
          <w:p>
            <w:pPr>
              <w:spacing w:after="40" w:before="0" w:line="259" w:lineRule="auto"/>
            </w:pPr>
            <w:r>
              <w:rPr>
                <w:rFonts w:ascii="Calibri" w:hAnsi="Calibri"/>
                <w:b/>
                <w:i w:val="0"/>
                <w:color w:val="212121"/>
                <w:sz w:val="19"/>
              </w:rPr>
              <w:t>Phase asymmetry / aperiodic vibration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Irregular, out-of-phase fold movement on stroboscopy underlies the rough voice.</w:t>
            </w:r>
          </w:p>
        </w:tc>
      </w:tr>
      <w:tr>
        <w:trPr>
          <w:cantSplit/>
        </w:trPr>
        <w:tc>
          <w:tcPr>
            <w:tcW w:type="dxa" w:w="3456"/>
            <w:vAlign w:val="top"/>
          </w:tcPr>
          <w:p>
            <w:pPr>
              <w:spacing w:after="40" w:before="0" w:line="259" w:lineRule="auto"/>
            </w:pPr>
            <w:r>
              <w:rPr>
                <w:rFonts w:ascii="Calibri" w:hAnsi="Calibri"/>
                <w:b/>
                <w:i w:val="0"/>
                <w:color w:val="212121"/>
                <w:sz w:val="19"/>
              </w:rPr>
              <w:t>Rough / breathy voice on perceptual exam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Audible GRBAS abnormality — grade, roughness and breathiness.</w:t>
            </w:r>
          </w:p>
        </w:tc>
      </w:tr>
      <w:tr>
        <w:trPr>
          <w:cantSplit/>
        </w:trPr>
        <w:tc>
          <w:tcPr>
            <w:tcW w:type="dxa" w:w="3456"/>
            <w:vAlign w:val="top"/>
          </w:tcPr>
          <w:p>
            <w:pPr>
              <w:spacing w:after="40" w:before="0" w:line="259" w:lineRule="auto"/>
            </w:pPr>
            <w:r>
              <w:rPr>
                <w:rFonts w:ascii="Calibri" w:hAnsi="Calibri"/>
                <w:b/>
                <w:i w:val="0"/>
                <w:color w:val="212121"/>
                <w:sz w:val="19"/>
              </w:rPr>
              <w:t>Supraglottic hyperfunction (medial / antero-posterior squeeze)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Compensatory muscle-tension pattern often accompanying or driving the lesion.</w:t>
            </w:r>
          </w:p>
        </w:tc>
      </w:tr>
      <w:tr>
        <w:trPr>
          <w:cantSplit/>
        </w:trPr>
        <w:tc>
          <w:tcPr>
            <w:tcW w:type="dxa" w:w="3456"/>
            <w:vAlign w:val="top"/>
          </w:tcPr>
          <w:p>
            <w:pPr>
              <w:spacing w:after="40" w:before="0" w:line="259" w:lineRule="auto"/>
            </w:pPr>
            <w:r>
              <w:rPr>
                <w:rFonts w:ascii="Calibri" w:hAnsi="Calibri"/>
                <w:b/>
                <w:i w:val="0"/>
                <w:color w:val="212121"/>
                <w:sz w:val="19"/>
              </w:rPr>
              <w:t>Diffuse polypoid (Reinke's)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Bilateral floppy, fluid-filled folds in smokers; a related phonotrauma lesion deepening the voice.</w:t>
            </w:r>
          </w:p>
        </w:tc>
      </w:tr>
      <w:tr>
        <w:trPr>
          <w:cantSplit/>
        </w:trPr>
        <w:tc>
          <w:tcPr>
            <w:tcW w:type="dxa" w:w="3456"/>
            <w:vAlign w:val="top"/>
          </w:tcPr>
          <w:p>
            <w:pPr>
              <w:spacing w:after="40" w:before="0" w:line="259" w:lineRule="auto"/>
            </w:pPr>
            <w:r>
              <w:rPr>
                <w:rFonts w:ascii="Calibri" w:hAnsi="Calibri"/>
                <w:b/>
                <w:i w:val="0"/>
                <w:color w:val="212121"/>
                <w:sz w:val="19"/>
              </w:rPr>
              <w:t>Posterior laryngeal erythema / interarytenoid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associated laryngopharyngeal reflux.</w:t>
            </w:r>
          </w:p>
        </w:tc>
      </w:tr>
      <w:tr>
        <w:trPr>
          <w:cantSplit/>
        </w:trPr>
        <w:tc>
          <w:tcPr>
            <w:tcW w:type="dxa" w:w="3456"/>
            <w:vAlign w:val="top"/>
          </w:tcPr>
          <w:p>
            <w:pPr>
              <w:spacing w:after="40" w:before="0" w:line="259" w:lineRule="auto"/>
            </w:pPr>
            <w:r>
              <w:rPr>
                <w:rFonts w:ascii="Calibri" w:hAnsi="Calibri"/>
                <w:b/>
                <w:i w:val="0"/>
                <w:color w:val="212121"/>
                <w:sz w:val="19"/>
              </w:rPr>
              <w:t>Shortened maximum phonation time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sign of glottic insufficiency from incomplete closure.</w:t>
            </w:r>
          </w:p>
        </w:tc>
      </w:tr>
      <w:tr>
        <w:trPr>
          <w:cantSplit/>
        </w:trPr>
        <w:tc>
          <w:tcPr>
            <w:tcW w:type="dxa" w:w="3456"/>
            <w:vAlign w:val="top"/>
          </w:tcPr>
          <w:p>
            <w:pPr>
              <w:spacing w:after="40" w:before="0" w:line="259" w:lineRule="auto"/>
            </w:pPr>
            <w:r>
              <w:rPr>
                <w:rFonts w:ascii="Calibri" w:hAnsi="Calibri"/>
                <w:b/>
                <w:i w:val="0"/>
                <w:color w:val="212121"/>
                <w:sz w:val="19"/>
              </w:rPr>
              <w:t>Haemorrhagic / angiomatous polyp with prominent vessel</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Vascular polyp that may follow an acute vocal-fold haemorrhage.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hoarseness, breathiness and difficulty communicating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Vocal fatigue and effortful, strained voicing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voice disability in teachers and singers, with absenteeism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enlargement of an untreated lesion and reactive lesion on the opposite fold</w:t>
            </w:r>
          </w:p>
        </w:tc>
        <w:tc>
          <w:tcPr>
            <w:tcW w:type="dxa" w:w="2980"/>
            <w:vAlign w:val="top"/>
          </w:tcPr>
          <w:p>
            <w:pPr>
              <w:spacing w:after="40" w:before="0" w:line="259" w:lineRule="auto"/>
            </w:pPr>
            <w:r>
              <w:rPr>
                <w:rFonts w:ascii="Calibri" w:hAnsi="Calibri"/>
                <w:b w:val="0"/>
                <w:i w:val="0"/>
                <w:color w:val="212121"/>
                <w:sz w:val="19"/>
              </w:rPr>
              <w:t>Direct consequences of the lesion's disruption of vocal-fold vibration and glottic closure.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Compensatory muscle-tension dysphonia and hyperfunction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 granuloma or ulcer from habitual throat-clearing and hard glottal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low mood, social withdrawal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diagnosis of laryngeal cancer when chronic hoarseness is ignored or self-treated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of the lesion after surgery when phonotrauma and reflux continue</w:t>
            </w:r>
          </w:p>
        </w:tc>
        <w:tc>
          <w:tcPr>
            <w:tcW w:type="dxa" w:w="2980"/>
            <w:vAlign w:val="top"/>
          </w:tcPr>
          <w:p>
            <w:pPr>
              <w:spacing w:after="40" w:before="0" w:line="259" w:lineRule="auto"/>
            </w:pPr>
            <w:r>
              <w:rPr>
                <w:rFonts w:ascii="Calibri" w:hAnsi="Calibri"/>
                <w:b w:val="0"/>
                <w:i w:val="0"/>
                <w:color w:val="212121"/>
                <w:sz w:val="19"/>
              </w:rPr>
              <w:t>Arise from compensation for the voice deficit and from failure to address causes or exclude serious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voice change ending a singing or teaching career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vocal-fold scarring or sulcus after repeated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occupational, financial and psychosocial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Airway compromise from a very large obstructing polyp (rare)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an unrecognised laryngeal carcinoma from late presentation</w:t>
            </w:r>
          </w:p>
        </w:tc>
        <w:tc>
          <w:tcPr>
            <w:tcW w:type="dxa" w:w="2980"/>
            <w:vAlign w:val="top"/>
          </w:tcPr>
          <w:p>
            <w:pPr>
              <w:spacing w:after="40" w:before="0" w:line="259" w:lineRule="auto"/>
            </w:pPr>
            <w:r>
              <w:rPr>
                <w:rFonts w:ascii="Calibri" w:hAnsi="Calibri"/>
                <w:b w:val="0"/>
                <w:i w:val="0"/>
                <w:color w:val="212121"/>
                <w:sz w:val="19"/>
              </w:rPr>
              <w:t>Irreversible, high-burden outcomes of advanced, repeatedly operated or misdiagnosed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Laryngopharyngeal reflux / GERD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Acid-pepsin injury to the posterior larynx sensitises the mucosa, provokes throat-clearing and impairs healing, both causing and aggravating benign vocal-fold lesions.</w:t>
            </w:r>
          </w:p>
        </w:tc>
      </w:tr>
      <w:tr>
        <w:trPr>
          <w:cantSplit/>
        </w:trPr>
        <w:tc>
          <w:tcPr>
            <w:tcW w:type="dxa" w:w="2232"/>
            <w:vAlign w:val="top"/>
          </w:tcPr>
          <w:p>
            <w:pPr>
              <w:spacing w:after="40" w:before="0" w:line="259" w:lineRule="auto"/>
            </w:pPr>
            <w:r>
              <w:rPr>
                <w:rFonts w:ascii="Calibri" w:hAnsi="Calibri"/>
                <w:b/>
                <w:i w:val="0"/>
                <w:color w:val="212121"/>
                <w:sz w:val="19"/>
              </w:rPr>
              <w:t>Muscle-tension dysphonia (hyperfunction)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Excess laryngeal tension raises collision forces; primary muscle-tension dysphonia predisposes to nodules, and lesions in turn provoke compensatory hyperfunction.</w:t>
            </w:r>
          </w:p>
        </w:tc>
      </w:tr>
      <w:tr>
        <w:trPr>
          <w:cantSplit/>
        </w:trPr>
        <w:tc>
          <w:tcPr>
            <w:tcW w:type="dxa" w:w="2232"/>
            <w:vAlign w:val="top"/>
          </w:tcPr>
          <w:p>
            <w:pPr>
              <w:spacing w:after="40" w:before="0" w:line="259" w:lineRule="auto"/>
            </w:pPr>
            <w:r>
              <w:rPr>
                <w:rFonts w:ascii="Calibri" w:hAnsi="Calibri"/>
                <w:b/>
                <w:i w:val="0"/>
                <w:color w:val="212121"/>
                <w:sz w:val="19"/>
              </w:rPr>
              <w:t>Allergic rhinitis / chronic rhinosinusitis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Post-nasal drip and allergy trigger chronic throat-clearing and mouth-breathing that dry and traumatise the folds.</w:t>
            </w:r>
          </w:p>
        </w:tc>
      </w:tr>
      <w:tr>
        <w:trPr>
          <w:cantSplit/>
        </w:trPr>
        <w:tc>
          <w:tcPr>
            <w:tcW w:type="dxa" w:w="2232"/>
            <w:vAlign w:val="top"/>
          </w:tcPr>
          <w:p>
            <w:pPr>
              <w:spacing w:after="40" w:before="0" w:line="259" w:lineRule="auto"/>
            </w:pPr>
            <w:r>
              <w:rPr>
                <w:rFonts w:ascii="Calibri" w:hAnsi="Calibri"/>
                <w:b/>
                <w:i w:val="0"/>
                <w:color w:val="212121"/>
                <w:sz w:val="19"/>
              </w:rPr>
              <w:t>Reinke's oedema / chronic laryngitis (smoking-related)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the phonotrauma-plus-irritant mechanism; smoking drives both polyps and diffuse polypoid oedema.</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Myxoedematous, boggy vocal folds lower the threshold for lesions and change the voice; must be identified and treated.</w:t>
            </w:r>
          </w:p>
        </w:tc>
      </w:tr>
      <w:tr>
        <w:trPr>
          <w:cantSplit/>
        </w:trPr>
        <w:tc>
          <w:tcPr>
            <w:tcW w:type="dxa" w:w="2232"/>
            <w:vAlign w:val="top"/>
          </w:tcPr>
          <w:p>
            <w:pPr>
              <w:spacing w:after="40" w:before="0" w:line="259" w:lineRule="auto"/>
            </w:pPr>
            <w:r>
              <w:rPr>
                <w:rFonts w:ascii="Calibri" w:hAnsi="Calibri"/>
                <w:b/>
                <w:i w:val="0"/>
                <w:color w:val="212121"/>
                <w:sz w:val="19"/>
              </w:rPr>
              <w:t>Recurrent upper-respiratory infections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Laryngitis with continued voice use is a common precipitant of acute phonotrauma and polyp formation.</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Chronic dysphonia carries a heavy psychological burden and stress raises laryngeal tension, creating a bidirectional relationship.</w:t>
            </w:r>
          </w:p>
          <w:p>
            <w:pPr>
              <w:spacing w:after="40" w:before="0" w:line="259" w:lineRule="auto"/>
            </w:pPr>
            <w:r>
              <w:rPr>
                <w:rFonts w:ascii="Calibri" w:hAnsi="Calibri"/>
                <w:b/>
                <w:i w:val="0"/>
                <w:color w:val="212121"/>
                <w:sz w:val="19"/>
              </w:rPr>
              <w:t>Depression ~39%; anxiety &gt;95% in lesion patients</w:t>
            </w:r>
          </w:p>
        </w:tc>
      </w:tr>
      <w:tr>
        <w:trPr>
          <w:cantSplit/>
        </w:trPr>
        <w:tc>
          <w:tcPr>
            <w:tcW w:type="dxa" w:w="2232"/>
            <w:vAlign w:val="top"/>
          </w:tcPr>
          <w:p>
            <w:pPr>
              <w:spacing w:after="40" w:before="0" w:line="259" w:lineRule="auto"/>
            </w:pPr>
            <w:r>
              <w:rPr>
                <w:rFonts w:ascii="Calibri" w:hAnsi="Calibri"/>
                <w:b/>
                <w:i w:val="0"/>
                <w:color w:val="212121"/>
                <w:sz w:val="19"/>
              </w:rPr>
              <w:t>Asthma / chronic cough on inhaled corticosteroids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Chronic cough is repetitive phonotrauma, and inhaled steroids can themselves cause dysphonia and mucosal change.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hoarseness lasting more than 2–3 weeks as a reason to have the larynx examined rather than self-medicating — this also catches laryngeal cancer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practise vocal hygiene: sip water often, avoid shouting and habitual throat-clearing, rest the voice during and after a throat infection, and use a microphone for large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use your voice professionally (teacher, singer, vendor, call-centre worker), warm up the voice, take short voice breaks and seek early advice for recurrent hoarseness.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background noise and use classroom amplification so you do not have to shout to be heard.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acidity/reflux and nasal allergy can worsen the voice and address diet, meal timing and allergy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second-hand smoke, which cause polyps and Reinke's oedema and raise 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voice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Singers &amp; performers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who shout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recurrent-hoarseness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voice therapy with a speech-language pathologist — the evidence-based first-line treatment for nodules, often resolving them without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breath-support and resonant-voice exercises to lower vocal-fold collision forces and reduce effort.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hard glottal attack with easy onset and forward resonance during speech and singing.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vocal warm-ups and cool-downs around heavy voice use and rehearsals.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aerobic fitness and good posture to support efficient breathing for voice.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vocal nodules/polyps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Teachers &amp; singers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Muscle-tension dysphonia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Post-surgical voice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reflux-provoking foods — spicy, fried and fatty dishes, carbonated drinks and excess tea/coffee.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or late-night meals; keep a 2–3 hour gap between dinner and lying 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across the day so the vocal folds stay lubricated.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weight and eat a balanced, fibre-rich diet to reduce reflux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laryngopharyngeal reflux early if throat-clearing, globus or acidity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reflux/LPR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Professional voice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dysphonia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allow mucosal recovery and reduce vocal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and avoid late meals if night-time reflux affects the voice.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snoring/obstructive sleep apnoea, which promotes mouth-breathing and a dry throat.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the voice fully when unwell or fatigued rather than pushing through.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Professional voice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teachers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the single most important step to reverse/prevent polypoid (Reinke's) oedema and reduce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other airborne irritants (dust, strong fumes, chalk dust).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nicotine-replacement or pharmacotherapy) for lasting quit rates.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continued smoking after surgery predicts recurrence and poor voice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polyps/Reinke's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voice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dehydrates the vocal folds and promotes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alcohol with loud, prolonged voicing at parties, bars and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alcohol with water during long social or performance evenings to maintain 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heavy or dependent drinking, which compounds reflux and mucosal irritation.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dysphonia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and performance anxiety, which raise laryngeal tension and hard glottal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laryngeal-release and breathing techniques as part of voice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very common in patients with vocal-fold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clear return-to-voice plans to reduce fear of permanent voice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counselling for the occupational and financial stress of voice disability in teachers and singers.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Professional voice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muscle-tension dysphonia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Anxious/depressed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0498270/" TargetMode="External"/><Relationship Id="rId10" Type="http://schemas.openxmlformats.org/officeDocument/2006/relationships/hyperlink" Target="https://pubmed.ncbi.nlm.nih.gov/39138041/" TargetMode="External"/><Relationship Id="rId11" Type="http://schemas.openxmlformats.org/officeDocument/2006/relationships/hyperlink" Target="https://pubmed.ncbi.nlm.nih.gov/37603666/" TargetMode="External"/><Relationship Id="rId12" Type="http://schemas.openxmlformats.org/officeDocument/2006/relationships/hyperlink" Target="https://pubmed.ncbi.nlm.nih.gov/6651652/" TargetMode="External"/><Relationship Id="rId13" Type="http://schemas.openxmlformats.org/officeDocument/2006/relationships/hyperlink" Target="https://pubmed.ncbi.nlm.nih.gov/27363867/" TargetMode="External"/><Relationship Id="rId14" Type="http://schemas.openxmlformats.org/officeDocument/2006/relationships/hyperlink" Target="https://pubmed.ncbi.nlm.nih.gov/31350112/" TargetMode="External"/><Relationship Id="rId15" Type="http://schemas.openxmlformats.org/officeDocument/2006/relationships/hyperlink" Target="https://pubmed.ncbi.nlm.nih.gov/36452570/" TargetMode="External"/><Relationship Id="rId16" Type="http://schemas.openxmlformats.org/officeDocument/2006/relationships/hyperlink" Target="https://pubmed.ncbi.nlm.nih.gov/323559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