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Erythroplakia</w:t>
      </w:r>
    </w:p>
    <w:p>
      <w:pPr>
        <w:spacing w:before="0" w:after="160"/>
      </w:pPr>
      <w:r>
        <w:rPr>
          <w:rFonts w:ascii="Calibri" w:hAnsi="Calibri"/>
          <w:b/>
          <w:i w:val="0"/>
          <w:color w:val="212121"/>
          <w:sz w:val="22"/>
        </w:rPr>
        <w:t xml:space="preserve">AKA </w:t>
      </w:r>
      <w:r>
        <w:rPr>
          <w:rFonts w:ascii="Calibri" w:hAnsi="Calibri"/>
          <w:b w:val="0"/>
          <w:i w:val="0"/>
          <w:color w:val="212121"/>
          <w:sz w:val="22"/>
        </w:rPr>
        <w:t>i.e., Oral erythroplakia, Erythroplasia, Red velvety patch; the mixed red-and-white variant is called erythroleukoplakia (speckled leukoplakia). The analogous genital/penile lesion is termed erythroplasia of Queyrat.</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Erythroplakia is a potentially malignant disorder of the oral mucosa defined by the World Health Organization as a fiery-red, velvety plaque or patch that cannot be characterised clinically or pathologically as any other definable lesion — a diagnosis of exclusion. Although far less common than leukoplakia, it carries the highest risk of malignant transformation of any oral potentially malignant disorder: the great majority of lesions already show severe epithelial dysplasia, carcinoma in situ, or frankly invasive squamous cell carcinoma at the time of first biopsy. It is driven chiefly by tobacco, areca-nut/betel-quid and alcohol use, and therefore carries particular importance in India.</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Oral erythroplakia is rare: pooled worldwide prevalence is about 0.25% (reported range 0.04–1.14%), yet its mean malignant transformation rate is roughly 30% (range 2.6–65%) — the highest of any oral potentially malignant disorder. Its causal triad of tobacco, areca-nut/betel-quid and alcohol is deeply entrenched in India, where about 267 million adults (29%) use tobacco and lip-and-oral-cavity cancer ranks as the second most common cancer (roughly 10% of incident cancers). India thus carries a disproportionate share of the global oral-cancer burden (WHO: 389,846 new lip/oral-cavity cancers and 188,438 deaths worldwide in 2022).</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Erythroplakia is a clinicopathological diagnosis: clinical recognition of an otherwise unexplained red mucosal lesion followed by mandatory biopsy. It is confirmed on the basis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persistent, well-demarcated, fiery-red, velvety plaque or macule of the oral mucosa that cannot be attributed to any other definable condition (inflammatory, infective, vascular or traumatic) — a clinical diagnosis of exclusion;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failure of the lesion to resolve within about 2 weeks after removal of suspected local irritants (sharp tooth or restoration, ill-fitting denture) and a trial of antifungal therapy for possible candidiasis;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incisional biopsy of the most suspicious (indurated, speckled or granular) area, which is the histopathological gold standard — the majority reveal severe dysplasia, carcinoma in situ, or invasive squamous cell carcinoma;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vital-tissue staining with toluidine blue (and/or Lugol’s iodine) to select the biopsy site, as dysplastic and malignant epithelium preferentially retains the dye;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histological grading of oral epithelial dysplasia (mild, moderate, severe) by WHO criteria to stratify the risk of malignant transformation;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clinical mimics — erythematous (denture) candidiasis, atrophic/erosive lichen planus, lupus erythematosus, mucositis, contact/mechanical lesions and vascular malformations.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Erythroplakia is classified clinically (after Shear) and histologically. The clinical variants are:</w:t>
      </w:r>
    </w:p>
    <w:p>
      <w:pPr>
        <w:spacing w:before="0" w:after="80"/>
      </w:pPr>
      <w:r>
        <w:rPr>
          <w:rFonts w:ascii="Calibri" w:hAnsi="Calibri"/>
          <w:b w:val="0"/>
          <w:i w:val="0"/>
          <w:color w:val="212121"/>
          <w:sz w:val="21"/>
        </w:rPr>
        <w:t>(1) Homogeneous erythroplakia — a uniformly bright-red, soft, velvety patch with a smooth or glistening surface; the classic form, most often on the floor of the mouth, the ventrolateral tongue and the soft palate/retromolar area;</w:t>
      </w:r>
    </w:p>
    <w:p>
      <w:pPr>
        <w:spacing w:before="0" w:after="80"/>
      </w:pPr>
      <w:r>
        <w:rPr>
          <w:rFonts w:ascii="Calibri" w:hAnsi="Calibri"/>
          <w:b w:val="0"/>
          <w:i w:val="0"/>
          <w:color w:val="212121"/>
          <w:sz w:val="21"/>
        </w:rPr>
        <w:t>(2) Erythroleukoplakia (speckled or mixed) — a red lesion interspersed with white keratotic flecks or plaques; it overlaps with speckled leukoplakia and shows very high rates of dysplasia and carcinoma;</w:t>
      </w:r>
    </w:p>
    <w:p>
      <w:pPr>
        <w:spacing w:before="0" w:after="80"/>
      </w:pPr>
      <w:r>
        <w:rPr>
          <w:rFonts w:ascii="Calibri" w:hAnsi="Calibri"/>
          <w:b w:val="0"/>
          <w:i w:val="0"/>
          <w:color w:val="212121"/>
          <w:sz w:val="21"/>
        </w:rPr>
        <w:t>(3) Granular or nodular erythroplakia — a red lesion with a granular, pebbly or nodular surface, frequently already harbouring invasive carcinoma; and</w:t>
      </w:r>
    </w:p>
    <w:p>
      <w:pPr>
        <w:spacing w:before="0" w:after="80"/>
      </w:pPr>
      <w:r>
        <w:rPr>
          <w:rFonts w:ascii="Calibri" w:hAnsi="Calibri"/>
          <w:b w:val="0"/>
          <w:i w:val="0"/>
          <w:color w:val="212121"/>
          <w:sz w:val="21"/>
        </w:rPr>
        <w:t>(4) Histological classification — by the WHO grade of oral epithelial dysplasia (none/mild/moderate/severe), carcinoma in situ, and invasive squamous cell carcinoma, which ultimately determines management and prognosis.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Tobacco (smoked and smokeless): Bidi/cigarette smoke and chewed products (khaini, gutkha, zarda, mishri) deliver tobacco-specific nitrosamines and polycyclic aromatic hydrocarbons that induce and sustain epithelial dysplasia; the dominant risk factor in India.</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Areca nut / betel quid: Arecoline and other areca alkaloids are cytotoxic and genotoxic (areca nut is an IARC Group 1 human carcinogen); chronic mucosal contact drives dysplasia and submucous fibrosis.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Alcohol: Its metabolite acetaldehyde is a mucosal carcinogen, and alcohol acts as a solvent that enhances penetration of tobacco carcinogens, producing strong synergism when the two habits are combined.</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Chronic mucosal irritation and trauma: Sharp teeth, defective restorations, ill-fitting dentures and thermal injury maintain local inflammation and accelerated epithelial turnover.</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Candida albicans infection: Particularly in speckled lesions, candidal colonisation may promote endogenous nitrosamine production and dysplastic change.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Nutritional deficiency: Iron deficiency (sideropenic dysphagia / Plummer–Vinson syndrome) and deficiency of vitamins A, B-complex, C and folate cause mucosal atrophy and heightened carcinogen susceptibility.</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Genetic and molecular changes: TP53 mutation, loss of heterozygosity at 3p, 9p and 17p, and ‘field cancerisation’ create clones predisposed to malignant progression.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Middle-aged adults (40–60 yrs)</w:t>
            </w:r>
          </w:p>
        </w:tc>
        <w:tc>
          <w:tcPr>
            <w:tcW w:type="dxa" w:w="4276"/>
            <w:vAlign w:val="top"/>
          </w:tcPr>
          <w:p>
            <w:pPr>
              <w:spacing w:after="60" w:line="259" w:lineRule="auto"/>
            </w:pPr>
            <w:r>
              <w:rPr>
                <w:rFonts w:ascii="Calibri" w:hAnsi="Calibri"/>
                <w:b w:val="0"/>
                <w:i w:val="0"/>
                <w:color w:val="212121"/>
                <w:sz w:val="19"/>
              </w:rPr>
              <w:t>Risk rises with cumulative exposure to tobacco, areca nut and alcohol; erythroplakia characteristically presents in the fifth to seventh decades after years of habit-related carcinogen exposure and progressive epithelial change.</w:t>
            </w:r>
          </w:p>
          <w:p>
            <w:pPr>
              <w:spacing w:after="40" w:before="60" w:line="259" w:lineRule="auto"/>
            </w:pPr>
            <w:r>
              <w:rPr>
                <w:rFonts w:ascii="Calibri" w:hAnsi="Calibri"/>
                <w:b w:val="0"/>
                <w:i w:val="0"/>
                <w:color w:val="212121"/>
                <w:sz w:val="19"/>
              </w:rPr>
              <w:t>Erythroplakia is rare overall (pooled worldwide prevalence ~0.25%, range 0.04–1.14%) but carries the highest malignant transformation rate of any oral potentially malignant disorder (mean ~30%).</w:t>
            </w:r>
          </w:p>
          <w:p>
            <w:pPr>
              <w:spacing w:after="40" w:line="252" w:lineRule="auto"/>
            </w:pPr>
            <w:hyperlink r:id="rId9">
              <w:r>
                <w:rPr>
                  <w:rFonts w:ascii="Calibri" w:hAnsi="Calibri" w:cs="Calibri"/>
                  <w:sz w:val="18"/>
                  <w:color w:val="1155CC"/>
                  <w:u w:val="single"/>
                </w:rPr>
                <w:t xml:space="preserve">pubmed.ncbi.nlm.nih.gov/39184413</w:t>
              </w:r>
            </w:hyperlink>
          </w:p>
          <w:p>
            <w:pPr>
              <w:spacing w:before="60" w:after="40"/>
            </w:pPr>
            <w:r>
              <w:rPr>
                <w:rFonts w:ascii="Calibri" w:hAnsi="Calibri"/>
                <w:b w:val="0"/>
                <w:i w:val="0"/>
                <w:color w:val="5A5A5A"/>
                <w:sz w:val="18"/>
              </w:rPr>
              <w:t>#erythroplakia  #OPMD  #oralprecancer  #carcinogenexposure  #middleage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The longest lifetime carcinogen exposure and declining mucosal repair and immune surveillance make lesions in older adults the most likely to already harbour carcinoma in situ or invasive cancer.</w:t>
            </w:r>
          </w:p>
          <w:p>
            <w:pPr>
              <w:spacing w:after="40" w:before="60" w:line="259" w:lineRule="auto"/>
            </w:pPr>
            <w:r>
              <w:rPr>
                <w:rFonts w:ascii="Calibri" w:hAnsi="Calibri"/>
                <w:b w:val="0"/>
                <w:i w:val="0"/>
                <w:color w:val="212121"/>
                <w:sz w:val="19"/>
              </w:rPr>
              <w:t>WHO notes that lip and oral-cavity cancer is more common, and more deadly, in older people.</w:t>
            </w:r>
          </w:p>
          <w:p>
            <w:pPr>
              <w:spacing w:after="40" w:line="252" w:lineRule="auto"/>
            </w:pPr>
            <w:hyperlink r:id="rId10">
              <w:r>
                <w:rPr>
                  <w:rFonts w:ascii="Calibri" w:hAnsi="Calibri" w:cs="Calibri"/>
                  <w:sz w:val="18"/>
                  <w:color w:val="1155CC"/>
                  <w:u w:val="single"/>
                </w:rPr>
                <w:t xml:space="preserve">who.int — oral health</w:t>
              </w:r>
            </w:hyperlink>
          </w:p>
          <w:p>
            <w:pPr>
              <w:spacing w:before="60" w:after="40"/>
            </w:pPr>
            <w:r>
              <w:rPr>
                <w:rFonts w:ascii="Calibri" w:hAnsi="Calibri"/>
                <w:b w:val="0"/>
                <w:i w:val="0"/>
                <w:color w:val="5A5A5A"/>
                <w:sz w:val="18"/>
              </w:rPr>
              <w:t>#elderly  #malignantpotential  #oralcancer  #latepresentation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Marked male predominance, reflecting the far higher prevalence of tobacco smoking, smokeless-tobacco and areca/betel-quid chewing, and heavy alcohol use among men in India.</w:t>
            </w:r>
          </w:p>
          <w:p>
            <w:pPr>
              <w:spacing w:after="40" w:before="60" w:line="259" w:lineRule="auto"/>
            </w:pPr>
            <w:r>
              <w:rPr>
                <w:rFonts w:ascii="Calibri" w:hAnsi="Calibri"/>
                <w:b w:val="0"/>
                <w:i w:val="0"/>
                <w:color w:val="212121"/>
                <w:sz w:val="19"/>
              </w:rPr>
              <w:t>WHO reports oral cancer is more common and more deadly in men than in women.</w:t>
            </w:r>
          </w:p>
          <w:p>
            <w:pPr>
              <w:spacing w:after="40" w:line="252" w:lineRule="auto"/>
            </w:pPr>
            <w:hyperlink r:id="rId10">
              <w:r>
                <w:rPr>
                  <w:rFonts w:ascii="Calibri" w:hAnsi="Calibri" w:cs="Calibri"/>
                  <w:sz w:val="18"/>
                  <w:color w:val="1155CC"/>
                  <w:u w:val="single"/>
                </w:rPr>
                <w:t xml:space="preserve">who.int — oral health</w:t>
              </w:r>
            </w:hyperlink>
          </w:p>
          <w:p>
            <w:pPr>
              <w:spacing w:before="60" w:after="40"/>
            </w:pPr>
            <w:r>
              <w:rPr>
                <w:rFonts w:ascii="Calibri" w:hAnsi="Calibri"/>
                <w:b w:val="0"/>
                <w:i w:val="0"/>
                <w:color w:val="5A5A5A"/>
                <w:sz w:val="18"/>
              </w:rPr>
              <w:t>#male  #tobaccohabit  #gutkha  #bidismoker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less-educated adults</w:t>
            </w:r>
          </w:p>
        </w:tc>
        <w:tc>
          <w:tcPr>
            <w:tcW w:type="dxa" w:w="4276"/>
            <w:vAlign w:val="top"/>
          </w:tcPr>
          <w:p>
            <w:pPr>
              <w:spacing w:after="60" w:line="259" w:lineRule="auto"/>
            </w:pPr>
            <w:r>
              <w:rPr>
                <w:rFonts w:ascii="Calibri" w:hAnsi="Calibri"/>
                <w:b w:val="0"/>
                <w:i w:val="0"/>
                <w:color w:val="212121"/>
                <w:sz w:val="19"/>
              </w:rPr>
              <w:t>Cheap and heavily marketed tobacco and areca products, lower health literacy and poor access to dental care drive both higher exposure and later presentation with dysplastic or malignant lesions.</w:t>
            </w:r>
          </w:p>
          <w:p>
            <w:pPr>
              <w:spacing w:after="40" w:before="60" w:line="259" w:lineRule="auto"/>
            </w:pPr>
            <w:r>
              <w:rPr>
                <w:rFonts w:ascii="Calibri" w:hAnsi="Calibri"/>
                <w:b w:val="0"/>
                <w:i w:val="0"/>
                <w:color w:val="212121"/>
                <w:sz w:val="19"/>
              </w:rPr>
              <w:t>WHO notes that oral cancer risk varies strongly by socio-economic circumstances.</w:t>
            </w:r>
          </w:p>
          <w:p>
            <w:pPr>
              <w:spacing w:after="40" w:line="252" w:lineRule="auto"/>
            </w:pPr>
            <w:hyperlink r:id="rId10">
              <w:r>
                <w:rPr>
                  <w:rFonts w:ascii="Calibri" w:hAnsi="Calibri" w:cs="Calibri"/>
                  <w:sz w:val="18"/>
                  <w:color w:val="1155CC"/>
                  <w:u w:val="single"/>
                </w:rPr>
                <w:t xml:space="preserve">who.int — oral health</w:t>
              </w:r>
            </w:hyperlink>
          </w:p>
          <w:p>
            <w:pPr>
              <w:spacing w:before="60" w:after="40"/>
            </w:pPr>
            <w:r>
              <w:rPr>
                <w:rFonts w:ascii="Calibri" w:hAnsi="Calibri"/>
                <w:b w:val="0"/>
                <w:i w:val="0"/>
                <w:color w:val="5A5A5A"/>
                <w:sz w:val="18"/>
              </w:rPr>
              <w:t>#socioeconomic  #healthliteracy  #accesstocare  #latediagnosis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subcontinent &amp; South/Southeast Asians</w:t>
            </w:r>
          </w:p>
        </w:tc>
        <w:tc>
          <w:tcPr>
            <w:tcW w:type="dxa" w:w="4276"/>
            <w:vAlign w:val="top"/>
          </w:tcPr>
          <w:p>
            <w:pPr>
              <w:spacing w:after="60" w:line="259" w:lineRule="auto"/>
            </w:pPr>
            <w:r>
              <w:rPr>
                <w:rFonts w:ascii="Calibri" w:hAnsi="Calibri"/>
                <w:b w:val="0"/>
                <w:i w:val="0"/>
                <w:color w:val="212121"/>
                <w:sz w:val="19"/>
              </w:rPr>
              <w:t>The betel-quid and areca-nut ‘chewing belt’ of South and Southeast Asia, combined with high smokeless-tobacco use, produces one of the world’s highest burdens of oral potentially malignant disorders and oral cancer.</w:t>
            </w:r>
          </w:p>
          <w:p>
            <w:pPr>
              <w:spacing w:after="40" w:before="60" w:line="259" w:lineRule="auto"/>
            </w:pPr>
            <w:r>
              <w:rPr>
                <w:rFonts w:ascii="Calibri" w:hAnsi="Calibri"/>
                <w:b w:val="0"/>
                <w:i w:val="0"/>
                <w:color w:val="212121"/>
                <w:sz w:val="19"/>
              </w:rPr>
              <w:t>Lip and oral-cavity cancer is the second most common cancer in India (incidence ~10.2%, mortality ~9.3%).</w:t>
            </w:r>
          </w:p>
          <w:p>
            <w:pPr>
              <w:spacing w:after="40" w:line="252" w:lineRule="auto"/>
            </w:pPr>
            <w:hyperlink r:id="rId11">
              <w:r>
                <w:rPr>
                  <w:rFonts w:ascii="Calibri" w:hAnsi="Calibri" w:cs="Calibri"/>
                  <w:sz w:val="18"/>
                  <w:color w:val="1155CC"/>
                  <w:u w:val="single"/>
                </w:rPr>
                <w:t xml:space="preserve">pubmed.ncbi.nlm.nih.gov/40320454</w:t>
              </w:r>
            </w:hyperlink>
          </w:p>
          <w:p>
            <w:pPr>
              <w:spacing w:before="60" w:after="40"/>
            </w:pPr>
            <w:r>
              <w:rPr>
                <w:rFonts w:ascii="Calibri" w:hAnsi="Calibri"/>
                <w:b w:val="0"/>
                <w:i w:val="0"/>
                <w:color w:val="5A5A5A"/>
                <w:sz w:val="18"/>
              </w:rPr>
              <w:t>#India  #betelquid  #arecabelt  #southasia  #oralcancerburden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Occupational / Rural cluster</w:t>
            </w:r>
          </w:p>
        </w:tc>
        <w:tc>
          <w:tcPr>
            <w:tcW w:type="dxa" w:w="2160"/>
            <w:vAlign w:val="top"/>
          </w:tcPr>
          <w:p>
            <w:pPr>
              <w:spacing w:after="40" w:before="0" w:line="259" w:lineRule="auto"/>
            </w:pPr>
            <w:r>
              <w:rPr>
                <w:rFonts w:ascii="Calibri" w:hAnsi="Calibri"/>
                <w:b w:val="0"/>
                <w:i w:val="0"/>
                <w:color w:val="212121"/>
                <w:sz w:val="19"/>
              </w:rPr>
              <w:t>Rural labourers, fishermen, farmers, industrial workers</w:t>
            </w:r>
          </w:p>
        </w:tc>
        <w:tc>
          <w:tcPr>
            <w:tcW w:type="dxa" w:w="4276"/>
            <w:vAlign w:val="top"/>
          </w:tcPr>
          <w:p>
            <w:pPr>
              <w:spacing w:after="60" w:line="259" w:lineRule="auto"/>
            </w:pPr>
            <w:r>
              <w:rPr>
                <w:rFonts w:ascii="Calibri" w:hAnsi="Calibri"/>
                <w:b w:val="0"/>
                <w:i w:val="0"/>
                <w:color w:val="212121"/>
                <w:sz w:val="19"/>
              </w:rPr>
              <w:t>Occupational groups with high smokeless-tobacco and gutkha use for alertness and appetite suppression, and limited screening access, show a high prevalence of oral potentially malignant disorders including red and speckled lesions.</w:t>
            </w:r>
          </w:p>
          <w:p>
            <w:pPr>
              <w:spacing w:after="40" w:before="60" w:line="259" w:lineRule="auto"/>
            </w:pPr>
            <w:r>
              <w:rPr>
                <w:rFonts w:ascii="Calibri" w:hAnsi="Calibri"/>
                <w:b w:val="0"/>
                <w:i w:val="0"/>
                <w:color w:val="212121"/>
                <w:sz w:val="19"/>
              </w:rPr>
              <w:t>Community surveys in coastal and rural India (e.g., fishermen around Pondicherry) document a substantial burden of oral potentially malignant disorders among tobacco and areca users.</w:t>
            </w:r>
          </w:p>
          <w:p>
            <w:pPr>
              <w:spacing w:after="40" w:line="252" w:lineRule="auto"/>
            </w:pPr>
            <w:hyperlink r:id="rId12">
              <w:r>
                <w:rPr>
                  <w:rFonts w:ascii="Calibri" w:hAnsi="Calibri" w:cs="Calibri"/>
                  <w:sz w:val="18"/>
                  <w:color w:val="1155CC"/>
                  <w:u w:val="single"/>
                </w:rPr>
                <w:t xml:space="preserve">pubmed.ncbi.nlm.nih.gov/38047179</w:t>
              </w:r>
            </w:hyperlink>
          </w:p>
          <w:p>
            <w:pPr>
              <w:spacing w:before="60" w:after="40"/>
            </w:pPr>
            <w:r>
              <w:rPr>
                <w:rFonts w:ascii="Calibri" w:hAnsi="Calibri"/>
                <w:b w:val="0"/>
                <w:i w:val="0"/>
                <w:color w:val="5A5A5A"/>
                <w:sz w:val="18"/>
              </w:rPr>
              <w:t>#rural  #occupational  #smokelesstobacco  #screeninggap</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 (smoked tobacco)</w:t>
            </w:r>
          </w:p>
        </w:tc>
        <w:tc>
          <w:tcPr>
            <w:tcW w:type="dxa" w:w="2160"/>
            <w:vAlign w:val="top"/>
          </w:tcPr>
          <w:p>
            <w:pPr>
              <w:spacing w:after="40" w:before="0" w:line="259" w:lineRule="auto"/>
            </w:pPr>
            <w:r>
              <w:rPr>
                <w:rFonts w:ascii="Calibri" w:hAnsi="Calibri"/>
                <w:b w:val="0"/>
                <w:i w:val="0"/>
                <w:color w:val="212121"/>
                <w:sz w:val="19"/>
              </w:rPr>
              <w:t>Bidi &amp; cigarette smokers</w:t>
            </w:r>
          </w:p>
        </w:tc>
        <w:tc>
          <w:tcPr>
            <w:tcW w:type="dxa" w:w="4276"/>
            <w:vAlign w:val="top"/>
          </w:tcPr>
          <w:p>
            <w:pPr>
              <w:spacing w:after="60" w:line="259" w:lineRule="auto"/>
            </w:pPr>
            <w:r>
              <w:rPr>
                <w:rFonts w:ascii="Calibri" w:hAnsi="Calibri"/>
                <w:b w:val="0"/>
                <w:i w:val="0"/>
                <w:color w:val="212121"/>
                <w:sz w:val="19"/>
              </w:rPr>
              <w:t>Combustion products — nitrosamines and polycyclic aromatic hydrocarbons — cause direct DNA damage and chronic mucosal injury, initiating and sustaining epithelial dysplasia.</w:t>
            </w:r>
          </w:p>
          <w:p>
            <w:pPr>
              <w:spacing w:after="40" w:before="60" w:line="259" w:lineRule="auto"/>
            </w:pPr>
            <w:r>
              <w:rPr>
                <w:rFonts w:ascii="Calibri" w:hAnsi="Calibri"/>
                <w:b w:val="0"/>
                <w:i w:val="0"/>
                <w:color w:val="212121"/>
                <w:sz w:val="19"/>
              </w:rPr>
              <w:t>About 267 million adults (29%) in India use tobacco (GATS-2, 2016–17), with bidi, cigarette and hookah the main smoked forms.</w:t>
            </w:r>
          </w:p>
          <w:p>
            <w:pPr>
              <w:spacing w:after="40" w:line="252" w:lineRule="auto"/>
            </w:pPr>
            <w:hyperlink r:id="rId13">
              <w:r>
                <w:rPr>
                  <w:rFonts w:ascii="Calibri" w:hAnsi="Calibri" w:cs="Calibri"/>
                  <w:sz w:val="18"/>
                  <w:color w:val="1155CC"/>
                  <w:u w:val="single"/>
                </w:rPr>
                <w:t xml:space="preserve">who.int — India tobacco</w:t>
              </w:r>
            </w:hyperlink>
          </w:p>
          <w:p>
            <w:pPr>
              <w:spacing w:before="60" w:after="40"/>
            </w:pPr>
            <w:r>
              <w:rPr>
                <w:rFonts w:ascii="Calibri" w:hAnsi="Calibri"/>
                <w:b w:val="0"/>
                <w:i w:val="0"/>
                <w:color w:val="5A5A5A"/>
                <w:sz w:val="18"/>
              </w:rPr>
              <w:t>#smoking  #bidi  #nitrosamines  #tobacco</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Smokeless tobacco</w:t>
            </w:r>
          </w:p>
        </w:tc>
        <w:tc>
          <w:tcPr>
            <w:tcW w:type="dxa" w:w="2160"/>
            <w:vAlign w:val="top"/>
          </w:tcPr>
          <w:p>
            <w:pPr>
              <w:spacing w:after="40" w:before="0" w:line="259" w:lineRule="auto"/>
            </w:pPr>
            <w:r>
              <w:rPr>
                <w:rFonts w:ascii="Calibri" w:hAnsi="Calibri"/>
                <w:b w:val="0"/>
                <w:i w:val="0"/>
                <w:color w:val="212121"/>
                <w:sz w:val="19"/>
              </w:rPr>
              <w:t>Khaini, gutkha, zarda &amp; mishri users</w:t>
            </w:r>
          </w:p>
        </w:tc>
        <w:tc>
          <w:tcPr>
            <w:tcW w:type="dxa" w:w="4276"/>
            <w:vAlign w:val="top"/>
          </w:tcPr>
          <w:p>
            <w:pPr>
              <w:spacing w:after="60" w:line="259" w:lineRule="auto"/>
            </w:pPr>
            <w:r>
              <w:rPr>
                <w:rFonts w:ascii="Calibri" w:hAnsi="Calibri"/>
                <w:b w:val="0"/>
                <w:i w:val="0"/>
                <w:color w:val="212121"/>
                <w:sz w:val="19"/>
              </w:rPr>
              <w:t>Placing tobacco directly against the mucosa gives sustained, high local carcinogen concentration; the buccal/labial sulcus and floor of mouth are typical sites of red and speckled dysplastic change.</w:t>
            </w:r>
          </w:p>
          <w:p>
            <w:pPr>
              <w:spacing w:after="40" w:before="60" w:line="259" w:lineRule="auto"/>
            </w:pPr>
            <w:r>
              <w:rPr>
                <w:rFonts w:ascii="Calibri" w:hAnsi="Calibri"/>
                <w:b w:val="0"/>
                <w:i w:val="0"/>
                <w:color w:val="212121"/>
                <w:sz w:val="19"/>
              </w:rPr>
              <w:t>Smokeless tobacco is the most common form used in India and is a recognised cause of oral premalignant and malignant lesions.</w:t>
            </w:r>
          </w:p>
          <w:p>
            <w:pPr>
              <w:spacing w:after="40" w:line="252" w:lineRule="auto"/>
            </w:pPr>
            <w:hyperlink r:id="rId14">
              <w:r>
                <w:rPr>
                  <w:rFonts w:ascii="Calibri" w:hAnsi="Calibri" w:cs="Calibri"/>
                  <w:sz w:val="18"/>
                  <w:color w:val="1155CC"/>
                  <w:u w:val="single"/>
                </w:rPr>
                <w:t xml:space="preserve">pubmed.ncbi.nlm.nih.gov/34424631</w:t>
              </w:r>
            </w:hyperlink>
          </w:p>
          <w:p>
            <w:pPr>
              <w:spacing w:before="60" w:after="40"/>
            </w:pPr>
            <w:r>
              <w:rPr>
                <w:rFonts w:ascii="Calibri" w:hAnsi="Calibri"/>
                <w:b w:val="0"/>
                <w:i w:val="0"/>
                <w:color w:val="5A5A5A"/>
                <w:sz w:val="18"/>
              </w:rPr>
              <w:t>#smokelesstobacco  #gutkha  #khaini  #quidplacement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Areca nut / betel-quid chewing</w:t>
            </w:r>
          </w:p>
        </w:tc>
        <w:tc>
          <w:tcPr>
            <w:tcW w:type="dxa" w:w="2160"/>
            <w:vAlign w:val="top"/>
          </w:tcPr>
          <w:p>
            <w:pPr>
              <w:spacing w:after="40" w:before="0" w:line="259" w:lineRule="auto"/>
            </w:pPr>
            <w:r>
              <w:rPr>
                <w:rFonts w:ascii="Calibri" w:hAnsi="Calibri"/>
                <w:b w:val="0"/>
                <w:i w:val="0"/>
                <w:color w:val="212121"/>
                <w:sz w:val="19"/>
              </w:rPr>
              <w:t>Habitual paan / supari chewers</w:t>
            </w:r>
          </w:p>
        </w:tc>
        <w:tc>
          <w:tcPr>
            <w:tcW w:type="dxa" w:w="4276"/>
            <w:vAlign w:val="top"/>
          </w:tcPr>
          <w:p>
            <w:pPr>
              <w:spacing w:after="60" w:line="259" w:lineRule="auto"/>
            </w:pPr>
            <w:r>
              <w:rPr>
                <w:rFonts w:ascii="Calibri" w:hAnsi="Calibri"/>
                <w:b w:val="0"/>
                <w:i w:val="0"/>
                <w:color w:val="212121"/>
                <w:sz w:val="19"/>
              </w:rPr>
              <w:t>Arecoline and areca alkaloids are directly cytotoxic and genotoxic; chronic chewing drives dysplasia and oral submucous fibrosis, both of which raise malignant risk, even without added tobacco.</w:t>
            </w:r>
          </w:p>
          <w:p>
            <w:pPr>
              <w:spacing w:after="40" w:before="60" w:line="259" w:lineRule="auto"/>
            </w:pPr>
            <w:r>
              <w:rPr>
                <w:rFonts w:ascii="Calibri" w:hAnsi="Calibri"/>
                <w:b w:val="0"/>
                <w:i w:val="0"/>
                <w:color w:val="212121"/>
                <w:sz w:val="19"/>
              </w:rPr>
              <w:t>Tobacco and areca-nut/betel-quid habits are the leading determinants of oral potentially malignant disorders in Indian population studies.</w:t>
            </w:r>
          </w:p>
          <w:p>
            <w:pPr>
              <w:spacing w:after="40" w:line="252" w:lineRule="auto"/>
            </w:pPr>
            <w:hyperlink r:id="rId15">
              <w:r>
                <w:rPr>
                  <w:rFonts w:ascii="Calibri" w:hAnsi="Calibri" w:cs="Calibri"/>
                  <w:sz w:val="18"/>
                  <w:color w:val="1155CC"/>
                  <w:u w:val="single"/>
                </w:rPr>
                <w:t xml:space="preserve">pubmed.ncbi.nlm.nih.gov/34447119</w:t>
              </w:r>
            </w:hyperlink>
          </w:p>
          <w:p>
            <w:pPr>
              <w:spacing w:before="60" w:after="40"/>
            </w:pPr>
            <w:r>
              <w:rPr>
                <w:rFonts w:ascii="Calibri" w:hAnsi="Calibri"/>
                <w:b w:val="0"/>
                <w:i w:val="0"/>
                <w:color w:val="5A5A5A"/>
                <w:sz w:val="18"/>
              </w:rPr>
              <w:t>#arecanut  #betelquid  #paan  #supari  #arecoline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drinkers (esp. combined with tobacco)</w:t>
            </w:r>
          </w:p>
        </w:tc>
        <w:tc>
          <w:tcPr>
            <w:tcW w:type="dxa" w:w="4276"/>
            <w:vAlign w:val="top"/>
          </w:tcPr>
          <w:p>
            <w:pPr>
              <w:spacing w:after="60" w:line="259" w:lineRule="auto"/>
            </w:pPr>
            <w:r>
              <w:rPr>
                <w:rFonts w:ascii="Calibri" w:hAnsi="Calibri"/>
                <w:b w:val="0"/>
                <w:i w:val="0"/>
                <w:color w:val="212121"/>
                <w:sz w:val="19"/>
              </w:rPr>
              <w:t>Acetaldehyde from ethanol metabolism is a mucosal carcinogen, and alcohol increases mucosal permeability to tobacco carcinogens, producing multiplicative risk when both habits coexist.</w:t>
            </w:r>
          </w:p>
          <w:p>
            <w:pPr>
              <w:spacing w:after="40" w:before="60" w:line="259" w:lineRule="auto"/>
            </w:pPr>
            <w:r>
              <w:rPr>
                <w:rFonts w:ascii="Calibri" w:hAnsi="Calibri"/>
                <w:b w:val="0"/>
                <w:i w:val="0"/>
                <w:color w:val="212121"/>
                <w:sz w:val="19"/>
              </w:rPr>
              <w:t>WHO lists alcohol, together with tobacco and areca nut, among the leading causes of oral cancer.</w:t>
            </w:r>
          </w:p>
          <w:p>
            <w:pPr>
              <w:spacing w:after="40" w:line="252" w:lineRule="auto"/>
            </w:pPr>
            <w:hyperlink r:id="rId10">
              <w:r>
                <w:rPr>
                  <w:rFonts w:ascii="Calibri" w:hAnsi="Calibri" w:cs="Calibri"/>
                  <w:sz w:val="18"/>
                  <w:color w:val="1155CC"/>
                  <w:u w:val="single"/>
                </w:rPr>
                <w:t xml:space="preserve">who.int — oral health</w:t>
              </w:r>
            </w:hyperlink>
          </w:p>
          <w:p>
            <w:pPr>
              <w:spacing w:before="60" w:after="40"/>
            </w:pPr>
            <w:r>
              <w:rPr>
                <w:rFonts w:ascii="Calibri" w:hAnsi="Calibri"/>
                <w:b w:val="0"/>
                <w:i w:val="0"/>
                <w:color w:val="5A5A5A"/>
                <w:sz w:val="18"/>
              </w:rPr>
              <w:t>#alcohol  #acetaldehyde  #synergy  #tobaccoalcohol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irritation / poor oral hygiene</w:t>
            </w:r>
          </w:p>
        </w:tc>
        <w:tc>
          <w:tcPr>
            <w:tcW w:type="dxa" w:w="2160"/>
            <w:vAlign w:val="top"/>
          </w:tcPr>
          <w:p>
            <w:pPr>
              <w:spacing w:after="40" w:before="0" w:line="259" w:lineRule="auto"/>
            </w:pPr>
            <w:r>
              <w:rPr>
                <w:rFonts w:ascii="Calibri" w:hAnsi="Calibri"/>
                <w:b w:val="0"/>
                <w:i w:val="0"/>
                <w:color w:val="212121"/>
                <w:sz w:val="19"/>
              </w:rPr>
              <w:t>Sharp teeth, defective restorations, ill-fitting dentures</w:t>
            </w:r>
          </w:p>
        </w:tc>
        <w:tc>
          <w:tcPr>
            <w:tcW w:type="dxa" w:w="4276"/>
            <w:vAlign w:val="top"/>
          </w:tcPr>
          <w:p>
            <w:pPr>
              <w:spacing w:after="60" w:line="259" w:lineRule="auto"/>
            </w:pPr>
            <w:r>
              <w:rPr>
                <w:rFonts w:ascii="Calibri" w:hAnsi="Calibri"/>
                <w:b w:val="0"/>
                <w:i w:val="0"/>
                <w:color w:val="212121"/>
                <w:sz w:val="19"/>
              </w:rPr>
              <w:t>Persistent mechanical and thermal trauma plus poor plaque control maintain chronic inflammation and accelerated epithelial turnover, favouring dysplastic change at the site of irritation.</w:t>
            </w:r>
          </w:p>
          <w:p>
            <w:pPr>
              <w:spacing w:before="60" w:after="40"/>
            </w:pPr>
            <w:r>
              <w:rPr>
                <w:rFonts w:ascii="Calibri" w:hAnsi="Calibri"/>
                <w:b w:val="0"/>
                <w:i w:val="0"/>
                <w:color w:val="5A5A5A"/>
                <w:sz w:val="18"/>
              </w:rPr>
              <w:t>#chronicirritation  #trauma  #oralhygiene  #denture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Low fruit &amp; vegetable intake</w:t>
            </w:r>
          </w:p>
        </w:tc>
        <w:tc>
          <w:tcPr>
            <w:tcW w:type="dxa" w:w="2160"/>
            <w:vAlign w:val="top"/>
          </w:tcPr>
          <w:p>
            <w:pPr>
              <w:spacing w:after="40" w:before="0" w:line="259" w:lineRule="auto"/>
            </w:pPr>
            <w:r>
              <w:rPr>
                <w:rFonts w:ascii="Calibri" w:hAnsi="Calibri"/>
                <w:b w:val="0"/>
                <w:i w:val="0"/>
                <w:color w:val="212121"/>
                <w:sz w:val="19"/>
              </w:rPr>
              <w:t>Diets poor in antioxidants and micronutrients</w:t>
            </w:r>
          </w:p>
        </w:tc>
        <w:tc>
          <w:tcPr>
            <w:tcW w:type="dxa" w:w="4276"/>
            <w:vAlign w:val="top"/>
          </w:tcPr>
          <w:p>
            <w:pPr>
              <w:spacing w:after="60" w:line="259" w:lineRule="auto"/>
            </w:pPr>
            <w:r>
              <w:rPr>
                <w:rFonts w:ascii="Calibri" w:hAnsi="Calibri"/>
                <w:b w:val="0"/>
                <w:i w:val="0"/>
                <w:color w:val="212121"/>
                <w:sz w:val="19"/>
              </w:rPr>
              <w:t>Low intake of vitamins A, C and E, carotenoids and folate reduces antioxidant defence and epithelial repair capacity, increasing susceptibility to carcinogen-induced dysplasia.</w:t>
            </w:r>
          </w:p>
          <w:p>
            <w:pPr>
              <w:spacing w:before="60" w:after="40"/>
            </w:pPr>
            <w:r>
              <w:rPr>
                <w:rFonts w:ascii="Calibri" w:hAnsi="Calibri"/>
                <w:b w:val="0"/>
                <w:i w:val="0"/>
                <w:color w:val="5A5A5A"/>
                <w:sz w:val="18"/>
              </w:rPr>
              <w:t>#diet  #antioxidants  #lowfruitveg  #micronutrients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Iron / vitamin deficiency</w:t>
            </w:r>
          </w:p>
        </w:tc>
        <w:tc>
          <w:tcPr>
            <w:tcW w:type="dxa" w:w="2160"/>
            <w:vAlign w:val="top"/>
          </w:tcPr>
          <w:p>
            <w:pPr>
              <w:spacing w:after="40" w:before="0" w:line="259" w:lineRule="auto"/>
            </w:pPr>
            <w:r>
              <w:rPr>
                <w:rFonts w:ascii="Calibri" w:hAnsi="Calibri"/>
                <w:b w:val="0"/>
                <w:i w:val="0"/>
                <w:color w:val="212121"/>
                <w:sz w:val="19"/>
              </w:rPr>
              <w:t>Sideropenic (Plummer–Vinson) &amp; malnourished individuals</w:t>
            </w:r>
          </w:p>
        </w:tc>
        <w:tc>
          <w:tcPr>
            <w:tcW w:type="dxa" w:w="4276"/>
            <w:vAlign w:val="top"/>
          </w:tcPr>
          <w:p>
            <w:pPr>
              <w:spacing w:after="60" w:line="259" w:lineRule="auto"/>
            </w:pPr>
            <w:r>
              <w:rPr>
                <w:rFonts w:ascii="Calibri" w:hAnsi="Calibri"/>
                <w:b w:val="0"/>
                <w:i w:val="0"/>
                <w:color w:val="212121"/>
                <w:sz w:val="19"/>
              </w:rPr>
              <w:t>Iron deficiency causes mucosal atrophy and thinning, leaving epithelium more vulnerable to carcinogens — a recognised predisposing factor for oral erythroplakia and carcinoma.</w:t>
            </w:r>
          </w:p>
          <w:p>
            <w:pPr>
              <w:spacing w:before="60" w:after="40"/>
            </w:pPr>
            <w:r>
              <w:rPr>
                <w:rFonts w:ascii="Calibri" w:hAnsi="Calibri"/>
                <w:b w:val="0"/>
                <w:i w:val="0"/>
                <w:color w:val="5A5A5A"/>
                <w:sz w:val="18"/>
              </w:rPr>
              <w:t>#irondeficiency  #PlummerVinson  #mucosalatrophy  #anaemia</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genetic susceptibility</w:t>
            </w:r>
          </w:p>
        </w:tc>
        <w:tc>
          <w:tcPr>
            <w:tcW w:type="dxa" w:w="2160"/>
            <w:vAlign w:val="top"/>
          </w:tcPr>
          <w:p>
            <w:pPr>
              <w:spacing w:after="40" w:before="0" w:line="259" w:lineRule="auto"/>
            </w:pPr>
            <w:r>
              <w:rPr>
                <w:rFonts w:ascii="Calibri" w:hAnsi="Calibri"/>
                <w:b w:val="0"/>
                <w:i w:val="0"/>
                <w:color w:val="212121"/>
                <w:sz w:val="19"/>
              </w:rPr>
              <w:t>Relatives of head-and-neck cancer patients</w:t>
            </w:r>
          </w:p>
        </w:tc>
        <w:tc>
          <w:tcPr>
            <w:tcW w:type="dxa" w:w="4276"/>
            <w:vAlign w:val="top"/>
          </w:tcPr>
          <w:p>
            <w:pPr>
              <w:spacing w:after="60" w:line="259" w:lineRule="auto"/>
            </w:pPr>
            <w:r>
              <w:rPr>
                <w:rFonts w:ascii="Calibri" w:hAnsi="Calibri"/>
                <w:b w:val="0"/>
                <w:i w:val="0"/>
                <w:color w:val="212121"/>
                <w:sz w:val="19"/>
              </w:rPr>
              <w:t>Inherited variation in carcinogen-metabolising enzymes and DNA-repair pathways, and germline predisposition, lower the threshold for tobacco/areca-induced malignant transformation.</w:t>
            </w:r>
          </w:p>
          <w:p>
            <w:pPr>
              <w:spacing w:before="60" w:after="40"/>
            </w:pPr>
            <w:r>
              <w:rPr>
                <w:rFonts w:ascii="Calibri" w:hAnsi="Calibri"/>
                <w:b w:val="0"/>
                <w:i w:val="0"/>
                <w:color w:val="5A5A5A"/>
                <w:sz w:val="18"/>
              </w:rPr>
              <w:t>#familyhistory  #DNArepair  #susceptibility  #fieldcancerisation</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Oral submucous fibrosis (OSMF)</w:t>
            </w:r>
          </w:p>
        </w:tc>
        <w:tc>
          <w:tcPr>
            <w:tcW w:type="dxa" w:w="2160"/>
            <w:vAlign w:val="top"/>
          </w:tcPr>
          <w:p>
            <w:pPr>
              <w:spacing w:after="40" w:before="0" w:line="259" w:lineRule="auto"/>
            </w:pPr>
            <w:r>
              <w:rPr>
                <w:rFonts w:ascii="Calibri" w:hAnsi="Calibri"/>
                <w:b w:val="0"/>
                <w:i w:val="0"/>
                <w:color w:val="212121"/>
                <w:sz w:val="19"/>
              </w:rPr>
              <w:t>Areca chewers with OSMF</w:t>
            </w:r>
          </w:p>
        </w:tc>
        <w:tc>
          <w:tcPr>
            <w:tcW w:type="dxa" w:w="4276"/>
            <w:vAlign w:val="top"/>
          </w:tcPr>
          <w:p>
            <w:pPr>
              <w:spacing w:after="60" w:line="259" w:lineRule="auto"/>
            </w:pPr>
            <w:r>
              <w:rPr>
                <w:rFonts w:ascii="Calibri" w:hAnsi="Calibri"/>
                <w:b w:val="0"/>
                <w:i w:val="0"/>
                <w:color w:val="212121"/>
                <w:sz w:val="19"/>
              </w:rPr>
              <w:t>OSMF is an areca-driven potentially malignant disorder; erythroplakic or speckled change arising within fibrotic, atrophic mucosa signals an additive and high risk of carcinoma.</w:t>
            </w:r>
          </w:p>
          <w:p>
            <w:pPr>
              <w:spacing w:after="40" w:before="60" w:line="259" w:lineRule="auto"/>
            </w:pPr>
            <w:r>
              <w:rPr>
                <w:rFonts w:ascii="Calibri" w:hAnsi="Calibri"/>
                <w:b w:val="0"/>
                <w:i w:val="0"/>
                <w:color w:val="212121"/>
                <w:sz w:val="19"/>
              </w:rPr>
              <w:t>Areca/OPMD determinants are prominent in rural South Indian community studies.</w:t>
            </w:r>
          </w:p>
          <w:p>
            <w:pPr>
              <w:spacing w:after="40" w:line="252" w:lineRule="auto"/>
            </w:pPr>
            <w:hyperlink r:id="rId16">
              <w:r>
                <w:rPr>
                  <w:rFonts w:ascii="Calibri" w:hAnsi="Calibri" w:cs="Calibri"/>
                  <w:sz w:val="18"/>
                  <w:color w:val="1155CC"/>
                  <w:u w:val="single"/>
                </w:rPr>
                <w:t xml:space="preserve">pubmed.ncbi.nlm.nih.gov/37470609</w:t>
              </w:r>
            </w:hyperlink>
          </w:p>
          <w:p>
            <w:pPr>
              <w:spacing w:before="60" w:after="40"/>
            </w:pPr>
            <w:r>
              <w:rPr>
                <w:rFonts w:ascii="Calibri" w:hAnsi="Calibri"/>
                <w:b w:val="0"/>
                <w:i w:val="0"/>
                <w:color w:val="5A5A5A"/>
                <w:sz w:val="18"/>
              </w:rPr>
              <w:t>#OSMF  #arecanut  #fibrosis  #coexistingOPMD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Oral leukoplakia / erythroleukoplakia</w:t>
            </w:r>
          </w:p>
        </w:tc>
        <w:tc>
          <w:tcPr>
            <w:tcW w:type="dxa" w:w="2160"/>
            <w:vAlign w:val="top"/>
          </w:tcPr>
          <w:p>
            <w:pPr>
              <w:spacing w:after="40" w:before="0" w:line="259" w:lineRule="auto"/>
            </w:pPr>
            <w:r>
              <w:rPr>
                <w:rFonts w:ascii="Calibri" w:hAnsi="Calibri"/>
                <w:b w:val="0"/>
                <w:i w:val="0"/>
                <w:color w:val="212121"/>
                <w:sz w:val="19"/>
              </w:rPr>
              <w:t>Patients with existing white or speckled lesions</w:t>
            </w:r>
          </w:p>
        </w:tc>
        <w:tc>
          <w:tcPr>
            <w:tcW w:type="dxa" w:w="4276"/>
            <w:vAlign w:val="top"/>
          </w:tcPr>
          <w:p>
            <w:pPr>
              <w:spacing w:after="60" w:line="259" w:lineRule="auto"/>
            </w:pPr>
            <w:r>
              <w:rPr>
                <w:rFonts w:ascii="Calibri" w:hAnsi="Calibri"/>
                <w:b w:val="0"/>
                <w:i w:val="0"/>
                <w:color w:val="212121"/>
                <w:sz w:val="19"/>
              </w:rPr>
              <w:t>Red change developing within, or adjacent to, a leukoplakic patch (erythroleukoplakia) reflects field cancerisation and carries a substantially higher dysplasia and transformation risk than homogeneous white lesions.</w:t>
            </w:r>
          </w:p>
          <w:p>
            <w:pPr>
              <w:spacing w:after="40" w:before="60" w:line="259" w:lineRule="auto"/>
            </w:pPr>
            <w:r>
              <w:rPr>
                <w:rFonts w:ascii="Calibri" w:hAnsi="Calibri"/>
                <w:b w:val="0"/>
                <w:i w:val="0"/>
                <w:color w:val="212121"/>
                <w:sz w:val="19"/>
              </w:rPr>
              <w:t>WHO consensus nomenclature groups leukoplakia and erythroplakia together as oral potentially malignant disorders, with erythroplakia the highest-risk category.</w:t>
            </w:r>
          </w:p>
          <w:p>
            <w:pPr>
              <w:spacing w:after="40" w:line="252" w:lineRule="auto"/>
            </w:pPr>
            <w:hyperlink r:id="rId17">
              <w:r>
                <w:rPr>
                  <w:rFonts w:ascii="Calibri" w:hAnsi="Calibri" w:cs="Calibri"/>
                  <w:sz w:val="18"/>
                  <w:color w:val="1155CC"/>
                  <w:u w:val="single"/>
                </w:rPr>
                <w:t xml:space="preserve">pubmed.ncbi.nlm.nih.gov/33128420</w:t>
              </w:r>
            </w:hyperlink>
          </w:p>
          <w:p>
            <w:pPr>
              <w:spacing w:before="60" w:after="40"/>
            </w:pPr>
            <w:r>
              <w:rPr>
                <w:rFonts w:ascii="Calibri" w:hAnsi="Calibri"/>
                <w:b w:val="0"/>
                <w:i w:val="0"/>
                <w:color w:val="5A5A5A"/>
                <w:sz w:val="18"/>
              </w:rPr>
              <w:t>#leukoplakia  #erythroleukoplakia  #speckled  #fieldchange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Prior head-and-neck cancer</w:t>
            </w:r>
          </w:p>
        </w:tc>
        <w:tc>
          <w:tcPr>
            <w:tcW w:type="dxa" w:w="2160"/>
            <w:vAlign w:val="top"/>
          </w:tcPr>
          <w:p>
            <w:pPr>
              <w:spacing w:after="40" w:before="0" w:line="259" w:lineRule="auto"/>
            </w:pPr>
            <w:r>
              <w:rPr>
                <w:rFonts w:ascii="Calibri" w:hAnsi="Calibri"/>
                <w:b w:val="0"/>
                <w:i w:val="0"/>
                <w:color w:val="212121"/>
                <w:sz w:val="19"/>
              </w:rPr>
              <w:t>Patients with a previous oral/HN squamous cell carcinoma</w:t>
            </w:r>
          </w:p>
        </w:tc>
        <w:tc>
          <w:tcPr>
            <w:tcW w:type="dxa" w:w="4276"/>
            <w:vAlign w:val="top"/>
          </w:tcPr>
          <w:p>
            <w:pPr>
              <w:spacing w:after="60" w:line="259" w:lineRule="auto"/>
            </w:pPr>
            <w:r>
              <w:rPr>
                <w:rFonts w:ascii="Calibri" w:hAnsi="Calibri"/>
                <w:b w:val="0"/>
                <w:i w:val="0"/>
                <w:color w:val="212121"/>
                <w:sz w:val="19"/>
              </w:rPr>
              <w:t>A carcinogen-exposed mucosal ‘field’ predisposes the entire upper aerodigestive tract, so new erythroplakic lesions may represent second primary tumours and demand close surveillance.</w:t>
            </w:r>
          </w:p>
          <w:p>
            <w:pPr>
              <w:spacing w:after="40" w:before="60" w:line="259" w:lineRule="auto"/>
            </w:pPr>
            <w:r>
              <w:rPr>
                <w:rFonts w:ascii="Calibri" w:hAnsi="Calibri"/>
                <w:b w:val="0"/>
                <w:i w:val="0"/>
                <w:color w:val="212121"/>
                <w:sz w:val="19"/>
              </w:rPr>
              <w:t>Premalignant red and speckled lesions are key markers monitored in oral-cancer surveillance of high-risk patients.</w:t>
            </w:r>
          </w:p>
          <w:p>
            <w:pPr>
              <w:spacing w:after="40" w:line="252" w:lineRule="auto"/>
            </w:pPr>
            <w:hyperlink r:id="rId18">
              <w:r>
                <w:rPr>
                  <w:rFonts w:ascii="Calibri" w:hAnsi="Calibri" w:cs="Calibri"/>
                  <w:sz w:val="18"/>
                  <w:color w:val="1155CC"/>
                  <w:u w:val="single"/>
                </w:rPr>
                <w:t xml:space="preserve">pubmed.ncbi.nlm.nih.gov/34283521</w:t>
              </w:r>
            </w:hyperlink>
          </w:p>
          <w:p>
            <w:pPr>
              <w:spacing w:before="60" w:after="40"/>
            </w:pPr>
            <w:r>
              <w:rPr>
                <w:rFonts w:ascii="Calibri" w:hAnsi="Calibri"/>
                <w:b w:val="0"/>
                <w:i w:val="0"/>
                <w:color w:val="5A5A5A"/>
                <w:sz w:val="18"/>
              </w:rPr>
              <w:t>#secondprimary  #fieldcancerisation  #surveillance  #HNSCC</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causal link to erythroplakia; regular activity supports general health, immune function and success of tobacco/alcohol cessation, so its role is supportive rather than causal.</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Diets low in fruit, vegetables and micronutrients (vitamins A/C/E, folate, iron) are associated with higher risk of oral potentially malignant disorders and cancer, while antioxidant-rich diets are modestly protective.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direct association; chronic poor sleep may impair immune surveillance and is linked with tobacco/alcohol dependence, indirectly affecting risk.</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Smoked and smokeless tobacco are primary drivers of oral epithelial dysplasia and erythroplakia; risk is dose- and duration-dependent and central in India.</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Alcohol independently raises risk in a dose-dependent manner and acts synergistically with tobacco, multiplying the likelihood of dysplastic and malignant change.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Stress, anxiety and depression contribute indirectly by sustaining tobacco and alcohol dependence and by delaying care-seeking for a persistent oral lesion.</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is not a recognised risk factor; chronic dry mouth (xerostomia) can worsen mucosal irritation and susceptibility to injury.</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association between caffeine intake and oral erythroplakia.</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Poor oral hygiene, chronic irritation from sharp teeth/dentures and candidal colonisation contribute to dysplastic change; good hygiene and removal of irritants reduce local risk.</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The principal provoking factors are smokeless and smoked tobacco, areca-nut/betel-quid and alcohol, together with chronic mechanical or thermal mucosal trauma.</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 bidis per day</w:t>
            </w:r>
          </w:p>
        </w:tc>
        <w:tc>
          <w:tcPr>
            <w:tcW w:type="dxa" w:w="1655"/>
            <w:vAlign w:val="top"/>
          </w:tcPr>
          <w:p>
            <w:pPr>
              <w:spacing w:after="40" w:before="0" w:line="259" w:lineRule="auto"/>
            </w:pPr>
            <w:r>
              <w:rPr>
                <w:rFonts w:ascii="Calibri" w:hAnsi="Calibri"/>
                <w:b w:val="0"/>
                <w:i w:val="0"/>
                <w:color w:val="212121"/>
                <w:sz w:val="19"/>
              </w:rPr>
              <w:t>Adult smokers</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 1 per day</w:t>
            </w:r>
          </w:p>
        </w:tc>
        <w:tc>
          <w:tcPr>
            <w:tcW w:type="dxa" w:w="1468"/>
            <w:vAlign w:val="top"/>
          </w:tcPr>
          <w:p>
            <w:pPr>
              <w:spacing w:after="60" w:line="259" w:lineRule="auto"/>
            </w:pPr>
            <w:r>
              <w:rPr>
                <w:rFonts w:ascii="Calibri" w:hAnsi="Calibri"/>
                <w:b w:val="0"/>
                <w:i w:val="0"/>
                <w:color w:val="212121"/>
                <w:sz w:val="19"/>
              </w:rPr>
              <w:t>Any smoked tobacco raises oral dysplasia and cancer risk; risk scales with amount and duration.</w:t>
            </w:r>
          </w:p>
          <w:p>
            <w:pPr>
              <w:spacing w:after="40" w:line="252" w:lineRule="auto"/>
            </w:pPr>
            <w:hyperlink r:id="rId13">
              <w:r>
                <w:rPr>
                  <w:rFonts w:ascii="Calibri" w:hAnsi="Calibri" w:cs="Calibri"/>
                  <w:sz w:val="18"/>
                  <w:color w:val="1155CC"/>
                  <w:u w:val="single"/>
                </w:rPr>
                <w:t xml:space="preserve">https://www.who.int/india/health-topics/tobacco</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Smokeless tobacco / quid uses per day</w:t>
            </w:r>
          </w:p>
        </w:tc>
        <w:tc>
          <w:tcPr>
            <w:tcW w:type="dxa" w:w="1655"/>
            <w:vAlign w:val="top"/>
          </w:tcPr>
          <w:p>
            <w:pPr>
              <w:spacing w:after="40" w:before="0" w:line="259" w:lineRule="auto"/>
            </w:pPr>
            <w:r>
              <w:rPr>
                <w:rFonts w:ascii="Calibri" w:hAnsi="Calibri"/>
                <w:b w:val="0"/>
                <w:i w:val="0"/>
                <w:color w:val="212121"/>
                <w:sz w:val="19"/>
              </w:rPr>
              <w:t>Khaini, gutkha, zarda users</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 1 per day</w:t>
            </w:r>
          </w:p>
        </w:tc>
        <w:tc>
          <w:tcPr>
            <w:tcW w:type="dxa" w:w="1468"/>
            <w:vAlign w:val="top"/>
          </w:tcPr>
          <w:p>
            <w:pPr>
              <w:spacing w:after="60" w:line="259" w:lineRule="auto"/>
            </w:pPr>
            <w:r>
              <w:rPr>
                <w:rFonts w:ascii="Calibri" w:hAnsi="Calibri"/>
                <w:b w:val="0"/>
                <w:i w:val="0"/>
                <w:color w:val="212121"/>
                <w:sz w:val="19"/>
              </w:rPr>
              <w:t>Direct, prolonged mucosal contact gives the highest local carcinogen exposure.</w:t>
            </w:r>
          </w:p>
          <w:p>
            <w:pPr>
              <w:spacing w:after="40" w:line="252" w:lineRule="auto"/>
            </w:pPr>
            <w:hyperlink r:id="rId14">
              <w:r>
                <w:rPr>
                  <w:rFonts w:ascii="Calibri" w:hAnsi="Calibri" w:cs="Calibri"/>
                  <w:sz w:val="18"/>
                  <w:color w:val="1155CC"/>
                  <w:u w:val="single"/>
                </w:rPr>
                <w:t xml:space="preserve">https://pubmed.ncbi.nlm.nih.gov/34424631/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Habit duration (pack-years / chew-years)</w:t>
            </w:r>
          </w:p>
        </w:tc>
        <w:tc>
          <w:tcPr>
            <w:tcW w:type="dxa" w:w="1655"/>
            <w:vAlign w:val="top"/>
          </w:tcPr>
          <w:p>
            <w:pPr>
              <w:spacing w:after="40" w:before="0" w:line="259" w:lineRule="auto"/>
            </w:pPr>
            <w:r>
              <w:rPr>
                <w:rFonts w:ascii="Calibri" w:hAnsi="Calibri"/>
                <w:b w:val="0"/>
                <w:i w:val="0"/>
                <w:color w:val="212121"/>
                <w:sz w:val="19"/>
              </w:rPr>
              <w:t>Long-term tobacco/areca users</w:t>
            </w:r>
          </w:p>
        </w:tc>
        <w:tc>
          <w:tcPr>
            <w:tcW w:type="dxa" w:w="1512"/>
            <w:vAlign w:val="top"/>
          </w:tcPr>
          <w:p>
            <w:pPr>
              <w:spacing w:after="40" w:before="0" w:line="259" w:lineRule="auto"/>
            </w:pPr>
            <w:r>
              <w:rPr>
                <w:rFonts w:ascii="Calibri" w:hAnsi="Calibri"/>
                <w:b w:val="0"/>
                <w:i w:val="0"/>
                <w:color w:val="212121"/>
                <w:sz w:val="19"/>
              </w:rPr>
              <w:t>0</w:t>
            </w:r>
          </w:p>
        </w:tc>
        <w:tc>
          <w:tcPr>
            <w:tcW w:type="dxa" w:w="1512"/>
            <w:vAlign w:val="top"/>
          </w:tcPr>
          <w:p>
            <w:pPr>
              <w:spacing w:after="40" w:before="0" w:line="259" w:lineRule="auto"/>
            </w:pPr>
            <w:r>
              <w:rPr>
                <w:rFonts w:ascii="Calibri" w:hAnsi="Calibri"/>
                <w:b w:val="0"/>
                <w:i w:val="0"/>
                <w:color w:val="212121"/>
                <w:sz w:val="19"/>
              </w:rPr>
              <w:t>Rising with each additional year</w:t>
            </w:r>
          </w:p>
        </w:tc>
        <w:tc>
          <w:tcPr>
            <w:tcW w:type="dxa" w:w="1468"/>
            <w:vAlign w:val="top"/>
          </w:tcPr>
          <w:p>
            <w:pPr>
              <w:spacing w:after="40" w:before="0" w:line="259" w:lineRule="auto"/>
            </w:pPr>
            <w:r>
              <w:rPr>
                <w:rFonts w:ascii="Calibri" w:hAnsi="Calibri"/>
                <w:b w:val="0"/>
                <w:i w:val="0"/>
                <w:color w:val="212121"/>
                <w:sz w:val="19"/>
              </w:rPr>
              <w:t>Cumulative exposure is the strongest predictor of dysplasia and transformation.</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Betel-quid / areca-nut chewing years</w:t>
            </w:r>
          </w:p>
        </w:tc>
        <w:tc>
          <w:tcPr>
            <w:tcW w:type="dxa" w:w="1655"/>
            <w:vAlign w:val="top"/>
          </w:tcPr>
          <w:p>
            <w:pPr>
              <w:spacing w:after="40" w:before="0" w:line="259" w:lineRule="auto"/>
            </w:pPr>
            <w:r>
              <w:rPr>
                <w:rFonts w:ascii="Calibri" w:hAnsi="Calibri"/>
                <w:b w:val="0"/>
                <w:i w:val="0"/>
                <w:color w:val="212121"/>
                <w:sz w:val="19"/>
              </w:rPr>
              <w:t>Habitual paan/supari chewers</w:t>
            </w:r>
          </w:p>
        </w:tc>
        <w:tc>
          <w:tcPr>
            <w:tcW w:type="dxa" w:w="1512"/>
            <w:vAlign w:val="top"/>
          </w:tcPr>
          <w:p>
            <w:pPr>
              <w:spacing w:after="40" w:before="0" w:line="259" w:lineRule="auto"/>
            </w:pPr>
            <w:r>
              <w:rPr>
                <w:rFonts w:ascii="Calibri" w:hAnsi="Calibri"/>
                <w:b w:val="0"/>
                <w:i w:val="0"/>
                <w:color w:val="212121"/>
                <w:sz w:val="19"/>
              </w:rPr>
              <w:t>0</w:t>
            </w:r>
          </w:p>
        </w:tc>
        <w:tc>
          <w:tcPr>
            <w:tcW w:type="dxa" w:w="1512"/>
            <w:vAlign w:val="top"/>
          </w:tcPr>
          <w:p>
            <w:pPr>
              <w:spacing w:after="40" w:before="0" w:line="259" w:lineRule="auto"/>
            </w:pPr>
            <w:r>
              <w:rPr>
                <w:rFonts w:ascii="Calibri" w:hAnsi="Calibri"/>
                <w:b w:val="0"/>
                <w:i w:val="0"/>
                <w:color w:val="212121"/>
                <w:sz w:val="19"/>
              </w:rPr>
              <w:t>Daily chewing over years</w:t>
            </w:r>
          </w:p>
        </w:tc>
        <w:tc>
          <w:tcPr>
            <w:tcW w:type="dxa" w:w="1468"/>
            <w:vAlign w:val="top"/>
          </w:tcPr>
          <w:p>
            <w:pPr>
              <w:spacing w:after="40" w:before="0" w:line="259" w:lineRule="auto"/>
            </w:pPr>
            <w:r>
              <w:rPr>
                <w:rFonts w:ascii="Calibri" w:hAnsi="Calibri"/>
                <w:b w:val="0"/>
                <w:i w:val="0"/>
                <w:color w:val="212121"/>
                <w:sz w:val="19"/>
              </w:rPr>
              <w:t>Chronic areca contact drives dysplasia and submucous fibrosis independent of tobacco.</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Adult drinkers</w:t>
            </w:r>
          </w:p>
        </w:tc>
        <w:tc>
          <w:tcPr>
            <w:tcW w:type="dxa" w:w="1512"/>
            <w:vAlign w:val="top"/>
          </w:tcPr>
          <w:p>
            <w:pPr>
              <w:spacing w:after="40" w:before="0" w:line="259" w:lineRule="auto"/>
            </w:pPr>
            <w:r>
              <w:rPr>
                <w:rFonts w:ascii="Calibri" w:hAnsi="Calibri"/>
                <w:b w:val="0"/>
                <w:i w:val="0"/>
                <w:color w:val="212121"/>
                <w:sz w:val="19"/>
              </w:rPr>
              <w:t>Nil to minimal</w:t>
            </w:r>
          </w:p>
        </w:tc>
        <w:tc>
          <w:tcPr>
            <w:tcW w:type="dxa" w:w="1512"/>
            <w:vAlign w:val="top"/>
          </w:tcPr>
          <w:p>
            <w:pPr>
              <w:spacing w:after="40" w:before="0" w:line="259" w:lineRule="auto"/>
            </w:pPr>
            <w:r>
              <w:rPr>
                <w:rFonts w:ascii="Calibri" w:hAnsi="Calibri"/>
                <w:b w:val="0"/>
                <w:i w:val="0"/>
                <w:color w:val="212121"/>
                <w:sz w:val="19"/>
              </w:rPr>
              <w:t>Heavy / daily use, esp. with tobacco</w:t>
            </w:r>
          </w:p>
        </w:tc>
        <w:tc>
          <w:tcPr>
            <w:tcW w:type="dxa" w:w="1468"/>
            <w:vAlign w:val="top"/>
          </w:tcPr>
          <w:p>
            <w:pPr>
              <w:spacing w:after="40" w:before="0" w:line="259" w:lineRule="auto"/>
            </w:pPr>
            <w:r>
              <w:rPr>
                <w:rFonts w:ascii="Calibri" w:hAnsi="Calibri"/>
                <w:b w:val="0"/>
                <w:i w:val="0"/>
                <w:color w:val="212121"/>
                <w:sz w:val="19"/>
              </w:rPr>
              <w:t>Acetaldehyde is a mucosal carcinogen; combined tobacco–alcohol use is multiplicative.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Daily fruit &amp; vegetable servings</w:t>
            </w:r>
          </w:p>
        </w:tc>
        <w:tc>
          <w:tcPr>
            <w:tcW w:type="dxa" w:w="1655"/>
            <w:vAlign w:val="top"/>
          </w:tcPr>
          <w:p>
            <w:pPr>
              <w:spacing w:after="40" w:before="0" w:line="259" w:lineRule="auto"/>
            </w:pPr>
            <w:r>
              <w:rPr>
                <w:rFonts w:ascii="Calibri" w:hAnsi="Calibri"/>
                <w:b w:val="0"/>
                <w:i w:val="0"/>
                <w:color w:val="212121"/>
                <w:sz w:val="19"/>
              </w:rPr>
              <w:t>General &amp; high-risk adults</w:t>
            </w:r>
          </w:p>
        </w:tc>
        <w:tc>
          <w:tcPr>
            <w:tcW w:type="dxa" w:w="1512"/>
            <w:vAlign w:val="top"/>
          </w:tcPr>
          <w:p>
            <w:pPr>
              <w:spacing w:after="40" w:before="0" w:line="259" w:lineRule="auto"/>
            </w:pPr>
            <w:r>
              <w:rPr>
                <w:rFonts w:ascii="Calibri" w:hAnsi="Calibri"/>
                <w:b w:val="0"/>
                <w:i w:val="0"/>
                <w:color w:val="212121"/>
                <w:sz w:val="19"/>
              </w:rPr>
              <w:t>≥ 5 servings/day</w:t>
            </w:r>
          </w:p>
        </w:tc>
        <w:tc>
          <w:tcPr>
            <w:tcW w:type="dxa" w:w="1512"/>
            <w:vAlign w:val="top"/>
          </w:tcPr>
          <w:p>
            <w:pPr>
              <w:spacing w:after="40" w:before="0" w:line="259" w:lineRule="auto"/>
            </w:pPr>
            <w:r>
              <w:rPr>
                <w:rFonts w:ascii="Calibri" w:hAnsi="Calibri"/>
                <w:b w:val="0"/>
                <w:i w:val="0"/>
                <w:color w:val="212121"/>
                <w:sz w:val="19"/>
              </w:rPr>
              <w:t>&lt; 2 servings/day</w:t>
            </w:r>
          </w:p>
        </w:tc>
        <w:tc>
          <w:tcPr>
            <w:tcW w:type="dxa" w:w="1468"/>
            <w:vAlign w:val="top"/>
          </w:tcPr>
          <w:p>
            <w:pPr>
              <w:spacing w:after="40" w:before="0" w:line="259" w:lineRule="auto"/>
            </w:pPr>
            <w:r>
              <w:rPr>
                <w:rFonts w:ascii="Calibri" w:hAnsi="Calibri"/>
                <w:b w:val="0"/>
                <w:i w:val="0"/>
                <w:color w:val="212121"/>
                <w:sz w:val="19"/>
              </w:rPr>
              <w:t>Low antioxidant/micronutrient intake reduces mucosal protection and repair.</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Iron status (haemoglobin / ferritin)</w:t>
            </w:r>
          </w:p>
        </w:tc>
        <w:tc>
          <w:tcPr>
            <w:tcW w:type="dxa" w:w="1655"/>
            <w:vAlign w:val="top"/>
          </w:tcPr>
          <w:p>
            <w:pPr>
              <w:spacing w:after="40" w:before="0" w:line="259" w:lineRule="auto"/>
            </w:pPr>
            <w:r>
              <w:rPr>
                <w:rFonts w:ascii="Calibri" w:hAnsi="Calibri"/>
                <w:b w:val="0"/>
                <w:i w:val="0"/>
                <w:color w:val="212121"/>
                <w:sz w:val="19"/>
              </w:rPr>
              <w:t>Sideropenic / malnourished adults</w:t>
            </w:r>
          </w:p>
        </w:tc>
        <w:tc>
          <w:tcPr>
            <w:tcW w:type="dxa" w:w="1512"/>
            <w:vAlign w:val="top"/>
          </w:tcPr>
          <w:p>
            <w:pPr>
              <w:spacing w:after="40" w:before="0" w:line="259" w:lineRule="auto"/>
            </w:pPr>
            <w:r>
              <w:rPr>
                <w:rFonts w:ascii="Calibri" w:hAnsi="Calibri"/>
                <w:b w:val="0"/>
                <w:i w:val="0"/>
                <w:color w:val="212121"/>
                <w:sz w:val="19"/>
              </w:rPr>
              <w:t>Age/sex-appropriate normal</w:t>
            </w:r>
          </w:p>
        </w:tc>
        <w:tc>
          <w:tcPr>
            <w:tcW w:type="dxa" w:w="1512"/>
            <w:vAlign w:val="top"/>
          </w:tcPr>
          <w:p>
            <w:pPr>
              <w:spacing w:after="40" w:before="0" w:line="259" w:lineRule="auto"/>
            </w:pPr>
            <w:r>
              <w:rPr>
                <w:rFonts w:ascii="Calibri" w:hAnsi="Calibri"/>
                <w:b w:val="0"/>
                <w:i w:val="0"/>
                <w:color w:val="212121"/>
                <w:sz w:val="19"/>
              </w:rPr>
              <w:t>Low Hb or ferritin</w:t>
            </w:r>
          </w:p>
        </w:tc>
        <w:tc>
          <w:tcPr>
            <w:tcW w:type="dxa" w:w="1468"/>
            <w:vAlign w:val="top"/>
          </w:tcPr>
          <w:p>
            <w:pPr>
              <w:spacing w:after="40" w:before="0" w:line="259" w:lineRule="auto"/>
            </w:pPr>
            <w:r>
              <w:rPr>
                <w:rFonts w:ascii="Calibri" w:hAnsi="Calibri"/>
                <w:b w:val="0"/>
                <w:i w:val="0"/>
                <w:color w:val="212121"/>
                <w:sz w:val="19"/>
              </w:rPr>
              <w:t>Iron deficiency causes mucosal atrophy and greater carcinogen susceptibility.</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Chronic dental/denture trauma</w:t>
            </w:r>
          </w:p>
        </w:tc>
        <w:tc>
          <w:tcPr>
            <w:tcW w:type="dxa" w:w="1655"/>
            <w:vAlign w:val="top"/>
          </w:tcPr>
          <w:p>
            <w:pPr>
              <w:spacing w:after="40" w:before="0" w:line="259" w:lineRule="auto"/>
            </w:pPr>
            <w:r>
              <w:rPr>
                <w:rFonts w:ascii="Calibri" w:hAnsi="Calibri"/>
                <w:b w:val="0"/>
                <w:i w:val="0"/>
                <w:color w:val="212121"/>
                <w:sz w:val="19"/>
              </w:rPr>
              <w:t>Poor dentition, ill-fitting prostheses</w:t>
            </w:r>
          </w:p>
        </w:tc>
        <w:tc>
          <w:tcPr>
            <w:tcW w:type="dxa" w:w="1512"/>
            <w:vAlign w:val="top"/>
          </w:tcPr>
          <w:p>
            <w:pPr>
              <w:spacing w:after="40" w:before="0" w:line="259" w:lineRule="auto"/>
            </w:pPr>
            <w:r>
              <w:rPr>
                <w:rFonts w:ascii="Calibri" w:hAnsi="Calibri"/>
                <w:b w:val="0"/>
                <w:i w:val="0"/>
                <w:color w:val="212121"/>
                <w:sz w:val="19"/>
              </w:rPr>
              <w:t>No sharp teeth; well-fitting dentures</w:t>
            </w:r>
          </w:p>
        </w:tc>
        <w:tc>
          <w:tcPr>
            <w:tcW w:type="dxa" w:w="1512"/>
            <w:vAlign w:val="top"/>
          </w:tcPr>
          <w:p>
            <w:pPr>
              <w:spacing w:after="40" w:before="0" w:line="259" w:lineRule="auto"/>
            </w:pPr>
            <w:r>
              <w:rPr>
                <w:rFonts w:ascii="Calibri" w:hAnsi="Calibri"/>
                <w:b w:val="0"/>
                <w:i w:val="0"/>
                <w:color w:val="212121"/>
                <w:sz w:val="19"/>
              </w:rPr>
              <w:t>Persistent mechanical/thermal irritation</w:t>
            </w:r>
          </w:p>
        </w:tc>
        <w:tc>
          <w:tcPr>
            <w:tcW w:type="dxa" w:w="1468"/>
            <w:vAlign w:val="top"/>
          </w:tcPr>
          <w:p>
            <w:pPr>
              <w:spacing w:after="40" w:before="0" w:line="259" w:lineRule="auto"/>
            </w:pPr>
            <w:r>
              <w:rPr>
                <w:rFonts w:ascii="Calibri" w:hAnsi="Calibri"/>
                <w:b w:val="0"/>
                <w:i w:val="0"/>
                <w:color w:val="212121"/>
                <w:sz w:val="19"/>
              </w:rPr>
              <w:t>Remove the irritant, then reassess; a lesion persisting &gt;2 weeks warrants biopsy.</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Lesion persistence after removing irritants</w:t>
            </w:r>
          </w:p>
        </w:tc>
        <w:tc>
          <w:tcPr>
            <w:tcW w:type="dxa" w:w="1655"/>
            <w:vAlign w:val="top"/>
          </w:tcPr>
          <w:p>
            <w:pPr>
              <w:spacing w:after="40" w:before="0" w:line="259" w:lineRule="auto"/>
            </w:pPr>
            <w:r>
              <w:rPr>
                <w:rFonts w:ascii="Calibri" w:hAnsi="Calibri"/>
                <w:b w:val="0"/>
                <w:i w:val="0"/>
                <w:color w:val="212121"/>
                <w:sz w:val="19"/>
              </w:rPr>
              <w:t>Any red mucosal patch</w:t>
            </w:r>
          </w:p>
        </w:tc>
        <w:tc>
          <w:tcPr>
            <w:tcW w:type="dxa" w:w="1512"/>
            <w:vAlign w:val="top"/>
          </w:tcPr>
          <w:p>
            <w:pPr>
              <w:spacing w:after="40" w:before="0" w:line="259" w:lineRule="auto"/>
            </w:pPr>
            <w:r>
              <w:rPr>
                <w:rFonts w:ascii="Calibri" w:hAnsi="Calibri"/>
                <w:b w:val="0"/>
                <w:i w:val="0"/>
                <w:color w:val="212121"/>
                <w:sz w:val="19"/>
              </w:rPr>
              <w:t>Resolves within ~2 weeks</w:t>
            </w:r>
          </w:p>
        </w:tc>
        <w:tc>
          <w:tcPr>
            <w:tcW w:type="dxa" w:w="1512"/>
            <w:vAlign w:val="top"/>
          </w:tcPr>
          <w:p>
            <w:pPr>
              <w:spacing w:after="40" w:before="0" w:line="259" w:lineRule="auto"/>
            </w:pPr>
            <w:r>
              <w:rPr>
                <w:rFonts w:ascii="Calibri" w:hAnsi="Calibri"/>
                <w:b w:val="0"/>
                <w:i w:val="0"/>
                <w:color w:val="212121"/>
                <w:sz w:val="19"/>
              </w:rPr>
              <w:t>Persists &gt; 2 weeks</w:t>
            </w:r>
          </w:p>
        </w:tc>
        <w:tc>
          <w:tcPr>
            <w:tcW w:type="dxa" w:w="1468"/>
            <w:vAlign w:val="top"/>
          </w:tcPr>
          <w:p>
            <w:pPr>
              <w:spacing w:after="40" w:before="0" w:line="259" w:lineRule="auto"/>
            </w:pPr>
            <w:r>
              <w:rPr>
                <w:rFonts w:ascii="Calibri" w:hAnsi="Calibri"/>
                <w:b w:val="0"/>
                <w:i w:val="0"/>
                <w:color w:val="212121"/>
                <w:sz w:val="19"/>
              </w:rPr>
              <w:t>A non-resolving red velvety patch mandates biopsy — do not simply observe.</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Oral mucosal (self / clinical) examination</w:t>
            </w:r>
          </w:p>
        </w:tc>
        <w:tc>
          <w:tcPr>
            <w:tcW w:type="dxa" w:w="1655"/>
            <w:vAlign w:val="top"/>
          </w:tcPr>
          <w:p>
            <w:pPr>
              <w:spacing w:after="40" w:before="0" w:line="259" w:lineRule="auto"/>
            </w:pPr>
            <w:r>
              <w:rPr>
                <w:rFonts w:ascii="Calibri" w:hAnsi="Calibri"/>
                <w:b w:val="0"/>
                <w:i w:val="0"/>
                <w:color w:val="212121"/>
                <w:sz w:val="19"/>
              </w:rPr>
              <w:t>Tobacco/areca/alcohol users</w:t>
            </w:r>
          </w:p>
        </w:tc>
        <w:tc>
          <w:tcPr>
            <w:tcW w:type="dxa" w:w="1512"/>
            <w:vAlign w:val="top"/>
          </w:tcPr>
          <w:p>
            <w:pPr>
              <w:spacing w:after="40" w:before="0" w:line="259" w:lineRule="auto"/>
            </w:pPr>
            <w:r>
              <w:rPr>
                <w:rFonts w:ascii="Calibri" w:hAnsi="Calibri"/>
                <w:b w:val="0"/>
                <w:i w:val="0"/>
                <w:color w:val="212121"/>
                <w:sz w:val="19"/>
              </w:rPr>
              <w:t>Periodic screening in high-risk groups</w:t>
            </w:r>
          </w:p>
        </w:tc>
        <w:tc>
          <w:tcPr>
            <w:tcW w:type="dxa" w:w="1512"/>
            <w:vAlign w:val="top"/>
          </w:tcPr>
          <w:p>
            <w:pPr>
              <w:spacing w:after="40" w:before="0" w:line="259" w:lineRule="auto"/>
            </w:pPr>
            <w:r>
              <w:rPr>
                <w:rFonts w:ascii="Calibri" w:hAnsi="Calibri"/>
                <w:b w:val="0"/>
                <w:i w:val="0"/>
                <w:color w:val="212121"/>
                <w:sz w:val="19"/>
              </w:rPr>
              <w:t>No screening despite habits</w:t>
            </w:r>
          </w:p>
        </w:tc>
        <w:tc>
          <w:tcPr>
            <w:tcW w:type="dxa" w:w="1468"/>
            <w:vAlign w:val="top"/>
          </w:tcPr>
          <w:p>
            <w:pPr>
              <w:spacing w:after="40" w:before="0" w:line="259" w:lineRule="auto"/>
            </w:pPr>
            <w:r>
              <w:rPr>
                <w:rFonts w:ascii="Calibri" w:hAnsi="Calibri"/>
                <w:b w:val="0"/>
                <w:i w:val="0"/>
                <w:color w:val="212121"/>
                <w:sz w:val="19"/>
              </w:rPr>
              <w:t>Opportunistic oral examination enables early detection of high-risk red lesions.</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Grade of epithelial dysplasia / carcinoma</w:t>
            </w:r>
          </w:p>
        </w:tc>
        <w:tc>
          <w:tcPr>
            <w:tcW w:type="dxa" w:w="892"/>
            <w:vAlign w:val="top"/>
          </w:tcPr>
          <w:p>
            <w:pPr>
              <w:spacing w:after="40" w:before="0" w:line="259" w:lineRule="auto"/>
            </w:pPr>
            <w:r>
              <w:rPr>
                <w:rFonts w:ascii="Calibri" w:hAnsi="Calibri"/>
                <w:b w:val="0"/>
                <w:i w:val="0"/>
                <w:color w:val="212121"/>
                <w:sz w:val="16"/>
              </w:rPr>
              <w:t>Incisional (or excisional) biopsy</w:t>
            </w:r>
          </w:p>
        </w:tc>
        <w:tc>
          <w:tcPr>
            <w:tcW w:type="dxa" w:w="950"/>
            <w:vAlign w:val="top"/>
          </w:tcPr>
          <w:p>
            <w:pPr>
              <w:spacing w:after="40" w:before="0" w:line="259" w:lineRule="auto"/>
            </w:pPr>
            <w:r>
              <w:rPr>
                <w:rFonts w:ascii="Calibri" w:hAnsi="Calibri"/>
                <w:b w:val="0"/>
                <w:i w:val="0"/>
                <w:color w:val="212121"/>
                <w:sz w:val="16"/>
              </w:rPr>
              <w:t>No dysplasia (reactive/benign)</w:t>
            </w:r>
          </w:p>
        </w:tc>
        <w:tc>
          <w:tcPr>
            <w:tcW w:type="dxa" w:w="950"/>
            <w:vAlign w:val="top"/>
          </w:tcPr>
          <w:p>
            <w:pPr>
              <w:spacing w:after="40" w:before="0" w:line="259" w:lineRule="auto"/>
            </w:pPr>
            <w:r>
              <w:rPr>
                <w:rFonts w:ascii="Calibri" w:hAnsi="Calibri"/>
                <w:b w:val="0"/>
                <w:i w:val="0"/>
                <w:color w:val="212121"/>
                <w:sz w:val="16"/>
              </w:rPr>
              <w:t>Mild–severe dysplasia, carcinoma in situ, or invasive SCC</w:t>
            </w:r>
          </w:p>
        </w:tc>
        <w:tc>
          <w:tcPr>
            <w:tcW w:type="dxa" w:w="1036"/>
            <w:vAlign w:val="top"/>
          </w:tcPr>
          <w:p>
            <w:pPr>
              <w:spacing w:after="40" w:before="0" w:line="259" w:lineRule="auto"/>
            </w:pPr>
            <w:r>
              <w:rPr>
                <w:rFonts w:ascii="Calibri" w:hAnsi="Calibri"/>
                <w:b w:val="0"/>
                <w:i w:val="0"/>
                <w:color w:val="212121"/>
                <w:sz w:val="16"/>
              </w:rPr>
              <w:t>Gold standard; defines malignant status and directs management</w:t>
            </w:r>
          </w:p>
        </w:tc>
        <w:tc>
          <w:tcPr>
            <w:tcW w:type="dxa" w:w="1036"/>
            <w:vAlign w:val="top"/>
          </w:tcPr>
          <w:p>
            <w:pPr>
              <w:spacing w:after="40" w:before="0" w:line="259" w:lineRule="auto"/>
            </w:pPr>
            <w:r>
              <w:rPr>
                <w:rFonts w:ascii="Calibri" w:hAnsi="Calibri"/>
                <w:b w:val="0"/>
                <w:i w:val="0"/>
                <w:color w:val="212121"/>
                <w:sz w:val="16"/>
              </w:rPr>
              <w:t>All erythroplakia; speckled/indurated lesions</w:t>
            </w:r>
          </w:p>
        </w:tc>
        <w:tc>
          <w:tcPr>
            <w:tcW w:type="dxa" w:w="720"/>
            <w:vAlign w:val="top"/>
          </w:tcPr>
          <w:p>
            <w:pPr>
              <w:spacing w:after="40" w:before="0" w:line="259" w:lineRule="auto"/>
            </w:pPr>
            <w:r>
              <w:rPr>
                <w:rFonts w:ascii="Calibri" w:hAnsi="Calibri"/>
                <w:b w:val="0"/>
                <w:i w:val="0"/>
                <w:color w:val="212121"/>
                <w:sz w:val="16"/>
              </w:rPr>
              <w:t>Smoking; Alcohol; 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Sample the most severe (indurated/granular) area; the majority already show high-grade change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Vital staining</w:t>
            </w:r>
          </w:p>
        </w:tc>
        <w:tc>
          <w:tcPr>
            <w:tcW w:type="dxa" w:w="1036"/>
            <w:vAlign w:val="top"/>
          </w:tcPr>
          <w:p>
            <w:pPr>
              <w:spacing w:after="40" w:before="0" w:line="259" w:lineRule="auto"/>
            </w:pPr>
            <w:r>
              <w:rPr>
                <w:rFonts w:ascii="Calibri" w:hAnsi="Calibri"/>
                <w:b w:val="0"/>
                <w:i w:val="0"/>
                <w:color w:val="212121"/>
                <w:sz w:val="16"/>
              </w:rPr>
              <w:t>Toluidine blue dye retention</w:t>
            </w:r>
          </w:p>
        </w:tc>
        <w:tc>
          <w:tcPr>
            <w:tcW w:type="dxa" w:w="892"/>
            <w:vAlign w:val="top"/>
          </w:tcPr>
          <w:p>
            <w:pPr>
              <w:spacing w:after="40" w:before="0" w:line="259" w:lineRule="auto"/>
            </w:pPr>
            <w:r>
              <w:rPr>
                <w:rFonts w:ascii="Calibri" w:hAnsi="Calibri"/>
                <w:b w:val="0"/>
                <w:i w:val="0"/>
                <w:color w:val="212121"/>
                <w:sz w:val="16"/>
              </w:rPr>
              <w:t>Toluidine blue test</w:t>
            </w:r>
          </w:p>
        </w:tc>
        <w:tc>
          <w:tcPr>
            <w:tcW w:type="dxa" w:w="950"/>
            <w:vAlign w:val="top"/>
          </w:tcPr>
          <w:p>
            <w:pPr>
              <w:spacing w:after="40" w:before="0" w:line="259" w:lineRule="auto"/>
            </w:pPr>
            <w:r>
              <w:rPr>
                <w:rFonts w:ascii="Calibri" w:hAnsi="Calibri"/>
                <w:b w:val="0"/>
                <w:i w:val="0"/>
                <w:color w:val="212121"/>
                <w:sz w:val="16"/>
              </w:rPr>
              <w:t>No dye uptake</w:t>
            </w:r>
          </w:p>
        </w:tc>
        <w:tc>
          <w:tcPr>
            <w:tcW w:type="dxa" w:w="950"/>
            <w:vAlign w:val="top"/>
          </w:tcPr>
          <w:p>
            <w:pPr>
              <w:spacing w:after="40" w:before="0" w:line="259" w:lineRule="auto"/>
            </w:pPr>
            <w:r>
              <w:rPr>
                <w:rFonts w:ascii="Calibri" w:hAnsi="Calibri"/>
                <w:b w:val="0"/>
                <w:i w:val="0"/>
                <w:color w:val="212121"/>
                <w:sz w:val="16"/>
              </w:rPr>
              <w:t>Retained royal-blue stain</w:t>
            </w:r>
          </w:p>
        </w:tc>
        <w:tc>
          <w:tcPr>
            <w:tcW w:type="dxa" w:w="1036"/>
            <w:vAlign w:val="top"/>
          </w:tcPr>
          <w:p>
            <w:pPr>
              <w:spacing w:after="40" w:before="0" w:line="259" w:lineRule="auto"/>
            </w:pPr>
            <w:r>
              <w:rPr>
                <w:rFonts w:ascii="Calibri" w:hAnsi="Calibri"/>
                <w:b w:val="0"/>
                <w:i w:val="0"/>
                <w:color w:val="212121"/>
                <w:sz w:val="16"/>
              </w:rPr>
              <w:t>Adjunct that guides biopsy site to dysplastic/malignant epithelium</w:t>
            </w:r>
          </w:p>
        </w:tc>
        <w:tc>
          <w:tcPr>
            <w:tcW w:type="dxa" w:w="1036"/>
            <w:vAlign w:val="top"/>
          </w:tcPr>
          <w:p>
            <w:pPr>
              <w:spacing w:after="40" w:before="0" w:line="259" w:lineRule="auto"/>
            </w:pPr>
            <w:r>
              <w:rPr>
                <w:rFonts w:ascii="Calibri" w:hAnsi="Calibri"/>
                <w:b w:val="0"/>
                <w:i w:val="0"/>
                <w:color w:val="212121"/>
                <w:sz w:val="16"/>
              </w:rPr>
              <w:t>Ill-defined or multifocal red lesions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Inflammation can cause false positives; not a substitute for biopsy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Cytology</w:t>
            </w:r>
          </w:p>
        </w:tc>
        <w:tc>
          <w:tcPr>
            <w:tcW w:type="dxa" w:w="1036"/>
            <w:vAlign w:val="top"/>
          </w:tcPr>
          <w:p>
            <w:pPr>
              <w:spacing w:after="40" w:before="0" w:line="259" w:lineRule="auto"/>
            </w:pPr>
            <w:r>
              <w:rPr>
                <w:rFonts w:ascii="Calibri" w:hAnsi="Calibri"/>
                <w:b w:val="0"/>
                <w:i w:val="0"/>
                <w:color w:val="212121"/>
                <w:sz w:val="16"/>
              </w:rPr>
              <w:t>Cellular atypia</w:t>
            </w:r>
          </w:p>
        </w:tc>
        <w:tc>
          <w:tcPr>
            <w:tcW w:type="dxa" w:w="892"/>
            <w:vAlign w:val="top"/>
          </w:tcPr>
          <w:p>
            <w:pPr>
              <w:spacing w:after="40" w:before="0" w:line="259" w:lineRule="auto"/>
            </w:pPr>
            <w:r>
              <w:rPr>
                <w:rFonts w:ascii="Calibri" w:hAnsi="Calibri"/>
                <w:b w:val="0"/>
                <w:i w:val="0"/>
                <w:color w:val="212121"/>
                <w:sz w:val="16"/>
              </w:rPr>
              <w:t>Oral brush / exfoliative cytology</w:t>
            </w:r>
          </w:p>
        </w:tc>
        <w:tc>
          <w:tcPr>
            <w:tcW w:type="dxa" w:w="950"/>
            <w:vAlign w:val="top"/>
          </w:tcPr>
          <w:p>
            <w:pPr>
              <w:spacing w:after="40" w:before="0" w:line="259" w:lineRule="auto"/>
            </w:pPr>
            <w:r>
              <w:rPr>
                <w:rFonts w:ascii="Calibri" w:hAnsi="Calibri"/>
                <w:b w:val="0"/>
                <w:i w:val="0"/>
                <w:color w:val="212121"/>
                <w:sz w:val="16"/>
              </w:rPr>
              <w:t>No atypical cells</w:t>
            </w:r>
          </w:p>
        </w:tc>
        <w:tc>
          <w:tcPr>
            <w:tcW w:type="dxa" w:w="950"/>
            <w:vAlign w:val="top"/>
          </w:tcPr>
          <w:p>
            <w:pPr>
              <w:spacing w:after="40" w:before="0" w:line="259" w:lineRule="auto"/>
            </w:pPr>
            <w:r>
              <w:rPr>
                <w:rFonts w:ascii="Calibri" w:hAnsi="Calibri"/>
                <w:b w:val="0"/>
                <w:i w:val="0"/>
                <w:color w:val="212121"/>
                <w:sz w:val="16"/>
              </w:rPr>
              <w:t>Dysplastic/atypical cells</w:t>
            </w:r>
          </w:p>
        </w:tc>
        <w:tc>
          <w:tcPr>
            <w:tcW w:type="dxa" w:w="1036"/>
            <w:vAlign w:val="top"/>
          </w:tcPr>
          <w:p>
            <w:pPr>
              <w:spacing w:after="40" w:before="0" w:line="259" w:lineRule="auto"/>
            </w:pPr>
            <w:r>
              <w:rPr>
                <w:rFonts w:ascii="Calibri" w:hAnsi="Calibri"/>
                <w:b w:val="0"/>
                <w:i w:val="0"/>
                <w:color w:val="212121"/>
                <w:sz w:val="16"/>
              </w:rPr>
              <w:t>Screening/triage adjunct; positive result mandates biopsy</w:t>
            </w:r>
          </w:p>
        </w:tc>
        <w:tc>
          <w:tcPr>
            <w:tcW w:type="dxa" w:w="1036"/>
            <w:vAlign w:val="top"/>
          </w:tcPr>
          <w:p>
            <w:pPr>
              <w:spacing w:after="40" w:before="0" w:line="259" w:lineRule="auto"/>
            </w:pPr>
            <w:r>
              <w:rPr>
                <w:rFonts w:ascii="Calibri" w:hAnsi="Calibri"/>
                <w:b w:val="0"/>
                <w:i w:val="0"/>
                <w:color w:val="212121"/>
                <w:sz w:val="16"/>
              </w:rPr>
              <w:t>Screening of high-risk mucosa</w:t>
            </w:r>
          </w:p>
        </w:tc>
        <w:tc>
          <w:tcPr>
            <w:tcW w:type="dxa" w:w="720"/>
            <w:vAlign w:val="top"/>
          </w:tcPr>
          <w:p>
            <w:pPr>
              <w:spacing w:after="40" w:before="0" w:line="259" w:lineRule="auto"/>
            </w:pPr>
            <w:r>
              <w:rPr>
                <w:rFonts w:ascii="Calibri" w:hAnsi="Calibri"/>
                <w:b w:val="0"/>
                <w:i w:val="0"/>
                <w:color w:val="212121"/>
                <w:sz w:val="16"/>
              </w:rPr>
              <w:t>Smoking; Provoking factors</w:t>
            </w:r>
          </w:p>
        </w:tc>
        <w:tc>
          <w:tcPr>
            <w:tcW w:type="dxa" w:w="720"/>
            <w:vAlign w:val="top"/>
          </w:tcPr>
          <w:p>
            <w:pPr>
              <w:spacing w:after="40" w:before="0" w:line="259" w:lineRule="auto"/>
            </w:pPr>
            <w:r>
              <w:rPr>
                <w:rFonts w:ascii="Calibri" w:hAnsi="Calibri"/>
                <w:b w:val="0"/>
                <w:i w:val="0"/>
                <w:color w:val="212121"/>
                <w:sz w:val="16"/>
              </w:rPr>
              <w:t>Screening adjunct</w:t>
            </w:r>
          </w:p>
        </w:tc>
        <w:tc>
          <w:tcPr>
            <w:tcW w:type="dxa" w:w="720"/>
            <w:vAlign w:val="top"/>
          </w:tcPr>
          <w:p>
            <w:pPr>
              <w:spacing w:after="40" w:before="0" w:line="259" w:lineRule="auto"/>
            </w:pPr>
            <w:r>
              <w:rPr>
                <w:rFonts w:ascii="Calibri" w:hAnsi="Calibri"/>
                <w:b w:val="0"/>
                <w:i w:val="0"/>
                <w:color w:val="212121"/>
                <w:sz w:val="16"/>
              </w:rPr>
              <w:t>Cannot grade dysplasia or exclude invasion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Candidal hyphae</w:t>
            </w:r>
          </w:p>
        </w:tc>
        <w:tc>
          <w:tcPr>
            <w:tcW w:type="dxa" w:w="892"/>
            <w:vAlign w:val="top"/>
          </w:tcPr>
          <w:p>
            <w:pPr>
              <w:spacing w:after="40" w:before="0" w:line="259" w:lineRule="auto"/>
            </w:pPr>
            <w:r>
              <w:rPr>
                <w:rFonts w:ascii="Calibri" w:hAnsi="Calibri"/>
                <w:b w:val="0"/>
                <w:i w:val="0"/>
                <w:color w:val="212121"/>
                <w:sz w:val="16"/>
              </w:rPr>
              <w:t>Smear / PAS stain for Candida</w:t>
            </w:r>
          </w:p>
        </w:tc>
        <w:tc>
          <w:tcPr>
            <w:tcW w:type="dxa" w:w="950"/>
            <w:vAlign w:val="top"/>
          </w:tcPr>
          <w:p>
            <w:pPr>
              <w:spacing w:after="40" w:before="0" w:line="259" w:lineRule="auto"/>
            </w:pPr>
            <w:r>
              <w:rPr>
                <w:rFonts w:ascii="Calibri" w:hAnsi="Calibri"/>
                <w:b w:val="0"/>
                <w:i w:val="0"/>
                <w:color w:val="212121"/>
                <w:sz w:val="16"/>
              </w:rPr>
              <w:t>No hyphae</w:t>
            </w:r>
          </w:p>
        </w:tc>
        <w:tc>
          <w:tcPr>
            <w:tcW w:type="dxa" w:w="950"/>
            <w:vAlign w:val="top"/>
          </w:tcPr>
          <w:p>
            <w:pPr>
              <w:spacing w:after="40" w:before="0" w:line="259" w:lineRule="auto"/>
            </w:pPr>
            <w:r>
              <w:rPr>
                <w:rFonts w:ascii="Calibri" w:hAnsi="Calibri"/>
                <w:b w:val="0"/>
                <w:i w:val="0"/>
                <w:color w:val="212121"/>
                <w:sz w:val="16"/>
              </w:rPr>
              <w:t>Candidal hyphae present</w:t>
            </w:r>
          </w:p>
        </w:tc>
        <w:tc>
          <w:tcPr>
            <w:tcW w:type="dxa" w:w="1036"/>
            <w:vAlign w:val="top"/>
          </w:tcPr>
          <w:p>
            <w:pPr>
              <w:spacing w:after="40" w:before="0" w:line="259" w:lineRule="auto"/>
            </w:pPr>
            <w:r>
              <w:rPr>
                <w:rFonts w:ascii="Calibri" w:hAnsi="Calibri"/>
                <w:b w:val="0"/>
                <w:i w:val="0"/>
                <w:color w:val="212121"/>
                <w:sz w:val="16"/>
              </w:rPr>
              <w:t>Candidal superinfection (common in speckled lesions); treat and reassess</w:t>
            </w:r>
          </w:p>
        </w:tc>
        <w:tc>
          <w:tcPr>
            <w:tcW w:type="dxa" w:w="1036"/>
            <w:vAlign w:val="top"/>
          </w:tcPr>
          <w:p>
            <w:pPr>
              <w:spacing w:after="40" w:before="0" w:line="259" w:lineRule="auto"/>
            </w:pPr>
            <w:r>
              <w:rPr>
                <w:rFonts w:ascii="Calibri" w:hAnsi="Calibri"/>
                <w:b w:val="0"/>
                <w:i w:val="0"/>
                <w:color w:val="212121"/>
                <w:sz w:val="16"/>
              </w:rPr>
              <w:t>Speckled/erythroleukoplakic lesions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Antifungal trial before biopsy may reduce inflammatory over-diagnosis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 / biochemistry</w:t>
            </w:r>
          </w:p>
        </w:tc>
        <w:tc>
          <w:tcPr>
            <w:tcW w:type="dxa" w:w="1036"/>
            <w:vAlign w:val="top"/>
          </w:tcPr>
          <w:p>
            <w:pPr>
              <w:spacing w:after="40" w:before="0" w:line="259" w:lineRule="auto"/>
            </w:pPr>
            <w:r>
              <w:rPr>
                <w:rFonts w:ascii="Calibri" w:hAnsi="Calibri"/>
                <w:b w:val="0"/>
                <w:i w:val="0"/>
                <w:color w:val="212121"/>
                <w:sz w:val="16"/>
              </w:rPr>
              <w:t>Haemoglobin, ferritin, B12, folate</w:t>
            </w:r>
          </w:p>
        </w:tc>
        <w:tc>
          <w:tcPr>
            <w:tcW w:type="dxa" w:w="892"/>
            <w:vAlign w:val="top"/>
          </w:tcPr>
          <w:p>
            <w:pPr>
              <w:spacing w:after="40" w:before="0" w:line="259" w:lineRule="auto"/>
            </w:pPr>
            <w:r>
              <w:rPr>
                <w:rFonts w:ascii="Calibri" w:hAnsi="Calibri"/>
                <w:b w:val="0"/>
                <w:i w:val="0"/>
                <w:color w:val="212121"/>
                <w:sz w:val="16"/>
              </w:rPr>
              <w:t>CBC &amp; haematinics</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Anaemia; low ferritin/B12/folate</w:t>
            </w:r>
          </w:p>
        </w:tc>
        <w:tc>
          <w:tcPr>
            <w:tcW w:type="dxa" w:w="1036"/>
            <w:vAlign w:val="top"/>
          </w:tcPr>
          <w:p>
            <w:pPr>
              <w:spacing w:after="40" w:before="0" w:line="259" w:lineRule="auto"/>
            </w:pPr>
            <w:r>
              <w:rPr>
                <w:rFonts w:ascii="Calibri" w:hAnsi="Calibri"/>
                <w:b w:val="0"/>
                <w:i w:val="0"/>
                <w:color w:val="212121"/>
                <w:sz w:val="16"/>
              </w:rPr>
              <w:t>Sideropenic/deficiency states heighten mucosal susceptibility</w:t>
            </w:r>
          </w:p>
        </w:tc>
        <w:tc>
          <w:tcPr>
            <w:tcW w:type="dxa" w:w="1036"/>
            <w:vAlign w:val="top"/>
          </w:tcPr>
          <w:p>
            <w:pPr>
              <w:spacing w:after="40" w:before="0" w:line="259" w:lineRule="auto"/>
            </w:pPr>
            <w:r>
              <w:rPr>
                <w:rFonts w:ascii="Calibri" w:hAnsi="Calibri"/>
                <w:b w:val="0"/>
                <w:i w:val="0"/>
                <w:color w:val="212121"/>
                <w:sz w:val="16"/>
              </w:rPr>
              <w:t>Malnourished, sideropenic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Correct deficiencies as part of risk reduction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Immunohistochemistry / molecular</w:t>
            </w:r>
          </w:p>
        </w:tc>
        <w:tc>
          <w:tcPr>
            <w:tcW w:type="dxa" w:w="1036"/>
            <w:vAlign w:val="top"/>
          </w:tcPr>
          <w:p>
            <w:pPr>
              <w:spacing w:after="40" w:before="0" w:line="259" w:lineRule="auto"/>
            </w:pPr>
            <w:r>
              <w:rPr>
                <w:rFonts w:ascii="Calibri" w:hAnsi="Calibri"/>
                <w:b w:val="0"/>
                <w:i w:val="0"/>
                <w:color w:val="212121"/>
                <w:sz w:val="16"/>
              </w:rPr>
              <w:t>p53, Ki-67, loss of heterozygosity</w:t>
            </w:r>
          </w:p>
        </w:tc>
        <w:tc>
          <w:tcPr>
            <w:tcW w:type="dxa" w:w="892"/>
            <w:vAlign w:val="top"/>
          </w:tcPr>
          <w:p>
            <w:pPr>
              <w:spacing w:after="40" w:before="0" w:line="259" w:lineRule="auto"/>
            </w:pPr>
            <w:r>
              <w:rPr>
                <w:rFonts w:ascii="Calibri" w:hAnsi="Calibri"/>
                <w:b w:val="0"/>
                <w:i w:val="0"/>
                <w:color w:val="212121"/>
                <w:sz w:val="16"/>
              </w:rPr>
              <w:t>IHC &amp; molecular markers</w:t>
            </w:r>
          </w:p>
        </w:tc>
        <w:tc>
          <w:tcPr>
            <w:tcW w:type="dxa" w:w="950"/>
            <w:vAlign w:val="top"/>
          </w:tcPr>
          <w:p>
            <w:pPr>
              <w:spacing w:after="40" w:before="0" w:line="259" w:lineRule="auto"/>
            </w:pPr>
            <w:r>
              <w:rPr>
                <w:rFonts w:ascii="Calibri" w:hAnsi="Calibri"/>
                <w:b w:val="0"/>
                <w:i w:val="0"/>
                <w:color w:val="212121"/>
                <w:sz w:val="16"/>
              </w:rPr>
              <w:t>No aberrant expression</w:t>
            </w:r>
          </w:p>
        </w:tc>
        <w:tc>
          <w:tcPr>
            <w:tcW w:type="dxa" w:w="950"/>
            <w:vAlign w:val="top"/>
          </w:tcPr>
          <w:p>
            <w:pPr>
              <w:spacing w:after="40" w:before="0" w:line="259" w:lineRule="auto"/>
            </w:pPr>
            <w:r>
              <w:rPr>
                <w:rFonts w:ascii="Calibri" w:hAnsi="Calibri"/>
                <w:b w:val="0"/>
                <w:i w:val="0"/>
                <w:color w:val="212121"/>
                <w:sz w:val="16"/>
              </w:rPr>
              <w:t>p53/Ki-67 over-expression; LOH at 3p/9p/17p</w:t>
            </w:r>
          </w:p>
        </w:tc>
        <w:tc>
          <w:tcPr>
            <w:tcW w:type="dxa" w:w="1036"/>
            <w:vAlign w:val="top"/>
          </w:tcPr>
          <w:p>
            <w:pPr>
              <w:spacing w:after="40" w:before="0" w:line="259" w:lineRule="auto"/>
            </w:pPr>
            <w:r>
              <w:rPr>
                <w:rFonts w:ascii="Calibri" w:hAnsi="Calibri"/>
                <w:b w:val="0"/>
                <w:i w:val="0"/>
                <w:color w:val="212121"/>
                <w:sz w:val="16"/>
              </w:rPr>
              <w:t>Adjunctive stratification of malignant-transformation risk</w:t>
            </w:r>
          </w:p>
        </w:tc>
        <w:tc>
          <w:tcPr>
            <w:tcW w:type="dxa" w:w="1036"/>
            <w:vAlign w:val="top"/>
          </w:tcPr>
          <w:p>
            <w:pPr>
              <w:spacing w:after="40" w:before="0" w:line="259" w:lineRule="auto"/>
            </w:pPr>
            <w:r>
              <w:rPr>
                <w:rFonts w:ascii="Calibri" w:hAnsi="Calibri"/>
                <w:b w:val="0"/>
                <w:i w:val="0"/>
                <w:color w:val="212121"/>
                <w:sz w:val="16"/>
              </w:rPr>
              <w:t>Research/high-risk risk-stratification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Not routine; complements histological grading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 (if carcinoma confirmed)</w:t>
            </w:r>
          </w:p>
        </w:tc>
        <w:tc>
          <w:tcPr>
            <w:tcW w:type="dxa" w:w="1036"/>
            <w:vAlign w:val="top"/>
          </w:tcPr>
          <w:p>
            <w:pPr>
              <w:spacing w:after="40" w:before="0" w:line="259" w:lineRule="auto"/>
            </w:pPr>
            <w:r>
              <w:rPr>
                <w:rFonts w:ascii="Calibri" w:hAnsi="Calibri"/>
                <w:b w:val="0"/>
                <w:i w:val="0"/>
                <w:color w:val="212121"/>
                <w:sz w:val="16"/>
              </w:rPr>
              <w:t>Tumour extent &amp; nodal status</w:t>
            </w:r>
          </w:p>
        </w:tc>
        <w:tc>
          <w:tcPr>
            <w:tcW w:type="dxa" w:w="892"/>
            <w:vAlign w:val="top"/>
          </w:tcPr>
          <w:p>
            <w:pPr>
              <w:spacing w:after="40" w:before="0" w:line="259" w:lineRule="auto"/>
            </w:pPr>
            <w:r>
              <w:rPr>
                <w:rFonts w:ascii="Calibri" w:hAnsi="Calibri"/>
                <w:b w:val="0"/>
                <w:i w:val="0"/>
                <w:color w:val="212121"/>
                <w:sz w:val="16"/>
              </w:rPr>
              <w:t>Contrast CT / MRI neck; OPG</w:t>
            </w:r>
          </w:p>
        </w:tc>
        <w:tc>
          <w:tcPr>
            <w:tcW w:type="dxa" w:w="950"/>
            <w:vAlign w:val="top"/>
          </w:tcPr>
          <w:p>
            <w:pPr>
              <w:spacing w:after="40" w:before="0" w:line="259" w:lineRule="auto"/>
            </w:pPr>
            <w:r>
              <w:rPr>
                <w:rFonts w:ascii="Calibri" w:hAnsi="Calibri"/>
                <w:b w:val="0"/>
                <w:i w:val="0"/>
                <w:color w:val="212121"/>
                <w:sz w:val="16"/>
              </w:rPr>
              <w:t>No infiltration or nodes</w:t>
            </w:r>
          </w:p>
        </w:tc>
        <w:tc>
          <w:tcPr>
            <w:tcW w:type="dxa" w:w="950"/>
            <w:vAlign w:val="top"/>
          </w:tcPr>
          <w:p>
            <w:pPr>
              <w:spacing w:after="40" w:before="0" w:line="259" w:lineRule="auto"/>
            </w:pPr>
            <w:r>
              <w:rPr>
                <w:rFonts w:ascii="Calibri" w:hAnsi="Calibri"/>
                <w:b w:val="0"/>
                <w:i w:val="0"/>
                <w:color w:val="212121"/>
                <w:sz w:val="16"/>
              </w:rPr>
              <w:t>Deep invasion; cervical lymphadenopathy</w:t>
            </w:r>
          </w:p>
        </w:tc>
        <w:tc>
          <w:tcPr>
            <w:tcW w:type="dxa" w:w="1036"/>
            <w:vAlign w:val="top"/>
          </w:tcPr>
          <w:p>
            <w:pPr>
              <w:spacing w:after="40" w:before="0" w:line="259" w:lineRule="auto"/>
            </w:pPr>
            <w:r>
              <w:rPr>
                <w:rFonts w:ascii="Calibri" w:hAnsi="Calibri"/>
                <w:b w:val="0"/>
                <w:i w:val="0"/>
                <w:color w:val="212121"/>
                <w:sz w:val="16"/>
              </w:rPr>
              <w:t>Staging once invasive carcinoma is diagnosed</w:t>
            </w:r>
          </w:p>
        </w:tc>
        <w:tc>
          <w:tcPr>
            <w:tcW w:type="dxa" w:w="1036"/>
            <w:vAlign w:val="top"/>
          </w:tcPr>
          <w:p>
            <w:pPr>
              <w:spacing w:after="40" w:before="0" w:line="259" w:lineRule="auto"/>
            </w:pPr>
            <w:r>
              <w:rPr>
                <w:rFonts w:ascii="Calibri" w:hAnsi="Calibri"/>
                <w:b w:val="0"/>
                <w:i w:val="0"/>
                <w:color w:val="212121"/>
                <w:sz w:val="16"/>
              </w:rPr>
              <w:t>Biopsy-proven invasive SCC</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Staging</w:t>
            </w:r>
          </w:p>
        </w:tc>
        <w:tc>
          <w:tcPr>
            <w:tcW w:type="dxa" w:w="720"/>
            <w:vAlign w:val="top"/>
          </w:tcPr>
          <w:p>
            <w:pPr>
              <w:spacing w:after="40" w:before="0" w:line="259" w:lineRule="auto"/>
            </w:pPr>
            <w:r>
              <w:rPr>
                <w:rFonts w:ascii="Calibri" w:hAnsi="Calibri"/>
                <w:b w:val="0"/>
                <w:i w:val="0"/>
                <w:color w:val="212121"/>
                <w:sz w:val="16"/>
              </w:rPr>
              <w:t>Guides surgical/oncological treatment planning</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w:t>
            </w:r>
          </w:p>
        </w:tc>
        <w:tc>
          <w:tcPr>
            <w:tcW w:type="dxa" w:w="979"/>
            <w:vAlign w:val="top"/>
          </w:tcPr>
          <w:p>
            <w:pPr>
              <w:spacing w:after="40" w:before="0" w:line="259" w:lineRule="auto"/>
            </w:pPr>
            <w:r>
              <w:rPr>
                <w:rFonts w:ascii="Calibri" w:hAnsi="Calibri"/>
                <w:b w:val="0"/>
                <w:i w:val="0"/>
                <w:color w:val="212121"/>
                <w:sz w:val="16"/>
              </w:rPr>
              <w:t>Persistent red/velvety patch, soreness, burning</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Non-healing red lesion present</w:t>
            </w:r>
          </w:p>
        </w:tc>
        <w:tc>
          <w:tcPr>
            <w:tcW w:type="dxa" w:w="1036"/>
            <w:vAlign w:val="top"/>
          </w:tcPr>
          <w:p>
            <w:pPr>
              <w:spacing w:after="40" w:before="0" w:line="259" w:lineRule="auto"/>
            </w:pPr>
            <w:r>
              <w:rPr>
                <w:rFonts w:ascii="Calibri" w:hAnsi="Calibri"/>
                <w:b w:val="0"/>
                <w:i w:val="0"/>
                <w:color w:val="212121"/>
                <w:sz w:val="16"/>
              </w:rPr>
              <w:t>Often asymptomatic — lesions are frequently found incidentally</w:t>
            </w:r>
          </w:p>
        </w:tc>
        <w:tc>
          <w:tcPr>
            <w:tcW w:type="dxa" w:w="1036"/>
            <w:vAlign w:val="top"/>
          </w:tcPr>
          <w:p>
            <w:pPr>
              <w:spacing w:after="40" w:before="0" w:line="259" w:lineRule="auto"/>
            </w:pPr>
            <w:r>
              <w:rPr>
                <w:rFonts w:ascii="Calibri" w:hAnsi="Calibri"/>
                <w:b w:val="0"/>
                <w:i w:val="0"/>
                <w:color w:val="212121"/>
                <w:sz w:val="16"/>
              </w:rPr>
              <w:t>Tobacco/areca/alcohol users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Absence of symptoms must not delay biopsy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Habit history</w:t>
            </w:r>
          </w:p>
        </w:tc>
        <w:tc>
          <w:tcPr>
            <w:tcW w:type="dxa" w:w="979"/>
            <w:vAlign w:val="top"/>
          </w:tcPr>
          <w:p>
            <w:pPr>
              <w:spacing w:after="40" w:before="0" w:line="259" w:lineRule="auto"/>
            </w:pPr>
            <w:r>
              <w:rPr>
                <w:rFonts w:ascii="Calibri" w:hAnsi="Calibri"/>
                <w:b w:val="0"/>
                <w:i w:val="0"/>
                <w:color w:val="212121"/>
                <w:sz w:val="16"/>
              </w:rPr>
              <w:t>Tobacco (smoked/smokeless), areca/betel quid, alcohol — type, amount, duration</w:t>
            </w:r>
          </w:p>
        </w:tc>
        <w:tc>
          <w:tcPr>
            <w:tcW w:type="dxa" w:w="950"/>
            <w:vAlign w:val="top"/>
          </w:tcPr>
          <w:p>
            <w:pPr>
              <w:spacing w:after="40" w:before="0" w:line="259" w:lineRule="auto"/>
            </w:pPr>
            <w:r>
              <w:rPr>
                <w:rFonts w:ascii="Calibri" w:hAnsi="Calibri"/>
                <w:b w:val="0"/>
                <w:i w:val="0"/>
                <w:color w:val="212121"/>
                <w:sz w:val="16"/>
              </w:rPr>
              <w:t>No habits</w:t>
            </w:r>
          </w:p>
        </w:tc>
        <w:tc>
          <w:tcPr>
            <w:tcW w:type="dxa" w:w="950"/>
            <w:vAlign w:val="top"/>
          </w:tcPr>
          <w:p>
            <w:pPr>
              <w:spacing w:after="40" w:before="0" w:line="259" w:lineRule="auto"/>
            </w:pPr>
            <w:r>
              <w:rPr>
                <w:rFonts w:ascii="Calibri" w:hAnsi="Calibri"/>
                <w:b w:val="0"/>
                <w:i w:val="0"/>
                <w:color w:val="212121"/>
                <w:sz w:val="16"/>
              </w:rPr>
              <w:t>Any current/past habit</w:t>
            </w:r>
          </w:p>
        </w:tc>
        <w:tc>
          <w:tcPr>
            <w:tcW w:type="dxa" w:w="1036"/>
            <w:vAlign w:val="top"/>
          </w:tcPr>
          <w:p>
            <w:pPr>
              <w:spacing w:after="40" w:before="0" w:line="259" w:lineRule="auto"/>
            </w:pPr>
            <w:r>
              <w:rPr>
                <w:rFonts w:ascii="Calibri" w:hAnsi="Calibri"/>
                <w:b w:val="0"/>
                <w:i w:val="0"/>
                <w:color w:val="212121"/>
                <w:sz w:val="16"/>
              </w:rPr>
              <w:t>Quantifies carcinogen exposure and transformation risk</w:t>
            </w:r>
          </w:p>
        </w:tc>
        <w:tc>
          <w:tcPr>
            <w:tcW w:type="dxa" w:w="1036"/>
            <w:vAlign w:val="top"/>
          </w:tcPr>
          <w:p>
            <w:pPr>
              <w:spacing w:after="40" w:before="0" w:line="259" w:lineRule="auto"/>
            </w:pPr>
            <w:r>
              <w:rPr>
                <w:rFonts w:ascii="Calibri" w:hAnsi="Calibri"/>
                <w:b w:val="0"/>
                <w:i w:val="0"/>
                <w:color w:val="212121"/>
                <w:sz w:val="16"/>
              </w:rPr>
              <w:t>High-risk habitual users</w:t>
            </w:r>
          </w:p>
        </w:tc>
        <w:tc>
          <w:tcPr>
            <w:tcW w:type="dxa" w:w="720"/>
            <w:vAlign w:val="top"/>
          </w:tcPr>
          <w:p>
            <w:pPr>
              <w:spacing w:after="40" w:before="0" w:line="259" w:lineRule="auto"/>
            </w:pPr>
            <w:r>
              <w:rPr>
                <w:rFonts w:ascii="Calibri" w:hAnsi="Calibri"/>
                <w:b w:val="0"/>
                <w:i w:val="0"/>
                <w:color w:val="212121"/>
                <w:sz w:val="16"/>
              </w:rPr>
              <w:t>Smoking; Alcohol</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Record quid placement site — often matches lesion location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Duration of lesion</w:t>
            </w:r>
          </w:p>
        </w:tc>
        <w:tc>
          <w:tcPr>
            <w:tcW w:type="dxa" w:w="979"/>
            <w:vAlign w:val="top"/>
          </w:tcPr>
          <w:p>
            <w:pPr>
              <w:spacing w:after="40" w:before="0" w:line="259" w:lineRule="auto"/>
            </w:pPr>
            <w:r>
              <w:rPr>
                <w:rFonts w:ascii="Calibri" w:hAnsi="Calibri"/>
                <w:b w:val="0"/>
                <w:i w:val="0"/>
                <w:color w:val="212121"/>
                <w:sz w:val="16"/>
              </w:rPr>
              <w:t>Time since first noticed</w:t>
            </w:r>
          </w:p>
        </w:tc>
        <w:tc>
          <w:tcPr>
            <w:tcW w:type="dxa" w:w="950"/>
            <w:vAlign w:val="top"/>
          </w:tcPr>
          <w:p>
            <w:pPr>
              <w:spacing w:after="40" w:before="0" w:line="259" w:lineRule="auto"/>
            </w:pPr>
            <w:r>
              <w:rPr>
                <w:rFonts w:ascii="Calibri" w:hAnsi="Calibri"/>
                <w:b w:val="0"/>
                <w:i w:val="0"/>
                <w:color w:val="212121"/>
                <w:sz w:val="16"/>
              </w:rPr>
              <w:t>&lt; 2 weeks / resolving</w:t>
            </w:r>
          </w:p>
        </w:tc>
        <w:tc>
          <w:tcPr>
            <w:tcW w:type="dxa" w:w="950"/>
            <w:vAlign w:val="top"/>
          </w:tcPr>
          <w:p>
            <w:pPr>
              <w:spacing w:after="40" w:before="0" w:line="259" w:lineRule="auto"/>
            </w:pPr>
            <w:r>
              <w:rPr>
                <w:rFonts w:ascii="Calibri" w:hAnsi="Calibri"/>
                <w:b w:val="0"/>
                <w:i w:val="0"/>
                <w:color w:val="212121"/>
                <w:sz w:val="16"/>
              </w:rPr>
              <w:t>Persistent &gt; 2–3 weeks</w:t>
            </w:r>
          </w:p>
        </w:tc>
        <w:tc>
          <w:tcPr>
            <w:tcW w:type="dxa" w:w="1036"/>
            <w:vAlign w:val="top"/>
          </w:tcPr>
          <w:p>
            <w:pPr>
              <w:spacing w:after="40" w:before="0" w:line="259" w:lineRule="auto"/>
            </w:pPr>
            <w:r>
              <w:rPr>
                <w:rFonts w:ascii="Calibri" w:hAnsi="Calibri"/>
                <w:b w:val="0"/>
                <w:i w:val="0"/>
                <w:color w:val="212121"/>
                <w:sz w:val="16"/>
              </w:rPr>
              <w:t>Persistence despite irritant removal is a red flag</w:t>
            </w:r>
          </w:p>
        </w:tc>
        <w:tc>
          <w:tcPr>
            <w:tcW w:type="dxa" w:w="1036"/>
            <w:vAlign w:val="top"/>
          </w:tcPr>
          <w:p>
            <w:pPr>
              <w:spacing w:after="40" w:before="0" w:line="259" w:lineRule="auto"/>
            </w:pPr>
            <w:r>
              <w:rPr>
                <w:rFonts w:ascii="Calibri" w:hAnsi="Calibri"/>
                <w:b w:val="0"/>
                <w:i w:val="0"/>
                <w:color w:val="212121"/>
                <w:sz w:val="16"/>
              </w:rPr>
              <w:t>Any oral red lesion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Red flag</w:t>
            </w:r>
          </w:p>
        </w:tc>
        <w:tc>
          <w:tcPr>
            <w:tcW w:type="dxa" w:w="720"/>
            <w:vAlign w:val="top"/>
          </w:tcPr>
          <w:p>
            <w:pPr>
              <w:spacing w:after="40" w:before="0" w:line="259" w:lineRule="auto"/>
            </w:pPr>
            <w:r>
              <w:rPr>
                <w:rFonts w:ascii="Calibri" w:hAnsi="Calibri"/>
                <w:b w:val="0"/>
                <w:i w:val="0"/>
                <w:color w:val="212121"/>
                <w:sz w:val="16"/>
              </w:rPr>
              <w:t>Non-healing lesions require biopsy, not observation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Inspection</w:t>
            </w:r>
          </w:p>
        </w:tc>
        <w:tc>
          <w:tcPr>
            <w:tcW w:type="dxa" w:w="950"/>
            <w:vAlign w:val="top"/>
          </w:tcPr>
          <w:p>
            <w:pPr>
              <w:spacing w:after="40" w:before="0" w:line="259" w:lineRule="auto"/>
            </w:pPr>
            <w:r>
              <w:rPr>
                <w:rFonts w:ascii="Calibri" w:hAnsi="Calibri"/>
                <w:b w:val="0"/>
                <w:i w:val="0"/>
                <w:color w:val="212121"/>
                <w:sz w:val="16"/>
              </w:rPr>
              <w:t>Lesion morphology &amp; site</w:t>
            </w:r>
          </w:p>
        </w:tc>
        <w:tc>
          <w:tcPr>
            <w:tcW w:type="dxa" w:w="979"/>
            <w:vAlign w:val="top"/>
          </w:tcPr>
          <w:p>
            <w:pPr>
              <w:spacing w:after="40" w:before="0" w:line="259" w:lineRule="auto"/>
            </w:pPr>
            <w:r>
              <w:rPr>
                <w:rFonts w:ascii="Calibri" w:hAnsi="Calibri"/>
                <w:b w:val="0"/>
                <w:i w:val="0"/>
                <w:color w:val="212121"/>
                <w:sz w:val="16"/>
              </w:rPr>
              <w:t>Fiery-red velvety plaque; floor of mouth/tongue/soft palate</w:t>
            </w:r>
          </w:p>
        </w:tc>
        <w:tc>
          <w:tcPr>
            <w:tcW w:type="dxa" w:w="950"/>
            <w:vAlign w:val="top"/>
          </w:tcPr>
          <w:p>
            <w:pPr>
              <w:spacing w:after="40" w:before="0" w:line="259" w:lineRule="auto"/>
            </w:pPr>
            <w:r>
              <w:rPr>
                <w:rFonts w:ascii="Calibri" w:hAnsi="Calibri"/>
                <w:b w:val="0"/>
                <w:i w:val="0"/>
                <w:color w:val="212121"/>
                <w:sz w:val="16"/>
              </w:rPr>
              <w:t>Normal mucosa</w:t>
            </w:r>
          </w:p>
        </w:tc>
        <w:tc>
          <w:tcPr>
            <w:tcW w:type="dxa" w:w="950"/>
            <w:vAlign w:val="top"/>
          </w:tcPr>
          <w:p>
            <w:pPr>
              <w:spacing w:after="40" w:before="0" w:line="259" w:lineRule="auto"/>
            </w:pPr>
            <w:r>
              <w:rPr>
                <w:rFonts w:ascii="Calibri" w:hAnsi="Calibri"/>
                <w:b w:val="0"/>
                <w:i w:val="0"/>
                <w:color w:val="212121"/>
                <w:sz w:val="16"/>
              </w:rPr>
              <w:t>Well-demarcated red (or red-white) patch</w:t>
            </w:r>
          </w:p>
        </w:tc>
        <w:tc>
          <w:tcPr>
            <w:tcW w:type="dxa" w:w="1036"/>
            <w:vAlign w:val="top"/>
          </w:tcPr>
          <w:p>
            <w:pPr>
              <w:spacing w:after="40" w:before="0" w:line="259" w:lineRule="auto"/>
            </w:pPr>
            <w:r>
              <w:rPr>
                <w:rFonts w:ascii="Calibri" w:hAnsi="Calibri"/>
                <w:b w:val="0"/>
                <w:i w:val="0"/>
                <w:color w:val="212121"/>
                <w:sz w:val="16"/>
              </w:rPr>
              <w:t>Classic appearance and high-risk site raise suspicion</w:t>
            </w:r>
          </w:p>
        </w:tc>
        <w:tc>
          <w:tcPr>
            <w:tcW w:type="dxa" w:w="1036"/>
            <w:vAlign w:val="top"/>
          </w:tcPr>
          <w:p>
            <w:pPr>
              <w:spacing w:after="40" w:before="0" w:line="259" w:lineRule="auto"/>
            </w:pPr>
            <w:r>
              <w:rPr>
                <w:rFonts w:ascii="Calibri" w:hAnsi="Calibri"/>
                <w:b w:val="0"/>
                <w:i w:val="0"/>
                <w:color w:val="212121"/>
                <w:sz w:val="16"/>
              </w:rPr>
              <w:t>All suspected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Assess homogeneous vs speckled vs granular pattern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Palpation</w:t>
            </w:r>
          </w:p>
        </w:tc>
        <w:tc>
          <w:tcPr>
            <w:tcW w:type="dxa" w:w="950"/>
            <w:vAlign w:val="top"/>
          </w:tcPr>
          <w:p>
            <w:pPr>
              <w:spacing w:after="40" w:before="0" w:line="259" w:lineRule="auto"/>
            </w:pPr>
            <w:r>
              <w:rPr>
                <w:rFonts w:ascii="Calibri" w:hAnsi="Calibri"/>
                <w:b w:val="0"/>
                <w:i w:val="0"/>
                <w:color w:val="212121"/>
                <w:sz w:val="16"/>
              </w:rPr>
              <w:t>Texture &amp; induration</w:t>
            </w:r>
          </w:p>
        </w:tc>
        <w:tc>
          <w:tcPr>
            <w:tcW w:type="dxa" w:w="979"/>
            <w:vAlign w:val="top"/>
          </w:tcPr>
          <w:p>
            <w:pPr>
              <w:spacing w:after="40" w:before="0" w:line="259" w:lineRule="auto"/>
            </w:pPr>
            <w:r>
              <w:rPr>
                <w:rFonts w:ascii="Calibri" w:hAnsi="Calibri"/>
                <w:b w:val="0"/>
                <w:i w:val="0"/>
                <w:color w:val="212121"/>
                <w:sz w:val="16"/>
              </w:rPr>
              <w:t>Induration, firmness, contact bleeding</w:t>
            </w:r>
          </w:p>
        </w:tc>
        <w:tc>
          <w:tcPr>
            <w:tcW w:type="dxa" w:w="950"/>
            <w:vAlign w:val="top"/>
          </w:tcPr>
          <w:p>
            <w:pPr>
              <w:spacing w:after="40" w:before="0" w:line="259" w:lineRule="auto"/>
            </w:pPr>
            <w:r>
              <w:rPr>
                <w:rFonts w:ascii="Calibri" w:hAnsi="Calibri"/>
                <w:b w:val="0"/>
                <w:i w:val="0"/>
                <w:color w:val="212121"/>
                <w:sz w:val="16"/>
              </w:rPr>
              <w:t>Soft, non-tender, non-indurated</w:t>
            </w:r>
          </w:p>
        </w:tc>
        <w:tc>
          <w:tcPr>
            <w:tcW w:type="dxa" w:w="950"/>
            <w:vAlign w:val="top"/>
          </w:tcPr>
          <w:p>
            <w:pPr>
              <w:spacing w:after="40" w:before="0" w:line="259" w:lineRule="auto"/>
            </w:pPr>
            <w:r>
              <w:rPr>
                <w:rFonts w:ascii="Calibri" w:hAnsi="Calibri"/>
                <w:b w:val="0"/>
                <w:i w:val="0"/>
                <w:color w:val="212121"/>
                <w:sz w:val="16"/>
              </w:rPr>
              <w:t>Indurated/firm or bleeds on touch</w:t>
            </w:r>
          </w:p>
        </w:tc>
        <w:tc>
          <w:tcPr>
            <w:tcW w:type="dxa" w:w="1036"/>
            <w:vAlign w:val="top"/>
          </w:tcPr>
          <w:p>
            <w:pPr>
              <w:spacing w:after="40" w:before="0" w:line="259" w:lineRule="auto"/>
            </w:pPr>
            <w:r>
              <w:rPr>
                <w:rFonts w:ascii="Calibri" w:hAnsi="Calibri"/>
                <w:b w:val="0"/>
                <w:i w:val="0"/>
                <w:color w:val="212121"/>
                <w:sz w:val="16"/>
              </w:rPr>
              <w:t>Induration suggests early invasion</w:t>
            </w:r>
          </w:p>
        </w:tc>
        <w:tc>
          <w:tcPr>
            <w:tcW w:type="dxa" w:w="1036"/>
            <w:vAlign w:val="top"/>
          </w:tcPr>
          <w:p>
            <w:pPr>
              <w:spacing w:after="40" w:before="0" w:line="259" w:lineRule="auto"/>
            </w:pPr>
            <w:r>
              <w:rPr>
                <w:rFonts w:ascii="Calibri" w:hAnsi="Calibri"/>
                <w:b w:val="0"/>
                <w:i w:val="0"/>
                <w:color w:val="212121"/>
                <w:sz w:val="16"/>
              </w:rPr>
              <w:t>Indurated/granular lesions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Biopsy the indurated area preferentially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Regional examination</w:t>
            </w:r>
          </w:p>
        </w:tc>
        <w:tc>
          <w:tcPr>
            <w:tcW w:type="dxa" w:w="950"/>
            <w:vAlign w:val="top"/>
          </w:tcPr>
          <w:p>
            <w:pPr>
              <w:spacing w:after="40" w:before="0" w:line="259" w:lineRule="auto"/>
            </w:pPr>
            <w:r>
              <w:rPr>
                <w:rFonts w:ascii="Calibri" w:hAnsi="Calibri"/>
                <w:b w:val="0"/>
                <w:i w:val="0"/>
                <w:color w:val="212121"/>
                <w:sz w:val="16"/>
              </w:rPr>
              <w:t>Cervical lymph nodes</w:t>
            </w:r>
          </w:p>
        </w:tc>
        <w:tc>
          <w:tcPr>
            <w:tcW w:type="dxa" w:w="979"/>
            <w:vAlign w:val="top"/>
          </w:tcPr>
          <w:p>
            <w:pPr>
              <w:spacing w:after="40" w:before="0" w:line="259" w:lineRule="auto"/>
            </w:pPr>
            <w:r>
              <w:rPr>
                <w:rFonts w:ascii="Calibri" w:hAnsi="Calibri"/>
                <w:b w:val="0"/>
                <w:i w:val="0"/>
                <w:color w:val="212121"/>
                <w:sz w:val="16"/>
              </w:rPr>
              <w:t>Neck node size, consistency, fixity</w:t>
            </w:r>
          </w:p>
        </w:tc>
        <w:tc>
          <w:tcPr>
            <w:tcW w:type="dxa" w:w="950"/>
            <w:vAlign w:val="top"/>
          </w:tcPr>
          <w:p>
            <w:pPr>
              <w:spacing w:after="40" w:before="0" w:line="259" w:lineRule="auto"/>
            </w:pPr>
            <w:r>
              <w:rPr>
                <w:rFonts w:ascii="Calibri" w:hAnsi="Calibri"/>
                <w:b w:val="0"/>
                <w:i w:val="0"/>
                <w:color w:val="212121"/>
                <w:sz w:val="16"/>
              </w:rPr>
              <w:t>No palpable nodes</w:t>
            </w:r>
          </w:p>
        </w:tc>
        <w:tc>
          <w:tcPr>
            <w:tcW w:type="dxa" w:w="950"/>
            <w:vAlign w:val="top"/>
          </w:tcPr>
          <w:p>
            <w:pPr>
              <w:spacing w:after="40" w:before="0" w:line="259" w:lineRule="auto"/>
            </w:pPr>
            <w:r>
              <w:rPr>
                <w:rFonts w:ascii="Calibri" w:hAnsi="Calibri"/>
                <w:b w:val="0"/>
                <w:i w:val="0"/>
                <w:color w:val="212121"/>
                <w:sz w:val="16"/>
              </w:rPr>
              <w:t>Firm/fixed cervical nodes</w:t>
            </w:r>
          </w:p>
        </w:tc>
        <w:tc>
          <w:tcPr>
            <w:tcW w:type="dxa" w:w="1036"/>
            <w:vAlign w:val="top"/>
          </w:tcPr>
          <w:p>
            <w:pPr>
              <w:spacing w:after="40" w:before="0" w:line="259" w:lineRule="auto"/>
            </w:pPr>
            <w:r>
              <w:rPr>
                <w:rFonts w:ascii="Calibri" w:hAnsi="Calibri"/>
                <w:b w:val="0"/>
                <w:i w:val="0"/>
                <w:color w:val="212121"/>
                <w:sz w:val="16"/>
              </w:rPr>
              <w:t>Suggests malignant transformation with nodal spread</w:t>
            </w:r>
          </w:p>
        </w:tc>
        <w:tc>
          <w:tcPr>
            <w:tcW w:type="dxa" w:w="1036"/>
            <w:vAlign w:val="top"/>
          </w:tcPr>
          <w:p>
            <w:pPr>
              <w:spacing w:after="40" w:before="0" w:line="259" w:lineRule="auto"/>
            </w:pPr>
            <w:r>
              <w:rPr>
                <w:rFonts w:ascii="Calibri" w:hAnsi="Calibri"/>
                <w:b w:val="0"/>
                <w:i w:val="0"/>
                <w:color w:val="212121"/>
                <w:sz w:val="16"/>
              </w:rPr>
              <w:t>Suspected/proven carcinoma</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Staging</w:t>
            </w:r>
          </w:p>
        </w:tc>
        <w:tc>
          <w:tcPr>
            <w:tcW w:type="dxa" w:w="720"/>
            <w:vAlign w:val="top"/>
          </w:tcPr>
          <w:p>
            <w:pPr>
              <w:spacing w:after="40" w:before="0" w:line="259" w:lineRule="auto"/>
            </w:pPr>
            <w:r>
              <w:rPr>
                <w:rFonts w:ascii="Calibri" w:hAnsi="Calibri"/>
                <w:b w:val="0"/>
                <w:i w:val="0"/>
                <w:color w:val="212121"/>
                <w:sz w:val="16"/>
              </w:rPr>
              <w:t>Bilateral, systematic neck palpation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Full mucosal survey</w:t>
            </w:r>
          </w:p>
        </w:tc>
        <w:tc>
          <w:tcPr>
            <w:tcW w:type="dxa" w:w="950"/>
            <w:vAlign w:val="top"/>
          </w:tcPr>
          <w:p>
            <w:pPr>
              <w:spacing w:after="40" w:before="0" w:line="259" w:lineRule="auto"/>
            </w:pPr>
            <w:r>
              <w:rPr>
                <w:rFonts w:ascii="Calibri" w:hAnsi="Calibri"/>
                <w:b w:val="0"/>
                <w:i w:val="0"/>
                <w:color w:val="212121"/>
                <w:sz w:val="16"/>
              </w:rPr>
              <w:t>Field / synchronous lesions</w:t>
            </w:r>
          </w:p>
        </w:tc>
        <w:tc>
          <w:tcPr>
            <w:tcW w:type="dxa" w:w="979"/>
            <w:vAlign w:val="top"/>
          </w:tcPr>
          <w:p>
            <w:pPr>
              <w:spacing w:after="40" w:before="0" w:line="259" w:lineRule="auto"/>
            </w:pPr>
            <w:r>
              <w:rPr>
                <w:rFonts w:ascii="Calibri" w:hAnsi="Calibri"/>
                <w:b w:val="0"/>
                <w:i w:val="0"/>
                <w:color w:val="212121"/>
                <w:sz w:val="16"/>
              </w:rPr>
              <w:t>Coexisting leukoplakia, OSMF, second lesions</w:t>
            </w:r>
          </w:p>
        </w:tc>
        <w:tc>
          <w:tcPr>
            <w:tcW w:type="dxa" w:w="950"/>
            <w:vAlign w:val="top"/>
          </w:tcPr>
          <w:p>
            <w:pPr>
              <w:spacing w:after="40" w:before="0" w:line="259" w:lineRule="auto"/>
            </w:pPr>
            <w:r>
              <w:rPr>
                <w:rFonts w:ascii="Calibri" w:hAnsi="Calibri"/>
                <w:b w:val="0"/>
                <w:i w:val="0"/>
                <w:color w:val="212121"/>
                <w:sz w:val="16"/>
              </w:rPr>
              <w:t>Single, isolated lesion</w:t>
            </w:r>
          </w:p>
        </w:tc>
        <w:tc>
          <w:tcPr>
            <w:tcW w:type="dxa" w:w="950"/>
            <w:vAlign w:val="top"/>
          </w:tcPr>
          <w:p>
            <w:pPr>
              <w:spacing w:after="40" w:before="0" w:line="259" w:lineRule="auto"/>
            </w:pPr>
            <w:r>
              <w:rPr>
                <w:rFonts w:ascii="Calibri" w:hAnsi="Calibri"/>
                <w:b w:val="0"/>
                <w:i w:val="0"/>
                <w:color w:val="212121"/>
                <w:sz w:val="16"/>
              </w:rPr>
              <w:t>Multiple/synchronous mucosal lesions</w:t>
            </w:r>
          </w:p>
        </w:tc>
        <w:tc>
          <w:tcPr>
            <w:tcW w:type="dxa" w:w="1036"/>
            <w:vAlign w:val="top"/>
          </w:tcPr>
          <w:p>
            <w:pPr>
              <w:spacing w:after="40" w:before="0" w:line="259" w:lineRule="auto"/>
            </w:pPr>
            <w:r>
              <w:rPr>
                <w:rFonts w:ascii="Calibri" w:hAnsi="Calibri"/>
                <w:b w:val="0"/>
                <w:i w:val="0"/>
                <w:color w:val="212121"/>
                <w:sz w:val="16"/>
              </w:rPr>
              <w:t>Reflects field cancerisation; alters surveillance</w:t>
            </w:r>
          </w:p>
        </w:tc>
        <w:tc>
          <w:tcPr>
            <w:tcW w:type="dxa" w:w="1036"/>
            <w:vAlign w:val="top"/>
          </w:tcPr>
          <w:p>
            <w:pPr>
              <w:spacing w:after="40" w:before="0" w:line="259" w:lineRule="auto"/>
            </w:pPr>
            <w:r>
              <w:rPr>
                <w:rFonts w:ascii="Calibri" w:hAnsi="Calibri"/>
                <w:b w:val="0"/>
                <w:i w:val="0"/>
                <w:color w:val="212121"/>
                <w:sz w:val="16"/>
              </w:rPr>
              <w:t>Multifocal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Field cancerisation</w:t>
            </w:r>
          </w:p>
        </w:tc>
        <w:tc>
          <w:tcPr>
            <w:tcW w:type="dxa" w:w="720"/>
            <w:vAlign w:val="top"/>
          </w:tcPr>
          <w:p>
            <w:pPr>
              <w:spacing w:after="40" w:before="0" w:line="259" w:lineRule="auto"/>
            </w:pPr>
            <w:r>
              <w:rPr>
                <w:rFonts w:ascii="Calibri" w:hAnsi="Calibri"/>
                <w:b w:val="0"/>
                <w:i w:val="0"/>
                <w:color w:val="212121"/>
                <w:sz w:val="16"/>
              </w:rPr>
              <w:t>Examine the entire oral cavity and oropharynx</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Asymptomatic red patch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Most erythroplakias cause no symptoms and are detected incidentally on oral examination — a key clinical pitfall.</w:t>
            </w:r>
          </w:p>
        </w:tc>
      </w:tr>
      <w:tr>
        <w:trPr>
          <w:cantSplit/>
        </w:trPr>
        <w:tc>
          <w:tcPr>
            <w:tcW w:type="dxa" w:w="2304"/>
            <w:vAlign w:val="top"/>
          </w:tcPr>
          <w:p>
            <w:pPr>
              <w:spacing w:after="40" w:before="0" w:line="259" w:lineRule="auto"/>
            </w:pPr>
            <w:r>
              <w:rPr>
                <w:rFonts w:ascii="Calibri" w:hAnsi="Calibri"/>
                <w:b/>
                <w:i w:val="0"/>
                <w:color w:val="212121"/>
                <w:sz w:val="19"/>
              </w:rPr>
              <w:t>Persistent red/velvety patch noticed by patient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well-demarcated, fiery-red area of mucosa that fails to heal.</w:t>
            </w:r>
          </w:p>
        </w:tc>
      </w:tr>
      <w:tr>
        <w:trPr>
          <w:cantSplit/>
        </w:trPr>
        <w:tc>
          <w:tcPr>
            <w:tcW w:type="dxa" w:w="2304"/>
            <w:vAlign w:val="top"/>
          </w:tcPr>
          <w:p>
            <w:pPr>
              <w:spacing w:after="40" w:before="0" w:line="259" w:lineRule="auto"/>
            </w:pPr>
            <w:r>
              <w:rPr>
                <w:rFonts w:ascii="Calibri" w:hAnsi="Calibri"/>
                <w:b/>
                <w:i w:val="0"/>
                <w:color w:val="212121"/>
                <w:sz w:val="19"/>
              </w:rPr>
              <w:t>Non-healing area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Failure to resolve after removing irritants or treating candidiasis raises suspicion.</w:t>
            </w:r>
          </w:p>
        </w:tc>
      </w:tr>
      <w:tr>
        <w:trPr>
          <w:cantSplit/>
        </w:trPr>
        <w:tc>
          <w:tcPr>
            <w:tcW w:type="dxa" w:w="2304"/>
            <w:vAlign w:val="top"/>
          </w:tcPr>
          <w:p>
            <w:pPr>
              <w:spacing w:after="40" w:before="0" w:line="259" w:lineRule="auto"/>
            </w:pPr>
            <w:r>
              <w:rPr>
                <w:rFonts w:ascii="Calibri" w:hAnsi="Calibri"/>
                <w:b/>
                <w:i w:val="0"/>
                <w:color w:val="212121"/>
                <w:sz w:val="19"/>
              </w:rPr>
              <w:t>Burning sensation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Especially provoked by spicy, hot or acidic foods.</w:t>
            </w:r>
          </w:p>
        </w:tc>
      </w:tr>
      <w:tr>
        <w:trPr>
          <w:cantSplit/>
        </w:trPr>
        <w:tc>
          <w:tcPr>
            <w:tcW w:type="dxa" w:w="2304"/>
            <w:vAlign w:val="top"/>
          </w:tcPr>
          <w:p>
            <w:pPr>
              <w:spacing w:after="40" w:before="0" w:line="259" w:lineRule="auto"/>
            </w:pPr>
            <w:r>
              <w:rPr>
                <w:rFonts w:ascii="Calibri" w:hAnsi="Calibri"/>
                <w:b/>
                <w:i w:val="0"/>
                <w:color w:val="212121"/>
                <w:sz w:val="19"/>
              </w:rPr>
              <w:t>Soreness or discomfort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Mild localised soreness at the lesion site.</w:t>
            </w:r>
          </w:p>
        </w:tc>
      </w:tr>
      <w:tr>
        <w:trPr>
          <w:cantSplit/>
        </w:trPr>
        <w:tc>
          <w:tcPr>
            <w:tcW w:type="dxa" w:w="2304"/>
            <w:vAlign w:val="top"/>
          </w:tcPr>
          <w:p>
            <w:pPr>
              <w:spacing w:after="40" w:before="0" w:line="259" w:lineRule="auto"/>
            </w:pPr>
            <w:r>
              <w:rPr>
                <w:rFonts w:ascii="Calibri" w:hAnsi="Calibri"/>
                <w:b/>
                <w:i w:val="0"/>
                <w:color w:val="212121"/>
                <w:sz w:val="19"/>
              </w:rPr>
              <w:t>Textural change felt by the tongue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Roughness or a velvety/granular feel over the affected area.</w:t>
            </w:r>
          </w:p>
        </w:tc>
      </w:tr>
      <w:tr>
        <w:trPr>
          <w:cantSplit/>
        </w:trPr>
        <w:tc>
          <w:tcPr>
            <w:tcW w:type="dxa" w:w="2304"/>
            <w:vAlign w:val="top"/>
          </w:tcPr>
          <w:p>
            <w:pPr>
              <w:spacing w:after="40" w:before="0" w:line="259" w:lineRule="auto"/>
            </w:pPr>
            <w:r>
              <w:rPr>
                <w:rFonts w:ascii="Calibri" w:hAnsi="Calibri"/>
                <w:b/>
                <w:i w:val="0"/>
                <w:color w:val="212121"/>
                <w:sz w:val="19"/>
              </w:rPr>
              <w:t>Contact bleeding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Fragile dysplastic or malignant epithelium may bleed on touch or during brushing.</w:t>
            </w:r>
          </w:p>
        </w:tc>
      </w:tr>
      <w:tr>
        <w:trPr>
          <w:cantSplit/>
        </w:trPr>
        <w:tc>
          <w:tcPr>
            <w:tcW w:type="dxa" w:w="2304"/>
            <w:vAlign w:val="top"/>
          </w:tcPr>
          <w:p>
            <w:pPr>
              <w:spacing w:after="40" w:before="0" w:line="259" w:lineRule="auto"/>
            </w:pPr>
            <w:r>
              <w:rPr>
                <w:rFonts w:ascii="Calibri" w:hAnsi="Calibri"/>
                <w:b/>
                <w:i w:val="0"/>
                <w:color w:val="212121"/>
                <w:sz w:val="19"/>
              </w:rPr>
              <w:t>Discomfort with spicy or hot food</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Localised sensitivity, common with atrophic red mucosa.</w:t>
            </w:r>
          </w:p>
        </w:tc>
      </w:tr>
      <w:tr>
        <w:trPr>
          <w:cantSplit/>
        </w:trPr>
        <w:tc>
          <w:tcPr>
            <w:tcW w:type="dxa" w:w="2304"/>
            <w:vAlign w:val="top"/>
          </w:tcPr>
          <w:p>
            <w:pPr>
              <w:spacing w:after="40" w:before="0" w:line="259" w:lineRule="auto"/>
            </w:pPr>
            <w:r>
              <w:rPr>
                <w:rFonts w:ascii="Calibri" w:hAnsi="Calibri"/>
                <w:b/>
                <w:i w:val="0"/>
                <w:color w:val="212121"/>
                <w:sz w:val="19"/>
              </w:rPr>
              <w:t>Pain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Early lesions are typically painless; pain suggests ulceration or invasive carcinoma.</w:t>
            </w:r>
          </w:p>
        </w:tc>
      </w:tr>
      <w:tr>
        <w:trPr>
          <w:cantSplit/>
        </w:trPr>
        <w:tc>
          <w:tcPr>
            <w:tcW w:type="dxa" w:w="2304"/>
            <w:vAlign w:val="top"/>
          </w:tcPr>
          <w:p>
            <w:pPr>
              <w:spacing w:after="40" w:before="0" w:line="259" w:lineRule="auto"/>
            </w:pPr>
            <w:r>
              <w:rPr>
                <w:rFonts w:ascii="Calibri" w:hAnsi="Calibri"/>
                <w:b/>
                <w:i w:val="0"/>
                <w:color w:val="212121"/>
                <w:sz w:val="19"/>
              </w:rPr>
              <w:t>Dysphagia / odynophagia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With large lesions or posterior/oropharyngeal involvement, or after malignant transformation.</w:t>
            </w:r>
          </w:p>
        </w:tc>
      </w:tr>
      <w:tr>
        <w:trPr>
          <w:cantSplit/>
        </w:trPr>
        <w:tc>
          <w:tcPr>
            <w:tcW w:type="dxa" w:w="2304"/>
            <w:vAlign w:val="top"/>
          </w:tcPr>
          <w:p>
            <w:pPr>
              <w:spacing w:after="40" w:before="0" w:line="259" w:lineRule="auto"/>
            </w:pPr>
            <w:r>
              <w:rPr>
                <w:rFonts w:ascii="Calibri" w:hAnsi="Calibri"/>
                <w:b/>
                <w:i w:val="0"/>
                <w:color w:val="212121"/>
                <w:sz w:val="19"/>
              </w:rPr>
              <w:t>Foul taste / halitosis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Associated with ulceration or secondary infection of an advanced lesion.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Well-demarcated fiery-red, velvety macule/plaque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hallmark sign — a bright-red patch that cannot be explained by any other lesion.</w:t>
            </w:r>
          </w:p>
        </w:tc>
      </w:tr>
      <w:tr>
        <w:trPr>
          <w:cantSplit/>
        </w:trPr>
        <w:tc>
          <w:tcPr>
            <w:tcW w:type="dxa" w:w="3456"/>
            <w:vAlign w:val="top"/>
          </w:tcPr>
          <w:p>
            <w:pPr>
              <w:spacing w:after="40" w:before="0" w:line="259" w:lineRule="auto"/>
            </w:pPr>
            <w:r>
              <w:rPr>
                <w:rFonts w:ascii="Calibri" w:hAnsi="Calibri"/>
                <w:b/>
                <w:i w:val="0"/>
                <w:color w:val="212121"/>
                <w:sz w:val="19"/>
              </w:rPr>
              <w:t>High-risk location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Floor of mouth, ventrolateral tongue and soft palate/retromolar area are the classic sites.</w:t>
            </w:r>
          </w:p>
        </w:tc>
      </w:tr>
      <w:tr>
        <w:trPr>
          <w:cantSplit/>
        </w:trPr>
        <w:tc>
          <w:tcPr>
            <w:tcW w:type="dxa" w:w="3456"/>
            <w:vAlign w:val="top"/>
          </w:tcPr>
          <w:p>
            <w:pPr>
              <w:spacing w:after="40" w:before="0" w:line="259" w:lineRule="auto"/>
            </w:pPr>
            <w:r>
              <w:rPr>
                <w:rFonts w:ascii="Calibri" w:hAnsi="Calibri"/>
                <w:b/>
                <w:i w:val="0"/>
                <w:color w:val="212121"/>
                <w:sz w:val="19"/>
              </w:rPr>
              <w:t>Loss of surface keratin / atrophic glistening surface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Thinned, non-keratinised epithelium gives the smooth, red, velvety appearance.</w:t>
            </w:r>
          </w:p>
        </w:tc>
      </w:tr>
      <w:tr>
        <w:trPr>
          <w:cantSplit/>
        </w:trPr>
        <w:tc>
          <w:tcPr>
            <w:tcW w:type="dxa" w:w="3456"/>
            <w:vAlign w:val="top"/>
          </w:tcPr>
          <w:p>
            <w:pPr>
              <w:spacing w:after="40" w:before="0" w:line="259" w:lineRule="auto"/>
            </w:pPr>
            <w:r>
              <w:rPr>
                <w:rFonts w:ascii="Calibri" w:hAnsi="Calibri"/>
                <w:b/>
                <w:i w:val="0"/>
                <w:color w:val="212121"/>
                <w:sz w:val="19"/>
              </w:rPr>
              <w:t>Speckled red-and-white surface (erythroleukoplakia)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Mixed lesion with white flecks on a red base — associated with very high dysplasia rates.</w:t>
            </w:r>
          </w:p>
        </w:tc>
      </w:tr>
      <w:tr>
        <w:trPr>
          <w:cantSplit/>
        </w:trPr>
        <w:tc>
          <w:tcPr>
            <w:tcW w:type="dxa" w:w="3456"/>
            <w:vAlign w:val="top"/>
          </w:tcPr>
          <w:p>
            <w:pPr>
              <w:spacing w:after="40" w:before="0" w:line="259" w:lineRule="auto"/>
            </w:pPr>
            <w:r>
              <w:rPr>
                <w:rFonts w:ascii="Calibri" w:hAnsi="Calibri"/>
                <w:b/>
                <w:i w:val="0"/>
                <w:color w:val="212121"/>
                <w:sz w:val="19"/>
              </w:rPr>
              <w:t>Toluidine blue dye retention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Dysplastic/malignant areas preferentially retain the stain, guiding biopsy.</w:t>
            </w:r>
          </w:p>
        </w:tc>
      </w:tr>
      <w:tr>
        <w:trPr>
          <w:cantSplit/>
        </w:trPr>
        <w:tc>
          <w:tcPr>
            <w:tcW w:type="dxa" w:w="3456"/>
            <w:vAlign w:val="top"/>
          </w:tcPr>
          <w:p>
            <w:pPr>
              <w:spacing w:after="40" w:before="0" w:line="259" w:lineRule="auto"/>
            </w:pPr>
            <w:r>
              <w:rPr>
                <w:rFonts w:ascii="Calibri" w:hAnsi="Calibri"/>
                <w:b/>
                <w:i w:val="0"/>
                <w:color w:val="212121"/>
                <w:sz w:val="19"/>
              </w:rPr>
              <w:t>Granular or nodular surface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pebbly/nodular texture is frequently associated with invasive carcinoma.</w:t>
            </w:r>
          </w:p>
        </w:tc>
      </w:tr>
      <w:tr>
        <w:trPr>
          <w:cantSplit/>
        </w:trPr>
        <w:tc>
          <w:tcPr>
            <w:tcW w:type="dxa" w:w="3456"/>
            <w:vAlign w:val="top"/>
          </w:tcPr>
          <w:p>
            <w:pPr>
              <w:spacing w:after="40" w:before="0" w:line="259" w:lineRule="auto"/>
            </w:pPr>
            <w:r>
              <w:rPr>
                <w:rFonts w:ascii="Calibri" w:hAnsi="Calibri"/>
                <w:b/>
                <w:i w:val="0"/>
                <w:color w:val="212121"/>
                <w:sz w:val="19"/>
              </w:rPr>
              <w:t>Induration on palpation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Firmness beneath the lesion suggests early stromal invasion.</w:t>
            </w:r>
          </w:p>
        </w:tc>
      </w:tr>
      <w:tr>
        <w:trPr>
          <w:cantSplit/>
        </w:trPr>
        <w:tc>
          <w:tcPr>
            <w:tcW w:type="dxa" w:w="3456"/>
            <w:vAlign w:val="top"/>
          </w:tcPr>
          <w:p>
            <w:pPr>
              <w:spacing w:after="40" w:before="0" w:line="259" w:lineRule="auto"/>
            </w:pPr>
            <w:r>
              <w:rPr>
                <w:rFonts w:ascii="Calibri" w:hAnsi="Calibri"/>
                <w:b/>
                <w:i w:val="0"/>
                <w:color w:val="212121"/>
                <w:sz w:val="19"/>
              </w:rPr>
              <w:t>Contact bleeding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Bleeding on gentle probing reflects fragile, vascular dysplastic epithelium.</w:t>
            </w:r>
          </w:p>
        </w:tc>
      </w:tr>
      <w:tr>
        <w:trPr>
          <w:cantSplit/>
        </w:trPr>
        <w:tc>
          <w:tcPr>
            <w:tcW w:type="dxa" w:w="3456"/>
            <w:vAlign w:val="top"/>
          </w:tcPr>
          <w:p>
            <w:pPr>
              <w:spacing w:after="40" w:before="0" w:line="259" w:lineRule="auto"/>
            </w:pPr>
            <w:r>
              <w:rPr>
                <w:rFonts w:ascii="Calibri" w:hAnsi="Calibri"/>
                <w:b/>
                <w:i w:val="0"/>
                <w:color w:val="212121"/>
                <w:sz w:val="19"/>
              </w:rPr>
              <w:t>Coexisting OPMD (leukoplakia / OSMF / candidiasis)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Synchronous lesions indicate field change and additive risk.</w:t>
            </w:r>
          </w:p>
        </w:tc>
      </w:tr>
      <w:tr>
        <w:trPr>
          <w:cantSplit/>
        </w:trPr>
        <w:tc>
          <w:tcPr>
            <w:tcW w:type="dxa" w:w="3456"/>
            <w:vAlign w:val="top"/>
          </w:tcPr>
          <w:p>
            <w:pPr>
              <w:spacing w:after="40" w:before="0" w:line="259" w:lineRule="auto"/>
            </w:pPr>
            <w:r>
              <w:rPr>
                <w:rFonts w:ascii="Calibri" w:hAnsi="Calibri"/>
                <w:b/>
                <w:i w:val="0"/>
                <w:color w:val="212121"/>
                <w:sz w:val="19"/>
              </w:rPr>
              <w:t>Ulceration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An ulcerated red lesion strongly suggests established squamous cell carcinoma.</w:t>
            </w:r>
          </w:p>
        </w:tc>
      </w:tr>
      <w:tr>
        <w:trPr>
          <w:cantSplit/>
        </w:trPr>
        <w:tc>
          <w:tcPr>
            <w:tcW w:type="dxa" w:w="3456"/>
            <w:vAlign w:val="top"/>
          </w:tcPr>
          <w:p>
            <w:pPr>
              <w:spacing w:after="40" w:before="0" w:line="259" w:lineRule="auto"/>
            </w:pPr>
            <w:r>
              <w:rPr>
                <w:rFonts w:ascii="Calibri" w:hAnsi="Calibri"/>
                <w:b/>
                <w:i w:val="0"/>
                <w:color w:val="212121"/>
                <w:sz w:val="19"/>
              </w:rPr>
              <w:t>Cervical lymphadenopathy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Firm or fixed neck nodes indicate malignant transformation with regional spread.</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Malignant transformation to oral squamous cell carcinoma — the highest transformation rate of any oral potentially malignant disorder (mean ~30%)</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epithelial dysplasia and carcinoma in situ</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Local ulceration and contact bleeding of the lesion</w:t>
            </w:r>
          </w:p>
        </w:tc>
        <w:tc>
          <w:tcPr>
            <w:tcW w:type="dxa" w:w="2980"/>
            <w:vAlign w:val="top"/>
          </w:tcPr>
          <w:p>
            <w:pPr>
              <w:spacing w:after="40" w:before="0" w:line="259" w:lineRule="auto"/>
            </w:pPr>
            <w:r>
              <w:rPr>
                <w:rFonts w:ascii="Calibri" w:hAnsi="Calibri"/>
                <w:b w:val="0"/>
                <w:i w:val="0"/>
                <w:color w:val="212121"/>
                <w:sz w:val="19"/>
              </w:rPr>
              <w:t>Direct consequences of the dysplastic/neoplastic epithelium that defines erythroplakia</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Invasive OSCC with infiltration of tongue, floor of mouth and adjacent structures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Cervical lymph-node metastasis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Field cancerisation with multiple or second primary tumours of the upper aerodigestive tract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candidal or bacterial infection of the lesion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Pain and impaired chewing, speech and swallowing</w:t>
            </w:r>
          </w:p>
        </w:tc>
        <w:tc>
          <w:tcPr>
            <w:tcW w:type="dxa" w:w="2980"/>
            <w:vAlign w:val="top"/>
          </w:tcPr>
          <w:p>
            <w:pPr>
              <w:spacing w:after="40" w:before="0" w:line="259" w:lineRule="auto"/>
            </w:pPr>
            <w:r>
              <w:rPr>
                <w:rFonts w:ascii="Calibri" w:hAnsi="Calibri"/>
                <w:b w:val="0"/>
                <w:i w:val="0"/>
                <w:color w:val="212121"/>
                <w:sz w:val="19"/>
              </w:rPr>
              <w:t>Result from progression to invasive cancer and from the carcinogen-exposed mucosal field</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Advanced or metastatic head-and-neck cancer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Treatment-related morbidity — surgical disfigurement, dysphagia, xerostomia, trismus after radiotherapy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Malnutrition and weight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Recurrence and second primaries on follow-up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survival and cancer-related mortality</w:t>
            </w:r>
          </w:p>
        </w:tc>
        <w:tc>
          <w:tcPr>
            <w:tcW w:type="dxa" w:w="2980"/>
            <w:vAlign w:val="top"/>
          </w:tcPr>
          <w:p>
            <w:pPr>
              <w:spacing w:after="40" w:before="0" w:line="259" w:lineRule="auto"/>
            </w:pPr>
            <w:r>
              <w:rPr>
                <w:rFonts w:ascii="Calibri" w:hAnsi="Calibri"/>
                <w:b w:val="0"/>
                <w:i w:val="0"/>
                <w:color w:val="212121"/>
                <w:sz w:val="19"/>
              </w:rPr>
              <w:t>Irreversible, disabling outcomes of longstanding or transformed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Oral squamous cell carcinoma (OSCC)</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Erythroplakia is the highest-risk oral potentially malignant disorder; most lesions already show severe dysplasia, carcinoma in situ or invasive SCC, and the mean malignant transformation rate is ~30%.</w:t>
            </w:r>
          </w:p>
          <w:p>
            <w:pPr>
              <w:spacing w:after="40" w:before="0" w:line="259" w:lineRule="auto"/>
            </w:pPr>
            <w:r>
              <w:rPr>
                <w:rFonts w:ascii="Calibri" w:hAnsi="Calibri"/>
                <w:b/>
                <w:i w:val="0"/>
                <w:color w:val="212121"/>
                <w:sz w:val="19"/>
              </w:rPr>
              <w:t>Mean ~30% (transformation)</w:t>
            </w:r>
          </w:p>
        </w:tc>
      </w:tr>
      <w:tr>
        <w:trPr>
          <w:cantSplit/>
        </w:trPr>
        <w:tc>
          <w:tcPr>
            <w:tcW w:type="dxa" w:w="2232"/>
            <w:vAlign w:val="top"/>
          </w:tcPr>
          <w:p>
            <w:pPr>
              <w:spacing w:after="40" w:before="0" w:line="259" w:lineRule="auto"/>
            </w:pPr>
            <w:r>
              <w:rPr>
                <w:rFonts w:ascii="Calibri" w:hAnsi="Calibri"/>
                <w:b/>
                <w:i w:val="0"/>
                <w:color w:val="212121"/>
                <w:sz w:val="19"/>
              </w:rPr>
              <w:t>Oral leukoplakia / erythroleukoplakia</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Frequently coexists; red change within or beside a white patch (speckled leukoplakia) reflects field cancerisation and markedly higher dysplasia risk.</w:t>
            </w:r>
          </w:p>
        </w:tc>
      </w:tr>
      <w:tr>
        <w:trPr>
          <w:cantSplit/>
        </w:trPr>
        <w:tc>
          <w:tcPr>
            <w:tcW w:type="dxa" w:w="2232"/>
            <w:vAlign w:val="top"/>
          </w:tcPr>
          <w:p>
            <w:pPr>
              <w:spacing w:after="40" w:before="0" w:line="259" w:lineRule="auto"/>
            </w:pPr>
            <w:r>
              <w:rPr>
                <w:rFonts w:ascii="Calibri" w:hAnsi="Calibri"/>
                <w:b/>
                <w:i w:val="0"/>
                <w:color w:val="212121"/>
                <w:sz w:val="19"/>
              </w:rPr>
              <w:t>Oral submucous fibrosis (OSMF)</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An areca-nut-driven potentially malignant disorder common in India; erythroplakic change within fibrotic mucosa adds to malignant risk and complicates access/biopsy.</w:t>
            </w:r>
          </w:p>
        </w:tc>
      </w:tr>
      <w:tr>
        <w:trPr>
          <w:cantSplit/>
        </w:trPr>
        <w:tc>
          <w:tcPr>
            <w:tcW w:type="dxa" w:w="2232"/>
            <w:vAlign w:val="top"/>
          </w:tcPr>
          <w:p>
            <w:pPr>
              <w:spacing w:after="40" w:before="0" w:line="259" w:lineRule="auto"/>
            </w:pPr>
            <w:r>
              <w:rPr>
                <w:rFonts w:ascii="Calibri" w:hAnsi="Calibri"/>
                <w:b/>
                <w:i w:val="0"/>
                <w:color w:val="212121"/>
                <w:sz w:val="19"/>
              </w:rPr>
              <w:t>Head-and-neck / oesophageal squamous cell carcinoma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 shared carcinogen-exposed mucosal field predisposes the whole upper aerodigestive tract to synchronous and second primary tumours.</w:t>
            </w:r>
          </w:p>
        </w:tc>
      </w:tr>
      <w:tr>
        <w:trPr>
          <w:cantSplit/>
        </w:trPr>
        <w:tc>
          <w:tcPr>
            <w:tcW w:type="dxa" w:w="2232"/>
            <w:vAlign w:val="top"/>
          </w:tcPr>
          <w:p>
            <w:pPr>
              <w:spacing w:after="40" w:before="0" w:line="259" w:lineRule="auto"/>
            </w:pPr>
            <w:r>
              <w:rPr>
                <w:rFonts w:ascii="Calibri" w:hAnsi="Calibri"/>
                <w:b/>
                <w:i w:val="0"/>
                <w:color w:val="212121"/>
                <w:sz w:val="19"/>
              </w:rPr>
              <w:t>Oral candidiasis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Candidal colonisation of speckled lesions may promote nitrosamine production and dysplasia; treating candidiasis can alter lesion appearance and biopsy interpretation.</w:t>
            </w:r>
          </w:p>
        </w:tc>
      </w:tr>
      <w:tr>
        <w:trPr>
          <w:cantSplit/>
        </w:trPr>
        <w:tc>
          <w:tcPr>
            <w:tcW w:type="dxa" w:w="2232"/>
            <w:vAlign w:val="top"/>
          </w:tcPr>
          <w:p>
            <w:pPr>
              <w:spacing w:after="40" w:before="0" w:line="259" w:lineRule="auto"/>
            </w:pPr>
            <w:r>
              <w:rPr>
                <w:rFonts w:ascii="Calibri" w:hAnsi="Calibri"/>
                <w:b/>
                <w:i w:val="0"/>
                <w:color w:val="212121"/>
                <w:sz w:val="19"/>
              </w:rPr>
              <w:t>Iron-deficiency anaemia / Plummer–Vinson syndrome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Sideropenic mucosal atrophy heightens susceptibility to carcinogen-induced red lesions and carcinoma; correcting deficiency is part of management.</w:t>
            </w:r>
          </w:p>
        </w:tc>
      </w:tr>
      <w:tr>
        <w:trPr>
          <w:cantSplit/>
        </w:trPr>
        <w:tc>
          <w:tcPr>
            <w:tcW w:type="dxa" w:w="2232"/>
            <w:vAlign w:val="top"/>
          </w:tcPr>
          <w:p>
            <w:pPr>
              <w:spacing w:after="40" w:before="0" w:line="259" w:lineRule="auto"/>
            </w:pPr>
            <w:r>
              <w:rPr>
                <w:rFonts w:ascii="Calibri" w:hAnsi="Calibri"/>
                <w:b/>
                <w:i w:val="0"/>
                <w:color w:val="212121"/>
                <w:sz w:val="19"/>
              </w:rPr>
              <w:t>Tobacco and areca-nut/alcohol use disorders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dominant shared cause; continued dependence sustains the lesion and drives progression, so cessation is central to treatment and prognosis.</w:t>
            </w:r>
          </w:p>
        </w:tc>
      </w:tr>
      <w:tr>
        <w:trPr>
          <w:cantSplit/>
        </w:trPr>
        <w:tc>
          <w:tcPr>
            <w:tcW w:type="dxa" w:w="2232"/>
            <w:vAlign w:val="top"/>
          </w:tcPr>
          <w:p>
            <w:pPr>
              <w:spacing w:after="40" w:before="0" w:line="259" w:lineRule="auto"/>
            </w:pPr>
            <w:r>
              <w:rPr>
                <w:rFonts w:ascii="Calibri" w:hAnsi="Calibri"/>
                <w:b/>
                <w:i w:val="0"/>
                <w:color w:val="212121"/>
                <w:sz w:val="19"/>
              </w:rPr>
              <w:t>Alcoholic liver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Reflects heavy alcohol use, a shared risk factor with erythroplakia, and affects fitness for cancer treatment.</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any persistent red or red-and-white oral patch lasting more than 2 weeks as a red flag needing dental/ENT review — do not wait for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erythroplakia carries the highest cancer risk of all oral pre-cancers and almost always requires a biopsy.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smoked and smokeless tobacco, areca nut/betel quid and alcohol as the main causes, and that combining habits multiplies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opportunistic oral cancer screening (self-examination and periodic dental checks) for all tobacco/areca/alcohol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prompt evaluation for non-healing ulcers, lumps, unexplained bleeding or a red velvety patch anywhere in the mouth.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Tobacco &amp; areca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Rural/occupational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a prior oral lesion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Undergo mandatory incisional biopsy of the most suspicious area to grade dysplasia and exclude carcinoma.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Have dysplastic lesions completely excised (surgical or laser) with histological margin assessment where indicated.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Remove chronic irritants (sharp teeth, defective restorations, ill-fitting dentures) and treat any candidal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long-term follow-up every 3–6 months for life, as recurrence and second primaries are common.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timely referral to an oral-medicine/oncology service if invasive carcinoma is confirmed.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erythroplakia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Biopsy-proven dysplasia/CIS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Multifocal/field-change cases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Achieve complete cessation of all tobacco — cigarettes, bidis, hookah, gutkha, khaini, zarda and mishri.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behavioural counselling combined with nicotine-replacement or approved pharmacotherapy.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Enrol in a tobacco-cessation clinic / national quit-line for structured support and relapse prevention.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Note that some lesions regress after cessation, but persistent lesions still require biopsy and follow-up.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all forms of areca nut/betel quid, with or without tobacco.</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Smokeless-tobacco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Betel-quid chewers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Dual users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or substantially reduce alcohol intake, especially where it is combined with tobacco.</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concurrent tobacco and alcohol use because their carcinogenic effects are synergistic.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Accept referral for de-addiction and psychological support where dependence is present.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manage alcohol-related liver disease before any cancer treatment.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Combined tobacco-alcohol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Dependence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diet rich in fruits and vegetables (≥5 servings/day) for antioxidants and vitamins A, C and 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iron, vitamin B12 and folate deficiency; treat sideropenic (Plummer–Vinson) states.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very hot, spicy or acidic foods that irritate the lesion during evaluation.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or avoid areca-nut-containing preparations (paan, supari, gutkha) in the diet.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Sideropenic/malnourished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Areca chewers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moderate physical activity to support overall health and immune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activity as an adjunct to tobacco and alcohol cessation and stress reduction.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exercise has no direct causal role but supports recovery and general fitness for treatment.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in cessation programmes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adequate, restorative sleep (7–9 hours) to support immune surveillance.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sleep disruption that fuels reliance on tobacco, alcohol or stimulants.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Habitual tobacco/alcohol users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stress, anxiety and depression that drive tobacco and alcohol 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counselling and psychological support around the diagnosis and cancer-related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adherence to long-term follow-up and cessation through motivational and behavioural strategies.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family/social support to reinforce habit cessation and clinic attendance.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erythroplakia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substance 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 patients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39184413/" TargetMode="External"/><Relationship Id="rId10" Type="http://schemas.openxmlformats.org/officeDocument/2006/relationships/hyperlink" Target="https://www.who.int/news-room/fact-sheets/detail/oral-health" TargetMode="External"/><Relationship Id="rId11" Type="http://schemas.openxmlformats.org/officeDocument/2006/relationships/hyperlink" Target="https://pubmed.ncbi.nlm.nih.gov/40320454/" TargetMode="External"/><Relationship Id="rId12" Type="http://schemas.openxmlformats.org/officeDocument/2006/relationships/hyperlink" Target="https://pubmed.ncbi.nlm.nih.gov/38047179/" TargetMode="External"/><Relationship Id="rId13" Type="http://schemas.openxmlformats.org/officeDocument/2006/relationships/hyperlink" Target="https://www.who.int/india/health-topics/tobacco" TargetMode="External"/><Relationship Id="rId14" Type="http://schemas.openxmlformats.org/officeDocument/2006/relationships/hyperlink" Target="https://pubmed.ncbi.nlm.nih.gov/34424631/" TargetMode="External"/><Relationship Id="rId15" Type="http://schemas.openxmlformats.org/officeDocument/2006/relationships/hyperlink" Target="https://pubmed.ncbi.nlm.nih.gov/34447119/" TargetMode="External"/><Relationship Id="rId16" Type="http://schemas.openxmlformats.org/officeDocument/2006/relationships/hyperlink" Target="https://pubmed.ncbi.nlm.nih.gov/37470609/" TargetMode="External"/><Relationship Id="rId17" Type="http://schemas.openxmlformats.org/officeDocument/2006/relationships/hyperlink" Target="https://pubmed.ncbi.nlm.nih.gov/33128420/" TargetMode="External"/><Relationship Id="rId18" Type="http://schemas.openxmlformats.org/officeDocument/2006/relationships/hyperlink" Target="https://pubmed.ncbi.nlm.nih.gov/342835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