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Gingivitis</w:t>
      </w:r>
    </w:p>
    <w:p>
      <w:pPr>
        <w:spacing w:before="0" w:after="160"/>
      </w:pPr>
      <w:r>
        <w:rPr>
          <w:rFonts w:ascii="Calibri" w:hAnsi="Calibri"/>
          <w:b/>
          <w:i w:val="0"/>
          <w:color w:val="212121"/>
          <w:sz w:val="22"/>
        </w:rPr>
        <w:t xml:space="preserve">AKA </w:t>
      </w:r>
      <w:r>
        <w:rPr>
          <w:rFonts w:ascii="Calibri" w:hAnsi="Calibri"/>
          <w:b w:val="0"/>
          <w:i w:val="0"/>
          <w:color w:val="212121"/>
          <w:sz w:val="22"/>
        </w:rPr>
        <w:t>i.e., Gum inflammation, Bleeding gums, Early gum disease, Plaque-induced gingival inflammation; the pregnancy-associated form is called Pregnancy gingivitis and the acute painful form is Acute necrotizing ulcerative gingivitis (ANUG)</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Gingivitis is a reversible inflammation of the gingiva (gums) that is confined to the soft tissue around the teeth, without any loss of the underlying periodontal attachment or alveolar bone that characterises periodontitis. It is most commonly caused by accumulation of bacterial dental plaque (biofilm) at the gum margin, and presents with red, swollen gums that bleed easily on brushing or probing. Because there is no irreversible tissue destruction, plaque-induced gingivitis resolves completely once the plaque is removed and good oral hygiene is restored, which makes it a safe-to-self-manage condition. If neglected, however, it can progress in susceptible people to periodontitis - an irreversible, destructive gum disease that leads to tooth loss.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Gingival inflammation is among the most common health conditions affecting Indian adults. A national systematic review and meta-analysis estimated gingivitis in about 46.6% of adults and any periodontal involvement in about 51%, but community surveys that use gingival-bleeding and plaque indices report inflammation in a majority of adults - commonly two-thirds or more depending on age and index - with the highest gingivitis prevalence in those under 35 years (about 52.9%) and in eastern India (about 74.3%). Poor oral-hygiene practice underlies this burden: in a study of Indian adults only about 29% brushed twice daily, roughly 1% used dental floss, and about 73% had not visited a dentist in the preceding five years, so plaque accumulation and gingival bleeding are near-universal. Gingivitis matters less for itself - it is fully reversible - than as the precursor to irreversible periodontitis and for its well-established bidirectional link with diabetes.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Gingivitis is a clinical diagnosis made on inspection and gentle periodontal probing; no laboratory test is required, though blood glucose or vitamin C may be checked when a systemic modifier is suspected. The following clinical criteria are used (based on the 2017 World Workshop classification):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Bleeding on probing (BOP) is the key objective sign - a gingivitis case on an intact periodontium is defined as BOP at 10% or more of sites (localised 10-30%, generalised more than 30%).</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signs of inflammation: marginal redness (erythema), swelling/oedema, loss of the normal knife-edge margin and stippling, and a glossy, soft gingival surface.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 clinical attachment loss and no radiographic alveolar bone loss - this is what distinguishes gingivitis from periodontitis; on a reduced but stable periodontium there must be no new attachment loss.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Any probing depth increase is due to gingival swelling only (pseudo-pockets, usually 3 mm or less) and not to true attachment loss.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Plaque and calculus deposits are demonstrable at the gingival margin and correlate with the distribution of inflammation.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Standardised indices - the Gingival Index (Loe &amp; Silness), a plaque index, and percentage bleeding on probing - are used to grade severity and to confirm reversibility after plaque control.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Following the 2017 World Workshop on the Classification of Periodontal and Peri-implant Diseases, gingival conditions are grouped as follows:</w:t>
      </w:r>
    </w:p>
    <w:p>
      <w:pPr>
        <w:spacing w:before="0" w:after="80"/>
      </w:pPr>
      <w:r>
        <w:rPr>
          <w:rFonts w:ascii="Calibri" w:hAnsi="Calibri"/>
          <w:b w:val="0"/>
          <w:i w:val="0"/>
          <w:color w:val="212121"/>
          <w:sz w:val="21"/>
        </w:rPr>
        <w:t>(1) Dental biofilm-induced gingivitis - the common, plaque-related form; it is sub-divided into gingivitis on an intact periodontium and gingivitis on a reduced periodontium (in a non-periodontitis patient or a successfully treated, stable periodontitis patient).</w:t>
      </w:r>
    </w:p>
    <w:p>
      <w:pPr>
        <w:spacing w:before="0" w:after="80"/>
      </w:pPr>
      <w:r>
        <w:rPr>
          <w:rFonts w:ascii="Calibri" w:hAnsi="Calibri"/>
          <w:b w:val="0"/>
          <w:i w:val="0"/>
          <w:color w:val="212121"/>
          <w:sz w:val="21"/>
        </w:rPr>
        <w:t>(2) Biofilm-induced gingivitis modified by systemic or local factors - especially sex-steroid hormones (puberty, menstrual cycle, pregnancy gingivitis, oral contraceptives), hyperglycaemia/diabetes, leukaemia, smoking, malnutrition (vitamin C deficiency), and drug-influenced gingival enlargement (phenytoin, cyclosporine, calcium-channel blockers such as nifedipine and amlodipine).</w:t>
      </w:r>
    </w:p>
    <w:p>
      <w:pPr>
        <w:spacing w:before="0" w:after="80"/>
      </w:pPr>
      <w:r>
        <w:rPr>
          <w:rFonts w:ascii="Calibri" w:hAnsi="Calibri"/>
          <w:b w:val="0"/>
          <w:i w:val="0"/>
          <w:color w:val="212121"/>
          <w:sz w:val="21"/>
        </w:rPr>
        <w:t>(3) Non-plaque-induced gingival diseases - genetic conditions (hereditary gingival fibromatosis), specific infections (primary herpetic gingivostomatitis, necrotising gingivitis), immune-inflammatory and mucocutaneous disorders (lichen planus, pemphigoid), reactive/neoplastic lesions, nutritional deficiency (scurvy), and traumatic or foreign-body reactions.</w:t>
      </w:r>
    </w:p>
    <w:p>
      <w:pPr>
        <w:spacing w:before="0" w:after="80"/>
      </w:pPr>
      <w:r>
        <w:rPr>
          <w:rFonts w:ascii="Calibri" w:hAnsi="Calibri"/>
          <w:b w:val="0"/>
          <w:i w:val="0"/>
          <w:color w:val="212121"/>
          <w:sz w:val="21"/>
        </w:rPr>
        <w:t>(4) By extent and severity in practice: acute versus chronic; localised (less than 30% of sites) versus generalised (more than 30% of sites); and mild, moderate or severe graded on the gingival index and bleeding score.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Dental plaque biofilm: The primary cause. Bacterial accumulation at the gingival margin triggers a host inflammatory response; classic experimental studies showed that stopping oral hygiene produces gingivitis within about 10-21 days and that it fully reverses once plaque is removed.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Poor oral hygiene: Infrequent or ineffective brushing and an absence of interdental cleaning allow plaque and calculus (tartar) to build up along and between the teeth.</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Local plaque-retentive factors: Calculus, overhanging or defective restorations, crowded/malaligned teeth, fixed orthodontic appliances, ill-fitting dentures, mouth breathing and a dry mouth all retain plaque and worsen inflammation.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Hormonal changes: Puberty, the menstrual cycle, pregnancy and oral contraceptives exaggerate the gingival response to the same amount of plaque.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Tobacco and smoking: Alter the host response and the subgingival microbiome; nicotine-induced vasoconstriction paradoxically masks bleeding, so disease is often hidden and under-treated.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Systemic modifiers: Diabetes/hyperglycaemia, immunosuppression (HIV, transplant, chemotherapy) and leukaemia amplify the inflammatory response and can cause gingival enlargement or spontaneous bleeding.</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Nutritional deficiency: Vitamin C (ascorbic acid) deficiency weakens gingival collagen and capillaries, causing swollen, spongy, bleeding gums (scurvy).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Plaque-induced gingivitis is extremely common across adult life because plaque re-forms continuously and most adults clean their teeth imperfectly. It is fully reversible but, if neglected, is the gateway to irreversible periodontitis.</w:t>
            </w:r>
          </w:p>
          <w:p>
            <w:pPr>
              <w:spacing w:after="40" w:before="60" w:line="259" w:lineRule="auto"/>
            </w:pPr>
            <w:r>
              <w:rPr>
                <w:rFonts w:ascii="Calibri" w:hAnsi="Calibri"/>
                <w:b w:val="0"/>
                <w:i w:val="0"/>
                <w:color w:val="212121"/>
                <w:sz w:val="19"/>
              </w:rPr>
              <w:t>A national systematic review and meta-analysis estimated gingivitis in about 46.6% of Indian adults and any periodontal involvement in about 51%.</w:t>
            </w:r>
          </w:p>
          <w:p>
            <w:pPr>
              <w:spacing w:after="40" w:line="252" w:lineRule="auto"/>
            </w:pPr>
            <w:hyperlink r:id="rId9">
              <w:r>
                <w:rPr>
                  <w:rFonts w:ascii="Calibri" w:hAnsi="Calibri" w:cs="Calibri"/>
                  <w:sz w:val="18"/>
                  <w:color w:val="1155CC"/>
                  <w:u w:val="single"/>
                </w:rPr>
                <w:t xml:space="preserve">pmc.ncbi.nlm.nih.gov/PMC7649635 - periodontal disease in Indian adults (meta-analysis)</w:t>
              </w:r>
            </w:hyperlink>
          </w:p>
          <w:p>
            <w:pPr>
              <w:spacing w:before="60" w:after="40"/>
            </w:pPr>
            <w:r>
              <w:rPr>
                <w:rFonts w:ascii="Calibri" w:hAnsi="Calibri"/>
                <w:b w:val="0"/>
                <w:i w:val="0"/>
                <w:color w:val="5A5A5A"/>
                <w:sz w:val="18"/>
              </w:rPr>
              <w:t>#gingivitis  #plaque  #bleedinggums  #reversible  #oralhygiene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With age, cumulative plaque and calculus, gingival recession, dry mouth from medications, and reduced manual dexterity increase gingival inflammation, often superimposed on a periodontium already reduced by past disease.</w:t>
            </w:r>
          </w:p>
          <w:p>
            <w:pPr>
              <w:spacing w:after="40" w:before="60" w:line="259" w:lineRule="auto"/>
            </w:pPr>
            <w:r>
              <w:rPr>
                <w:rFonts w:ascii="Calibri" w:hAnsi="Calibri"/>
                <w:b w:val="0"/>
                <w:i w:val="0"/>
                <w:color w:val="212121"/>
                <w:sz w:val="19"/>
              </w:rPr>
              <w:t>Severe periodontitis (to which longstanding gingival inflammation contributes) is highest in Indians aged 65 and over, at about 32.7%.</w:t>
            </w:r>
          </w:p>
          <w:p>
            <w:pPr>
              <w:spacing w:after="40" w:line="252" w:lineRule="auto"/>
            </w:pPr>
            <w:hyperlink r:id="rId9">
              <w:r>
                <w:rPr>
                  <w:rFonts w:ascii="Calibri" w:hAnsi="Calibri" w:cs="Calibri"/>
                  <w:sz w:val="18"/>
                  <w:color w:val="1155CC"/>
                  <w:u w:val="single"/>
                </w:rPr>
                <w:t xml:space="preserve">pmc.ncbi.nlm.nih.gov/PMC7649635 - periodontal disease by age (India)</w:t>
              </w:r>
            </w:hyperlink>
          </w:p>
          <w:p>
            <w:pPr>
              <w:spacing w:before="60" w:after="40"/>
            </w:pPr>
            <w:r>
              <w:rPr>
                <w:rFonts w:ascii="Calibri" w:hAnsi="Calibri"/>
                <w:b w:val="0"/>
                <w:i w:val="0"/>
                <w:color w:val="5A5A5A"/>
                <w:sz w:val="18"/>
              </w:rPr>
              <w:t>#ageing  #drymouth  #recession  #reducedperiodontium</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tend to have poorer oral-hygiene habits and far higher tobacco use than women, which raises their burden of gum disease and its progression to periodontitis.</w:t>
            </w:r>
          </w:p>
          <w:p>
            <w:pPr>
              <w:spacing w:after="40" w:before="60" w:line="259" w:lineRule="auto"/>
            </w:pPr>
            <w:r>
              <w:rPr>
                <w:rFonts w:ascii="Calibri" w:hAnsi="Calibri"/>
                <w:b w:val="0"/>
                <w:i w:val="0"/>
                <w:color w:val="212121"/>
                <w:sz w:val="19"/>
              </w:rPr>
              <w:t>In Indian data periodontitis is more prevalent in men (about 42.2%) than women (about 34.4%), and tobacco use in men (42.4%) is roughly three times that in women.</w:t>
            </w:r>
          </w:p>
          <w:p>
            <w:pPr>
              <w:spacing w:after="40" w:line="252" w:lineRule="auto"/>
            </w:pPr>
            <w:hyperlink r:id="rId9">
              <w:r>
                <w:rPr>
                  <w:rFonts w:ascii="Calibri" w:hAnsi="Calibri" w:cs="Calibri"/>
                  <w:sz w:val="18"/>
                  <w:color w:val="1155CC"/>
                  <w:u w:val="single"/>
                </w:rPr>
                <w:t xml:space="preserve">pmc.ncbi.nlm.nih.gov/PMC7649635 - sex differences in periodontal disease (India)</w:t>
              </w:r>
            </w:hyperlink>
          </w:p>
          <w:p>
            <w:pPr>
              <w:spacing w:before="60" w:after="40"/>
            </w:pPr>
            <w:r>
              <w:rPr>
                <w:rFonts w:ascii="Calibri" w:hAnsi="Calibri"/>
                <w:b w:val="0"/>
                <w:i w:val="0"/>
                <w:color w:val="5A5A5A"/>
                <w:sz w:val="18"/>
              </w:rPr>
              <w:t>#malerisk  #tobacco  #poorhygiene  #periodontitis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(hormonal phases)</w:t>
            </w:r>
          </w:p>
        </w:tc>
        <w:tc>
          <w:tcPr>
            <w:tcW w:type="dxa" w:w="4276"/>
            <w:vAlign w:val="top"/>
          </w:tcPr>
          <w:p>
            <w:pPr>
              <w:spacing w:after="60" w:line="259" w:lineRule="auto"/>
            </w:pPr>
            <w:r>
              <w:rPr>
                <w:rFonts w:ascii="Calibri" w:hAnsi="Calibri"/>
                <w:b w:val="0"/>
                <w:i w:val="0"/>
                <w:color w:val="212121"/>
                <w:sz w:val="19"/>
              </w:rPr>
              <w:t>Fluctuating oestrogen and progesterone at puberty, during the menstrual cycle and with oral contraceptives exaggerate the gingival response to plaque, so women can show marked inflammation even with modest plaque.</w:t>
            </w:r>
          </w:p>
          <w:p>
            <w:pPr>
              <w:spacing w:after="40" w:before="60" w:line="259" w:lineRule="auto"/>
            </w:pPr>
            <w:r>
              <w:rPr>
                <w:rFonts w:ascii="Calibri" w:hAnsi="Calibri"/>
                <w:b w:val="0"/>
                <w:i w:val="0"/>
                <w:color w:val="212121"/>
                <w:sz w:val="19"/>
              </w:rPr>
              <w:t>Among Indian studies reporting sex-specific gingivitis, prevalence was high in both sexes and marginally higher in women (about 77.3%) than men (about 75.0%), reflecting hormonal modulation of the gingival response.</w:t>
            </w:r>
          </w:p>
          <w:p>
            <w:pPr>
              <w:spacing w:after="40" w:line="252" w:lineRule="auto"/>
            </w:pPr>
            <w:hyperlink r:id="rId9">
              <w:r>
                <w:rPr>
                  <w:rFonts w:ascii="Calibri" w:hAnsi="Calibri" w:cs="Calibri"/>
                  <w:sz w:val="18"/>
                  <w:color w:val="1155CC"/>
                  <w:u w:val="single"/>
                </w:rPr>
                <w:t xml:space="preserve">pmc.ncbi.nlm.nih.gov/PMC7649635 - gingivitis by sex (India)</w:t>
              </w:r>
            </w:hyperlink>
          </w:p>
          <w:p>
            <w:pPr>
              <w:spacing w:before="60" w:after="40"/>
            </w:pPr>
            <w:r>
              <w:rPr>
                <w:rFonts w:ascii="Calibri" w:hAnsi="Calibri"/>
                <w:b w:val="0"/>
                <w:i w:val="0"/>
                <w:color w:val="5A5A5A"/>
                <w:sz w:val="18"/>
              </w:rPr>
              <w:t>#hormonal  #oestrogen  #progesterone  #puberty  #contraceptives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socioeconomic status</w:t>
            </w:r>
          </w:p>
        </w:tc>
        <w:tc>
          <w:tcPr>
            <w:tcW w:type="dxa" w:w="4276"/>
            <w:vAlign w:val="top"/>
          </w:tcPr>
          <w:p>
            <w:pPr>
              <w:spacing w:after="60" w:line="259" w:lineRule="auto"/>
            </w:pPr>
            <w:r>
              <w:rPr>
                <w:rFonts w:ascii="Calibri" w:hAnsi="Calibri"/>
                <w:b w:val="0"/>
                <w:i w:val="0"/>
                <w:color w:val="212121"/>
                <w:sz w:val="19"/>
              </w:rPr>
              <w:t>Lower income and education are linked to less frequent brushing, limited access to dental care and higher tobacco use, all of which increase plaque accumulation and gingival inflammation.</w:t>
            </w:r>
          </w:p>
          <w:p>
            <w:pPr>
              <w:spacing w:after="40" w:before="60" w:line="259" w:lineRule="auto"/>
            </w:pPr>
            <w:r>
              <w:rPr>
                <w:rFonts w:ascii="Calibri" w:hAnsi="Calibri"/>
                <w:b w:val="0"/>
                <w:i w:val="0"/>
                <w:color w:val="212121"/>
                <w:sz w:val="19"/>
              </w:rPr>
              <w:t>Gingivitis is reported more frequently among people of lower socioeconomic status, in whom preventive dental care and oral-hygiene resources are least available.</w:t>
            </w:r>
          </w:p>
          <w:p>
            <w:pPr>
              <w:spacing w:after="40" w:line="252" w:lineRule="auto"/>
            </w:pPr>
            <w:hyperlink r:id="rId10">
              <w:r>
                <w:rPr>
                  <w:rFonts w:ascii="Calibri" w:hAnsi="Calibri" w:cs="Calibri"/>
                  <w:sz w:val="18"/>
                  <w:color w:val="1155CC"/>
                  <w:u w:val="single"/>
                </w:rPr>
                <w:t xml:space="preserve">ncbi.nlm.nih.gov - Gingivitis (StatPearls)</w:t>
              </w:r>
            </w:hyperlink>
          </w:p>
          <w:p>
            <w:pPr>
              <w:spacing w:before="60" w:after="40"/>
            </w:pPr>
            <w:r>
              <w:rPr>
                <w:rFonts w:ascii="Calibri" w:hAnsi="Calibri"/>
                <w:b w:val="0"/>
                <w:i w:val="0"/>
                <w:color w:val="5A5A5A"/>
                <w:sz w:val="18"/>
              </w:rPr>
              <w:t>#socioeconomic  #accesstocare  #preventiveneglect  #healthinequity</w:t>
            </w:r>
          </w:p>
        </w:tc>
      </w:tr>
      <w:tr>
        <w:trPr>
          <w:cantSplit/>
        </w:trPr>
        <w:tc>
          <w:tcPr>
            <w:tcW w:type="dxa" w:w="1512"/>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Indian adults (eastern and younger populations)</w:t>
            </w:r>
          </w:p>
        </w:tc>
        <w:tc>
          <w:tcPr>
            <w:tcW w:type="dxa" w:w="4276"/>
            <w:vAlign w:val="top"/>
          </w:tcPr>
          <w:p>
            <w:pPr>
              <w:spacing w:after="60" w:line="259" w:lineRule="auto"/>
            </w:pPr>
            <w:r>
              <w:rPr>
                <w:rFonts w:ascii="Calibri" w:hAnsi="Calibri"/>
                <w:b w:val="0"/>
                <w:i w:val="0"/>
                <w:color w:val="212121"/>
                <w:sz w:val="19"/>
              </w:rPr>
              <w:t>Regional differences in diet, tobacco/areca-nut habits, water fluoridation and access to dental care produce wide variation in gum-disease burden across India, with especially high gingivitis in the east and in younger adults.</w:t>
            </w:r>
          </w:p>
          <w:p>
            <w:pPr>
              <w:spacing w:after="40" w:before="60" w:line="259" w:lineRule="auto"/>
            </w:pPr>
            <w:r>
              <w:rPr>
                <w:rFonts w:ascii="Calibri" w:hAnsi="Calibri"/>
                <w:b w:val="0"/>
                <w:i w:val="0"/>
                <w:color w:val="212121"/>
                <w:sz w:val="19"/>
              </w:rPr>
              <w:t>In the Indian meta-analysis gingivitis was highest in eastern India (about 74.3%) and in adults under 35 years (about 52.9%).</w:t>
            </w:r>
          </w:p>
          <w:p>
            <w:pPr>
              <w:spacing w:after="40" w:line="252" w:lineRule="auto"/>
            </w:pPr>
            <w:hyperlink r:id="rId9">
              <w:r>
                <w:rPr>
                  <w:rFonts w:ascii="Calibri" w:hAnsi="Calibri" w:cs="Calibri"/>
                  <w:sz w:val="18"/>
                  <w:color w:val="1155CC"/>
                  <w:u w:val="single"/>
                </w:rPr>
                <w:t xml:space="preserve">pmc.ncbi.nlm.nih.gov/PMC7649635 - regional gingivitis prevalence (India)</w:t>
              </w:r>
            </w:hyperlink>
          </w:p>
          <w:p>
            <w:pPr>
              <w:spacing w:before="60" w:after="40"/>
            </w:pPr>
            <w:r>
              <w:rPr>
                <w:rFonts w:ascii="Calibri" w:hAnsi="Calibri"/>
                <w:b w:val="0"/>
                <w:i w:val="0"/>
                <w:color w:val="5A5A5A"/>
                <w:sz w:val="18"/>
              </w:rPr>
              <w:t>#regionalvariation  #easternindia  #youngadults  #arecanut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Oral hygiene</w:t>
            </w:r>
          </w:p>
        </w:tc>
        <w:tc>
          <w:tcPr>
            <w:tcW w:type="dxa" w:w="2160"/>
            <w:vAlign w:val="top"/>
          </w:tcPr>
          <w:p>
            <w:pPr>
              <w:spacing w:after="40" w:before="0" w:line="259" w:lineRule="auto"/>
            </w:pPr>
            <w:r>
              <w:rPr>
                <w:rFonts w:ascii="Calibri" w:hAnsi="Calibri"/>
                <w:b w:val="0"/>
                <w:i w:val="0"/>
                <w:color w:val="212121"/>
                <w:sz w:val="19"/>
              </w:rPr>
              <w:t>Infrequent brushers / no interdental cleaning</w:t>
            </w:r>
          </w:p>
        </w:tc>
        <w:tc>
          <w:tcPr>
            <w:tcW w:type="dxa" w:w="4276"/>
            <w:vAlign w:val="top"/>
          </w:tcPr>
          <w:p>
            <w:pPr>
              <w:spacing w:after="60" w:line="259" w:lineRule="auto"/>
            </w:pPr>
            <w:r>
              <w:rPr>
                <w:rFonts w:ascii="Calibri" w:hAnsi="Calibri"/>
                <w:b w:val="0"/>
                <w:i w:val="0"/>
                <w:color w:val="212121"/>
                <w:sz w:val="19"/>
              </w:rPr>
              <w:t>Oral hygiene is the single dominant determinant of plaque-induced gingivitis. Brushing less than twice daily and never cleaning between the teeth lets plaque mature at the gum margin and provoke inflammation.</w:t>
            </w:r>
          </w:p>
          <w:p>
            <w:pPr>
              <w:spacing w:after="40" w:before="60" w:line="259" w:lineRule="auto"/>
            </w:pPr>
            <w:r>
              <w:rPr>
                <w:rFonts w:ascii="Calibri" w:hAnsi="Calibri"/>
                <w:b w:val="0"/>
                <w:i w:val="0"/>
                <w:color w:val="212121"/>
                <w:sz w:val="19"/>
              </w:rPr>
              <w:t>In a study of Indian adults only about 29% brushed twice or more daily, roughly 1% used dental floss, and about 73% had not seen a dentist in the previous five years.</w:t>
            </w:r>
          </w:p>
          <w:p>
            <w:pPr>
              <w:spacing w:after="40" w:line="252" w:lineRule="auto"/>
            </w:pPr>
            <w:hyperlink r:id="rId11">
              <w:r>
                <w:rPr>
                  <w:rFonts w:ascii="Calibri" w:hAnsi="Calibri" w:cs="Calibri"/>
                  <w:sz w:val="18"/>
                  <w:color w:val="1155CC"/>
                  <w:u w:val="single"/>
                </w:rPr>
                <w:t xml:space="preserve">pmc.ncbi.nlm.nih.gov/PMC5839247 - oral-hygiene practices in Indian adults</w:t>
              </w:r>
            </w:hyperlink>
          </w:p>
          <w:p>
            <w:pPr>
              <w:spacing w:before="60" w:after="40"/>
            </w:pPr>
            <w:r>
              <w:rPr>
                <w:rFonts w:ascii="Calibri" w:hAnsi="Calibri"/>
                <w:b w:val="0"/>
                <w:i w:val="0"/>
                <w:color w:val="5A5A5A"/>
                <w:sz w:val="18"/>
              </w:rPr>
              <w:t>#oralhygiene  #brushing  #flossing  #plaquecontrol  #dentalneglect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Tobacco</w:t>
            </w:r>
          </w:p>
        </w:tc>
        <w:tc>
          <w:tcPr>
            <w:tcW w:type="dxa" w:w="2160"/>
            <w:vAlign w:val="top"/>
          </w:tcPr>
          <w:p>
            <w:pPr>
              <w:spacing w:after="40" w:before="0" w:line="259" w:lineRule="auto"/>
            </w:pPr>
            <w:r>
              <w:rPr>
                <w:rFonts w:ascii="Calibri" w:hAnsi="Calibri"/>
                <w:b w:val="0"/>
                <w:i w:val="0"/>
                <w:color w:val="212121"/>
                <w:sz w:val="19"/>
              </w:rPr>
              <w:t>Smokers and smokeless-tobacco (gutka, khaini) users</w:t>
            </w:r>
          </w:p>
        </w:tc>
        <w:tc>
          <w:tcPr>
            <w:tcW w:type="dxa" w:w="4276"/>
            <w:vAlign w:val="top"/>
          </w:tcPr>
          <w:p>
            <w:pPr>
              <w:spacing w:after="60" w:line="259" w:lineRule="auto"/>
            </w:pPr>
            <w:r>
              <w:rPr>
                <w:rFonts w:ascii="Calibri" w:hAnsi="Calibri"/>
                <w:b w:val="0"/>
                <w:i w:val="0"/>
                <w:color w:val="212121"/>
                <w:sz w:val="19"/>
              </w:rPr>
              <w:t>Tobacco impairs the gum's immune and vascular response and shifts the plaque microbiome. Nicotine-induced vasoconstriction reduces visible bleeding, so smokers often look healthier than they are and their gum disease is missed until it is advanced.</w:t>
            </w:r>
          </w:p>
          <w:p>
            <w:pPr>
              <w:spacing w:after="40" w:before="60" w:line="259" w:lineRule="auto"/>
            </w:pPr>
            <w:r>
              <w:rPr>
                <w:rFonts w:ascii="Calibri" w:hAnsi="Calibri"/>
                <w:b w:val="0"/>
                <w:i w:val="0"/>
                <w:color w:val="212121"/>
                <w:sz w:val="19"/>
              </w:rPr>
              <w:t>About 28.6% of Indian adults use tobacco (42.4% of men), including 21.4% who use smokeless tobacco - a major, and often bleeding-masked, driver of gum disease.</w:t>
            </w:r>
          </w:p>
          <w:p>
            <w:pPr>
              <w:spacing w:after="40" w:line="252" w:lineRule="auto"/>
            </w:pPr>
            <w:hyperlink r:id="rId12">
              <w:r>
                <w:rPr>
                  <w:rFonts w:ascii="Calibri" w:hAnsi="Calibri" w:cs="Calibri"/>
                  <w:sz w:val="18"/>
                  <w:color w:val="1155CC"/>
                  <w:u w:val="single"/>
                </w:rPr>
                <w:t xml:space="preserve">ntcp.mohfw.gov.in - Global Adult Tobacco Survey (GATS-2) India 2016-17</w:t>
              </w:r>
            </w:hyperlink>
          </w:p>
          <w:p>
            <w:pPr>
              <w:spacing w:before="60" w:after="40"/>
            </w:pPr>
            <w:r>
              <w:rPr>
                <w:rFonts w:ascii="Calibri" w:hAnsi="Calibri"/>
                <w:b w:val="0"/>
                <w:i w:val="0"/>
                <w:color w:val="5A5A5A"/>
                <w:sz w:val="18"/>
              </w:rPr>
              <w:t>#smoking  #tobacco  #gutka  #maskedbleeding  #vasoconstriction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and heavy drinkers</w:t>
            </w:r>
          </w:p>
        </w:tc>
        <w:tc>
          <w:tcPr>
            <w:tcW w:type="dxa" w:w="4276"/>
            <w:vAlign w:val="top"/>
          </w:tcPr>
          <w:p>
            <w:pPr>
              <w:spacing w:after="60" w:line="259" w:lineRule="auto"/>
            </w:pPr>
            <w:r>
              <w:rPr>
                <w:rFonts w:ascii="Calibri" w:hAnsi="Calibri"/>
                <w:b w:val="0"/>
                <w:i w:val="0"/>
                <w:color w:val="212121"/>
                <w:sz w:val="19"/>
              </w:rPr>
              <w:t>Heavy alcohol use is associated with poorer oral hygiene, a drier mouth and a heightened inflammatory response, all of which worsen gingival bleeding and inflammation; it also frequently coexists with tobacco use.</w:t>
            </w:r>
          </w:p>
          <w:p>
            <w:pPr>
              <w:spacing w:after="40" w:before="60" w:line="259" w:lineRule="auto"/>
            </w:pPr>
            <w:r>
              <w:rPr>
                <w:rFonts w:ascii="Calibri" w:hAnsi="Calibri"/>
                <w:b w:val="0"/>
                <w:i w:val="0"/>
                <w:color w:val="212121"/>
                <w:sz w:val="19"/>
              </w:rPr>
              <w:t>Regular heavy drinking correlates with more gingival inflammation and bleeding, partly through neglected oral hygiene and reduced salivary protection.</w:t>
            </w:r>
          </w:p>
          <w:p>
            <w:pPr>
              <w:spacing w:before="60" w:after="40"/>
            </w:pPr>
            <w:r>
              <w:rPr>
                <w:rFonts w:ascii="Calibri" w:hAnsi="Calibri"/>
                <w:b w:val="0"/>
                <w:i w:val="0"/>
                <w:color w:val="5A5A5A"/>
                <w:sz w:val="18"/>
              </w:rPr>
              <w:t>#alcohol  #drymouth  #poorhygiene  #inflammation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Vitamin C-poor and high-sugar diets</w:t>
            </w:r>
          </w:p>
        </w:tc>
        <w:tc>
          <w:tcPr>
            <w:tcW w:type="dxa" w:w="4276"/>
            <w:vAlign w:val="top"/>
          </w:tcPr>
          <w:p>
            <w:pPr>
              <w:spacing w:after="60" w:line="259" w:lineRule="auto"/>
            </w:pPr>
            <w:r>
              <w:rPr>
                <w:rFonts w:ascii="Calibri" w:hAnsi="Calibri"/>
                <w:b w:val="0"/>
                <w:i w:val="0"/>
                <w:color w:val="212121"/>
                <w:sz w:val="19"/>
              </w:rPr>
              <w:t>Frequent sugary snacks and drinks feed plaque bacteria, while a diet low in fresh fruit and vegetables can leave vitamin C insufficient; ascorbic acid is essential for gingival collagen, and its deficiency causes swollen, spongy, bleeding gums.</w:t>
            </w:r>
          </w:p>
          <w:p>
            <w:pPr>
              <w:spacing w:after="40" w:before="60" w:line="259" w:lineRule="auto"/>
            </w:pPr>
            <w:r>
              <w:rPr>
                <w:rFonts w:ascii="Calibri" w:hAnsi="Calibri"/>
                <w:b w:val="0"/>
                <w:i w:val="0"/>
                <w:color w:val="212121"/>
                <w:sz w:val="19"/>
              </w:rPr>
              <w:t>Vitamin C is a cofactor for the enzymes that build and cross-link gingival collagen; deficiency causes gingivitis with bleeding, and daily requirements are about 90 mg for men and 75 mg for women (35 mg more for smokers).</w:t>
            </w:r>
          </w:p>
          <w:p>
            <w:pPr>
              <w:spacing w:after="40" w:line="252" w:lineRule="auto"/>
            </w:pPr>
            <w:hyperlink r:id="rId13">
              <w:r>
                <w:rPr>
                  <w:rFonts w:ascii="Calibri" w:hAnsi="Calibri" w:cs="Calibri"/>
                  <w:sz w:val="18"/>
                  <w:color w:val="1155CC"/>
                  <w:u w:val="single"/>
                </w:rPr>
                <w:t xml:space="preserve">ncbi.nlm.nih.gov - Vitamin C Deficiency (StatPearls)</w:t>
              </w:r>
            </w:hyperlink>
          </w:p>
          <w:p>
            <w:pPr>
              <w:spacing w:before="60" w:after="40"/>
            </w:pPr>
            <w:r>
              <w:rPr>
                <w:rFonts w:ascii="Calibri" w:hAnsi="Calibri"/>
                <w:b w:val="0"/>
                <w:i w:val="0"/>
                <w:color w:val="5A5A5A"/>
                <w:sz w:val="18"/>
              </w:rPr>
              <w:t>#vitaminC  #scurvy  #sugar  #collagen  #nutrition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Hereditary gingival fibromatosis / hyper-responders</w:t>
            </w:r>
          </w:p>
        </w:tc>
        <w:tc>
          <w:tcPr>
            <w:tcW w:type="dxa" w:w="4276"/>
            <w:vAlign w:val="top"/>
          </w:tcPr>
          <w:p>
            <w:pPr>
              <w:spacing w:after="60" w:line="259" w:lineRule="auto"/>
            </w:pPr>
            <w:r>
              <w:rPr>
                <w:rFonts w:ascii="Calibri" w:hAnsi="Calibri"/>
                <w:b w:val="0"/>
                <w:i w:val="0"/>
                <w:color w:val="212121"/>
                <w:sz w:val="19"/>
              </w:rPr>
              <w:t>A minority of people are genetically hyper-responsive to plaque or carry hereditary gingival fibromatosis, in which the gums enlarge and inflame readily; a family history of early tooth loss suggests an inherited susceptibility to gum disease.</w:t>
            </w:r>
          </w:p>
          <w:p>
            <w:pPr>
              <w:spacing w:after="40" w:before="60" w:line="259" w:lineRule="auto"/>
            </w:pPr>
            <w:r>
              <w:rPr>
                <w:rFonts w:ascii="Calibri" w:hAnsi="Calibri"/>
                <w:b w:val="0"/>
                <w:i w:val="0"/>
                <w:color w:val="212121"/>
                <w:sz w:val="19"/>
              </w:rPr>
              <w:t>Hereditary gingival fibromatosis is a rare inherited cause of gingival overgrowth and inflammation, and familial clustering of severe gum disease reflects genetic differences in the host inflammatory response.</w:t>
            </w:r>
          </w:p>
          <w:p>
            <w:pPr>
              <w:spacing w:before="60" w:after="40"/>
            </w:pPr>
            <w:r>
              <w:rPr>
                <w:rFonts w:ascii="Calibri" w:hAnsi="Calibri"/>
                <w:b w:val="0"/>
                <w:i w:val="0"/>
                <w:color w:val="5A5A5A"/>
                <w:sz w:val="18"/>
              </w:rPr>
              <w:t>#genetic  #fibromatosis  #familyhistory  #hostresponse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 (especially poorly controlled)</w:t>
            </w:r>
          </w:p>
        </w:tc>
        <w:tc>
          <w:tcPr>
            <w:tcW w:type="dxa" w:w="4276"/>
            <w:vAlign w:val="top"/>
          </w:tcPr>
          <w:p>
            <w:pPr>
              <w:spacing w:after="60" w:line="259" w:lineRule="auto"/>
            </w:pPr>
            <w:r>
              <w:rPr>
                <w:rFonts w:ascii="Calibri" w:hAnsi="Calibri"/>
                <w:b w:val="0"/>
                <w:i w:val="0"/>
                <w:color w:val="212121"/>
                <w:sz w:val="19"/>
              </w:rPr>
              <w:t>Hyperglycaemia amplifies the gingival inflammatory response through advanced glycation end-products (AGEs) and pro-inflammatory cytokines, while gum inflammation in turn worsens insulin resistance - a true two-way (bidirectional) relationship.</w:t>
            </w:r>
          </w:p>
          <w:p>
            <w:pPr>
              <w:spacing w:after="40" w:before="60" w:line="259" w:lineRule="auto"/>
            </w:pPr>
            <w:r>
              <w:rPr>
                <w:rFonts w:ascii="Calibri" w:hAnsi="Calibri"/>
                <w:b w:val="0"/>
                <w:i w:val="0"/>
                <w:color w:val="212121"/>
                <w:sz w:val="19"/>
              </w:rPr>
              <w:t>People with poorly controlled diabetes have a 2-3 times higher risk of periodontitis, treating gum disease lowers HbA1c by about 0.4%, and periodontal disease is regarded as the sixth complication of diabetes.</w:t>
            </w:r>
          </w:p>
          <w:p>
            <w:pPr>
              <w:spacing w:after="40" w:line="252" w:lineRule="auto"/>
            </w:pPr>
            <w:hyperlink r:id="rId14">
              <w:r>
                <w:rPr>
                  <w:rFonts w:ascii="Calibri" w:hAnsi="Calibri" w:cs="Calibri"/>
                  <w:sz w:val="18"/>
                  <w:color w:val="1155CC"/>
                  <w:u w:val="single"/>
                </w:rPr>
                <w:t xml:space="preserve">mdpi.com - bidirectional link between periodontal disease and diabetes</w:t>
              </w:r>
            </w:hyperlink>
          </w:p>
          <w:p>
            <w:pPr>
              <w:spacing w:before="60" w:after="40"/>
            </w:pPr>
            <w:r>
              <w:rPr>
                <w:rFonts w:ascii="Calibri" w:hAnsi="Calibri"/>
                <w:b w:val="0"/>
                <w:i w:val="0"/>
                <w:color w:val="5A5A5A"/>
                <w:sz w:val="18"/>
              </w:rPr>
              <w:t>#diabetes  #bidirectional  #HbA1c  #AGEs  #sixthcomplication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w:t>
            </w:r>
          </w:p>
        </w:tc>
        <w:tc>
          <w:tcPr>
            <w:tcW w:type="dxa" w:w="4276"/>
            <w:vAlign w:val="top"/>
          </w:tcPr>
          <w:p>
            <w:pPr>
              <w:spacing w:after="60" w:line="259" w:lineRule="auto"/>
            </w:pPr>
            <w:r>
              <w:rPr>
                <w:rFonts w:ascii="Calibri" w:hAnsi="Calibri"/>
                <w:b w:val="0"/>
                <w:i w:val="0"/>
                <w:color w:val="212121"/>
                <w:sz w:val="19"/>
              </w:rPr>
              <w:t>Raised oestrogen and progesterone increase gingival vascularity and exaggerate the response to plaque, so pre-existing gingivitis flares. Occasionally a localised overgrowth (pregnancy tumour / pyogenic granuloma) develops, usually receding after delivery.</w:t>
            </w:r>
          </w:p>
          <w:p>
            <w:pPr>
              <w:spacing w:after="40" w:before="60" w:line="259" w:lineRule="auto"/>
            </w:pPr>
            <w:r>
              <w:rPr>
                <w:rFonts w:ascii="Calibri" w:hAnsi="Calibri"/>
                <w:b w:val="0"/>
                <w:i w:val="0"/>
                <w:color w:val="212121"/>
                <w:sz w:val="19"/>
              </w:rPr>
              <w:t>Pregnancy gingivitis affects about 60-75% of pregnant women, about half of those with pre-existing gingivitis worsen, and pregnancy tumours occur in up to 5% of pregnancies.</w:t>
            </w:r>
          </w:p>
          <w:p>
            <w:pPr>
              <w:spacing w:after="40" w:line="252" w:lineRule="auto"/>
            </w:pPr>
            <w:hyperlink r:id="rId15">
              <w:r>
                <w:rPr>
                  <w:rFonts w:ascii="Calibri" w:hAnsi="Calibri" w:cs="Calibri"/>
                  <w:sz w:val="18"/>
                  <w:color w:val="1155CC"/>
                  <w:u w:val="single"/>
                </w:rPr>
                <w:t xml:space="preserve">aafp.org - Oral Health During Pregnancy (AFP)</w:t>
              </w:r>
            </w:hyperlink>
          </w:p>
          <w:p>
            <w:pPr>
              <w:spacing w:before="60" w:after="40"/>
            </w:pPr>
            <w:r>
              <w:rPr>
                <w:rFonts w:ascii="Calibri" w:hAnsi="Calibri"/>
                <w:b w:val="0"/>
                <w:i w:val="0"/>
                <w:color w:val="5A5A5A"/>
                <w:sz w:val="18"/>
              </w:rPr>
              <w:t>#pregnancygingivitis  #hormonal  #pregnancytumour  #pyogenicgranuloma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Leukaemia, HIV, transplant and chemotherapy patients</w:t>
            </w:r>
          </w:p>
        </w:tc>
        <w:tc>
          <w:tcPr>
            <w:tcW w:type="dxa" w:w="4276"/>
            <w:vAlign w:val="top"/>
          </w:tcPr>
          <w:p>
            <w:pPr>
              <w:spacing w:after="60" w:line="259" w:lineRule="auto"/>
            </w:pPr>
            <w:r>
              <w:rPr>
                <w:rFonts w:ascii="Calibri" w:hAnsi="Calibri"/>
                <w:b w:val="0"/>
                <w:i w:val="0"/>
                <w:color w:val="212121"/>
                <w:sz w:val="19"/>
              </w:rPr>
              <w:t>Impaired immunity and abnormal white cells change how the gums respond to plaque, causing swollen, spontaneously bleeding or ulcerated gingiva; gingival enlargement and bleeding can even be a presenting sign of leukaemia.</w:t>
            </w:r>
          </w:p>
          <w:p>
            <w:pPr>
              <w:spacing w:after="40" w:before="60" w:line="259" w:lineRule="auto"/>
            </w:pPr>
            <w:r>
              <w:rPr>
                <w:rFonts w:ascii="Calibri" w:hAnsi="Calibri"/>
                <w:b w:val="0"/>
                <w:i w:val="0"/>
                <w:color w:val="212121"/>
                <w:sz w:val="19"/>
              </w:rPr>
              <w:t>Immunocompromised patients are prone to florid gingival inflammation, enlargement and necrotising gingival disease, sometimes out of proportion to the amount of plaque present.</w:t>
            </w:r>
          </w:p>
          <w:p>
            <w:pPr>
              <w:spacing w:before="60" w:after="40"/>
            </w:pPr>
            <w:r>
              <w:rPr>
                <w:rFonts w:ascii="Calibri" w:hAnsi="Calibri"/>
                <w:b w:val="0"/>
                <w:i w:val="0"/>
                <w:color w:val="5A5A5A"/>
                <w:sz w:val="18"/>
              </w:rPr>
              <w:t>#immunosuppression  #leukaemia  #HIV  #necrotising  #spontaneousbleeding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Drug-influenced</w:t>
            </w:r>
          </w:p>
        </w:tc>
        <w:tc>
          <w:tcPr>
            <w:tcW w:type="dxa" w:w="2160"/>
            <w:vAlign w:val="top"/>
          </w:tcPr>
          <w:p>
            <w:pPr>
              <w:spacing w:after="40" w:before="0" w:line="259" w:lineRule="auto"/>
            </w:pPr>
            <w:r>
              <w:rPr>
                <w:rFonts w:ascii="Calibri" w:hAnsi="Calibri"/>
                <w:b w:val="0"/>
                <w:i w:val="0"/>
                <w:color w:val="212121"/>
                <w:sz w:val="19"/>
              </w:rPr>
              <w:t>Patients on phenytoin, cyclosporine or calcium-channel blockers</w:t>
            </w:r>
          </w:p>
        </w:tc>
        <w:tc>
          <w:tcPr>
            <w:tcW w:type="dxa" w:w="4276"/>
            <w:vAlign w:val="top"/>
          </w:tcPr>
          <w:p>
            <w:pPr>
              <w:spacing w:after="60" w:line="259" w:lineRule="auto"/>
            </w:pPr>
            <w:r>
              <w:rPr>
                <w:rFonts w:ascii="Calibri" w:hAnsi="Calibri"/>
                <w:b w:val="0"/>
                <w:i w:val="0"/>
                <w:color w:val="212121"/>
                <w:sz w:val="19"/>
              </w:rPr>
              <w:t>Phenytoin (anticonvulsant), cyclosporine (immunosuppressant) and calcium-channel blockers (nifedipine, amlodipine) cause drug-influenced gingival overgrowth that traps plaque and inflames, worst where oral hygiene is poor.</w:t>
            </w:r>
          </w:p>
          <w:p>
            <w:pPr>
              <w:spacing w:after="40" w:before="60" w:line="259" w:lineRule="auto"/>
            </w:pPr>
            <w:r>
              <w:rPr>
                <w:rFonts w:ascii="Calibri" w:hAnsi="Calibri"/>
                <w:b w:val="0"/>
                <w:i w:val="0"/>
                <w:color w:val="212121"/>
                <w:sz w:val="19"/>
              </w:rPr>
              <w:t>Drug-influenced gingival enlargement is a recognised modifier of plaque-induced gingivitis; the degree of overgrowth is strongly reduced by meticulous plaque control.</w:t>
            </w:r>
          </w:p>
          <w:p>
            <w:pPr>
              <w:spacing w:before="60" w:after="40"/>
            </w:pPr>
            <w:r>
              <w:rPr>
                <w:rFonts w:ascii="Calibri" w:hAnsi="Calibri"/>
                <w:b w:val="0"/>
                <w:i w:val="0"/>
                <w:color w:val="5A5A5A"/>
                <w:sz w:val="18"/>
              </w:rPr>
              <w:t>#druginduced  #phenytoin  #cyclosporine  #amlodipine  #gingivalovergrowth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 / metabolic</w:t>
            </w:r>
          </w:p>
        </w:tc>
        <w:tc>
          <w:tcPr>
            <w:tcW w:type="dxa" w:w="2160"/>
            <w:vAlign w:val="top"/>
          </w:tcPr>
          <w:p>
            <w:pPr>
              <w:spacing w:after="40" w:before="0" w:line="259" w:lineRule="auto"/>
            </w:pPr>
            <w:r>
              <w:rPr>
                <w:rFonts w:ascii="Calibri" w:hAnsi="Calibri"/>
                <w:b w:val="0"/>
                <w:i w:val="0"/>
                <w:color w:val="212121"/>
                <w:sz w:val="19"/>
              </w:rPr>
              <w:t>Obese adults and metabolic syndrome</w:t>
            </w:r>
          </w:p>
        </w:tc>
        <w:tc>
          <w:tcPr>
            <w:tcW w:type="dxa" w:w="4276"/>
            <w:vAlign w:val="top"/>
          </w:tcPr>
          <w:p>
            <w:pPr>
              <w:spacing w:after="60" w:line="259" w:lineRule="auto"/>
            </w:pPr>
            <w:r>
              <w:rPr>
                <w:rFonts w:ascii="Calibri" w:hAnsi="Calibri"/>
                <w:b w:val="0"/>
                <w:i w:val="0"/>
                <w:color w:val="212121"/>
                <w:sz w:val="19"/>
              </w:rPr>
              <w:t>Adipose tissue in obesity releases pro-inflammatory adipokines and promotes insulin resistance, which heighten the gingival inflammatory response to plaque and are linked to more gingivitis and periodontitis.</w:t>
            </w:r>
          </w:p>
          <w:p>
            <w:pPr>
              <w:spacing w:after="40" w:before="60" w:line="259" w:lineRule="auto"/>
            </w:pPr>
            <w:r>
              <w:rPr>
                <w:rFonts w:ascii="Calibri" w:hAnsi="Calibri"/>
                <w:b w:val="0"/>
                <w:i w:val="0"/>
                <w:color w:val="212121"/>
                <w:sz w:val="19"/>
              </w:rPr>
              <w:t>Obesity and insulin resistance are associated with an increased risk and severity of gingival inflammation and periodontal disease.</w:t>
            </w:r>
          </w:p>
          <w:p>
            <w:pPr>
              <w:spacing w:before="60" w:after="40"/>
            </w:pPr>
            <w:r>
              <w:rPr>
                <w:rFonts w:ascii="Calibri" w:hAnsi="Calibri"/>
                <w:b w:val="0"/>
                <w:i w:val="0"/>
                <w:color w:val="5A5A5A"/>
                <w:sz w:val="18"/>
              </w:rPr>
              <w:t>#obesity  #adipokines  #insulinresistance  #metabolicsyndrome</w:t>
            </w:r>
          </w:p>
        </w:tc>
      </w:tr>
      <w:tr>
        <w:trPr>
          <w:cantSplit/>
        </w:trPr>
        <w:tc>
          <w:tcPr>
            <w:tcW w:type="dxa" w:w="1512"/>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Local plaque-retentive factors</w:t>
            </w:r>
          </w:p>
        </w:tc>
        <w:tc>
          <w:tcPr>
            <w:tcW w:type="dxa" w:w="2160"/>
            <w:vAlign w:val="top"/>
          </w:tcPr>
          <w:p>
            <w:pPr>
              <w:spacing w:after="40" w:before="0" w:line="259" w:lineRule="auto"/>
            </w:pPr>
            <w:r>
              <w:rPr>
                <w:rFonts w:ascii="Calibri" w:hAnsi="Calibri"/>
                <w:b w:val="0"/>
                <w:i w:val="0"/>
                <w:color w:val="212121"/>
                <w:sz w:val="19"/>
              </w:rPr>
              <w:t>Orthodontic-appliance wearers and crowded teeth</w:t>
            </w:r>
          </w:p>
        </w:tc>
        <w:tc>
          <w:tcPr>
            <w:tcW w:type="dxa" w:w="4276"/>
            <w:vAlign w:val="top"/>
          </w:tcPr>
          <w:p>
            <w:pPr>
              <w:spacing w:after="60" w:line="259" w:lineRule="auto"/>
            </w:pPr>
            <w:r>
              <w:rPr>
                <w:rFonts w:ascii="Calibri" w:hAnsi="Calibri"/>
                <w:b w:val="0"/>
                <w:i w:val="0"/>
                <w:color w:val="212121"/>
                <w:sz w:val="19"/>
              </w:rPr>
              <w:t>Fixed braces, crowded or malaligned teeth, overhanging fillings and ill-fitting dentures create plaque traps that are hard to clean, so gingivitis localises around these sites unless hygiene is intensified.</w:t>
            </w:r>
          </w:p>
          <w:p>
            <w:pPr>
              <w:spacing w:after="40" w:before="60" w:line="259" w:lineRule="auto"/>
            </w:pPr>
            <w:r>
              <w:rPr>
                <w:rFonts w:ascii="Calibri" w:hAnsi="Calibri"/>
                <w:b w:val="0"/>
                <w:i w:val="0"/>
                <w:color w:val="212121"/>
                <w:sz w:val="19"/>
              </w:rPr>
              <w:t>Plaque-retentive local factors localise and intensify gingival inflammation, which resolves when the retentive factor is corrected and plaque control improves.</w:t>
            </w:r>
          </w:p>
          <w:p>
            <w:pPr>
              <w:spacing w:before="60" w:after="40"/>
            </w:pPr>
            <w:r>
              <w:rPr>
                <w:rFonts w:ascii="Calibri" w:hAnsi="Calibri"/>
                <w:b w:val="0"/>
                <w:i w:val="0"/>
                <w:color w:val="5A5A5A"/>
                <w:sz w:val="18"/>
              </w:rPr>
              <w:t>#orthodontics  #braces  #crowding  #plaquetrap  #localfactors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only an indirect effect, mainly by reducing obesity and insulin resistance, which are modestly associated with gingival inflammation; it is not a primary driver of gingivitis.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Frequent sugary and refined foods feed the plaque biofilm, while a diet low in fresh fruit and vegetables can cause vitamin C deficiency, which weakens gingival collagen and causes bleeding, spongy gums.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 insufficient sleep raises cortisol and impairs immune regulation, which can worsen the gingival inflammatory response, but the direct link to gingivitis is weak.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strongly alters the host response and subgingival microbiome and, through nicotine vasoconstriction, masks bleeding so that gum disease progresses silently; about 28.6% of Indian adults use tobacco.</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use is associated with poorer oral hygiene, reduced salivary protection and a heightened inflammatory state, all worsening gingival bleeding and inflammation.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Psychological stress raises cortisol, suppresses immunity and leads to neglected oral hygiene; it is a recognised trigger of acute necrotising ulcerative gingivitis.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salivary flow help clear food debris and buffer plaque acids; a dry mouth (dehydration or medications) increases plaque retention and gingival inflammation.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itself has little effect on the gingiva; coffee and tea mainly cause surface staining and, when heavily sweetened, add to sugar exposure.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Oral hygiene is the dominant, decisive factor: plaque removal by twice-daily brushing and daily interdental cleaning both prevents and reverses plaque-induced gingivitis, whereas stopping cleaning produces gingivitis within about 10-21 days.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Hormonal surges (puberty, pregnancy, oral contraceptives), local plaque traps (calculus, overhangs, braces, crowding), mouth breathing and certain drugs (phenytoin, cyclosporine, calcium-channel blockers) provoke or localise gingival inflammation.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Brushing frequency</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Twice daily (fluoride toothpaste)</w:t>
            </w:r>
          </w:p>
        </w:tc>
        <w:tc>
          <w:tcPr>
            <w:tcW w:type="dxa" w:w="1512"/>
            <w:vAlign w:val="top"/>
          </w:tcPr>
          <w:p>
            <w:pPr>
              <w:spacing w:after="40" w:before="0" w:line="259" w:lineRule="auto"/>
            </w:pPr>
            <w:r>
              <w:rPr>
                <w:rFonts w:ascii="Calibri" w:hAnsi="Calibri"/>
                <w:b w:val="0"/>
                <w:i w:val="0"/>
                <w:color w:val="212121"/>
                <w:sz w:val="19"/>
              </w:rPr>
              <w:t>Once daily or less</w:t>
            </w:r>
          </w:p>
        </w:tc>
        <w:tc>
          <w:tcPr>
            <w:tcW w:type="dxa" w:w="1468"/>
            <w:vAlign w:val="top"/>
          </w:tcPr>
          <w:p>
            <w:pPr>
              <w:spacing w:after="60" w:line="259" w:lineRule="auto"/>
            </w:pPr>
            <w:r>
              <w:rPr>
                <w:rFonts w:ascii="Calibri" w:hAnsi="Calibri"/>
                <w:b w:val="0"/>
                <w:i w:val="0"/>
                <w:color w:val="212121"/>
                <w:sz w:val="19"/>
              </w:rPr>
              <w:t>Only about 29% of Indian adults brush twice daily</w:t>
            </w:r>
          </w:p>
          <w:p>
            <w:pPr>
              <w:spacing w:after="40" w:line="252" w:lineRule="auto"/>
            </w:pPr>
            <w:hyperlink r:id="rId11">
              <w:r>
                <w:rPr>
                  <w:rFonts w:ascii="Calibri" w:hAnsi="Calibri" w:cs="Calibri"/>
                  <w:sz w:val="18"/>
                  <w:color w:val="1155CC"/>
                  <w:u w:val="single"/>
                </w:rPr>
                <w:t xml:space="preserve">https://pmc.ncbi.nlm.nih.gov/articles/PMC5839247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Interdental cleaning</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Daily floss or interdental brush</w:t>
            </w:r>
          </w:p>
        </w:tc>
        <w:tc>
          <w:tcPr>
            <w:tcW w:type="dxa" w:w="1512"/>
            <w:vAlign w:val="top"/>
          </w:tcPr>
          <w:p>
            <w:pPr>
              <w:spacing w:after="40" w:before="0" w:line="259" w:lineRule="auto"/>
            </w:pPr>
            <w:r>
              <w:rPr>
                <w:rFonts w:ascii="Calibri" w:hAnsi="Calibri"/>
                <w:b w:val="0"/>
                <w:i w:val="0"/>
                <w:color w:val="212121"/>
                <w:sz w:val="19"/>
              </w:rPr>
              <w:t>Never</w:t>
            </w:r>
          </w:p>
        </w:tc>
        <w:tc>
          <w:tcPr>
            <w:tcW w:type="dxa" w:w="1468"/>
            <w:vAlign w:val="top"/>
          </w:tcPr>
          <w:p>
            <w:pPr>
              <w:spacing w:after="60" w:line="259" w:lineRule="auto"/>
            </w:pPr>
            <w:r>
              <w:rPr>
                <w:rFonts w:ascii="Calibri" w:hAnsi="Calibri"/>
                <w:b w:val="0"/>
                <w:i w:val="0"/>
                <w:color w:val="212121"/>
                <w:sz w:val="19"/>
              </w:rPr>
              <w:t>Only about 1% of Indian adults use floss; interdental plaque drives papillary gingivitis</w:t>
            </w:r>
          </w:p>
          <w:p>
            <w:pPr>
              <w:spacing w:after="40" w:line="252" w:lineRule="auto"/>
            </w:pPr>
            <w:hyperlink r:id="rId11">
              <w:r>
                <w:rPr>
                  <w:rFonts w:ascii="Calibri" w:hAnsi="Calibri" w:cs="Calibri"/>
                  <w:sz w:val="18"/>
                  <w:color w:val="1155CC"/>
                  <w:u w:val="single"/>
                </w:rPr>
                <w:t xml:space="preserve">https://pmc.ncbi.nlm.nih.gov/articles/PMC5839247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Bleeding on probing (BOP)</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Less than 10% of sites</w:t>
            </w:r>
          </w:p>
        </w:tc>
        <w:tc>
          <w:tcPr>
            <w:tcW w:type="dxa" w:w="1512"/>
            <w:vAlign w:val="top"/>
          </w:tcPr>
          <w:p>
            <w:pPr>
              <w:spacing w:after="40" w:before="0" w:line="259" w:lineRule="auto"/>
            </w:pPr>
            <w:r>
              <w:rPr>
                <w:rFonts w:ascii="Calibri" w:hAnsi="Calibri"/>
                <w:b w:val="0"/>
                <w:i w:val="0"/>
                <w:color w:val="212121"/>
                <w:sz w:val="19"/>
              </w:rPr>
              <w:t>10% or more of sites</w:t>
            </w:r>
          </w:p>
        </w:tc>
        <w:tc>
          <w:tcPr>
            <w:tcW w:type="dxa" w:w="1468"/>
            <w:vAlign w:val="top"/>
          </w:tcPr>
          <w:p>
            <w:pPr>
              <w:spacing w:after="60" w:line="259" w:lineRule="auto"/>
            </w:pPr>
            <w:r>
              <w:rPr>
                <w:rFonts w:ascii="Calibri" w:hAnsi="Calibri"/>
                <w:b w:val="0"/>
                <w:i w:val="0"/>
                <w:color w:val="212121"/>
                <w:sz w:val="19"/>
              </w:rPr>
              <w:t>Case definition of gingivitis on an intact periodontium (2017 World Workshop)</w:t>
            </w:r>
          </w:p>
          <w:p>
            <w:pPr>
              <w:spacing w:after="40" w:line="252" w:lineRule="auto"/>
            </w:pPr>
            <w:hyperlink r:id="rId10">
              <w:r>
                <w:rPr>
                  <w:rFonts w:ascii="Calibri" w:hAnsi="Calibri" w:cs="Calibri"/>
                  <w:sz w:val="18"/>
                  <w:color w:val="1155CC"/>
                  <w:u w:val="single"/>
                </w:rPr>
                <w:t xml:space="preserve">https://www.ncbi.nlm.nih.gov/books/NBK557422/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Gingival Index (Loe &amp; Silness)</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0 (healthy)</w:t>
            </w:r>
          </w:p>
        </w:tc>
        <w:tc>
          <w:tcPr>
            <w:tcW w:type="dxa" w:w="1512"/>
            <w:vAlign w:val="top"/>
          </w:tcPr>
          <w:p>
            <w:pPr>
              <w:spacing w:after="40" w:before="0" w:line="259" w:lineRule="auto"/>
            </w:pPr>
            <w:r>
              <w:rPr>
                <w:rFonts w:ascii="Calibri" w:hAnsi="Calibri"/>
                <w:b w:val="0"/>
                <w:i w:val="0"/>
                <w:color w:val="212121"/>
                <w:sz w:val="19"/>
              </w:rPr>
              <w:t>1 or more (inflammation)</w:t>
            </w:r>
          </w:p>
        </w:tc>
        <w:tc>
          <w:tcPr>
            <w:tcW w:type="dxa" w:w="1468"/>
            <w:vAlign w:val="top"/>
          </w:tcPr>
          <w:p>
            <w:pPr>
              <w:spacing w:after="40" w:before="0" w:line="259" w:lineRule="auto"/>
            </w:pPr>
            <w:r>
              <w:rPr>
                <w:rFonts w:ascii="Calibri" w:hAnsi="Calibri"/>
                <w:b w:val="0"/>
                <w:i w:val="0"/>
                <w:color w:val="212121"/>
                <w:sz w:val="19"/>
              </w:rPr>
              <w:t>Grades redness, oedema and bleeding tendency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Professional scaling / dental visit</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Every 6-12 months</w:t>
            </w:r>
          </w:p>
        </w:tc>
        <w:tc>
          <w:tcPr>
            <w:tcW w:type="dxa" w:w="1512"/>
            <w:vAlign w:val="top"/>
          </w:tcPr>
          <w:p>
            <w:pPr>
              <w:spacing w:after="40" w:before="0" w:line="259" w:lineRule="auto"/>
            </w:pPr>
            <w:r>
              <w:rPr>
                <w:rFonts w:ascii="Calibri" w:hAnsi="Calibri"/>
                <w:b w:val="0"/>
                <w:i w:val="0"/>
                <w:color w:val="212121"/>
                <w:sz w:val="19"/>
              </w:rPr>
              <w:t>More than 12 months / none</w:t>
            </w:r>
          </w:p>
        </w:tc>
        <w:tc>
          <w:tcPr>
            <w:tcW w:type="dxa" w:w="1468"/>
            <w:vAlign w:val="top"/>
          </w:tcPr>
          <w:p>
            <w:pPr>
              <w:spacing w:after="60" w:line="259" w:lineRule="auto"/>
            </w:pPr>
            <w:r>
              <w:rPr>
                <w:rFonts w:ascii="Calibri" w:hAnsi="Calibri"/>
                <w:b w:val="0"/>
                <w:i w:val="0"/>
                <w:color w:val="212121"/>
                <w:sz w:val="19"/>
              </w:rPr>
              <w:t>About 73% of Indian adults had no dental visit in 5 years</w:t>
            </w:r>
          </w:p>
          <w:p>
            <w:pPr>
              <w:spacing w:after="40" w:line="252" w:lineRule="auto"/>
            </w:pPr>
            <w:hyperlink r:id="rId11">
              <w:r>
                <w:rPr>
                  <w:rFonts w:ascii="Calibri" w:hAnsi="Calibri" w:cs="Calibri"/>
                  <w:sz w:val="18"/>
                  <w:color w:val="1155CC"/>
                  <w:u w:val="single"/>
                </w:rPr>
                <w:t xml:space="preserve">https://pmc.ncbi.nlm.nih.gov/articles/PMC5839247</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Vitamin C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75-90 mg/day (35 mg more if smoking)</w:t>
            </w:r>
          </w:p>
        </w:tc>
        <w:tc>
          <w:tcPr>
            <w:tcW w:type="dxa" w:w="1512"/>
            <w:vAlign w:val="top"/>
          </w:tcPr>
          <w:p>
            <w:pPr>
              <w:spacing w:after="40" w:before="0" w:line="259" w:lineRule="auto"/>
            </w:pPr>
            <w:r>
              <w:rPr>
                <w:rFonts w:ascii="Calibri" w:hAnsi="Calibri"/>
                <w:b w:val="0"/>
                <w:i w:val="0"/>
                <w:color w:val="212121"/>
                <w:sz w:val="19"/>
              </w:rPr>
              <w:t>Persistently deficient intake</w:t>
            </w:r>
          </w:p>
        </w:tc>
        <w:tc>
          <w:tcPr>
            <w:tcW w:type="dxa" w:w="1468"/>
            <w:vAlign w:val="top"/>
          </w:tcPr>
          <w:p>
            <w:pPr>
              <w:spacing w:after="60" w:line="259" w:lineRule="auto"/>
            </w:pPr>
            <w:r>
              <w:rPr>
                <w:rFonts w:ascii="Calibri" w:hAnsi="Calibri"/>
                <w:b w:val="0"/>
                <w:i w:val="0"/>
                <w:color w:val="212121"/>
                <w:sz w:val="19"/>
              </w:rPr>
              <w:t>Deficiency causes spongy, bleeding gums (scurvy)</w:t>
            </w:r>
          </w:p>
          <w:p>
            <w:pPr>
              <w:spacing w:after="40" w:line="252" w:lineRule="auto"/>
            </w:pPr>
            <w:hyperlink r:id="rId13">
              <w:r>
                <w:rPr>
                  <w:rFonts w:ascii="Calibri" w:hAnsi="Calibri" w:cs="Calibri"/>
                  <w:sz w:val="18"/>
                  <w:color w:val="1155CC"/>
                  <w:u w:val="single"/>
                </w:rPr>
                <w:t xml:space="preserve">https://www.ncbi.nlm.nih.gov/books/NBK493187/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Free-sugar exposure</w:t>
            </w:r>
          </w:p>
        </w:tc>
        <w:tc>
          <w:tcPr>
            <w:tcW w:type="dxa" w:w="1655"/>
            <w:vAlign w:val="top"/>
          </w:tcPr>
          <w:p>
            <w:pPr>
              <w:spacing w:after="40" w:before="0" w:line="259" w:lineRule="auto"/>
            </w:pPr>
            <w:r>
              <w:rPr>
                <w:rFonts w:ascii="Calibri" w:hAnsi="Calibri"/>
                <w:b w:val="0"/>
                <w:i w:val="0"/>
                <w:color w:val="212121"/>
                <w:sz w:val="19"/>
              </w:rPr>
              <w:t>Adults, children</w:t>
            </w:r>
          </w:p>
        </w:tc>
        <w:tc>
          <w:tcPr>
            <w:tcW w:type="dxa" w:w="1512"/>
            <w:vAlign w:val="top"/>
          </w:tcPr>
          <w:p>
            <w:pPr>
              <w:spacing w:after="40" w:before="0" w:line="259" w:lineRule="auto"/>
            </w:pPr>
            <w:r>
              <w:rPr>
                <w:rFonts w:ascii="Calibri" w:hAnsi="Calibri"/>
                <w:b w:val="0"/>
                <w:i w:val="0"/>
                <w:color w:val="212121"/>
                <w:sz w:val="19"/>
              </w:rPr>
              <w:t>Low frequency, less than 10% of energy</w:t>
            </w:r>
          </w:p>
        </w:tc>
        <w:tc>
          <w:tcPr>
            <w:tcW w:type="dxa" w:w="1512"/>
            <w:vAlign w:val="top"/>
          </w:tcPr>
          <w:p>
            <w:pPr>
              <w:spacing w:after="40" w:before="0" w:line="259" w:lineRule="auto"/>
            </w:pPr>
            <w:r>
              <w:rPr>
                <w:rFonts w:ascii="Calibri" w:hAnsi="Calibri"/>
                <w:b w:val="0"/>
                <w:i w:val="0"/>
                <w:color w:val="212121"/>
                <w:sz w:val="19"/>
              </w:rPr>
              <w:t>Frequent sugary snacks/drinks</w:t>
            </w:r>
          </w:p>
        </w:tc>
        <w:tc>
          <w:tcPr>
            <w:tcW w:type="dxa" w:w="1468"/>
            <w:vAlign w:val="top"/>
          </w:tcPr>
          <w:p>
            <w:pPr>
              <w:spacing w:after="40" w:before="0" w:line="259" w:lineRule="auto"/>
            </w:pPr>
            <w:r>
              <w:rPr>
                <w:rFonts w:ascii="Calibri" w:hAnsi="Calibri"/>
                <w:b w:val="0"/>
                <w:i w:val="0"/>
                <w:color w:val="212121"/>
                <w:sz w:val="19"/>
              </w:rPr>
              <w:t>Sugar feeds the plaque biofilm at the gum margin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(smoked or smokeless)</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(non-user)</w:t>
            </w:r>
          </w:p>
        </w:tc>
        <w:tc>
          <w:tcPr>
            <w:tcW w:type="dxa" w:w="1512"/>
            <w:vAlign w:val="top"/>
          </w:tcPr>
          <w:p>
            <w:pPr>
              <w:spacing w:after="40" w:before="0" w:line="259" w:lineRule="auto"/>
            </w:pPr>
            <w:r>
              <w:rPr>
                <w:rFonts w:ascii="Calibri" w:hAnsi="Calibri"/>
                <w:b w:val="0"/>
                <w:i w:val="0"/>
                <w:color w:val="212121"/>
                <w:sz w:val="19"/>
              </w:rPr>
              <w:t>Any daily use</w:t>
            </w:r>
          </w:p>
        </w:tc>
        <w:tc>
          <w:tcPr>
            <w:tcW w:type="dxa" w:w="1468"/>
            <w:vAlign w:val="top"/>
          </w:tcPr>
          <w:p>
            <w:pPr>
              <w:spacing w:after="60" w:line="259" w:lineRule="auto"/>
            </w:pPr>
            <w:r>
              <w:rPr>
                <w:rFonts w:ascii="Calibri" w:hAnsi="Calibri"/>
                <w:b w:val="0"/>
                <w:i w:val="0"/>
                <w:color w:val="212121"/>
                <w:sz w:val="19"/>
              </w:rPr>
              <w:t>Masks bleeding and worsens the host response; 28.6% of Indian adults use tobacco</w:t>
            </w:r>
          </w:p>
          <w:p>
            <w:pPr>
              <w:spacing w:after="40" w:line="252" w:lineRule="auto"/>
            </w:pPr>
            <w:hyperlink r:id="rId12">
              <w:r>
                <w:rPr>
                  <w:rFonts w:ascii="Calibri" w:hAnsi="Calibri" w:cs="Calibri"/>
                  <w:sz w:val="18"/>
                  <w:color w:val="1155CC"/>
                  <w:u w:val="single"/>
                </w:rPr>
                <w:t xml:space="preserve">https://ntcp.mohfw.gov.in/assets/document/surveys-reports-publications/GATS-2-FactSheet.pdf</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None to minimal</w:t>
            </w:r>
          </w:p>
        </w:tc>
        <w:tc>
          <w:tcPr>
            <w:tcW w:type="dxa" w:w="1512"/>
            <w:vAlign w:val="top"/>
          </w:tcPr>
          <w:p>
            <w:pPr>
              <w:spacing w:after="40" w:before="0" w:line="259" w:lineRule="auto"/>
            </w:pPr>
            <w:r>
              <w:rPr>
                <w:rFonts w:ascii="Calibri" w:hAnsi="Calibri"/>
                <w:b w:val="0"/>
                <w:i w:val="0"/>
                <w:color w:val="212121"/>
                <w:sz w:val="19"/>
              </w:rPr>
              <w:t>Heavy/regular drinking</w:t>
            </w:r>
          </w:p>
        </w:tc>
        <w:tc>
          <w:tcPr>
            <w:tcW w:type="dxa" w:w="1468"/>
            <w:vAlign w:val="top"/>
          </w:tcPr>
          <w:p>
            <w:pPr>
              <w:spacing w:after="40" w:before="0" w:line="259" w:lineRule="auto"/>
            </w:pPr>
            <w:r>
              <w:rPr>
                <w:rFonts w:ascii="Calibri" w:hAnsi="Calibri"/>
                <w:b w:val="0"/>
                <w:i w:val="0"/>
                <w:color w:val="212121"/>
                <w:sz w:val="19"/>
              </w:rPr>
              <w:t>Associated with poorer hygiene, dry mouth and more gingival bleeding</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25 kg/m2 or more</w:t>
            </w:r>
          </w:p>
        </w:tc>
        <w:tc>
          <w:tcPr>
            <w:tcW w:type="dxa" w:w="1468"/>
            <w:vAlign w:val="top"/>
          </w:tcPr>
          <w:p>
            <w:pPr>
              <w:spacing w:after="40" w:before="0" w:line="259" w:lineRule="auto"/>
            </w:pPr>
            <w:r>
              <w:rPr>
                <w:rFonts w:ascii="Calibri" w:hAnsi="Calibri"/>
                <w:b w:val="0"/>
                <w:i w:val="0"/>
                <w:color w:val="212121"/>
                <w:sz w:val="19"/>
              </w:rPr>
              <w:t>Obesity/insulin resistance heightens the gingival inflammatory response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Periodontal probing</w:t>
            </w:r>
          </w:p>
        </w:tc>
        <w:tc>
          <w:tcPr>
            <w:tcW w:type="dxa" w:w="1036"/>
            <w:vAlign w:val="top"/>
          </w:tcPr>
          <w:p>
            <w:pPr>
              <w:spacing w:after="40" w:before="0" w:line="259" w:lineRule="auto"/>
            </w:pPr>
            <w:r>
              <w:rPr>
                <w:rFonts w:ascii="Calibri" w:hAnsi="Calibri"/>
                <w:b w:val="0"/>
                <w:i w:val="0"/>
                <w:color w:val="212121"/>
                <w:sz w:val="16"/>
              </w:rPr>
              <w:t>Bleeding on Probing (%)</w:t>
            </w:r>
          </w:p>
        </w:tc>
        <w:tc>
          <w:tcPr>
            <w:tcW w:type="dxa" w:w="892"/>
            <w:vAlign w:val="top"/>
          </w:tcPr>
          <w:p>
            <w:pPr>
              <w:spacing w:after="40" w:before="0" w:line="259" w:lineRule="auto"/>
            </w:pPr>
            <w:r>
              <w:rPr>
                <w:rFonts w:ascii="Calibri" w:hAnsi="Calibri"/>
                <w:b w:val="0"/>
                <w:i w:val="0"/>
                <w:color w:val="212121"/>
                <w:sz w:val="16"/>
              </w:rPr>
              <w:t>Gingival assessment</w:t>
            </w:r>
          </w:p>
        </w:tc>
        <w:tc>
          <w:tcPr>
            <w:tcW w:type="dxa" w:w="950"/>
            <w:vAlign w:val="top"/>
          </w:tcPr>
          <w:p>
            <w:pPr>
              <w:spacing w:after="40" w:before="0" w:line="259" w:lineRule="auto"/>
            </w:pPr>
            <w:r>
              <w:rPr>
                <w:rFonts w:ascii="Calibri" w:hAnsi="Calibri"/>
                <w:b w:val="0"/>
                <w:i w:val="0"/>
                <w:color w:val="212121"/>
                <w:sz w:val="16"/>
              </w:rPr>
              <w:t>Less than 10% of sites</w:t>
            </w:r>
          </w:p>
        </w:tc>
        <w:tc>
          <w:tcPr>
            <w:tcW w:type="dxa" w:w="950"/>
            <w:vAlign w:val="top"/>
          </w:tcPr>
          <w:p>
            <w:pPr>
              <w:spacing w:after="40" w:before="0" w:line="259" w:lineRule="auto"/>
            </w:pPr>
            <w:r>
              <w:rPr>
                <w:rFonts w:ascii="Calibri" w:hAnsi="Calibri"/>
                <w:b w:val="0"/>
                <w:i w:val="0"/>
                <w:color w:val="212121"/>
                <w:sz w:val="16"/>
              </w:rPr>
              <w:t>10% or more of sites</w:t>
            </w:r>
          </w:p>
        </w:tc>
        <w:tc>
          <w:tcPr>
            <w:tcW w:type="dxa" w:w="1036"/>
            <w:vAlign w:val="top"/>
          </w:tcPr>
          <w:p>
            <w:pPr>
              <w:spacing w:after="40" w:before="0" w:line="259" w:lineRule="auto"/>
            </w:pPr>
            <w:r>
              <w:rPr>
                <w:rFonts w:ascii="Calibri" w:hAnsi="Calibri"/>
                <w:b w:val="0"/>
                <w:i w:val="0"/>
                <w:color w:val="212121"/>
                <w:sz w:val="16"/>
              </w:rPr>
              <w:t>Objective marker of gingival inflammation; defines a gingivitis case</w:t>
            </w:r>
          </w:p>
        </w:tc>
        <w:tc>
          <w:tcPr>
            <w:tcW w:type="dxa" w:w="1036"/>
            <w:vAlign w:val="top"/>
          </w:tcPr>
          <w:p>
            <w:pPr>
              <w:spacing w:after="40" w:before="0" w:line="259" w:lineRule="auto"/>
            </w:pPr>
            <w:r>
              <w:rPr>
                <w:rFonts w:ascii="Calibri" w:hAnsi="Calibri"/>
                <w:b w:val="0"/>
                <w:i w:val="0"/>
                <w:color w:val="212121"/>
                <w:sz w:val="16"/>
              </w:rPr>
              <w:t>All adults, pregnant women, diabetics, smokers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Smoking can falsely reduce bleeding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Index scoring</w:t>
            </w:r>
          </w:p>
        </w:tc>
        <w:tc>
          <w:tcPr>
            <w:tcW w:type="dxa" w:w="1036"/>
            <w:vAlign w:val="top"/>
          </w:tcPr>
          <w:p>
            <w:pPr>
              <w:spacing w:after="40" w:before="0" w:line="259" w:lineRule="auto"/>
            </w:pPr>
            <w:r>
              <w:rPr>
                <w:rFonts w:ascii="Calibri" w:hAnsi="Calibri"/>
                <w:b w:val="0"/>
                <w:i w:val="0"/>
                <w:color w:val="212121"/>
                <w:sz w:val="16"/>
              </w:rPr>
              <w:t>Gingival Index (Loe &amp; Silness)</w:t>
            </w:r>
          </w:p>
        </w:tc>
        <w:tc>
          <w:tcPr>
            <w:tcW w:type="dxa" w:w="892"/>
            <w:vAlign w:val="top"/>
          </w:tcPr>
          <w:p>
            <w:pPr>
              <w:spacing w:after="40" w:before="0" w:line="259" w:lineRule="auto"/>
            </w:pPr>
            <w:r>
              <w:rPr>
                <w:rFonts w:ascii="Calibri" w:hAnsi="Calibri"/>
                <w:b w:val="0"/>
                <w:i w:val="0"/>
                <w:color w:val="212121"/>
                <w:sz w:val="16"/>
              </w:rPr>
              <w:t>Gingival assessment</w:t>
            </w:r>
          </w:p>
        </w:tc>
        <w:tc>
          <w:tcPr>
            <w:tcW w:type="dxa" w:w="950"/>
            <w:vAlign w:val="top"/>
          </w:tcPr>
          <w:p>
            <w:pPr>
              <w:spacing w:after="40" w:before="0" w:line="259" w:lineRule="auto"/>
            </w:pPr>
            <w:r>
              <w:rPr>
                <w:rFonts w:ascii="Calibri" w:hAnsi="Calibri"/>
                <w:b w:val="0"/>
                <w:i w:val="0"/>
                <w:color w:val="212121"/>
                <w:sz w:val="16"/>
              </w:rPr>
              <w:t>0 (healthy)</w:t>
            </w:r>
          </w:p>
        </w:tc>
        <w:tc>
          <w:tcPr>
            <w:tcW w:type="dxa" w:w="950"/>
            <w:vAlign w:val="top"/>
          </w:tcPr>
          <w:p>
            <w:pPr>
              <w:spacing w:after="40" w:before="0" w:line="259" w:lineRule="auto"/>
            </w:pPr>
            <w:r>
              <w:rPr>
                <w:rFonts w:ascii="Calibri" w:hAnsi="Calibri"/>
                <w:b w:val="0"/>
                <w:i w:val="0"/>
                <w:color w:val="212121"/>
                <w:sz w:val="16"/>
              </w:rPr>
              <w:t>1-3 (mild to severe)</w:t>
            </w:r>
          </w:p>
        </w:tc>
        <w:tc>
          <w:tcPr>
            <w:tcW w:type="dxa" w:w="1036"/>
            <w:vAlign w:val="top"/>
          </w:tcPr>
          <w:p>
            <w:pPr>
              <w:spacing w:after="40" w:before="0" w:line="259" w:lineRule="auto"/>
            </w:pPr>
            <w:r>
              <w:rPr>
                <w:rFonts w:ascii="Calibri" w:hAnsi="Calibri"/>
                <w:b w:val="0"/>
                <w:i w:val="0"/>
                <w:color w:val="212121"/>
                <w:sz w:val="16"/>
              </w:rPr>
              <w:t>Grades redness, oedema and bleeding tendency</w:t>
            </w:r>
          </w:p>
        </w:tc>
        <w:tc>
          <w:tcPr>
            <w:tcW w:type="dxa" w:w="1036"/>
            <w:vAlign w:val="top"/>
          </w:tcPr>
          <w:p>
            <w:pPr>
              <w:spacing w:after="40" w:before="0" w:line="259" w:lineRule="auto"/>
            </w:pPr>
            <w:r>
              <w:rPr>
                <w:rFonts w:ascii="Calibri" w:hAnsi="Calibri"/>
                <w:b w:val="0"/>
                <w:i w:val="0"/>
                <w:color w:val="212121"/>
                <w:sz w:val="16"/>
              </w:rPr>
              <w:t>All adults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Reproducible for monitoring response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Index scoring</w:t>
            </w:r>
          </w:p>
        </w:tc>
        <w:tc>
          <w:tcPr>
            <w:tcW w:type="dxa" w:w="1036"/>
            <w:vAlign w:val="top"/>
          </w:tcPr>
          <w:p>
            <w:pPr>
              <w:spacing w:after="40" w:before="0" w:line="259" w:lineRule="auto"/>
            </w:pPr>
            <w:r>
              <w:rPr>
                <w:rFonts w:ascii="Calibri" w:hAnsi="Calibri"/>
                <w:b w:val="0"/>
                <w:i w:val="0"/>
                <w:color w:val="212121"/>
                <w:sz w:val="16"/>
              </w:rPr>
              <w:t>Plaque Index / Oral Hygiene Index</w:t>
            </w:r>
          </w:p>
        </w:tc>
        <w:tc>
          <w:tcPr>
            <w:tcW w:type="dxa" w:w="892"/>
            <w:vAlign w:val="top"/>
          </w:tcPr>
          <w:p>
            <w:pPr>
              <w:spacing w:after="40" w:before="0" w:line="259" w:lineRule="auto"/>
            </w:pPr>
            <w:r>
              <w:rPr>
                <w:rFonts w:ascii="Calibri" w:hAnsi="Calibri"/>
                <w:b w:val="0"/>
                <w:i w:val="0"/>
                <w:color w:val="212121"/>
                <w:sz w:val="16"/>
              </w:rPr>
              <w:t>Plaque assessment</w:t>
            </w:r>
          </w:p>
        </w:tc>
        <w:tc>
          <w:tcPr>
            <w:tcW w:type="dxa" w:w="950"/>
            <w:vAlign w:val="top"/>
          </w:tcPr>
          <w:p>
            <w:pPr>
              <w:spacing w:after="40" w:before="0" w:line="259" w:lineRule="auto"/>
            </w:pPr>
            <w:r>
              <w:rPr>
                <w:rFonts w:ascii="Calibri" w:hAnsi="Calibri"/>
                <w:b w:val="0"/>
                <w:i w:val="0"/>
                <w:color w:val="212121"/>
                <w:sz w:val="16"/>
              </w:rPr>
              <w:t>Low / minimal plaque</w:t>
            </w:r>
          </w:p>
        </w:tc>
        <w:tc>
          <w:tcPr>
            <w:tcW w:type="dxa" w:w="950"/>
            <w:vAlign w:val="top"/>
          </w:tcPr>
          <w:p>
            <w:pPr>
              <w:spacing w:after="40" w:before="0" w:line="259" w:lineRule="auto"/>
            </w:pPr>
            <w:r>
              <w:rPr>
                <w:rFonts w:ascii="Calibri" w:hAnsi="Calibri"/>
                <w:b w:val="0"/>
                <w:i w:val="0"/>
                <w:color w:val="212121"/>
                <w:sz w:val="16"/>
              </w:rPr>
              <w:t>Moderate to heavy plaque</w:t>
            </w:r>
          </w:p>
        </w:tc>
        <w:tc>
          <w:tcPr>
            <w:tcW w:type="dxa" w:w="1036"/>
            <w:vAlign w:val="top"/>
          </w:tcPr>
          <w:p>
            <w:pPr>
              <w:spacing w:after="40" w:before="0" w:line="259" w:lineRule="auto"/>
            </w:pPr>
            <w:r>
              <w:rPr>
                <w:rFonts w:ascii="Calibri" w:hAnsi="Calibri"/>
                <w:b w:val="0"/>
                <w:i w:val="0"/>
                <w:color w:val="212121"/>
                <w:sz w:val="16"/>
              </w:rPr>
              <w:t>Quantifies the causative biofilm and hygiene quality</w:t>
            </w:r>
          </w:p>
        </w:tc>
        <w:tc>
          <w:tcPr>
            <w:tcW w:type="dxa" w:w="1036"/>
            <w:vAlign w:val="top"/>
          </w:tcPr>
          <w:p>
            <w:pPr>
              <w:spacing w:after="40" w:before="0" w:line="259" w:lineRule="auto"/>
            </w:pPr>
            <w:r>
              <w:rPr>
                <w:rFonts w:ascii="Calibri" w:hAnsi="Calibri"/>
                <w:b w:val="0"/>
                <w:i w:val="0"/>
                <w:color w:val="212121"/>
                <w:sz w:val="16"/>
              </w:rPr>
              <w:t>All adults, orthodontic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Disclosing agents aid scoring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Periodontal probing</w:t>
            </w:r>
          </w:p>
        </w:tc>
        <w:tc>
          <w:tcPr>
            <w:tcW w:type="dxa" w:w="1036"/>
            <w:vAlign w:val="top"/>
          </w:tcPr>
          <w:p>
            <w:pPr>
              <w:spacing w:after="40" w:before="0" w:line="259" w:lineRule="auto"/>
            </w:pPr>
            <w:r>
              <w:rPr>
                <w:rFonts w:ascii="Calibri" w:hAnsi="Calibri"/>
                <w:b w:val="0"/>
                <w:i w:val="0"/>
                <w:color w:val="212121"/>
                <w:sz w:val="16"/>
              </w:rPr>
              <w:t>Probing pocket depth / attachment level</w:t>
            </w:r>
          </w:p>
        </w:tc>
        <w:tc>
          <w:tcPr>
            <w:tcW w:type="dxa" w:w="892"/>
            <w:vAlign w:val="top"/>
          </w:tcPr>
          <w:p>
            <w:pPr>
              <w:spacing w:after="40" w:before="0" w:line="259" w:lineRule="auto"/>
            </w:pPr>
            <w:r>
              <w:rPr>
                <w:rFonts w:ascii="Calibri" w:hAnsi="Calibri"/>
                <w:b w:val="0"/>
                <w:i w:val="0"/>
                <w:color w:val="212121"/>
                <w:sz w:val="16"/>
              </w:rPr>
              <w:t>Periodontal assessment</w:t>
            </w:r>
          </w:p>
        </w:tc>
        <w:tc>
          <w:tcPr>
            <w:tcW w:type="dxa" w:w="950"/>
            <w:vAlign w:val="top"/>
          </w:tcPr>
          <w:p>
            <w:pPr>
              <w:spacing w:after="40" w:before="0" w:line="259" w:lineRule="auto"/>
            </w:pPr>
            <w:r>
              <w:rPr>
                <w:rFonts w:ascii="Calibri" w:hAnsi="Calibri"/>
                <w:b w:val="0"/>
                <w:i w:val="0"/>
                <w:color w:val="212121"/>
                <w:sz w:val="16"/>
              </w:rPr>
              <w:t>3 mm or less, no attachment loss</w:t>
            </w:r>
          </w:p>
        </w:tc>
        <w:tc>
          <w:tcPr>
            <w:tcW w:type="dxa" w:w="950"/>
            <w:vAlign w:val="top"/>
          </w:tcPr>
          <w:p>
            <w:pPr>
              <w:spacing w:after="40" w:before="0" w:line="259" w:lineRule="auto"/>
            </w:pPr>
            <w:r>
              <w:rPr>
                <w:rFonts w:ascii="Calibri" w:hAnsi="Calibri"/>
                <w:b w:val="0"/>
                <w:i w:val="0"/>
                <w:color w:val="212121"/>
                <w:sz w:val="16"/>
              </w:rPr>
              <w:t>Attachment loss present</w:t>
            </w:r>
          </w:p>
        </w:tc>
        <w:tc>
          <w:tcPr>
            <w:tcW w:type="dxa" w:w="1036"/>
            <w:vAlign w:val="top"/>
          </w:tcPr>
          <w:p>
            <w:pPr>
              <w:spacing w:after="40" w:before="0" w:line="259" w:lineRule="auto"/>
            </w:pPr>
            <w:r>
              <w:rPr>
                <w:rFonts w:ascii="Calibri" w:hAnsi="Calibri"/>
                <w:b w:val="0"/>
                <w:i w:val="0"/>
                <w:color w:val="212121"/>
                <w:sz w:val="16"/>
              </w:rPr>
              <w:t>Excludes periodontitis; pure gingivitis has no attachment loss</w:t>
            </w:r>
          </w:p>
        </w:tc>
        <w:tc>
          <w:tcPr>
            <w:tcW w:type="dxa" w:w="1036"/>
            <w:vAlign w:val="top"/>
          </w:tcPr>
          <w:p>
            <w:pPr>
              <w:spacing w:after="40" w:before="0" w:line="259" w:lineRule="auto"/>
            </w:pPr>
            <w:r>
              <w:rPr>
                <w:rFonts w:ascii="Calibri" w:hAnsi="Calibri"/>
                <w:b w:val="0"/>
                <w:i w:val="0"/>
                <w:color w:val="212121"/>
                <w:sz w:val="16"/>
              </w:rPr>
              <w:t>Adults, elderly, diabetics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Pseudo-pockets from swelling do not count as attachment loss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Diabetes screen</w:t>
            </w:r>
          </w:p>
        </w:tc>
        <w:tc>
          <w:tcPr>
            <w:tcW w:type="dxa" w:w="950"/>
            <w:vAlign w:val="top"/>
          </w:tcPr>
          <w:p>
            <w:pPr>
              <w:spacing w:after="40" w:before="0" w:line="259" w:lineRule="auto"/>
            </w:pPr>
            <w:r>
              <w:rPr>
                <w:rFonts w:ascii="Calibri" w:hAnsi="Calibri"/>
                <w:b w:val="0"/>
                <w:i w:val="0"/>
                <w:color w:val="212121"/>
                <w:sz w:val="16"/>
              </w:rPr>
              <w:t>FPG less than 100 mg/dL; HbA1c less than 5.7%</w:t>
            </w:r>
          </w:p>
        </w:tc>
        <w:tc>
          <w:tcPr>
            <w:tcW w:type="dxa" w:w="950"/>
            <w:vAlign w:val="top"/>
          </w:tcPr>
          <w:p>
            <w:pPr>
              <w:spacing w:after="40" w:before="0" w:line="259" w:lineRule="auto"/>
            </w:pPr>
            <w:r>
              <w:rPr>
                <w:rFonts w:ascii="Calibri" w:hAnsi="Calibri"/>
                <w:b w:val="0"/>
                <w:i w:val="0"/>
                <w:color w:val="212121"/>
                <w:sz w:val="16"/>
              </w:rPr>
              <w:t>FPG 126 mg/dL or more; HbA1c 6.5% or more</w:t>
            </w:r>
          </w:p>
        </w:tc>
        <w:tc>
          <w:tcPr>
            <w:tcW w:type="dxa" w:w="1036"/>
            <w:vAlign w:val="top"/>
          </w:tcPr>
          <w:p>
            <w:pPr>
              <w:spacing w:after="40" w:before="0" w:line="259" w:lineRule="auto"/>
            </w:pPr>
            <w:r>
              <w:rPr>
                <w:rFonts w:ascii="Calibri" w:hAnsi="Calibri"/>
                <w:b w:val="0"/>
                <w:i w:val="0"/>
                <w:color w:val="212121"/>
                <w:sz w:val="16"/>
              </w:rPr>
              <w:t>Detects diabetes, which drives and is worsened by gum inflammation</w:t>
            </w:r>
          </w:p>
        </w:tc>
        <w:tc>
          <w:tcPr>
            <w:tcW w:type="dxa" w:w="1036"/>
            <w:vAlign w:val="top"/>
          </w:tcPr>
          <w:p>
            <w:pPr>
              <w:spacing w:after="40" w:before="0" w:line="259" w:lineRule="auto"/>
            </w:pPr>
            <w:r>
              <w:rPr>
                <w:rFonts w:ascii="Calibri" w:hAnsi="Calibri"/>
                <w:b w:val="0"/>
                <w:i w:val="0"/>
                <w:color w:val="212121"/>
                <w:sz w:val="16"/>
              </w:rPr>
              <w:t>Refractory or severe gingivitis, obese adults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Bidirectional link with diabetes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vitamin C (ascorbic acid)</w:t>
            </w:r>
          </w:p>
        </w:tc>
        <w:tc>
          <w:tcPr>
            <w:tcW w:type="dxa" w:w="892"/>
            <w:vAlign w:val="top"/>
          </w:tcPr>
          <w:p>
            <w:pPr>
              <w:spacing w:after="40" w:before="0" w:line="259" w:lineRule="auto"/>
            </w:pPr>
            <w:r>
              <w:rPr>
                <w:rFonts w:ascii="Calibri" w:hAnsi="Calibri"/>
                <w:b w:val="0"/>
                <w:i w:val="0"/>
                <w:color w:val="212121"/>
                <w:sz w:val="16"/>
              </w:rPr>
              <w:t>Nutritional screen</w:t>
            </w:r>
          </w:p>
        </w:tc>
        <w:tc>
          <w:tcPr>
            <w:tcW w:type="dxa" w:w="950"/>
            <w:vAlign w:val="top"/>
          </w:tcPr>
          <w:p>
            <w:pPr>
              <w:spacing w:after="40" w:before="0" w:line="259" w:lineRule="auto"/>
            </w:pPr>
            <w:r>
              <w:rPr>
                <w:rFonts w:ascii="Calibri" w:hAnsi="Calibri"/>
                <w:b w:val="0"/>
                <w:i w:val="0"/>
                <w:color w:val="212121"/>
                <w:sz w:val="16"/>
              </w:rPr>
              <w:t>Sufficient (about 0.6 mg/dL or more)</w:t>
            </w:r>
          </w:p>
        </w:tc>
        <w:tc>
          <w:tcPr>
            <w:tcW w:type="dxa" w:w="950"/>
            <w:vAlign w:val="top"/>
          </w:tcPr>
          <w:p>
            <w:pPr>
              <w:spacing w:after="40" w:before="0" w:line="259" w:lineRule="auto"/>
            </w:pPr>
            <w:r>
              <w:rPr>
                <w:rFonts w:ascii="Calibri" w:hAnsi="Calibri"/>
                <w:b w:val="0"/>
                <w:i w:val="0"/>
                <w:color w:val="212121"/>
                <w:sz w:val="16"/>
              </w:rPr>
              <w:t>Deficient</w:t>
            </w:r>
          </w:p>
        </w:tc>
        <w:tc>
          <w:tcPr>
            <w:tcW w:type="dxa" w:w="1036"/>
            <w:vAlign w:val="top"/>
          </w:tcPr>
          <w:p>
            <w:pPr>
              <w:spacing w:after="40" w:before="0" w:line="259" w:lineRule="auto"/>
            </w:pPr>
            <w:r>
              <w:rPr>
                <w:rFonts w:ascii="Calibri" w:hAnsi="Calibri"/>
                <w:b w:val="0"/>
                <w:i w:val="0"/>
                <w:color w:val="212121"/>
                <w:sz w:val="16"/>
              </w:rPr>
              <w:t>Confirms scurvy when gums are spongy and spontaneously bleeding</w:t>
            </w:r>
          </w:p>
        </w:tc>
        <w:tc>
          <w:tcPr>
            <w:tcW w:type="dxa" w:w="1036"/>
            <w:vAlign w:val="top"/>
          </w:tcPr>
          <w:p>
            <w:pPr>
              <w:spacing w:after="40" w:before="0" w:line="259" w:lineRule="auto"/>
            </w:pPr>
            <w:r>
              <w:rPr>
                <w:rFonts w:ascii="Calibri" w:hAnsi="Calibri"/>
                <w:b w:val="0"/>
                <w:i w:val="0"/>
                <w:color w:val="212121"/>
                <w:sz w:val="16"/>
              </w:rPr>
              <w:t>Poor-diet, elderly, alcohol-dependent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Order only when deficiency is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(CBC)</w:t>
            </w:r>
          </w:p>
        </w:tc>
        <w:tc>
          <w:tcPr>
            <w:tcW w:type="dxa" w:w="892"/>
            <w:vAlign w:val="top"/>
          </w:tcPr>
          <w:p>
            <w:pPr>
              <w:spacing w:after="40" w:before="0" w:line="259" w:lineRule="auto"/>
            </w:pPr>
            <w:r>
              <w:rPr>
                <w:rFonts w:ascii="Calibri" w:hAnsi="Calibri"/>
                <w:b w:val="0"/>
                <w:i w:val="0"/>
                <w:color w:val="212121"/>
                <w:sz w:val="16"/>
              </w:rPr>
              <w:t>Systemic screen</w:t>
            </w:r>
          </w:p>
        </w:tc>
        <w:tc>
          <w:tcPr>
            <w:tcW w:type="dxa" w:w="950"/>
            <w:vAlign w:val="top"/>
          </w:tcPr>
          <w:p>
            <w:pPr>
              <w:spacing w:after="40" w:before="0" w:line="259" w:lineRule="auto"/>
            </w:pPr>
            <w:r>
              <w:rPr>
                <w:rFonts w:ascii="Calibri" w:hAnsi="Calibri"/>
                <w:b w:val="0"/>
                <w:i w:val="0"/>
                <w:color w:val="212121"/>
                <w:sz w:val="16"/>
              </w:rPr>
              <w:t>Normal counts</w:t>
            </w:r>
          </w:p>
        </w:tc>
        <w:tc>
          <w:tcPr>
            <w:tcW w:type="dxa" w:w="950"/>
            <w:vAlign w:val="top"/>
          </w:tcPr>
          <w:p>
            <w:pPr>
              <w:spacing w:after="40" w:before="0" w:line="259" w:lineRule="auto"/>
            </w:pPr>
            <w:r>
              <w:rPr>
                <w:rFonts w:ascii="Calibri" w:hAnsi="Calibri"/>
                <w:b w:val="0"/>
                <w:i w:val="0"/>
                <w:color w:val="212121"/>
                <w:sz w:val="16"/>
              </w:rPr>
              <w:t>Cytopenias / abnormal white cells</w:t>
            </w:r>
          </w:p>
        </w:tc>
        <w:tc>
          <w:tcPr>
            <w:tcW w:type="dxa" w:w="1036"/>
            <w:vAlign w:val="top"/>
          </w:tcPr>
          <w:p>
            <w:pPr>
              <w:spacing w:after="40" w:before="0" w:line="259" w:lineRule="auto"/>
            </w:pPr>
            <w:r>
              <w:rPr>
                <w:rFonts w:ascii="Calibri" w:hAnsi="Calibri"/>
                <w:b w:val="0"/>
                <w:i w:val="0"/>
                <w:color w:val="212121"/>
                <w:sz w:val="16"/>
              </w:rPr>
              <w:t>Screens for leukaemia or immunosuppression causing gingival bleeding/enlargement</w:t>
            </w:r>
          </w:p>
        </w:tc>
        <w:tc>
          <w:tcPr>
            <w:tcW w:type="dxa" w:w="1036"/>
            <w:vAlign w:val="top"/>
          </w:tcPr>
          <w:p>
            <w:pPr>
              <w:spacing w:after="40" w:before="0" w:line="259" w:lineRule="auto"/>
            </w:pPr>
            <w:r>
              <w:rPr>
                <w:rFonts w:ascii="Calibri" w:hAnsi="Calibri"/>
                <w:b w:val="0"/>
                <w:i w:val="0"/>
                <w:color w:val="212121"/>
                <w:sz w:val="16"/>
              </w:rPr>
              <w:t>Spontaneous bleeding, gingival enlargement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Consider when signs are out of proportion to plaque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Bleeding gums, swelling, bad breath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Typical symptoms of gingival inflammation</w:t>
            </w:r>
          </w:p>
        </w:tc>
        <w:tc>
          <w:tcPr>
            <w:tcW w:type="dxa" w:w="1036"/>
            <w:vAlign w:val="top"/>
          </w:tcPr>
          <w:p>
            <w:pPr>
              <w:spacing w:after="40" w:before="0" w:line="259" w:lineRule="auto"/>
            </w:pPr>
            <w:r>
              <w:rPr>
                <w:rFonts w:ascii="Calibri" w:hAnsi="Calibri"/>
                <w:b w:val="0"/>
                <w:i w:val="0"/>
                <w:color w:val="212121"/>
                <w:sz w:val="16"/>
              </w:rPr>
              <w:t>All adults, pregnant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Bleeding on brushing is the commonest presenting symptom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Oral-hygiene history</w:t>
            </w:r>
          </w:p>
        </w:tc>
        <w:tc>
          <w:tcPr>
            <w:tcW w:type="dxa" w:w="979"/>
            <w:vAlign w:val="top"/>
          </w:tcPr>
          <w:p>
            <w:pPr>
              <w:spacing w:after="40" w:before="0" w:line="259" w:lineRule="auto"/>
            </w:pPr>
            <w:r>
              <w:rPr>
                <w:rFonts w:ascii="Calibri" w:hAnsi="Calibri"/>
                <w:b w:val="0"/>
                <w:i w:val="0"/>
                <w:color w:val="212121"/>
                <w:sz w:val="16"/>
              </w:rPr>
              <w:t>Brushing frequency, interdental cleaning, dental visits</w:t>
            </w:r>
          </w:p>
        </w:tc>
        <w:tc>
          <w:tcPr>
            <w:tcW w:type="dxa" w:w="950"/>
            <w:vAlign w:val="top"/>
          </w:tcPr>
          <w:p>
            <w:pPr>
              <w:spacing w:after="40" w:before="0" w:line="259" w:lineRule="auto"/>
            </w:pPr>
            <w:r>
              <w:rPr>
                <w:rFonts w:ascii="Calibri" w:hAnsi="Calibri"/>
                <w:b w:val="0"/>
                <w:i w:val="0"/>
                <w:color w:val="212121"/>
                <w:sz w:val="16"/>
              </w:rPr>
              <w:t>Twice-daily brushing, daily interdental cleaning</w:t>
            </w:r>
          </w:p>
        </w:tc>
        <w:tc>
          <w:tcPr>
            <w:tcW w:type="dxa" w:w="950"/>
            <w:vAlign w:val="top"/>
          </w:tcPr>
          <w:p>
            <w:pPr>
              <w:spacing w:after="40" w:before="0" w:line="259" w:lineRule="auto"/>
            </w:pPr>
            <w:r>
              <w:rPr>
                <w:rFonts w:ascii="Calibri" w:hAnsi="Calibri"/>
                <w:b w:val="0"/>
                <w:i w:val="0"/>
                <w:color w:val="212121"/>
                <w:sz w:val="16"/>
              </w:rPr>
              <w:t>Once daily or less, no interdental cleaning</w:t>
            </w:r>
          </w:p>
        </w:tc>
        <w:tc>
          <w:tcPr>
            <w:tcW w:type="dxa" w:w="1036"/>
            <w:vAlign w:val="top"/>
          </w:tcPr>
          <w:p>
            <w:pPr>
              <w:spacing w:after="40" w:before="0" w:line="259" w:lineRule="auto"/>
            </w:pPr>
            <w:r>
              <w:rPr>
                <w:rFonts w:ascii="Calibri" w:hAnsi="Calibri"/>
                <w:b w:val="0"/>
                <w:i w:val="0"/>
                <w:color w:val="212121"/>
                <w:sz w:val="16"/>
              </w:rPr>
              <w:t>Identifies the primary modifiable cause</w:t>
            </w:r>
          </w:p>
        </w:tc>
        <w:tc>
          <w:tcPr>
            <w:tcW w:type="dxa" w:w="1036"/>
            <w:vAlign w:val="top"/>
          </w:tcPr>
          <w:p>
            <w:pPr>
              <w:spacing w:after="40" w:before="0" w:line="259" w:lineRule="auto"/>
            </w:pPr>
            <w:r>
              <w:rPr>
                <w:rFonts w:ascii="Calibri" w:hAnsi="Calibri"/>
                <w:b w:val="0"/>
                <w:i w:val="0"/>
                <w:color w:val="212121"/>
                <w:sz w:val="16"/>
              </w:rPr>
              <w:t>All adults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Directly guides self-care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Habit history</w:t>
            </w:r>
          </w:p>
        </w:tc>
        <w:tc>
          <w:tcPr>
            <w:tcW w:type="dxa" w:w="979"/>
            <w:vAlign w:val="top"/>
          </w:tcPr>
          <w:p>
            <w:pPr>
              <w:spacing w:after="40" w:before="0" w:line="259" w:lineRule="auto"/>
            </w:pPr>
            <w:r>
              <w:rPr>
                <w:rFonts w:ascii="Calibri" w:hAnsi="Calibri"/>
                <w:b w:val="0"/>
                <w:i w:val="0"/>
                <w:color w:val="212121"/>
                <w:sz w:val="16"/>
              </w:rPr>
              <w:t>Smoking, smokeless tobacco, areca nut, alcohol</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Current use</w:t>
            </w:r>
          </w:p>
        </w:tc>
        <w:tc>
          <w:tcPr>
            <w:tcW w:type="dxa" w:w="1036"/>
            <w:vAlign w:val="top"/>
          </w:tcPr>
          <w:p>
            <w:pPr>
              <w:spacing w:after="40" w:before="0" w:line="259" w:lineRule="auto"/>
            </w:pPr>
            <w:r>
              <w:rPr>
                <w:rFonts w:ascii="Calibri" w:hAnsi="Calibri"/>
                <w:b w:val="0"/>
                <w:i w:val="0"/>
                <w:color w:val="212121"/>
                <w:sz w:val="16"/>
              </w:rPr>
              <w:t>Tobacco masks bleeding and worsens disease; alcohol worsens hygiene</w:t>
            </w:r>
          </w:p>
        </w:tc>
        <w:tc>
          <w:tcPr>
            <w:tcW w:type="dxa" w:w="1036"/>
            <w:vAlign w:val="top"/>
          </w:tcPr>
          <w:p>
            <w:pPr>
              <w:spacing w:after="40" w:before="0" w:line="259" w:lineRule="auto"/>
            </w:pPr>
            <w:r>
              <w:rPr>
                <w:rFonts w:ascii="Calibri" w:hAnsi="Calibri"/>
                <w:b w:val="0"/>
                <w:i w:val="0"/>
                <w:color w:val="212121"/>
                <w:sz w:val="16"/>
              </w:rPr>
              <w:t>Smokers, gutka/khaini users, drinkers</w:t>
            </w:r>
          </w:p>
        </w:tc>
        <w:tc>
          <w:tcPr>
            <w:tcW w:type="dxa" w:w="720"/>
            <w:vAlign w:val="top"/>
          </w:tcPr>
          <w:p>
            <w:pPr>
              <w:spacing w:after="40" w:before="0" w:line="259" w:lineRule="auto"/>
            </w:pPr>
            <w:r>
              <w:rPr>
                <w:rFonts w:ascii="Calibri" w:hAnsi="Calibri"/>
                <w:b w:val="0"/>
                <w:i w:val="0"/>
                <w:color w:val="212121"/>
                <w:sz w:val="16"/>
              </w:rPr>
              <w:t>Smoking; 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Smokers may bleed less despite more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Medical &amp; drug history</w:t>
            </w:r>
          </w:p>
        </w:tc>
        <w:tc>
          <w:tcPr>
            <w:tcW w:type="dxa" w:w="979"/>
            <w:vAlign w:val="top"/>
          </w:tcPr>
          <w:p>
            <w:pPr>
              <w:spacing w:after="40" w:before="0" w:line="259" w:lineRule="auto"/>
            </w:pPr>
            <w:r>
              <w:rPr>
                <w:rFonts w:ascii="Calibri" w:hAnsi="Calibri"/>
                <w:b w:val="0"/>
                <w:i w:val="0"/>
                <w:color w:val="212121"/>
                <w:sz w:val="16"/>
              </w:rPr>
              <w:t>Pregnancy, diabetes, phenytoin/cyclosporine/CCBs, immunosuppression</w:t>
            </w:r>
          </w:p>
        </w:tc>
        <w:tc>
          <w:tcPr>
            <w:tcW w:type="dxa" w:w="950"/>
            <w:vAlign w:val="top"/>
          </w:tcPr>
          <w:p>
            <w:pPr>
              <w:spacing w:after="40" w:before="0" w:line="259" w:lineRule="auto"/>
            </w:pPr>
            <w:r>
              <w:rPr>
                <w:rFonts w:ascii="Calibri" w:hAnsi="Calibri"/>
                <w:b w:val="0"/>
                <w:i w:val="0"/>
                <w:color w:val="212121"/>
                <w:sz w:val="16"/>
              </w:rPr>
              <w:t>None relevant</w:t>
            </w:r>
          </w:p>
        </w:tc>
        <w:tc>
          <w:tcPr>
            <w:tcW w:type="dxa" w:w="950"/>
            <w:vAlign w:val="top"/>
          </w:tcPr>
          <w:p>
            <w:pPr>
              <w:spacing w:after="40" w:before="0" w:line="259" w:lineRule="auto"/>
            </w:pPr>
            <w:r>
              <w:rPr>
                <w:rFonts w:ascii="Calibri" w:hAnsi="Calibri"/>
                <w:b w:val="0"/>
                <w:i w:val="0"/>
                <w:color w:val="212121"/>
                <w:sz w:val="16"/>
              </w:rPr>
              <w:t>Any modifier present</w:t>
            </w:r>
          </w:p>
        </w:tc>
        <w:tc>
          <w:tcPr>
            <w:tcW w:type="dxa" w:w="1036"/>
            <w:vAlign w:val="top"/>
          </w:tcPr>
          <w:p>
            <w:pPr>
              <w:spacing w:after="40" w:before="0" w:line="259" w:lineRule="auto"/>
            </w:pPr>
            <w:r>
              <w:rPr>
                <w:rFonts w:ascii="Calibri" w:hAnsi="Calibri"/>
                <w:b w:val="0"/>
                <w:i w:val="0"/>
                <w:color w:val="212121"/>
                <w:sz w:val="16"/>
              </w:rPr>
              <w:t>Identifies systemic and drug modifiers of gingivitis</w:t>
            </w:r>
          </w:p>
        </w:tc>
        <w:tc>
          <w:tcPr>
            <w:tcW w:type="dxa" w:w="1036"/>
            <w:vAlign w:val="top"/>
          </w:tcPr>
          <w:p>
            <w:pPr>
              <w:spacing w:after="40" w:before="0" w:line="259" w:lineRule="auto"/>
            </w:pPr>
            <w:r>
              <w:rPr>
                <w:rFonts w:ascii="Calibri" w:hAnsi="Calibri"/>
                <w:b w:val="0"/>
                <w:i w:val="0"/>
                <w:color w:val="212121"/>
                <w:sz w:val="16"/>
              </w:rPr>
              <w:t>Pregnant women, diabetics, transplant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Modifiers exaggerate the response to plaque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history</w:t>
            </w:r>
          </w:p>
        </w:tc>
        <w:tc>
          <w:tcPr>
            <w:tcW w:type="dxa" w:w="979"/>
            <w:vAlign w:val="top"/>
          </w:tcPr>
          <w:p>
            <w:pPr>
              <w:spacing w:after="40" w:before="0" w:line="259" w:lineRule="auto"/>
            </w:pPr>
            <w:r>
              <w:rPr>
                <w:rFonts w:ascii="Calibri" w:hAnsi="Calibri"/>
                <w:b w:val="0"/>
                <w:i w:val="0"/>
                <w:color w:val="212121"/>
                <w:sz w:val="16"/>
              </w:rPr>
              <w:t>Vitamin C intake, sugar frequency</w:t>
            </w:r>
          </w:p>
        </w:tc>
        <w:tc>
          <w:tcPr>
            <w:tcW w:type="dxa" w:w="950"/>
            <w:vAlign w:val="top"/>
          </w:tcPr>
          <w:p>
            <w:pPr>
              <w:spacing w:after="40" w:before="0" w:line="259" w:lineRule="auto"/>
            </w:pPr>
            <w:r>
              <w:rPr>
                <w:rFonts w:ascii="Calibri" w:hAnsi="Calibri"/>
                <w:b w:val="0"/>
                <w:i w:val="0"/>
                <w:color w:val="212121"/>
                <w:sz w:val="16"/>
              </w:rPr>
              <w:t>Adequate fruit/vegetables, low sugar</w:t>
            </w:r>
          </w:p>
        </w:tc>
        <w:tc>
          <w:tcPr>
            <w:tcW w:type="dxa" w:w="950"/>
            <w:vAlign w:val="top"/>
          </w:tcPr>
          <w:p>
            <w:pPr>
              <w:spacing w:after="40" w:before="0" w:line="259" w:lineRule="auto"/>
            </w:pPr>
            <w:r>
              <w:rPr>
                <w:rFonts w:ascii="Calibri" w:hAnsi="Calibri"/>
                <w:b w:val="0"/>
                <w:i w:val="0"/>
                <w:color w:val="212121"/>
                <w:sz w:val="16"/>
              </w:rPr>
              <w:t>Vitamin C-poor, frequent sugar</w:t>
            </w:r>
          </w:p>
        </w:tc>
        <w:tc>
          <w:tcPr>
            <w:tcW w:type="dxa" w:w="1036"/>
            <w:vAlign w:val="top"/>
          </w:tcPr>
          <w:p>
            <w:pPr>
              <w:spacing w:after="40" w:before="0" w:line="259" w:lineRule="auto"/>
            </w:pPr>
            <w:r>
              <w:rPr>
                <w:rFonts w:ascii="Calibri" w:hAnsi="Calibri"/>
                <w:b w:val="0"/>
                <w:i w:val="0"/>
                <w:color w:val="212121"/>
                <w:sz w:val="16"/>
              </w:rPr>
              <w:t>Nutritional contributors to bleeding gums and plaque</w:t>
            </w:r>
          </w:p>
        </w:tc>
        <w:tc>
          <w:tcPr>
            <w:tcW w:type="dxa" w:w="1036"/>
            <w:vAlign w:val="top"/>
          </w:tcPr>
          <w:p>
            <w:pPr>
              <w:spacing w:after="40" w:before="0" w:line="259" w:lineRule="auto"/>
            </w:pPr>
            <w:r>
              <w:rPr>
                <w:rFonts w:ascii="Calibri" w:hAnsi="Calibri"/>
                <w:b w:val="0"/>
                <w:i w:val="0"/>
                <w:color w:val="212121"/>
                <w:sz w:val="16"/>
              </w:rPr>
              <w:t>Poor-diet adults,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dietary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Gingival inspection</w:t>
            </w:r>
          </w:p>
        </w:tc>
        <w:tc>
          <w:tcPr>
            <w:tcW w:type="dxa" w:w="979"/>
            <w:vAlign w:val="top"/>
          </w:tcPr>
          <w:p>
            <w:pPr>
              <w:spacing w:after="40" w:before="0" w:line="259" w:lineRule="auto"/>
            </w:pPr>
            <w:r>
              <w:rPr>
                <w:rFonts w:ascii="Calibri" w:hAnsi="Calibri"/>
                <w:b w:val="0"/>
                <w:i w:val="0"/>
                <w:color w:val="212121"/>
                <w:sz w:val="16"/>
              </w:rPr>
              <w:t>Colour, contour, consistency, oedema, stippling</w:t>
            </w:r>
          </w:p>
        </w:tc>
        <w:tc>
          <w:tcPr>
            <w:tcW w:type="dxa" w:w="950"/>
            <w:vAlign w:val="top"/>
          </w:tcPr>
          <w:p>
            <w:pPr>
              <w:spacing w:after="40" w:before="0" w:line="259" w:lineRule="auto"/>
            </w:pPr>
            <w:r>
              <w:rPr>
                <w:rFonts w:ascii="Calibri" w:hAnsi="Calibri"/>
                <w:b w:val="0"/>
                <w:i w:val="0"/>
                <w:color w:val="212121"/>
                <w:sz w:val="16"/>
              </w:rPr>
              <w:t>Pink, firm, stippled, knife-edge margins</w:t>
            </w:r>
          </w:p>
        </w:tc>
        <w:tc>
          <w:tcPr>
            <w:tcW w:type="dxa" w:w="950"/>
            <w:vAlign w:val="top"/>
          </w:tcPr>
          <w:p>
            <w:pPr>
              <w:spacing w:after="40" w:before="0" w:line="259" w:lineRule="auto"/>
            </w:pPr>
            <w:r>
              <w:rPr>
                <w:rFonts w:ascii="Calibri" w:hAnsi="Calibri"/>
                <w:b w:val="0"/>
                <w:i w:val="0"/>
                <w:color w:val="212121"/>
                <w:sz w:val="16"/>
              </w:rPr>
              <w:t>Red, swollen, soft, glossy, rolled margins</w:t>
            </w:r>
          </w:p>
        </w:tc>
        <w:tc>
          <w:tcPr>
            <w:tcW w:type="dxa" w:w="1036"/>
            <w:vAlign w:val="top"/>
          </w:tcPr>
          <w:p>
            <w:pPr>
              <w:spacing w:after="40" w:before="0" w:line="259" w:lineRule="auto"/>
            </w:pPr>
            <w:r>
              <w:rPr>
                <w:rFonts w:ascii="Calibri" w:hAnsi="Calibri"/>
                <w:b w:val="0"/>
                <w:i w:val="0"/>
                <w:color w:val="212121"/>
                <w:sz w:val="16"/>
              </w:rPr>
              <w:t>Visual hallmarks of gingivitis</w:t>
            </w:r>
          </w:p>
        </w:tc>
        <w:tc>
          <w:tcPr>
            <w:tcW w:type="dxa" w:w="1036"/>
            <w:vAlign w:val="top"/>
          </w:tcPr>
          <w:p>
            <w:pPr>
              <w:spacing w:after="40" w:before="0" w:line="259" w:lineRule="auto"/>
            </w:pPr>
            <w:r>
              <w:rPr>
                <w:rFonts w:ascii="Calibri" w:hAnsi="Calibri"/>
                <w:b w:val="0"/>
                <w:i w:val="0"/>
                <w:color w:val="212121"/>
                <w:sz w:val="16"/>
              </w:rPr>
              <w:t>All adults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Loss of stippling is an early sign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Deposit assessment</w:t>
            </w:r>
          </w:p>
        </w:tc>
        <w:tc>
          <w:tcPr>
            <w:tcW w:type="dxa" w:w="979"/>
            <w:vAlign w:val="top"/>
          </w:tcPr>
          <w:p>
            <w:pPr>
              <w:spacing w:after="40" w:before="0" w:line="259" w:lineRule="auto"/>
            </w:pPr>
            <w:r>
              <w:rPr>
                <w:rFonts w:ascii="Calibri" w:hAnsi="Calibri"/>
                <w:b w:val="0"/>
                <w:i w:val="0"/>
                <w:color w:val="212121"/>
                <w:sz w:val="16"/>
              </w:rPr>
              <w:t>Plaque and calculus at gingival margin</w:t>
            </w:r>
          </w:p>
        </w:tc>
        <w:tc>
          <w:tcPr>
            <w:tcW w:type="dxa" w:w="950"/>
            <w:vAlign w:val="top"/>
          </w:tcPr>
          <w:p>
            <w:pPr>
              <w:spacing w:after="40" w:before="0" w:line="259" w:lineRule="auto"/>
            </w:pPr>
            <w:r>
              <w:rPr>
                <w:rFonts w:ascii="Calibri" w:hAnsi="Calibri"/>
                <w:b w:val="0"/>
                <w:i w:val="0"/>
                <w:color w:val="212121"/>
                <w:sz w:val="16"/>
              </w:rPr>
              <w:t>Minimal</w:t>
            </w:r>
          </w:p>
        </w:tc>
        <w:tc>
          <w:tcPr>
            <w:tcW w:type="dxa" w:w="950"/>
            <w:vAlign w:val="top"/>
          </w:tcPr>
          <w:p>
            <w:pPr>
              <w:spacing w:after="40" w:before="0" w:line="259" w:lineRule="auto"/>
            </w:pPr>
            <w:r>
              <w:rPr>
                <w:rFonts w:ascii="Calibri" w:hAnsi="Calibri"/>
                <w:b w:val="0"/>
                <w:i w:val="0"/>
                <w:color w:val="212121"/>
                <w:sz w:val="16"/>
              </w:rPr>
              <w:t>Visible plaque/calculus correlating with inflammation</w:t>
            </w:r>
          </w:p>
        </w:tc>
        <w:tc>
          <w:tcPr>
            <w:tcW w:type="dxa" w:w="1036"/>
            <w:vAlign w:val="top"/>
          </w:tcPr>
          <w:p>
            <w:pPr>
              <w:spacing w:after="40" w:before="0" w:line="259" w:lineRule="auto"/>
            </w:pPr>
            <w:r>
              <w:rPr>
                <w:rFonts w:ascii="Calibri" w:hAnsi="Calibri"/>
                <w:b w:val="0"/>
                <w:i w:val="0"/>
                <w:color w:val="212121"/>
                <w:sz w:val="16"/>
              </w:rPr>
              <w:t>Confirms plaque as the cause and targets scaling</w:t>
            </w:r>
          </w:p>
        </w:tc>
        <w:tc>
          <w:tcPr>
            <w:tcW w:type="dxa" w:w="1036"/>
            <w:vAlign w:val="top"/>
          </w:tcPr>
          <w:p>
            <w:pPr>
              <w:spacing w:after="40" w:before="0" w:line="259" w:lineRule="auto"/>
            </w:pPr>
            <w:r>
              <w:rPr>
                <w:rFonts w:ascii="Calibri" w:hAnsi="Calibri"/>
                <w:b w:val="0"/>
                <w:i w:val="0"/>
                <w:color w:val="212121"/>
                <w:sz w:val="16"/>
              </w:rPr>
              <w:t>All adults, orthodontic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Distribution matches the inflammation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Bleeding gums on brushing or flossing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earliest and most typical symptom; healthy gums do not bleed with normal cleaning.</w:t>
            </w:r>
          </w:p>
        </w:tc>
      </w:tr>
      <w:tr>
        <w:trPr>
          <w:cantSplit/>
        </w:trPr>
        <w:tc>
          <w:tcPr>
            <w:tcW w:type="dxa" w:w="2304"/>
            <w:vAlign w:val="top"/>
          </w:tcPr>
          <w:p>
            <w:pPr>
              <w:spacing w:after="40" w:before="0" w:line="259" w:lineRule="auto"/>
            </w:pPr>
            <w:r>
              <w:rPr>
                <w:rFonts w:ascii="Calibri" w:hAnsi="Calibri"/>
                <w:b/>
                <w:i w:val="0"/>
                <w:color w:val="212121"/>
                <w:sz w:val="19"/>
              </w:rPr>
              <w:t>Red, swollen gums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Inflamed marginal gingiva looks redder and puffier than the normal pale-pink, firm gum.</w:t>
            </w:r>
          </w:p>
        </w:tc>
      </w:tr>
      <w:tr>
        <w:trPr>
          <w:cantSplit/>
        </w:trPr>
        <w:tc>
          <w:tcPr>
            <w:tcW w:type="dxa" w:w="2304"/>
            <w:vAlign w:val="top"/>
          </w:tcPr>
          <w:p>
            <w:pPr>
              <w:spacing w:after="40" w:before="0" w:line="259" w:lineRule="auto"/>
            </w:pPr>
            <w:r>
              <w:rPr>
                <w:rFonts w:ascii="Calibri" w:hAnsi="Calibri"/>
                <w:b/>
                <w:i w:val="0"/>
                <w:color w:val="212121"/>
                <w:sz w:val="19"/>
              </w:rPr>
              <w:t>Tender or sore gums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Mild discomfort along the gum margin, especially when eating or cleaning.</w:t>
            </w:r>
          </w:p>
        </w:tc>
      </w:tr>
      <w:tr>
        <w:trPr>
          <w:cantSplit/>
        </w:trPr>
        <w:tc>
          <w:tcPr>
            <w:tcW w:type="dxa" w:w="2304"/>
            <w:vAlign w:val="top"/>
          </w:tcPr>
          <w:p>
            <w:pPr>
              <w:spacing w:after="40" w:before="0" w:line="259" w:lineRule="auto"/>
            </w:pPr>
            <w:r>
              <w:rPr>
                <w:rFonts w:ascii="Calibri" w:hAnsi="Calibri"/>
                <w:b/>
                <w:i w:val="0"/>
                <w:color w:val="212121"/>
                <w:sz w:val="19"/>
              </w:rPr>
              <w:t>Bad breath (halitosis)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Odour from bacterial plaque and inflammatory by-products at the gum line.</w:t>
            </w:r>
          </w:p>
        </w:tc>
      </w:tr>
      <w:tr>
        <w:trPr>
          <w:cantSplit/>
        </w:trPr>
        <w:tc>
          <w:tcPr>
            <w:tcW w:type="dxa" w:w="2304"/>
            <w:vAlign w:val="top"/>
          </w:tcPr>
          <w:p>
            <w:pPr>
              <w:spacing w:after="40" w:before="0" w:line="259" w:lineRule="auto"/>
            </w:pPr>
            <w:r>
              <w:rPr>
                <w:rFonts w:ascii="Calibri" w:hAnsi="Calibri"/>
                <w:b/>
                <w:i w:val="0"/>
                <w:color w:val="212121"/>
                <w:sz w:val="19"/>
              </w:rPr>
              <w:t>Puffy, shiny gums with loss of stippling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Oedema smooths the normal orange-peel texture of healthy gingiva.</w:t>
            </w:r>
          </w:p>
        </w:tc>
      </w:tr>
      <w:tr>
        <w:trPr>
          <w:cantSplit/>
        </w:trPr>
        <w:tc>
          <w:tcPr>
            <w:tcW w:type="dxa" w:w="2304"/>
            <w:vAlign w:val="top"/>
          </w:tcPr>
          <w:p>
            <w:pPr>
              <w:spacing w:after="40" w:before="0" w:line="259" w:lineRule="auto"/>
            </w:pPr>
            <w:r>
              <w:rPr>
                <w:rFonts w:ascii="Calibri" w:hAnsi="Calibri"/>
                <w:b/>
                <w:i w:val="0"/>
                <w:color w:val="212121"/>
                <w:sz w:val="19"/>
              </w:rPr>
              <w:t>Bad or metallic taste in the mouth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bacterial activity and traces of blood.</w:t>
            </w:r>
          </w:p>
        </w:tc>
      </w:tr>
      <w:tr>
        <w:trPr>
          <w:cantSplit/>
        </w:trPr>
        <w:tc>
          <w:tcPr>
            <w:tcW w:type="dxa" w:w="2304"/>
            <w:vAlign w:val="top"/>
          </w:tcPr>
          <w:p>
            <w:pPr>
              <w:spacing w:after="40" w:before="0" w:line="259" w:lineRule="auto"/>
            </w:pPr>
            <w:r>
              <w:rPr>
                <w:rFonts w:ascii="Calibri" w:hAnsi="Calibri"/>
                <w:b/>
                <w:i w:val="0"/>
                <w:color w:val="212121"/>
                <w:sz w:val="19"/>
              </w:rPr>
              <w:t>Gums that bleed spontaneously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More pronounced inflammation, hormonal states, or a systemic cause such as vitamin C deficiency or leukaemia.</w:t>
            </w:r>
          </w:p>
        </w:tc>
      </w:tr>
      <w:tr>
        <w:trPr>
          <w:cantSplit/>
        </w:trPr>
        <w:tc>
          <w:tcPr>
            <w:tcW w:type="dxa" w:w="2304"/>
            <w:vAlign w:val="top"/>
          </w:tcPr>
          <w:p>
            <w:pPr>
              <w:spacing w:after="40" w:before="0" w:line="259" w:lineRule="auto"/>
            </w:pPr>
            <w:r>
              <w:rPr>
                <w:rFonts w:ascii="Calibri" w:hAnsi="Calibri"/>
                <w:b/>
                <w:i w:val="0"/>
                <w:color w:val="212121"/>
                <w:sz w:val="19"/>
              </w:rPr>
              <w:t>Receding-looking or enlarged gums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Swelling can make gums look enlarged; drug-influenced or hereditary overgrowth causes true enlargement.</w:t>
            </w:r>
          </w:p>
        </w:tc>
      </w:tr>
      <w:tr>
        <w:trPr>
          <w:cantSplit/>
        </w:trPr>
        <w:tc>
          <w:tcPr>
            <w:tcW w:type="dxa" w:w="2304"/>
            <w:vAlign w:val="top"/>
          </w:tcPr>
          <w:p>
            <w:pPr>
              <w:spacing w:after="40" w:before="0" w:line="259" w:lineRule="auto"/>
            </w:pPr>
            <w:r>
              <w:rPr>
                <w:rFonts w:ascii="Calibri" w:hAnsi="Calibri"/>
                <w:b/>
                <w:i w:val="0"/>
                <w:color w:val="212121"/>
                <w:sz w:val="19"/>
              </w:rPr>
              <w:t>Pain or discomfort while eating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Tender, inflamed gums may hurt with hard or hot foods.</w:t>
            </w:r>
          </w:p>
        </w:tc>
      </w:tr>
      <w:tr>
        <w:trPr>
          <w:cantSplit/>
        </w:trPr>
        <w:tc>
          <w:tcPr>
            <w:tcW w:type="dxa" w:w="2304"/>
            <w:vAlign w:val="top"/>
          </w:tcPr>
          <w:p>
            <w:pPr>
              <w:spacing w:after="40" w:before="0" w:line="259" w:lineRule="auto"/>
            </w:pPr>
            <w:r>
              <w:rPr>
                <w:rFonts w:ascii="Calibri" w:hAnsi="Calibri"/>
                <w:b/>
                <w:i w:val="0"/>
                <w:color w:val="212121"/>
                <w:sz w:val="19"/>
              </w:rPr>
              <w:t>Severe pain with ulcerated, punched-out gums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acute necrotising ulcerative gingivitis, linked to stress, smoking and immunosuppression.</w:t>
            </w:r>
          </w:p>
        </w:tc>
      </w:tr>
      <w:tr>
        <w:trPr>
          <w:cantSplit/>
        </w:trPr>
        <w:tc>
          <w:tcPr>
            <w:tcW w:type="dxa" w:w="2304"/>
            <w:vAlign w:val="top"/>
          </w:tcPr>
          <w:p>
            <w:pPr>
              <w:spacing w:after="40" w:before="0" w:line="259" w:lineRule="auto"/>
            </w:pPr>
            <w:r>
              <w:rPr>
                <w:rFonts w:ascii="Calibri" w:hAnsi="Calibri"/>
                <w:b/>
                <w:i w:val="0"/>
                <w:color w:val="212121"/>
                <w:sz w:val="19"/>
              </w:rPr>
              <w:t>Gum overgrowth covering the teeth</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with drug-influenced enlargement (phenytoin, cyclosporine, calcium-channel blockers) or hereditary gingival fibromatosis.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Bleeding on gentle probing (BOP)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clinical hallmark; bleeding from the sulcus on light probing indicates active inflammation.</w:t>
            </w:r>
          </w:p>
        </w:tc>
      </w:tr>
      <w:tr>
        <w:trPr>
          <w:cantSplit/>
        </w:trPr>
        <w:tc>
          <w:tcPr>
            <w:tcW w:type="dxa" w:w="3456"/>
            <w:vAlign w:val="top"/>
          </w:tcPr>
          <w:p>
            <w:pPr>
              <w:spacing w:after="40" w:before="0" w:line="259" w:lineRule="auto"/>
            </w:pPr>
            <w:r>
              <w:rPr>
                <w:rFonts w:ascii="Calibri" w:hAnsi="Calibri"/>
                <w:b/>
                <w:i w:val="0"/>
                <w:color w:val="212121"/>
                <w:sz w:val="19"/>
              </w:rPr>
              <w:t>Marginal and papillary erythema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Redness of the gum margin and interdental papillae from increased vascularity.</w:t>
            </w:r>
          </w:p>
        </w:tc>
      </w:tr>
      <w:tr>
        <w:trPr>
          <w:cantSplit/>
        </w:trPr>
        <w:tc>
          <w:tcPr>
            <w:tcW w:type="dxa" w:w="3456"/>
            <w:vAlign w:val="top"/>
          </w:tcPr>
          <w:p>
            <w:pPr>
              <w:spacing w:after="40" w:before="0" w:line="259" w:lineRule="auto"/>
            </w:pPr>
            <w:r>
              <w:rPr>
                <w:rFonts w:ascii="Calibri" w:hAnsi="Calibri"/>
                <w:b/>
                <w:i w:val="0"/>
                <w:color w:val="212121"/>
                <w:sz w:val="19"/>
              </w:rPr>
              <w:t>Gingival oedema / swelling with loss of stippling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Soft, glossy, swollen gingiva that has lost its firm, stippled surface.</w:t>
            </w:r>
          </w:p>
        </w:tc>
      </w:tr>
      <w:tr>
        <w:trPr>
          <w:cantSplit/>
        </w:trPr>
        <w:tc>
          <w:tcPr>
            <w:tcW w:type="dxa" w:w="3456"/>
            <w:vAlign w:val="top"/>
          </w:tcPr>
          <w:p>
            <w:pPr>
              <w:spacing w:after="40" w:before="0" w:line="259" w:lineRule="auto"/>
            </w:pPr>
            <w:r>
              <w:rPr>
                <w:rFonts w:ascii="Calibri" w:hAnsi="Calibri"/>
                <w:b/>
                <w:i w:val="0"/>
                <w:color w:val="212121"/>
                <w:sz w:val="19"/>
              </w:rPr>
              <w:t>Plaque and calculus at the gingival margin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biofilm and tartar whose distribution matches the inflammation.</w:t>
            </w:r>
          </w:p>
        </w:tc>
      </w:tr>
      <w:tr>
        <w:trPr>
          <w:cantSplit/>
        </w:trPr>
        <w:tc>
          <w:tcPr>
            <w:tcW w:type="dxa" w:w="3456"/>
            <w:vAlign w:val="top"/>
          </w:tcPr>
          <w:p>
            <w:pPr>
              <w:spacing w:after="40" w:before="0" w:line="259" w:lineRule="auto"/>
            </w:pPr>
            <w:r>
              <w:rPr>
                <w:rFonts w:ascii="Calibri" w:hAnsi="Calibri"/>
                <w:b/>
                <w:i w:val="0"/>
                <w:color w:val="212121"/>
                <w:sz w:val="19"/>
              </w:rPr>
              <w:t>Rolled, blunted gingival margins and swollen papillae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the normal knife-edge margin and pointed papillae.</w:t>
            </w:r>
          </w:p>
        </w:tc>
      </w:tr>
      <w:tr>
        <w:trPr>
          <w:cantSplit/>
        </w:trPr>
        <w:tc>
          <w:tcPr>
            <w:tcW w:type="dxa" w:w="3456"/>
            <w:vAlign w:val="top"/>
          </w:tcPr>
          <w:p>
            <w:pPr>
              <w:spacing w:after="40" w:before="0" w:line="259" w:lineRule="auto"/>
            </w:pPr>
            <w:r>
              <w:rPr>
                <w:rFonts w:ascii="Calibri" w:hAnsi="Calibri"/>
                <w:b/>
                <w:i w:val="0"/>
                <w:color w:val="212121"/>
                <w:sz w:val="19"/>
              </w:rPr>
              <w:t>Pseudo-pockets without attachment loss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Probing depth increased by swelling alone; no true attachment or bone loss (differentiates from periodontitis).</w:t>
            </w:r>
          </w:p>
        </w:tc>
      </w:tr>
      <w:tr>
        <w:trPr>
          <w:cantSplit/>
        </w:trPr>
        <w:tc>
          <w:tcPr>
            <w:tcW w:type="dxa" w:w="3456"/>
            <w:vAlign w:val="top"/>
          </w:tcPr>
          <w:p>
            <w:pPr>
              <w:spacing w:after="40" w:before="0" w:line="259" w:lineRule="auto"/>
            </w:pPr>
            <w:r>
              <w:rPr>
                <w:rFonts w:ascii="Calibri" w:hAnsi="Calibri"/>
                <w:b/>
                <w:i w:val="0"/>
                <w:color w:val="212121"/>
                <w:sz w:val="19"/>
              </w:rPr>
              <w:t>Gingival enlargement / overgrowth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Drug-influenced or hereditary overgrowth that traps plaque and inflames.</w:t>
            </w:r>
          </w:p>
        </w:tc>
      </w:tr>
      <w:tr>
        <w:trPr>
          <w:cantSplit/>
        </w:trPr>
        <w:tc>
          <w:tcPr>
            <w:tcW w:type="dxa" w:w="3456"/>
            <w:vAlign w:val="top"/>
          </w:tcPr>
          <w:p>
            <w:pPr>
              <w:spacing w:after="40" w:before="0" w:line="259" w:lineRule="auto"/>
            </w:pPr>
            <w:r>
              <w:rPr>
                <w:rFonts w:ascii="Calibri" w:hAnsi="Calibri"/>
                <w:b/>
                <w:i w:val="0"/>
                <w:color w:val="212121"/>
                <w:sz w:val="19"/>
              </w:rPr>
              <w:t>Pyogenic granuloma (pregnancy tumour / epulis)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Localised red, lobulated overgrowth, typically in pregnancy, usually receding after delivery.</w:t>
            </w:r>
          </w:p>
        </w:tc>
      </w:tr>
      <w:tr>
        <w:trPr>
          <w:cantSplit/>
        </w:trPr>
        <w:tc>
          <w:tcPr>
            <w:tcW w:type="dxa" w:w="3456"/>
            <w:vAlign w:val="top"/>
          </w:tcPr>
          <w:p>
            <w:pPr>
              <w:spacing w:after="40" w:before="0" w:line="259" w:lineRule="auto"/>
            </w:pPr>
            <w:r>
              <w:rPr>
                <w:rFonts w:ascii="Calibri" w:hAnsi="Calibri"/>
                <w:b/>
                <w:i w:val="0"/>
                <w:color w:val="212121"/>
                <w:sz w:val="19"/>
              </w:rPr>
              <w:t>Spongy gums bleeding on light touch</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vitamin C deficiency (scurvy) affecting gingival collagen and capillaries.</w:t>
            </w:r>
          </w:p>
        </w:tc>
      </w:tr>
      <w:tr>
        <w:trPr>
          <w:cantSplit/>
        </w:trPr>
        <w:tc>
          <w:tcPr>
            <w:tcW w:type="dxa" w:w="3456"/>
            <w:vAlign w:val="top"/>
          </w:tcPr>
          <w:p>
            <w:pPr>
              <w:spacing w:after="40" w:before="0" w:line="259" w:lineRule="auto"/>
            </w:pPr>
            <w:r>
              <w:rPr>
                <w:rFonts w:ascii="Calibri" w:hAnsi="Calibri"/>
                <w:b/>
                <w:i w:val="0"/>
                <w:color w:val="212121"/>
                <w:sz w:val="19"/>
              </w:rPr>
              <w:t>Punched-out, ulcerated interdental papillae with pseudomembrane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Characteristic of acute necrotising ulcerative gingivitis, often with a foetid odour.</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gingival bleeding and halitosis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Gingival (localised)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Pyogenic granuloma / pregnancy tumour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necrotising ulcerative gingivitis (ANUG)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Discomfort limiting effective brushing, creating a vicious cycle</w:t>
            </w:r>
          </w:p>
        </w:tc>
        <w:tc>
          <w:tcPr>
            <w:tcW w:type="dxa" w:w="2980"/>
            <w:vAlign w:val="top"/>
          </w:tcPr>
          <w:p>
            <w:pPr>
              <w:spacing w:after="40" w:before="0" w:line="259" w:lineRule="auto"/>
            </w:pPr>
            <w:r>
              <w:rPr>
                <w:rFonts w:ascii="Calibri" w:hAnsi="Calibri"/>
                <w:b w:val="0"/>
                <w:i w:val="0"/>
                <w:color w:val="212121"/>
                <w:sz w:val="19"/>
              </w:rPr>
              <w:t>Direct local consequences of untreated gingival inflammation, all still reversible with plaque control</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periodontitis with clinical attachment and alveolar bone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True periodontal pocket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Gingival recession and root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Worsened glycaemic control in 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systemic inflammatory burden</w:t>
            </w:r>
          </w:p>
        </w:tc>
        <w:tc>
          <w:tcPr>
            <w:tcW w:type="dxa" w:w="2980"/>
            <w:vAlign w:val="top"/>
          </w:tcPr>
          <w:p>
            <w:pPr>
              <w:spacing w:after="40" w:before="0" w:line="259" w:lineRule="auto"/>
            </w:pPr>
            <w:r>
              <w:rPr>
                <w:rFonts w:ascii="Calibri" w:hAnsi="Calibri"/>
                <w:b w:val="0"/>
                <w:i w:val="0"/>
                <w:color w:val="212121"/>
                <w:sz w:val="19"/>
              </w:rPr>
              <w:t>Result when susceptible individuals leave inflammation untreated, crossing from reversible gingivitis into irreversible periodontal breakdown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Tooth mobility and eventual tooth loss (via periodontitis)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Contribution to poor diabetes outcomes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Association with adverse pregnancy outcomes (preterm birth, low birth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chewing, nutrition, speech and self-esteem</w:t>
            </w:r>
          </w:p>
        </w:tc>
        <w:tc>
          <w:tcPr>
            <w:tcW w:type="dxa" w:w="2980"/>
            <w:vAlign w:val="top"/>
          </w:tcPr>
          <w:p>
            <w:pPr>
              <w:spacing w:after="40" w:before="0" w:line="259" w:lineRule="auto"/>
            </w:pPr>
            <w:r>
              <w:rPr>
                <w:rFonts w:ascii="Calibri" w:hAnsi="Calibri"/>
                <w:b w:val="0"/>
                <w:i w:val="0"/>
                <w:color w:val="212121"/>
                <w:sz w:val="19"/>
              </w:rPr>
              <w:t>Irreversible, disabling end-stage outcomes mediated largely through progression to periodontitis and systemic links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Periodontitis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Gingivitis is the direct precursor; untreated inflammation in susceptible people progresses to irreversible attachment and bone loss.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Truly bidirectional: poorly controlled diabetes raises periodontitis risk 2-3 fold and treating gum disease lowers HbA1c by about 0.4%; periodontal disease is called the sixth complication of diabetes.</w:t>
            </w:r>
          </w:p>
          <w:p>
            <w:pPr>
              <w:spacing w:after="40" w:before="0" w:line="259" w:lineRule="auto"/>
            </w:pPr>
            <w:r>
              <w:rPr>
                <w:rFonts w:ascii="Calibri" w:hAnsi="Calibri"/>
                <w:b/>
                <w:i w:val="0"/>
                <w:color w:val="212121"/>
                <w:sz w:val="19"/>
              </w:rPr>
              <w:t>2-3x risk with poor control</w:t>
            </w:r>
          </w:p>
        </w:tc>
      </w:tr>
      <w:tr>
        <w:trPr>
          <w:cantSplit/>
        </w:trPr>
        <w:tc>
          <w:tcPr>
            <w:tcW w:type="dxa" w:w="2232"/>
            <w:vAlign w:val="top"/>
          </w:tcPr>
          <w:p>
            <w:pPr>
              <w:spacing w:after="40" w:before="0" w:line="259" w:lineRule="auto"/>
            </w:pPr>
            <w:r>
              <w:rPr>
                <w:rFonts w:ascii="Calibri" w:hAnsi="Calibri"/>
                <w:b/>
                <w:i w:val="0"/>
                <w:color w:val="212121"/>
                <w:sz w:val="19"/>
              </w:rPr>
              <w:t>Pregnancy (pregnancy gingivitis)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Hormonal changes exaggerate the plaque response; a very common physiological association.</w:t>
            </w:r>
          </w:p>
          <w:p>
            <w:pPr>
              <w:spacing w:after="40" w:before="0" w:line="259" w:lineRule="auto"/>
            </w:pPr>
            <w:r>
              <w:rPr>
                <w:rFonts w:ascii="Calibri" w:hAnsi="Calibri"/>
                <w:b/>
                <w:i w:val="0"/>
                <w:color w:val="212121"/>
                <w:sz w:val="19"/>
              </w:rPr>
              <w:t>60-75% of pregnant women</w:t>
            </w:r>
          </w:p>
        </w:tc>
      </w:tr>
      <w:tr>
        <w:trPr>
          <w:cantSplit/>
        </w:trPr>
        <w:tc>
          <w:tcPr>
            <w:tcW w:type="dxa" w:w="2232"/>
            <w:vAlign w:val="top"/>
          </w:tcPr>
          <w:p>
            <w:pPr>
              <w:spacing w:after="40" w:before="0" w:line="259" w:lineRule="auto"/>
            </w:pPr>
            <w:r>
              <w:rPr>
                <w:rFonts w:ascii="Calibri" w:hAnsi="Calibri"/>
                <w:b/>
                <w:i w:val="0"/>
                <w:color w:val="212121"/>
                <w:sz w:val="19"/>
              </w:rPr>
              <w:t>Vitamin C deficiency (scurvy)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Impaired gingival collagen synthesis causes swollen, spongy, spontaneously bleeding gums.</w:t>
            </w:r>
          </w:p>
        </w:tc>
      </w:tr>
      <w:tr>
        <w:trPr>
          <w:cantSplit/>
        </w:trPr>
        <w:tc>
          <w:tcPr>
            <w:tcW w:type="dxa" w:w="2232"/>
            <w:vAlign w:val="top"/>
          </w:tcPr>
          <w:p>
            <w:pPr>
              <w:spacing w:after="40" w:before="0" w:line="259" w:lineRule="auto"/>
            </w:pPr>
            <w:r>
              <w:rPr>
                <w:rFonts w:ascii="Calibri" w:hAnsi="Calibri"/>
                <w:b/>
                <w:i w:val="0"/>
                <w:color w:val="212121"/>
                <w:sz w:val="19"/>
              </w:rPr>
              <w:t>Dental caries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dental plaque and frequent sugar as a common cause; often coexists with gingivitis.</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Chronic periodontal inflammation is epidemiologically associated with atherosclerosis and cardiovascular risk.</w:t>
            </w:r>
          </w:p>
        </w:tc>
      </w:tr>
      <w:tr>
        <w:trPr>
          <w:cantSplit/>
        </w:trPr>
        <w:tc>
          <w:tcPr>
            <w:tcW w:type="dxa" w:w="2232"/>
            <w:vAlign w:val="top"/>
          </w:tcPr>
          <w:p>
            <w:pPr>
              <w:spacing w:after="40" w:before="0" w:line="259" w:lineRule="auto"/>
            </w:pPr>
            <w:r>
              <w:rPr>
                <w:rFonts w:ascii="Calibri" w:hAnsi="Calibri"/>
                <w:b/>
                <w:i w:val="0"/>
                <w:color w:val="212121"/>
                <w:sz w:val="19"/>
              </w:rPr>
              <w:t>Leukaemia and immunosuppression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Can present with gingival enlargement, spontaneous bleeding or necrotising gingival disease disproportionate to plaque.</w:t>
            </w:r>
          </w:p>
        </w:tc>
      </w:tr>
      <w:tr>
        <w:trPr>
          <w:cantSplit/>
        </w:trPr>
        <w:tc>
          <w:tcPr>
            <w:tcW w:type="dxa" w:w="2232"/>
            <w:vAlign w:val="top"/>
          </w:tcPr>
          <w:p>
            <w:pPr>
              <w:spacing w:after="40" w:before="0" w:line="259" w:lineRule="auto"/>
            </w:pPr>
            <w:r>
              <w:rPr>
                <w:rFonts w:ascii="Calibri" w:hAnsi="Calibri"/>
                <w:b/>
                <w:i w:val="0"/>
                <w:color w:val="212121"/>
                <w:sz w:val="19"/>
              </w:rPr>
              <w:t>Obesity / metabolic syndrome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Adipokine-driven inflammation and insulin resistance heighten the gingival response to plaque.</w:t>
            </w:r>
          </w:p>
        </w:tc>
      </w:tr>
      <w:tr>
        <w:trPr>
          <w:cantSplit/>
        </w:trPr>
        <w:tc>
          <w:tcPr>
            <w:tcW w:type="dxa" w:w="2232"/>
            <w:vAlign w:val="top"/>
          </w:tcPr>
          <w:p>
            <w:pPr>
              <w:spacing w:after="40" w:before="0" w:line="259" w:lineRule="auto"/>
            </w:pPr>
            <w:r>
              <w:rPr>
                <w:rFonts w:ascii="Calibri" w:hAnsi="Calibri"/>
                <w:b/>
                <w:i w:val="0"/>
                <w:color w:val="212121"/>
                <w:sz w:val="19"/>
              </w:rPr>
              <w:t>Adverse pregnancy outcomes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Maternal periodontal inflammation is associated with preterm birth and low birth weight.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gingivitis is caused by dental plaque and is fully reversible - it is safe to self-manage with good oral hygiene.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bleeding gums as an early warning sign, not something normal; do not stop cleaning the areas that bleed.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correct brushing (twice daily, two minutes, fluoride toothpaste) and daily interdental cleaning technique.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a dental scaling (professional cleaning) and check-up every 6-12 months to remove calculus that brushing cannot.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higher-risk phases and conditions (pregnancy, diabetes, tobacco use, certain drugs) that need extra oral-hygiene attention and dental review.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Oral Hygiene</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Brush twice daily for two minutes with a soft brush and fluoride toothpaste, angling bristles at the gum margin.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Clean between the teeth every day with floss or an interdental brush, where the toothbrush cannot reach.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a professional scaling to remove calculus, then maintain plaque control - gingivitis typically resolves within 1-2 weeks of consistent cleaning.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plaque traps (overhanging fillings, ill-fitting dentures) and clean carefully around braces and crowded teeth.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 short course of antiseptic (chlorhexidine) mouthwash for acute flare-ups, as an adjunct - not a substitute - for mechanical cleaning.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the toothbrush every 3 months or when the bristles splay.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Orthodontic-appliance 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poor hygiene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reduced dexterity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vitamin C-rich foods daily (amla/Indian gooseberry, guava, citrus fruits, lemon, capsicum, green leafy vegetables) to keep gums healthy.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the frequency of sugary snacks and sweetened drinks that feed plaque bacteria.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firm, fibrous fruits and vegetables that encourage chewing and salivary cleansing.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water after meals and limit sticky, refined carbohydrate snacks between meals.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poor diet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Alcohol-dependent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 both smoked (cigarettes, bidis) and smokeless (gutka, khaini, zarda); tobacco hides bleeding while worsening the disease underneath.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where appropriate, nicotine-replacement or approved cessation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quitting, expect gums to bleed a little more at first as normal blood flow returns - this reflects healing, not worsening.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extra vitamin C (about 35 mg/day more) as smokers have higher requirements.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recurrent or severe gingivitis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is linked to poorer oral hygiene, a drier mouth and more gum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brushing and interdental cleaning routines even on drinking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hydrated and avoid combining alcohol with tobacco, which together markedly worsen gum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and 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Combined tobacco-and-alcohol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adequate, good-quality sleep to support a healthy immune response to plaque.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skip the night-time brushing - overnight low saliva flow lets plaque acids and bacteria act unchecked.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mouth breathing and dryness at night, which increase plaque retention and gum inflammation.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poor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Mouth breathers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with relaxation, exercise or counselling; chronic stress worsens gum inflammation and is a trigger for necrotising gingivitis.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up daily oral-hygiene routines during stressful periods, when self-care is often neglected.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depression or anxiety, which are linked to poorer oral-hygiene behaviours.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depression or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and 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and maintain a healthy weight to reduce obesity-related inflammation that can worsen gum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diabetes prevention/control, given the two-way link between blood sugar and gum inflammation.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or at risk of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7649635" TargetMode="External"/><Relationship Id="rId10" Type="http://schemas.openxmlformats.org/officeDocument/2006/relationships/hyperlink" Target="https://www.ncbi.nlm.nih.gov/books/NBK557422/" TargetMode="External"/><Relationship Id="rId11" Type="http://schemas.openxmlformats.org/officeDocument/2006/relationships/hyperlink" Target="https://pmc.ncbi.nlm.nih.gov/articles/PMC5839247" TargetMode="External"/><Relationship Id="rId12" Type="http://schemas.openxmlformats.org/officeDocument/2006/relationships/hyperlink" Target="https://ntcp.mohfw.gov.in/assets/document/surveys-reports-publications/GATS-2-FactSheet.pdf" TargetMode="External"/><Relationship Id="rId13" Type="http://schemas.openxmlformats.org/officeDocument/2006/relationships/hyperlink" Target="https://www.ncbi.nlm.nih.gov/books/NBK493187/" TargetMode="External"/><Relationship Id="rId14" Type="http://schemas.openxmlformats.org/officeDocument/2006/relationships/hyperlink" Target="https://www.mdpi.com/2075-4418/13/4/681" TargetMode="External"/><Relationship Id="rId15" Type="http://schemas.openxmlformats.org/officeDocument/2006/relationships/hyperlink" Target="https://www.aafp.org/pubs/afp/issues/2008/0415/p113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