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Dental erosion / attrition / abrasion / hypersensitivity</w:t>
      </w:r>
    </w:p>
    <w:p>
      <w:pPr>
        <w:spacing w:before="0" w:after="160"/>
      </w:pPr>
      <w:r>
        <w:rPr>
          <w:rFonts w:ascii="Calibri" w:hAnsi="Calibri"/>
          <w:b/>
          <w:i w:val="0"/>
          <w:color w:val="212121"/>
          <w:sz w:val="22"/>
        </w:rPr>
        <w:t xml:space="preserve">AKA </w:t>
      </w:r>
      <w:r>
        <w:rPr>
          <w:rFonts w:ascii="Calibri" w:hAnsi="Calibri"/>
          <w:b w:val="0"/>
          <w:i w:val="0"/>
          <w:color w:val="212121"/>
          <w:sz w:val="22"/>
        </w:rPr>
        <w:t>i.e., Tooth wear, Tooth surface loss (TSL), Non-carious tooth surface loss, Erosive tooth wear / acid wear, Non-carious cervical lesions (abrasion/abfraction), Dentin(e) hypersensitivity, “Sensitive teeth”, “Worn teeth”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Dental erosion, attrition, abrasion and abfraction together constitute non-carious tooth surface loss (tooth wear) — the progressive, irreversible loss of dental hard tissue that is not caused by bacteria (caries) or acute trauma. Erosion is the chemical dissolution of enamel and dentine by intrinsic (gastric) or extrinsic (dietary, occupational) acids; attrition is tooth-to-tooth mechanical wear, classically from bruxism/parafunction; abrasion is wear from a foreign object or substance such as a hard toothbrush, abrasive dentifrice or areca-nut chewing; and abfraction is cervical loss attributed to occlusal loading and tooth flexure. Dentine (dentin) hypersensitivity — a short, sharp pain arising from exposed dentine in response to thermal, evaporative, tactile, osmotic or chemical stimuli that cannot be ascribed to any other dental defect or pathology — is the common symptomatic consequence, explained by Brännström’s hydrodynamic theory of fluid movement within patent (open) dentinal tubules.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Dentine hypersensitivity is common in Indian adults, with cross-sectional studies reporting prevalence of roughly 20–32% — about 20.6% in Davangere (Karnataka), ~25% in rural Punjab and ~32% among adult dental patients in Andhra Pradesh — rising to ~37–48% in patients with chronic periodontitis, peaking in the 30–50-year age band with a female predilection. Erosive tooth wear affects roughly 9% of South Indian schoolchildren and is far higher with frequent aerated-drink, lemon and tamarind consumption and among acid-exposed occupational groups (battery-manufacturing workers, competitive swimmers). Non-carious tooth surface loss from combined erosion, attrition and abrasion is an increasingly recognised and largely preventable cause of tooth wear across all age groups.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Tooth wear is diagnosed clinically by recognising the pattern and extent of surface loss and identifying its cause(s); dentine hypersensitivity is a diagnosis of exclusion. Assessment combines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short, sharp pain of rapid onset in response to cold, hot, evaporative (air), tactile, osmotic (sweet) or chemical (sour) stimuli that subsides quickly on stimulus removal and cannot be ascribed to any other dental defect or disease (dentine-hypersensitivity criterion);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demonstration of exposed dentine — from loss of overlying enamel and/or gingival recession exposing root surface — with patent dentinal tubules;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chairside stimulus test (1-second air blast graded on the Schiff Cold Air Sensitivity Index 0–3, and/or tactile probe or cold water) that reproduces the patient’s symptom;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alternative causes of tooth pain: dental caries, cracked-tooth syndrome, fractured or leaking restorations, post-restorative/post-bleaching sensitivity, and reversible or irreversible pulpitis (vitality testing, percussion, transillumination and radiographs);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of wear severity with the Basic Erosive Wear Examination (BEWE, score 0–3 per sextant with cumulative risk banding) and/or the Smith &amp; Knight Tooth Wear Index, and judgement of whether wear is physiological (age-appropriate) or pathological;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pattern recognition of the dominant mechanism — cupping/grooving and smooth glazed concavities with restorations standing proud (erosion); flat, shiny, inter-digitating wear facets and shortened crowns (attrition); V-shaped/wedge cervical notches (abrasion/abfraction); palatal erosion of upper anteriors, i.e. perimylolysis (intrinsic acid);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identification of aetiological drivers through diet diary, medical/behavioural history (reflux, vomiting, eating disorder, occupation) and habit history (bruxism, tooth-brushing technique, tobacco/areca chewing).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Tooth surface loss is classified by the predominant causative mechanism, though lesions are frequently multifactorial and co-exist:</w:t>
      </w:r>
    </w:p>
    <w:p>
      <w:pPr>
        <w:spacing w:before="0" w:after="80"/>
      </w:pPr>
      <w:r>
        <w:rPr>
          <w:rFonts w:ascii="Calibri" w:hAnsi="Calibri"/>
          <w:b w:val="0"/>
          <w:i w:val="0"/>
          <w:color w:val="212121"/>
          <w:sz w:val="21"/>
        </w:rPr>
        <w:t>(1) Erosion (erosive tooth wear) — chemical dissolution of tooth substance by acid without bacterial involvement; subdivided by acid source into extrinsic (dietary acids, acidic medications, and occupational/environmental acid exposure) and intrinsic (gastric acid from GERD, recurrent vomiting, eating disorders or rumination);</w:t>
      </w:r>
    </w:p>
    <w:p>
      <w:pPr>
        <w:spacing w:before="0" w:after="80"/>
      </w:pPr>
      <w:r>
        <w:rPr>
          <w:rFonts w:ascii="Calibri" w:hAnsi="Calibri"/>
          <w:b w:val="0"/>
          <w:i w:val="0"/>
          <w:color w:val="212121"/>
          <w:sz w:val="21"/>
        </w:rPr>
        <w:t>(2) Attrition — mechanical tooth-to-tooth wear affecting occlusal and incisal surfaces; physiological with ageing but pathological when accelerated by sleep or awake bruxism and other parafunction; may be localised or generalised;</w:t>
      </w:r>
    </w:p>
    <w:p>
      <w:pPr>
        <w:spacing w:before="0" w:after="80"/>
      </w:pPr>
      <w:r>
        <w:rPr>
          <w:rFonts w:ascii="Calibri" w:hAnsi="Calibri"/>
          <w:b w:val="0"/>
          <w:i w:val="0"/>
          <w:color w:val="212121"/>
          <w:sz w:val="21"/>
        </w:rPr>
        <w:t>(3) Abrasion — mechanical wear by a foreign object or substance, most often faulty tooth-brushing (hard bristles, horizontal scrubbing, highly abrasive dentifrice or tooth powders) producing cervical lesions, and habitual/occupational abrasion (areca-nut/betel-quid chewing, holding pins or thread, pipe-stem);</w:t>
      </w:r>
    </w:p>
    <w:p>
      <w:pPr>
        <w:spacing w:before="0" w:after="80"/>
      </w:pPr>
      <w:r>
        <w:rPr>
          <w:rFonts w:ascii="Calibri" w:hAnsi="Calibri"/>
          <w:b w:val="0"/>
          <w:i w:val="0"/>
          <w:color w:val="212121"/>
          <w:sz w:val="21"/>
        </w:rPr>
        <w:t>(4) Abfraction — cervical (wedge-shaped) loss of tooth substance attributed to biomechanical occlusal loading and cuspal flexure at the cemento-enamel junction (a debated, often erosion/abrasion-modified entity);</w:t>
      </w:r>
    </w:p>
    <w:p>
      <w:pPr>
        <w:spacing w:before="0" w:after="80"/>
      </w:pPr>
      <w:r>
        <w:rPr>
          <w:rFonts w:ascii="Calibri" w:hAnsi="Calibri"/>
          <w:b w:val="0"/>
          <w:i w:val="0"/>
          <w:color w:val="212121"/>
          <w:sz w:val="21"/>
        </w:rPr>
        <w:t>(5) Dentine hypersensitivity — the symptomatic sequela common to all of the above, requiring both dentine exposure and open tubules; severity is graded by stimulus response (Schiff index, VAS) rather than by a distinct disease stage.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Extrinsic dietary acids: Frequent intake of low-pH foods and drinks — carbonated/aerated soft drinks, energy and sports drinks, citrus fruits and juices, lemon, tamarind, raw mango, amla, pickles, vinegar and wine — dissolves surface hydroxyapatite once pH falls below the critical value (~5.5); frequency, contact time and sipping/swishing matter more than total quantity.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Intrinsic (gastric) acid: Gastro-oesophageal reflux disease, recurrent vomiting, eating disorders (bulimia nervosa, purging), pregnancy sickness, rumination and chronic alcoholism expose teeth to highly acidic gastric contents (pH ~1–2), producing characteristic palatal/occlusal erosion.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Parafunction / bruxism: Sleep and awake clenching and grinding generate high, repetitive occlusal forces that cause attrition (and contribute to cervical abfraction); commonly stress-related and linked to sleep-disordered breathing.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Faulty mechanical tooth cleaning: Hard-bristled brushes, horizontal scrubbing, excessive force, highly abrasive dentifrices, charcoal or traditional tooth powders (mishri, salt, brick/ash powder) — especially when used on acid-softened enamel — cause cervical abrasion and accelerate erosive-abrasive wear and gingival recession.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Occupational, environmental and habitual exposures: Acid-mist exposure in battery, galvanising, pickling and fertiliser industries, professional wine-tasting, competitive swimming in improperly-chlorinated pools, and areca-nut/betel-quid/gutka and tobacco chewing.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Reduced salivary protection: Hyposalivation from xerostomic drugs, Sjögren syndrome, radiation, diabetes, dehydration or mouth-breathing lowers acid clearance, buffering and remineralisation, accelerating both erosion and hypersensitivity; gingival recession and developmental enamel defects further predispose by exposing dentine.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Cumulative acid and mechanical exposure, gingival recession and parafunction make middle adulthood the peak period for symptomatic dentine hypersensitivity and clinically evident tooth wear. Exposed dentine plus patent tubules allow hydrodynamic fluid shifts that trigger short, sharp pain.</w:t>
            </w:r>
          </w:p>
          <w:p>
            <w:pPr>
              <w:spacing w:after="40" w:before="60" w:line="259" w:lineRule="auto"/>
            </w:pPr>
            <w:r>
              <w:rPr>
                <w:rFonts w:ascii="Calibri" w:hAnsi="Calibri"/>
                <w:b w:val="0"/>
                <w:i w:val="0"/>
                <w:color w:val="212121"/>
                <w:sz w:val="19"/>
              </w:rPr>
              <w:t>Overall dentine-hypersensitivity prevalence was 32% among adult dental patients in Andhra Pradesh; cold food/drinks were the commonest trigger (92%) and gingival recession the commonest predisposing factor (28%).</w:t>
            </w:r>
          </w:p>
          <w:p>
            <w:pPr>
              <w:spacing w:after="40" w:line="252" w:lineRule="auto"/>
            </w:pPr>
            <w:hyperlink r:id="rId9">
              <w:r>
                <w:rPr>
                  <w:rFonts w:ascii="Calibri" w:hAnsi="Calibri" w:cs="Calibri"/>
                  <w:sz w:val="18"/>
                  <w:color w:val="1155CC"/>
                  <w:u w:val="single"/>
                </w:rPr>
                <w:t xml:space="preserve">pubmed.ncbi.nlm.nih.gov/25386522 — DH prevalence, Andhra Pradesh</w:t>
              </w:r>
            </w:hyperlink>
          </w:p>
          <w:p>
            <w:pPr>
              <w:spacing w:before="60" w:after="40"/>
            </w:pPr>
            <w:r>
              <w:rPr>
                <w:rFonts w:ascii="Calibri" w:hAnsi="Calibri"/>
                <w:b w:val="0"/>
                <w:i w:val="0"/>
                <w:color w:val="5A5A5A"/>
                <w:sz w:val="18"/>
              </w:rPr>
              <w:t>#dentinehypersensitivity  #toothwear  #exposeddentine  #coldsensitivity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Lifelong physiological attrition, widespread gingival recession with root exposure, and age/drug-related xerostomia converge, so sensitivity and wear are highly prevalent yet under-treated in older adults.</w:t>
            </w:r>
          </w:p>
          <w:p>
            <w:pPr>
              <w:spacing w:after="40" w:before="60" w:line="259" w:lineRule="auto"/>
            </w:pPr>
            <w:r>
              <w:rPr>
                <w:rFonts w:ascii="Calibri" w:hAnsi="Calibri"/>
                <w:b w:val="0"/>
                <w:i w:val="0"/>
                <w:color w:val="212121"/>
                <w:sz w:val="19"/>
              </w:rPr>
              <w:t>In rural Punjab, DH prevalence was 25% overall and highest in the 50–59-year group; gingival recession and poor oral hygiene were key factors, yet only 15.1% of affected people had sought treatment.</w:t>
            </w:r>
          </w:p>
          <w:p>
            <w:pPr>
              <w:spacing w:after="40" w:line="252" w:lineRule="auto"/>
            </w:pPr>
            <w:hyperlink r:id="rId10">
              <w:r>
                <w:rPr>
                  <w:rFonts w:ascii="Calibri" w:hAnsi="Calibri" w:cs="Calibri"/>
                  <w:sz w:val="18"/>
                  <w:color w:val="1155CC"/>
                  <w:u w:val="single"/>
                </w:rPr>
                <w:t xml:space="preserve">pubmed.ncbi.nlm.nih.gov/23162341 — DH, rural Punjab</w:t>
              </w:r>
            </w:hyperlink>
          </w:p>
          <w:p>
            <w:pPr>
              <w:spacing w:before="60" w:after="40"/>
            </w:pPr>
            <w:r>
              <w:rPr>
                <w:rFonts w:ascii="Calibri" w:hAnsi="Calibri"/>
                <w:b w:val="0"/>
                <w:i w:val="0"/>
                <w:color w:val="5A5A5A"/>
                <w:sz w:val="18"/>
              </w:rPr>
              <w:t>#ageing  #gingivalrecession  #rootexposure  #xerostomia  #undertreated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show a modestly higher prevalence of dentine hypersensitivity and are disproportionately affected by purging-type eating disorders that cause intrinsic erosion; hormonal and health-seeking differences may contribute.</w:t>
            </w:r>
          </w:p>
          <w:p>
            <w:pPr>
              <w:spacing w:after="40" w:before="60" w:line="259" w:lineRule="auto"/>
            </w:pPr>
            <w:r>
              <w:rPr>
                <w:rFonts w:ascii="Calibri" w:hAnsi="Calibri"/>
                <w:b w:val="0"/>
                <w:i w:val="0"/>
                <w:color w:val="212121"/>
                <w:sz w:val="19"/>
              </w:rPr>
              <w:t>In a Davangere (Karnataka) survey, DH prevalence was 20.6% and female subjects had a greater predilection for DH, with the 36–45-year group most affected.</w:t>
            </w:r>
          </w:p>
          <w:p>
            <w:pPr>
              <w:spacing w:after="40" w:line="252" w:lineRule="auto"/>
            </w:pPr>
            <w:hyperlink r:id="rId11">
              <w:r>
                <w:rPr>
                  <w:rFonts w:ascii="Calibri" w:hAnsi="Calibri" w:cs="Calibri"/>
                  <w:sz w:val="18"/>
                  <w:color w:val="1155CC"/>
                  <w:u w:val="single"/>
                </w:rPr>
                <w:t xml:space="preserve">pubmed.ncbi.nlm.nih.gov/26582076 — DH, Davangere</w:t>
              </w:r>
            </w:hyperlink>
          </w:p>
          <w:p>
            <w:pPr>
              <w:spacing w:before="60" w:after="40"/>
            </w:pPr>
            <w:r>
              <w:rPr>
                <w:rFonts w:ascii="Calibri" w:hAnsi="Calibri"/>
                <w:b w:val="0"/>
                <w:i w:val="0"/>
                <w:color w:val="5A5A5A"/>
                <w:sz w:val="18"/>
              </w:rPr>
              <w:t>#female  #predilection  #bulimia  #perimylolysis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rural populations with limited dental access</w:t>
            </w:r>
          </w:p>
        </w:tc>
        <w:tc>
          <w:tcPr>
            <w:tcW w:type="dxa" w:w="4276"/>
            <w:vAlign w:val="top"/>
          </w:tcPr>
          <w:p>
            <w:pPr>
              <w:spacing w:after="60" w:line="259" w:lineRule="auto"/>
            </w:pPr>
            <w:r>
              <w:rPr>
                <w:rFonts w:ascii="Calibri" w:hAnsi="Calibri"/>
                <w:b w:val="0"/>
                <w:i w:val="0"/>
                <w:color w:val="212121"/>
                <w:sz w:val="19"/>
              </w:rPr>
              <w:t>Lower education and limited access to dental care are linked to more recession, abrasive traditional tooth-cleaning practices and a large unmet treatment need, so wear and sensitivity progress unchecked.</w:t>
            </w:r>
          </w:p>
          <w:p>
            <w:pPr>
              <w:spacing w:after="40" w:before="60" w:line="259" w:lineRule="auto"/>
            </w:pPr>
            <w:r>
              <w:rPr>
                <w:rFonts w:ascii="Calibri" w:hAnsi="Calibri"/>
                <w:b w:val="0"/>
                <w:i w:val="0"/>
                <w:color w:val="212121"/>
                <w:sz w:val="19"/>
              </w:rPr>
              <w:t>Among rural Punjabis, DH was associated with lower socioeconomic status, lower education and poorer access to care, and only 15.1% of those affected had received any treatment.</w:t>
            </w:r>
          </w:p>
          <w:p>
            <w:pPr>
              <w:spacing w:after="40" w:line="252" w:lineRule="auto"/>
            </w:pPr>
            <w:hyperlink r:id="rId10">
              <w:r>
                <w:rPr>
                  <w:rFonts w:ascii="Calibri" w:hAnsi="Calibri" w:cs="Calibri"/>
                  <w:sz w:val="18"/>
                  <w:color w:val="1155CC"/>
                  <w:u w:val="single"/>
                </w:rPr>
                <w:t xml:space="preserve">pubmed.ncbi.nlm.nih.gov/23162341 — SES &amp; treatment gap</w:t>
              </w:r>
            </w:hyperlink>
          </w:p>
          <w:p>
            <w:pPr>
              <w:spacing w:before="60" w:after="40"/>
            </w:pPr>
            <w:r>
              <w:rPr>
                <w:rFonts w:ascii="Calibri" w:hAnsi="Calibri"/>
                <w:b w:val="0"/>
                <w:i w:val="0"/>
                <w:color w:val="5A5A5A"/>
                <w:sz w:val="18"/>
              </w:rPr>
              <w:t>#socioeconomic  #accesstocare  #unmetneed  #toothpowder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dietary pattern</w:t>
            </w:r>
          </w:p>
        </w:tc>
        <w:tc>
          <w:tcPr>
            <w:tcW w:type="dxa" w:w="4276"/>
            <w:vAlign w:val="top"/>
          </w:tcPr>
          <w:p>
            <w:pPr>
              <w:spacing w:after="60" w:line="259" w:lineRule="auto"/>
            </w:pPr>
            <w:r>
              <w:rPr>
                <w:rFonts w:ascii="Calibri" w:hAnsi="Calibri"/>
                <w:b w:val="0"/>
                <w:i w:val="0"/>
                <w:color w:val="212121"/>
                <w:sz w:val="19"/>
              </w:rPr>
              <w:t>South Indian diets rich in tamarind, lemon, raw mango, amla and aerated drinks deliver a high extrinsic acid load, and hot-humid climates encourage frequent acidic-beverage consumption, promoting erosive tooth wear.</w:t>
            </w:r>
          </w:p>
          <w:p>
            <w:pPr>
              <w:spacing w:after="40" w:before="60" w:line="259" w:lineRule="auto"/>
            </w:pPr>
            <w:r>
              <w:rPr>
                <w:rFonts w:ascii="Calibri" w:hAnsi="Calibri"/>
                <w:b w:val="0"/>
                <w:i w:val="0"/>
                <w:color w:val="212121"/>
                <w:sz w:val="19"/>
              </w:rPr>
              <w:t>Erosion prevalence was 8.9% among 11–14-year-old South Indian schoolchildren; multiple-times-daily lemon consumption raised the odds ~13-fold (OR 13.41) and carbonated-drink preference ~3-fold (OR 2.80).</w:t>
            </w:r>
          </w:p>
          <w:p>
            <w:pPr>
              <w:spacing w:after="40" w:line="252" w:lineRule="auto"/>
            </w:pPr>
            <w:hyperlink r:id="rId12">
              <w:r>
                <w:rPr>
                  <w:rFonts w:ascii="Calibri" w:hAnsi="Calibri" w:cs="Calibri"/>
                  <w:sz w:val="18"/>
                  <w:color w:val="1155CC"/>
                  <w:u w:val="single"/>
                </w:rPr>
                <w:t xml:space="preserve">pubmed.ncbi.nlm.nih.gov/24351921 — erosion, South India</w:t>
              </w:r>
            </w:hyperlink>
          </w:p>
          <w:p>
            <w:pPr>
              <w:spacing w:before="60" w:after="40"/>
            </w:pPr>
            <w:r>
              <w:rPr>
                <w:rFonts w:ascii="Calibri" w:hAnsi="Calibri"/>
                <w:b w:val="0"/>
                <w:i w:val="0"/>
                <w:color w:val="5A5A5A"/>
                <w:sz w:val="18"/>
              </w:rPr>
              <w:t>#southindia  #tamarind  #lemon  #aerateddrinks  #erosion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 / affluence</w:t>
            </w:r>
          </w:p>
        </w:tc>
        <w:tc>
          <w:tcPr>
            <w:tcW w:type="dxa" w:w="2160"/>
            <w:vAlign w:val="top"/>
          </w:tcPr>
          <w:p>
            <w:pPr>
              <w:spacing w:after="40" w:before="0" w:line="259" w:lineRule="auto"/>
            </w:pPr>
            <w:r>
              <w:rPr>
                <w:rFonts w:ascii="Calibri" w:hAnsi="Calibri"/>
                <w:b w:val="0"/>
                <w:i w:val="0"/>
                <w:color w:val="212121"/>
                <w:sz w:val="19"/>
              </w:rPr>
              <w:t>Urban, higher-SES children and adults</w:t>
            </w:r>
          </w:p>
        </w:tc>
        <w:tc>
          <w:tcPr>
            <w:tcW w:type="dxa" w:w="4276"/>
            <w:vAlign w:val="top"/>
          </w:tcPr>
          <w:p>
            <w:pPr>
              <w:spacing w:after="60" w:line="259" w:lineRule="auto"/>
            </w:pPr>
            <w:r>
              <w:rPr>
                <w:rFonts w:ascii="Calibri" w:hAnsi="Calibri"/>
                <w:b w:val="0"/>
                <w:i w:val="0"/>
                <w:color w:val="212121"/>
                <w:sz w:val="19"/>
              </w:rPr>
              <w:t>Greater purchasing power and marketing exposure increase consumption of carbonated, energy and sports drinks and packaged acidic snacks, raising erosive risk in urban and higher-income groups.</w:t>
            </w:r>
          </w:p>
          <w:p>
            <w:pPr>
              <w:spacing w:after="40" w:before="60" w:line="259" w:lineRule="auto"/>
            </w:pPr>
            <w:r>
              <w:rPr>
                <w:rFonts w:ascii="Calibri" w:hAnsi="Calibri"/>
                <w:b w:val="0"/>
                <w:i w:val="0"/>
                <w:color w:val="212121"/>
                <w:sz w:val="19"/>
              </w:rPr>
              <w:t>In the same South Indian survey, private-school (higher-SES/urban) children showed higher erosion than government-school children.</w:t>
            </w:r>
          </w:p>
          <w:p>
            <w:pPr>
              <w:spacing w:after="40" w:line="252" w:lineRule="auto"/>
            </w:pPr>
            <w:hyperlink r:id="rId12">
              <w:r>
                <w:rPr>
                  <w:rFonts w:ascii="Calibri" w:hAnsi="Calibri" w:cs="Calibri"/>
                  <w:sz w:val="18"/>
                  <w:color w:val="1155CC"/>
                  <w:u w:val="single"/>
                </w:rPr>
                <w:t xml:space="preserve">pubmed.ncbi.nlm.nih.gov/24351921 — private vs public school</w:t>
              </w:r>
            </w:hyperlink>
          </w:p>
          <w:p>
            <w:pPr>
              <w:spacing w:before="60" w:after="40"/>
            </w:pPr>
            <w:r>
              <w:rPr>
                <w:rFonts w:ascii="Calibri" w:hAnsi="Calibri"/>
                <w:b w:val="0"/>
                <w:i w:val="0"/>
                <w:color w:val="5A5A5A"/>
                <w:sz w:val="18"/>
              </w:rPr>
              <w:t>#urban  #softdrinks  #energydrinks  #packagedsnacks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Stress / parafunction (bruxism)</w:t>
            </w:r>
          </w:p>
        </w:tc>
        <w:tc>
          <w:tcPr>
            <w:tcW w:type="dxa" w:w="2160"/>
            <w:vAlign w:val="top"/>
          </w:tcPr>
          <w:p>
            <w:pPr>
              <w:spacing w:after="40" w:before="0" w:line="259" w:lineRule="auto"/>
            </w:pPr>
            <w:r>
              <w:rPr>
                <w:rFonts w:ascii="Calibri" w:hAnsi="Calibri"/>
                <w:b w:val="0"/>
                <w:i w:val="0"/>
                <w:color w:val="212121"/>
                <w:sz w:val="19"/>
              </w:rPr>
              <w:t>High-stress adults, sleep and awake bruxers</w:t>
            </w:r>
          </w:p>
        </w:tc>
        <w:tc>
          <w:tcPr>
            <w:tcW w:type="dxa" w:w="4276"/>
            <w:vAlign w:val="top"/>
          </w:tcPr>
          <w:p>
            <w:pPr>
              <w:spacing w:after="60" w:line="259" w:lineRule="auto"/>
            </w:pPr>
            <w:r>
              <w:rPr>
                <w:rFonts w:ascii="Calibri" w:hAnsi="Calibri"/>
                <w:b w:val="0"/>
                <w:i w:val="0"/>
                <w:color w:val="212121"/>
                <w:sz w:val="19"/>
              </w:rPr>
              <w:t>Psychological stress and sleep-disordered breathing drive clenching and grinding; repetitive high occlusal forces wear opposing surfaces, producing attrition and shortened, flattened teeth.</w:t>
            </w:r>
          </w:p>
          <w:p>
            <w:pPr>
              <w:spacing w:after="40" w:before="60" w:line="259" w:lineRule="auto"/>
            </w:pPr>
            <w:r>
              <w:rPr>
                <w:rFonts w:ascii="Calibri" w:hAnsi="Calibri"/>
                <w:b w:val="0"/>
                <w:i w:val="0"/>
                <w:color w:val="212121"/>
                <w:sz w:val="19"/>
              </w:rPr>
              <w:t>Polysomnographic measures of sleep-bruxism activity are associated with attrition-type tooth wear, supporting bruxism as a mechanical driver of surface loss.</w:t>
            </w:r>
          </w:p>
          <w:p>
            <w:pPr>
              <w:spacing w:after="40" w:line="252" w:lineRule="auto"/>
            </w:pPr>
            <w:hyperlink r:id="rId13">
              <w:r>
                <w:rPr>
                  <w:rFonts w:ascii="Calibri" w:hAnsi="Calibri" w:cs="Calibri"/>
                  <w:sz w:val="18"/>
                  <w:color w:val="1155CC"/>
                  <w:u w:val="single"/>
                </w:rPr>
                <w:t xml:space="preserve">pubmed.ncbi.nlm.nih.gov/33474786 — sleep bruxism &amp; attrition</w:t>
              </w:r>
            </w:hyperlink>
          </w:p>
          <w:p>
            <w:pPr>
              <w:spacing w:before="60" w:after="40"/>
            </w:pPr>
            <w:r>
              <w:rPr>
                <w:rFonts w:ascii="Calibri" w:hAnsi="Calibri"/>
                <w:b w:val="0"/>
                <w:i w:val="0"/>
                <w:color w:val="5A5A5A"/>
                <w:sz w:val="18"/>
              </w:rPr>
              <w:t>#bruxism  #attrition  #clenching  #stress  #wearfacets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 areca chewing</w:t>
            </w:r>
          </w:p>
        </w:tc>
        <w:tc>
          <w:tcPr>
            <w:tcW w:type="dxa" w:w="2160"/>
            <w:vAlign w:val="top"/>
          </w:tcPr>
          <w:p>
            <w:pPr>
              <w:spacing w:after="40" w:before="0" w:line="259" w:lineRule="auto"/>
            </w:pPr>
            <w:r>
              <w:rPr>
                <w:rFonts w:ascii="Calibri" w:hAnsi="Calibri"/>
                <w:b w:val="0"/>
                <w:i w:val="0"/>
                <w:color w:val="212121"/>
                <w:sz w:val="19"/>
              </w:rPr>
              <w:t>Smokeless-tobacco, gutka, betel-quid and areca-nut chewers</w:t>
            </w:r>
          </w:p>
        </w:tc>
        <w:tc>
          <w:tcPr>
            <w:tcW w:type="dxa" w:w="4276"/>
            <w:vAlign w:val="top"/>
          </w:tcPr>
          <w:p>
            <w:pPr>
              <w:spacing w:after="60" w:line="259" w:lineRule="auto"/>
            </w:pPr>
            <w:r>
              <w:rPr>
                <w:rFonts w:ascii="Calibri" w:hAnsi="Calibri"/>
                <w:b w:val="0"/>
                <w:i w:val="0"/>
                <w:color w:val="212121"/>
                <w:sz w:val="19"/>
              </w:rPr>
              <w:t>Coarse, abrasive areca nut and quid, often held for long periods, mechanically wear tooth surfaces and, with tobacco-related gingival recession, expose dentine — a widespread habit in South Asia driving abrasion and hypersensitivity.</w:t>
            </w:r>
          </w:p>
          <w:p>
            <w:pPr>
              <w:spacing w:after="40" w:before="60" w:line="259" w:lineRule="auto"/>
            </w:pPr>
            <w:r>
              <w:rPr>
                <w:rFonts w:ascii="Calibri" w:hAnsi="Calibri"/>
                <w:b w:val="0"/>
                <w:i w:val="0"/>
                <w:color w:val="212121"/>
                <w:sz w:val="19"/>
              </w:rPr>
              <w:t>Habitual areca-nut/betel-quid chewing is a recognised cause of tooth-surface abrasion and gingival recession in South Asian populations (clinical association).</w:t>
            </w:r>
          </w:p>
          <w:p>
            <w:pPr>
              <w:spacing w:before="60" w:after="40"/>
            </w:pPr>
            <w:r>
              <w:rPr>
                <w:rFonts w:ascii="Calibri" w:hAnsi="Calibri"/>
                <w:b w:val="0"/>
                <w:i w:val="0"/>
                <w:color w:val="5A5A5A"/>
                <w:sz w:val="18"/>
              </w:rPr>
              <w:t>#arecanut  #betelquid  #gutka  #smokelesstobacco  #abrasion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Chronic heavy drinking promotes reflux and recurrent vomiting (intrinsic acid), involves acidic beverages such as wine, and reduces salivary flow — a combination that accelerates erosive tooth wear.</w:t>
            </w:r>
          </w:p>
          <w:p>
            <w:pPr>
              <w:spacing w:after="40" w:before="60" w:line="259" w:lineRule="auto"/>
            </w:pPr>
            <w:r>
              <w:rPr>
                <w:rFonts w:ascii="Calibri" w:hAnsi="Calibri"/>
                <w:b w:val="0"/>
                <w:i w:val="0"/>
                <w:color w:val="212121"/>
                <w:sz w:val="19"/>
              </w:rPr>
              <w:t>Chronic alcohol misuse contributes to erosion through gastro-oesophageal reflux, vomiting, acidic beverage exposure and reduced salivary protection (clinical association).</w:t>
            </w:r>
          </w:p>
          <w:p>
            <w:pPr>
              <w:spacing w:before="60" w:after="40"/>
            </w:pPr>
            <w:r>
              <w:rPr>
                <w:rFonts w:ascii="Calibri" w:hAnsi="Calibri"/>
                <w:b w:val="0"/>
                <w:i w:val="0"/>
                <w:color w:val="5A5A5A"/>
                <w:sz w:val="18"/>
              </w:rPr>
              <w:t>#alcohol  #reflux  #vomiting  #xerostomia  #erosion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acid exposure</w:t>
            </w:r>
          </w:p>
        </w:tc>
        <w:tc>
          <w:tcPr>
            <w:tcW w:type="dxa" w:w="2160"/>
            <w:vAlign w:val="top"/>
          </w:tcPr>
          <w:p>
            <w:pPr>
              <w:spacing w:after="40" w:before="0" w:line="259" w:lineRule="auto"/>
            </w:pPr>
            <w:r>
              <w:rPr>
                <w:rFonts w:ascii="Calibri" w:hAnsi="Calibri"/>
                <w:b w:val="0"/>
                <w:i w:val="0"/>
                <w:color w:val="212121"/>
                <w:sz w:val="19"/>
              </w:rPr>
              <w:t>Battery/galvanising/pickling workers, competitive swimmers, wine tasters</w:t>
            </w:r>
          </w:p>
        </w:tc>
        <w:tc>
          <w:tcPr>
            <w:tcW w:type="dxa" w:w="4276"/>
            <w:vAlign w:val="top"/>
          </w:tcPr>
          <w:p>
            <w:pPr>
              <w:spacing w:after="60" w:line="259" w:lineRule="auto"/>
            </w:pPr>
            <w:r>
              <w:rPr>
                <w:rFonts w:ascii="Calibri" w:hAnsi="Calibri"/>
                <w:b w:val="0"/>
                <w:i w:val="0"/>
                <w:color w:val="212121"/>
                <w:sz w:val="19"/>
              </w:rPr>
              <w:t>Chronic inhalation of acid mist or immersion in improperly-buffered pool water bathes anterior teeth in acid, producing occupational erosive wear, typically on labial surfaces.</w:t>
            </w:r>
          </w:p>
          <w:p>
            <w:pPr>
              <w:spacing w:after="40" w:before="60" w:line="259" w:lineRule="auto"/>
            </w:pPr>
            <w:r>
              <w:rPr>
                <w:rFonts w:ascii="Calibri" w:hAnsi="Calibri"/>
                <w:b w:val="0"/>
                <w:i w:val="0"/>
                <w:color w:val="212121"/>
                <w:sz w:val="19"/>
              </w:rPr>
              <w:t>Dental erosion is an established occupational hazard among Indian battery-manufacturing workers (Bengaluru), with erosive lesions and impaired oral-health-related quality of life.</w:t>
            </w:r>
          </w:p>
          <w:p>
            <w:pPr>
              <w:spacing w:after="40" w:line="252" w:lineRule="auto"/>
            </w:pPr>
            <w:hyperlink r:id="rId14">
              <w:r>
                <w:rPr>
                  <w:rFonts w:ascii="Calibri" w:hAnsi="Calibri" w:cs="Calibri"/>
                  <w:sz w:val="18"/>
                  <w:color w:val="1155CC"/>
                  <w:u w:val="single"/>
                </w:rPr>
                <w:t xml:space="preserve">pubmed.ncbi.nlm.nih.gov/30745913 — battery workers, Bengaluru</w:t>
              </w:r>
            </w:hyperlink>
          </w:p>
          <w:p>
            <w:pPr>
              <w:spacing w:before="60" w:after="40"/>
            </w:pPr>
            <w:r>
              <w:rPr>
                <w:rFonts w:ascii="Calibri" w:hAnsi="Calibri"/>
                <w:b w:val="0"/>
                <w:i w:val="0"/>
                <w:color w:val="5A5A5A"/>
                <w:sz w:val="18"/>
              </w:rPr>
              <w:t>#occupational  #acidmist  #batteryworkers  #swimmers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central obesity</w:t>
            </w:r>
          </w:p>
        </w:tc>
        <w:tc>
          <w:tcPr>
            <w:tcW w:type="dxa" w:w="4276"/>
            <w:vAlign w:val="top"/>
          </w:tcPr>
          <w:p>
            <w:pPr>
              <w:spacing w:after="60" w:line="259" w:lineRule="auto"/>
            </w:pPr>
            <w:r>
              <w:rPr>
                <w:rFonts w:ascii="Calibri" w:hAnsi="Calibri"/>
                <w:b w:val="0"/>
                <w:i w:val="0"/>
                <w:color w:val="212121"/>
                <w:sz w:val="19"/>
              </w:rPr>
              <w:t>Central obesity raises intra-abdominal pressure and the frequency of gastro-oesophageal reflux; recurrent exposure of teeth to refluxed gastric acid is a well-established cause of intrinsic (palatal and occlusal) erosion.</w:t>
            </w:r>
          </w:p>
          <w:p>
            <w:pPr>
              <w:spacing w:after="40" w:before="60" w:line="259" w:lineRule="auto"/>
            </w:pPr>
            <w:r>
              <w:rPr>
                <w:rFonts w:ascii="Calibri" w:hAnsi="Calibri"/>
                <w:b w:val="0"/>
                <w:i w:val="0"/>
                <w:color w:val="212121"/>
                <w:sz w:val="19"/>
              </w:rPr>
              <w:t>GERD — more frequent with central obesity — is confirmed by meta-analysis to be associated with significantly higher dental-erosion prevalence.</w:t>
            </w:r>
          </w:p>
          <w:p>
            <w:pPr>
              <w:spacing w:after="40" w:line="252" w:lineRule="auto"/>
            </w:pPr>
            <w:hyperlink r:id="rId15">
              <w:r>
                <w:rPr>
                  <w:rFonts w:ascii="Calibri" w:hAnsi="Calibri" w:cs="Calibri"/>
                  <w:sz w:val="18"/>
                  <w:color w:val="1155CC"/>
                  <w:u w:val="single"/>
                </w:rPr>
                <w:t xml:space="preserve">pubmed.ncbi.nlm.nih.gov/35877400 — GERD &amp; erosion meta-analysis</w:t>
              </w:r>
            </w:hyperlink>
          </w:p>
          <w:p>
            <w:pPr>
              <w:spacing w:before="60" w:after="40"/>
            </w:pPr>
            <w:r>
              <w:rPr>
                <w:rFonts w:ascii="Calibri" w:hAnsi="Calibri"/>
                <w:b w:val="0"/>
                <w:i w:val="0"/>
                <w:color w:val="5A5A5A"/>
                <w:sz w:val="18"/>
              </w:rPr>
              <w:t>#obesity  #intraabdominalpressure  #GERD  #intrinsicerosion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Faulty oral-hygiene technique</w:t>
            </w:r>
          </w:p>
        </w:tc>
        <w:tc>
          <w:tcPr>
            <w:tcW w:type="dxa" w:w="2160"/>
            <w:vAlign w:val="top"/>
          </w:tcPr>
          <w:p>
            <w:pPr>
              <w:spacing w:after="40" w:before="0" w:line="259" w:lineRule="auto"/>
            </w:pPr>
            <w:r>
              <w:rPr>
                <w:rFonts w:ascii="Calibri" w:hAnsi="Calibri"/>
                <w:b w:val="0"/>
                <w:i w:val="0"/>
                <w:color w:val="212121"/>
                <w:sz w:val="19"/>
              </w:rPr>
              <w:t>Vigorous / horizontal brushers using hard brushes or abrasive powders</w:t>
            </w:r>
          </w:p>
        </w:tc>
        <w:tc>
          <w:tcPr>
            <w:tcW w:type="dxa" w:w="4276"/>
            <w:vAlign w:val="top"/>
          </w:tcPr>
          <w:p>
            <w:pPr>
              <w:spacing w:after="60" w:line="259" w:lineRule="auto"/>
            </w:pPr>
            <w:r>
              <w:rPr>
                <w:rFonts w:ascii="Calibri" w:hAnsi="Calibri"/>
                <w:b w:val="0"/>
                <w:i w:val="0"/>
                <w:color w:val="212121"/>
                <w:sz w:val="19"/>
              </w:rPr>
              <w:t>Hard bristles, horizontal scrubbing and highly abrasive dentifrices or tooth powders — especially on acid-softened enamel — physically remove tooth substance at the cervical margin and provoke recession and sensitivity.</w:t>
            </w:r>
          </w:p>
          <w:p>
            <w:pPr>
              <w:spacing w:after="40" w:before="60" w:line="259" w:lineRule="auto"/>
            </w:pPr>
            <w:r>
              <w:rPr>
                <w:rFonts w:ascii="Calibri" w:hAnsi="Calibri"/>
                <w:b w:val="0"/>
                <w:i w:val="0"/>
                <w:color w:val="212121"/>
                <w:sz w:val="19"/>
              </w:rPr>
              <w:t>Once-daily horizontal tooth-brushing and medium-hardness bristles were significantly associated with dentine hypersensitivity in the Davangere survey.</w:t>
            </w:r>
          </w:p>
          <w:p>
            <w:pPr>
              <w:spacing w:after="40" w:line="252" w:lineRule="auto"/>
            </w:pPr>
            <w:hyperlink r:id="rId11">
              <w:r>
                <w:rPr>
                  <w:rFonts w:ascii="Calibri" w:hAnsi="Calibri" w:cs="Calibri"/>
                  <w:sz w:val="18"/>
                  <w:color w:val="1155CC"/>
                  <w:u w:val="single"/>
                </w:rPr>
                <w:t xml:space="preserve">pubmed.ncbi.nlm.nih.gov/26582076 — brushing habits &amp; DH</w:t>
              </w:r>
            </w:hyperlink>
          </w:p>
          <w:p>
            <w:pPr>
              <w:spacing w:before="60" w:after="40"/>
            </w:pPr>
            <w:r>
              <w:rPr>
                <w:rFonts w:ascii="Calibri" w:hAnsi="Calibri"/>
                <w:b w:val="0"/>
                <w:i w:val="0"/>
                <w:color w:val="5A5A5A"/>
                <w:sz w:val="18"/>
              </w:rPr>
              <w:t>#toothbrushabrasion  #hardbristles  #horizontalscrubbing  #RDA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Acidic beverages</w:t>
            </w:r>
          </w:p>
        </w:tc>
        <w:tc>
          <w:tcPr>
            <w:tcW w:type="dxa" w:w="2160"/>
            <w:vAlign w:val="top"/>
          </w:tcPr>
          <w:p>
            <w:pPr>
              <w:spacing w:after="40" w:before="0" w:line="259" w:lineRule="auto"/>
            </w:pPr>
            <w:r>
              <w:rPr>
                <w:rFonts w:ascii="Calibri" w:hAnsi="Calibri"/>
                <w:b w:val="0"/>
                <w:i w:val="0"/>
                <w:color w:val="212121"/>
                <w:sz w:val="19"/>
              </w:rPr>
              <w:t>Frequent carbonated / energy / sports-drink consumers</w:t>
            </w:r>
          </w:p>
        </w:tc>
        <w:tc>
          <w:tcPr>
            <w:tcW w:type="dxa" w:w="4276"/>
            <w:vAlign w:val="top"/>
          </w:tcPr>
          <w:p>
            <w:pPr>
              <w:spacing w:after="60" w:line="259" w:lineRule="auto"/>
            </w:pPr>
            <w:r>
              <w:rPr>
                <w:rFonts w:ascii="Calibri" w:hAnsi="Calibri"/>
                <w:b w:val="0"/>
                <w:i w:val="0"/>
                <w:color w:val="212121"/>
                <w:sz w:val="19"/>
              </w:rPr>
              <w:t>Colas, energy and sports drinks have a pH well below the critical value for enamel; frequent sipping keeps oral pH low and progressively dissolves enamel, particularly on smooth and occlusal surfaces.</w:t>
            </w:r>
          </w:p>
          <w:p>
            <w:pPr>
              <w:spacing w:after="40" w:before="60" w:line="259" w:lineRule="auto"/>
            </w:pPr>
            <w:r>
              <w:rPr>
                <w:rFonts w:ascii="Calibri" w:hAnsi="Calibri"/>
                <w:b w:val="0"/>
                <w:i w:val="0"/>
                <w:color w:val="212121"/>
                <w:sz w:val="19"/>
              </w:rPr>
              <w:t>Carbonated-drink preference nearly tripled the odds of dental erosion (OR 2.80) among South Indian schoolchildren.</w:t>
            </w:r>
          </w:p>
          <w:p>
            <w:pPr>
              <w:spacing w:after="40" w:line="252" w:lineRule="auto"/>
            </w:pPr>
            <w:hyperlink r:id="rId12">
              <w:r>
                <w:rPr>
                  <w:rFonts w:ascii="Calibri" w:hAnsi="Calibri" w:cs="Calibri"/>
                  <w:sz w:val="18"/>
                  <w:color w:val="1155CC"/>
                  <w:u w:val="single"/>
                </w:rPr>
                <w:t xml:space="preserve">pubmed.ncbi.nlm.nih.gov/24351921 — carbonated drinks &amp; erosion</w:t>
              </w:r>
            </w:hyperlink>
          </w:p>
          <w:p>
            <w:pPr>
              <w:spacing w:before="60" w:after="40"/>
            </w:pPr>
            <w:r>
              <w:rPr>
                <w:rFonts w:ascii="Calibri" w:hAnsi="Calibri"/>
                <w:b w:val="0"/>
                <w:i w:val="0"/>
                <w:color w:val="5A5A5A"/>
                <w:sz w:val="18"/>
              </w:rPr>
              <w:t>#cola  #energydrinks  #criticalpH  #smoothsurfaceerosion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acids (citrus/sour)</w:t>
            </w:r>
          </w:p>
        </w:tc>
        <w:tc>
          <w:tcPr>
            <w:tcW w:type="dxa" w:w="2160"/>
            <w:vAlign w:val="top"/>
          </w:tcPr>
          <w:p>
            <w:pPr>
              <w:spacing w:after="40" w:before="0" w:line="259" w:lineRule="auto"/>
            </w:pPr>
            <w:r>
              <w:rPr>
                <w:rFonts w:ascii="Calibri" w:hAnsi="Calibri"/>
                <w:b w:val="0"/>
                <w:i w:val="0"/>
                <w:color w:val="212121"/>
                <w:sz w:val="19"/>
              </w:rPr>
              <w:t>Frequent lemon, tamarind, raw-mango, amla and pickle eaters</w:t>
            </w:r>
          </w:p>
        </w:tc>
        <w:tc>
          <w:tcPr>
            <w:tcW w:type="dxa" w:w="4276"/>
            <w:vAlign w:val="top"/>
          </w:tcPr>
          <w:p>
            <w:pPr>
              <w:spacing w:after="60" w:line="259" w:lineRule="auto"/>
            </w:pPr>
            <w:r>
              <w:rPr>
                <w:rFonts w:ascii="Calibri" w:hAnsi="Calibri"/>
                <w:b w:val="0"/>
                <w:i w:val="0"/>
                <w:color w:val="212121"/>
                <w:sz w:val="19"/>
              </w:rPr>
              <w:t>Traditional Indian sour foods and the habit of sucking lemon or amla candies bathe teeth in acid multiple times a day; high frequency and long contact time drive erosive wear.</w:t>
            </w:r>
          </w:p>
          <w:p>
            <w:pPr>
              <w:spacing w:after="40" w:before="60" w:line="259" w:lineRule="auto"/>
            </w:pPr>
            <w:r>
              <w:rPr>
                <w:rFonts w:ascii="Calibri" w:hAnsi="Calibri"/>
                <w:b w:val="0"/>
                <w:i w:val="0"/>
                <w:color w:val="212121"/>
                <w:sz w:val="19"/>
              </w:rPr>
              <w:t>Multiple-times-daily lemon consumption raised the odds of erosion ~13-fold (OR 13.41) in South Indian children.</w:t>
            </w:r>
          </w:p>
          <w:p>
            <w:pPr>
              <w:spacing w:after="40" w:line="252" w:lineRule="auto"/>
            </w:pPr>
            <w:hyperlink r:id="rId12">
              <w:r>
                <w:rPr>
                  <w:rFonts w:ascii="Calibri" w:hAnsi="Calibri" w:cs="Calibri"/>
                  <w:sz w:val="18"/>
                  <w:color w:val="1155CC"/>
                  <w:u w:val="single"/>
                </w:rPr>
                <w:t xml:space="preserve">pubmed.ncbi.nlm.nih.gov/24351921 — lemon &amp; erosion</w:t>
              </w:r>
            </w:hyperlink>
          </w:p>
          <w:p>
            <w:pPr>
              <w:spacing w:before="60" w:after="40"/>
            </w:pPr>
            <w:r>
              <w:rPr>
                <w:rFonts w:ascii="Calibri" w:hAnsi="Calibri"/>
                <w:b w:val="0"/>
                <w:i w:val="0"/>
                <w:color w:val="5A5A5A"/>
                <w:sz w:val="18"/>
              </w:rPr>
              <w:t>#lemon  #tamarind  #amla  #pickles  #dietaryacid</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Developmental hard-tissue defects</w:t>
            </w:r>
          </w:p>
        </w:tc>
        <w:tc>
          <w:tcPr>
            <w:tcW w:type="dxa" w:w="2160"/>
            <w:vAlign w:val="top"/>
          </w:tcPr>
          <w:p>
            <w:pPr>
              <w:spacing w:after="40" w:before="0" w:line="259" w:lineRule="auto"/>
            </w:pPr>
            <w:r>
              <w:rPr>
                <w:rFonts w:ascii="Calibri" w:hAnsi="Calibri"/>
                <w:b w:val="0"/>
                <w:i w:val="0"/>
                <w:color w:val="212121"/>
                <w:sz w:val="19"/>
              </w:rPr>
              <w:t>Amelogenesis/dentinogenesis imperfecta, molar-incisor hypomineralisation, enamel hypoplasia</w:t>
            </w:r>
          </w:p>
        </w:tc>
        <w:tc>
          <w:tcPr>
            <w:tcW w:type="dxa" w:w="4276"/>
            <w:vAlign w:val="top"/>
          </w:tcPr>
          <w:p>
            <w:pPr>
              <w:spacing w:after="60" w:line="259" w:lineRule="auto"/>
            </w:pPr>
            <w:r>
              <w:rPr>
                <w:rFonts w:ascii="Calibri" w:hAnsi="Calibri"/>
                <w:b w:val="0"/>
                <w:i w:val="0"/>
                <w:color w:val="212121"/>
                <w:sz w:val="19"/>
              </w:rPr>
              <w:t>Inherited or developmental defects leave thin, hypomineralised or structurally weak enamel and dentine that wear rapidly and are intrinsically prone to sensitivity even under normal loads and acid exposure.</w:t>
            </w:r>
          </w:p>
          <w:p>
            <w:pPr>
              <w:spacing w:after="40" w:before="60" w:line="259" w:lineRule="auto"/>
            </w:pPr>
            <w:r>
              <w:rPr>
                <w:rFonts w:ascii="Calibri" w:hAnsi="Calibri"/>
                <w:b w:val="0"/>
                <w:i w:val="0"/>
                <w:color w:val="212121"/>
                <w:sz w:val="19"/>
              </w:rPr>
              <w:t>Developmental enamel/dentine defects predispose to accelerated wear and hypersensitivity (clinical/genetic association).</w:t>
            </w:r>
          </w:p>
          <w:p>
            <w:pPr>
              <w:spacing w:before="60" w:after="40"/>
            </w:pPr>
            <w:r>
              <w:rPr>
                <w:rFonts w:ascii="Calibri" w:hAnsi="Calibri"/>
                <w:b w:val="0"/>
                <w:i w:val="0"/>
                <w:color w:val="5A5A5A"/>
                <w:sz w:val="18"/>
              </w:rPr>
              <w:t>#amelogenesisimperfecta  #MIH  #enamelhypoplasia  #thinenamel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GERD / reflux</w:t>
            </w:r>
          </w:p>
        </w:tc>
        <w:tc>
          <w:tcPr>
            <w:tcW w:type="dxa" w:w="2160"/>
            <w:vAlign w:val="top"/>
          </w:tcPr>
          <w:p>
            <w:pPr>
              <w:spacing w:after="40" w:before="0" w:line="259" w:lineRule="auto"/>
            </w:pPr>
            <w:r>
              <w:rPr>
                <w:rFonts w:ascii="Calibri" w:hAnsi="Calibri"/>
                <w:b w:val="0"/>
                <w:i w:val="0"/>
                <w:color w:val="212121"/>
                <w:sz w:val="19"/>
              </w:rPr>
              <w:t>Patients with gastro-oesophageal reflux disease or hiatus hernia</w:t>
            </w:r>
          </w:p>
        </w:tc>
        <w:tc>
          <w:tcPr>
            <w:tcW w:type="dxa" w:w="4276"/>
            <w:vAlign w:val="top"/>
          </w:tcPr>
          <w:p>
            <w:pPr>
              <w:spacing w:after="60" w:line="259" w:lineRule="auto"/>
            </w:pPr>
            <w:r>
              <w:rPr>
                <w:rFonts w:ascii="Calibri" w:hAnsi="Calibri"/>
                <w:b w:val="0"/>
                <w:i w:val="0"/>
                <w:color w:val="212121"/>
                <w:sz w:val="19"/>
              </w:rPr>
              <w:t>Repeated reflux of gastric acid onto the palatal and occlusal surfaces of teeth causes intrinsic erosion (perimylolysis), often before typical reflux symptoms are recognised.</w:t>
            </w:r>
          </w:p>
          <w:p>
            <w:pPr>
              <w:spacing w:after="40" w:before="60" w:line="259" w:lineRule="auto"/>
            </w:pPr>
            <w:r>
              <w:rPr>
                <w:rFonts w:ascii="Calibri" w:hAnsi="Calibri"/>
                <w:b w:val="0"/>
                <w:i w:val="0"/>
                <w:color w:val="212121"/>
                <w:sz w:val="19"/>
              </w:rPr>
              <w:t>Meta-analysis confirms that patients with GERD have a significantly higher prevalence of dental erosion than controls.</w:t>
            </w:r>
          </w:p>
          <w:p>
            <w:pPr>
              <w:spacing w:after="40" w:line="252" w:lineRule="auto"/>
            </w:pPr>
            <w:hyperlink r:id="rId15">
              <w:r>
                <w:rPr>
                  <w:rFonts w:ascii="Calibri" w:hAnsi="Calibri" w:cs="Calibri"/>
                  <w:sz w:val="18"/>
                  <w:color w:val="1155CC"/>
                  <w:u w:val="single"/>
                </w:rPr>
                <w:t xml:space="preserve">pubmed.ncbi.nlm.nih.gov/35877400 — GERD &amp; erosion</w:t>
              </w:r>
            </w:hyperlink>
          </w:p>
          <w:p>
            <w:pPr>
              <w:spacing w:before="60" w:after="40"/>
            </w:pPr>
            <w:r>
              <w:rPr>
                <w:rFonts w:ascii="Calibri" w:hAnsi="Calibri"/>
                <w:b w:val="0"/>
                <w:i w:val="0"/>
                <w:color w:val="5A5A5A"/>
                <w:sz w:val="18"/>
              </w:rPr>
              <w:t>#GERD  #intrinsicacid  #palatalerosion  #perimylolysis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Eating disorders</w:t>
            </w:r>
          </w:p>
        </w:tc>
        <w:tc>
          <w:tcPr>
            <w:tcW w:type="dxa" w:w="2160"/>
            <w:vAlign w:val="top"/>
          </w:tcPr>
          <w:p>
            <w:pPr>
              <w:spacing w:after="40" w:before="0" w:line="259" w:lineRule="auto"/>
            </w:pPr>
            <w:r>
              <w:rPr>
                <w:rFonts w:ascii="Calibri" w:hAnsi="Calibri"/>
                <w:b w:val="0"/>
                <w:i w:val="0"/>
                <w:color w:val="212121"/>
                <w:sz w:val="19"/>
              </w:rPr>
              <w:t>Bulimia nervosa / recurrent self-induced vomiting</w:t>
            </w:r>
          </w:p>
        </w:tc>
        <w:tc>
          <w:tcPr>
            <w:tcW w:type="dxa" w:w="4276"/>
            <w:vAlign w:val="top"/>
          </w:tcPr>
          <w:p>
            <w:pPr>
              <w:spacing w:after="60" w:line="259" w:lineRule="auto"/>
            </w:pPr>
            <w:r>
              <w:rPr>
                <w:rFonts w:ascii="Calibri" w:hAnsi="Calibri"/>
                <w:b w:val="0"/>
                <w:i w:val="0"/>
                <w:color w:val="212121"/>
                <w:sz w:val="19"/>
              </w:rPr>
              <w:t>Frequent self-induced vomiting exposes the palatal surfaces of the upper anterior teeth to gastric acid, producing a characteristic erosion pattern (perimylolysis) that is often the first clinical sign of the disorder.</w:t>
            </w:r>
          </w:p>
          <w:p>
            <w:pPr>
              <w:spacing w:after="40" w:before="60" w:line="259" w:lineRule="auto"/>
            </w:pPr>
            <w:r>
              <w:rPr>
                <w:rFonts w:ascii="Calibri" w:hAnsi="Calibri"/>
                <w:b w:val="0"/>
                <w:i w:val="0"/>
                <w:color w:val="212121"/>
                <w:sz w:val="19"/>
              </w:rPr>
              <w:t>Purging-type eating disorders characteristically cause palatal erosion of the upper anterior teeth (perimylolysis); dental erosion may be the earliest presenting sign.</w:t>
            </w:r>
          </w:p>
          <w:p>
            <w:pPr>
              <w:spacing w:before="60" w:after="40"/>
            </w:pPr>
            <w:r>
              <w:rPr>
                <w:rFonts w:ascii="Calibri" w:hAnsi="Calibri"/>
                <w:b w:val="0"/>
                <w:i w:val="0"/>
                <w:color w:val="5A5A5A"/>
                <w:sz w:val="18"/>
              </w:rPr>
              <w:t>#bulimia  #purging  #perimylolysis  #firstsign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Xerostomia / diabetes</w:t>
            </w:r>
          </w:p>
        </w:tc>
        <w:tc>
          <w:tcPr>
            <w:tcW w:type="dxa" w:w="2160"/>
            <w:vAlign w:val="top"/>
          </w:tcPr>
          <w:p>
            <w:pPr>
              <w:spacing w:after="40" w:before="0" w:line="259" w:lineRule="auto"/>
            </w:pPr>
            <w:r>
              <w:rPr>
                <w:rFonts w:ascii="Calibri" w:hAnsi="Calibri"/>
                <w:b w:val="0"/>
                <w:i w:val="0"/>
                <w:color w:val="212121"/>
                <w:sz w:val="19"/>
              </w:rPr>
              <w:t>Sjögren syndrome, diabetics, polypharmacy, post-radiation, mouth-breathers</w:t>
            </w:r>
          </w:p>
        </w:tc>
        <w:tc>
          <w:tcPr>
            <w:tcW w:type="dxa" w:w="4276"/>
            <w:vAlign w:val="top"/>
          </w:tcPr>
          <w:p>
            <w:pPr>
              <w:spacing w:after="60" w:line="259" w:lineRule="auto"/>
            </w:pPr>
            <w:r>
              <w:rPr>
                <w:rFonts w:ascii="Calibri" w:hAnsi="Calibri"/>
                <w:b w:val="0"/>
                <w:i w:val="0"/>
                <w:color w:val="212121"/>
                <w:sz w:val="19"/>
              </w:rPr>
              <w:t>Reduced salivary flow and buffering impair acid clearance and remineralisation, so erosive and mechanical wear progress faster and exposed dentine is more sensitive.</w:t>
            </w:r>
          </w:p>
          <w:p>
            <w:pPr>
              <w:spacing w:after="40" w:before="60" w:line="259" w:lineRule="auto"/>
            </w:pPr>
            <w:r>
              <w:rPr>
                <w:rFonts w:ascii="Calibri" w:hAnsi="Calibri"/>
                <w:b w:val="0"/>
                <w:i w:val="0"/>
                <w:color w:val="212121"/>
                <w:sz w:val="19"/>
              </w:rPr>
              <w:t>Tooth-wear disease is prevalent among people with diabetes and adversely affects oral-health-related quality of life (Dakshina Kannada study).</w:t>
            </w:r>
          </w:p>
          <w:p>
            <w:pPr>
              <w:spacing w:after="40" w:line="252" w:lineRule="auto"/>
            </w:pPr>
            <w:hyperlink r:id="rId16">
              <w:r>
                <w:rPr>
                  <w:rFonts w:ascii="Calibri" w:hAnsi="Calibri" w:cs="Calibri"/>
                  <w:sz w:val="18"/>
                  <w:color w:val="1155CC"/>
                  <w:u w:val="single"/>
                </w:rPr>
                <w:t xml:space="preserve">pubmed.ncbi.nlm.nih.gov/39140088 — tooth wear &amp; diabetes</w:t>
              </w:r>
            </w:hyperlink>
          </w:p>
          <w:p>
            <w:pPr>
              <w:spacing w:before="60" w:after="40"/>
            </w:pPr>
            <w:r>
              <w:rPr>
                <w:rFonts w:ascii="Calibri" w:hAnsi="Calibri"/>
                <w:b w:val="0"/>
                <w:i w:val="0"/>
                <w:color w:val="5A5A5A"/>
                <w:sz w:val="18"/>
              </w:rPr>
              <w:t>#xerostomia  #Sjogren  #diabetes  #reducedbuffering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Periodontitis / gingival recession</w:t>
            </w:r>
          </w:p>
        </w:tc>
        <w:tc>
          <w:tcPr>
            <w:tcW w:type="dxa" w:w="2160"/>
            <w:vAlign w:val="top"/>
          </w:tcPr>
          <w:p>
            <w:pPr>
              <w:spacing w:after="40" w:before="0" w:line="259" w:lineRule="auto"/>
            </w:pPr>
            <w:r>
              <w:rPr>
                <w:rFonts w:ascii="Calibri" w:hAnsi="Calibri"/>
                <w:b w:val="0"/>
                <w:i w:val="0"/>
                <w:color w:val="212121"/>
                <w:sz w:val="19"/>
              </w:rPr>
              <w:t>Chronic-periodontitis patients with root exposure</w:t>
            </w:r>
          </w:p>
        </w:tc>
        <w:tc>
          <w:tcPr>
            <w:tcW w:type="dxa" w:w="4276"/>
            <w:vAlign w:val="top"/>
          </w:tcPr>
          <w:p>
            <w:pPr>
              <w:spacing w:after="60" w:line="259" w:lineRule="auto"/>
            </w:pPr>
            <w:r>
              <w:rPr>
                <w:rFonts w:ascii="Calibri" w:hAnsi="Calibri"/>
                <w:b w:val="0"/>
                <w:i w:val="0"/>
                <w:color w:val="212121"/>
                <w:sz w:val="19"/>
              </w:rPr>
              <w:t>Periodontal attachment loss and recession expose cementum/root dentine, whose tubules readily transmit stimuli; combined with abrasion from over-brushing, this is a major source of dentine hypersensitivity.</w:t>
            </w:r>
          </w:p>
          <w:p>
            <w:pPr>
              <w:spacing w:after="40" w:before="60" w:line="259" w:lineRule="auto"/>
            </w:pPr>
            <w:r>
              <w:rPr>
                <w:rFonts w:ascii="Calibri" w:hAnsi="Calibri"/>
                <w:b w:val="0"/>
                <w:i w:val="0"/>
                <w:color w:val="212121"/>
                <w:sz w:val="19"/>
              </w:rPr>
              <w:t>Among chronic-periodontitis patients in Chandigarh, DH prevalence was 37.2% by questionnaire and 47.8% on clinical assessment.</w:t>
            </w:r>
          </w:p>
          <w:p>
            <w:pPr>
              <w:spacing w:after="40" w:line="252" w:lineRule="auto"/>
            </w:pPr>
            <w:hyperlink r:id="rId17">
              <w:r>
                <w:rPr>
                  <w:rFonts w:ascii="Calibri" w:hAnsi="Calibri" w:cs="Calibri"/>
                  <w:sz w:val="18"/>
                  <w:color w:val="1155CC"/>
                  <w:u w:val="single"/>
                </w:rPr>
                <w:t xml:space="preserve">pubmed.ncbi.nlm.nih.gov/27411652 — DH in chronic periodontitis</w:t>
              </w:r>
            </w:hyperlink>
          </w:p>
          <w:p>
            <w:pPr>
              <w:spacing w:before="60" w:after="40"/>
            </w:pPr>
            <w:r>
              <w:rPr>
                <w:rFonts w:ascii="Calibri" w:hAnsi="Calibri"/>
                <w:b w:val="0"/>
                <w:i w:val="0"/>
                <w:color w:val="5A5A5A"/>
                <w:sz w:val="18"/>
              </w:rPr>
              <w:t>#periodontitis  #recession  #rootsensitivity  #cementumloss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itself is not a major driver, but competitive swimmers in improperly-chlorinated pools and frequent users of acidic sports/energy drinks show more erosive wear, and strenuous exercise transiently reduces salivary flow.</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acids are the leading extrinsic cause of erosion; the frequency, contact time and mode of intake of low-pH foods and drinks strongly determine erosive tooth wear. Daily lemon intake raised erosion odds ~13-fold and carbonated drinks ~3-fold in South Indian children.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bruxism occurring during sleep is a principal cause of attrition, and supine nocturnal reflux worsens intrinsic erosion; sleep-disordered breathing is linked to both.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Smokeless-tobacco, gutka and areca/betel-quid chewing abrade tooth surfaces, and tobacco-associated gingival recession exposes dentine, increasing wear and hypersensitivity.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misuse promotes reflux, recurrent vomiting and exposure to acidic beverages while reducing salivary protection, collectively accelerating erosive tooth wear.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Stress and anxiety drive awake and sleep bruxism (attrition), and purging in eating disorders such as bulimia nervosa causes intrinsic acid erosion (perimylolysis).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salivary flow, clearance and buffering of acids; dehydration and mouth-breathing reduce protection, but direct evidence linking water intake to wear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Many caffeinated drinks (colas, energy drinks) are highly acidic and erosive, but the erosive effect is due to their acidity and additives rather than caffeine itself.</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Over-vigorous or horizontal brushing, hard bristles, abrasive dentifrices/tooth powders and brushing immediately after acid exposure cause abrasion and accelerate erosive-abrasive wear; conversely, gentle technique with fluoride/low-abrasive paste is protective.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Cold, hot, evaporative (air), tactile, osmotic (sweet) and chemical (sour) stimuli provoke the characteristic short, sharp pain of dentine hypersensitivity via hydrodynamic fluid movement in exposed, patent dentinal tubules.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Recumbent posture after meals and at night increases nocturnal gastro-oesophageal reflux and thus intrinsic acid exposure of the teeth; head-of-bed elevation reduces this challenge.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Acidic food/drink exposures per day</w:t>
            </w:r>
          </w:p>
        </w:tc>
        <w:tc>
          <w:tcPr>
            <w:tcW w:type="dxa" w:w="1655"/>
            <w:vAlign w:val="top"/>
          </w:tcPr>
          <w:p>
            <w:pPr>
              <w:spacing w:after="40" w:before="0" w:line="259" w:lineRule="auto"/>
            </w:pPr>
            <w:r>
              <w:rPr>
                <w:rFonts w:ascii="Calibri" w:hAnsi="Calibri"/>
                <w:b w:val="0"/>
                <w:i w:val="0"/>
                <w:color w:val="212121"/>
                <w:sz w:val="19"/>
              </w:rPr>
              <w:t>Adults, adolescents, athletes</w:t>
            </w:r>
          </w:p>
        </w:tc>
        <w:tc>
          <w:tcPr>
            <w:tcW w:type="dxa" w:w="1512"/>
            <w:vAlign w:val="top"/>
          </w:tcPr>
          <w:p>
            <w:pPr>
              <w:spacing w:after="40" w:before="0" w:line="259" w:lineRule="auto"/>
            </w:pPr>
            <w:r>
              <w:rPr>
                <w:rFonts w:ascii="Calibri" w:hAnsi="Calibri"/>
                <w:b w:val="0"/>
                <w:i w:val="0"/>
                <w:color w:val="212121"/>
                <w:sz w:val="19"/>
              </w:rPr>
              <w:t>≤1–2, taken with meals</w:t>
            </w:r>
          </w:p>
        </w:tc>
        <w:tc>
          <w:tcPr>
            <w:tcW w:type="dxa" w:w="1512"/>
            <w:vAlign w:val="top"/>
          </w:tcPr>
          <w:p>
            <w:pPr>
              <w:spacing w:after="40" w:before="0" w:line="259" w:lineRule="auto"/>
            </w:pPr>
            <w:r>
              <w:rPr>
                <w:rFonts w:ascii="Calibri" w:hAnsi="Calibri"/>
                <w:b w:val="0"/>
                <w:i w:val="0"/>
                <w:color w:val="212121"/>
                <w:sz w:val="19"/>
              </w:rPr>
              <w:t>≥4 separate acid exposures/day</w:t>
            </w:r>
          </w:p>
        </w:tc>
        <w:tc>
          <w:tcPr>
            <w:tcW w:type="dxa" w:w="1468"/>
            <w:vAlign w:val="top"/>
          </w:tcPr>
          <w:p>
            <w:pPr>
              <w:spacing w:after="60" w:line="259" w:lineRule="auto"/>
            </w:pPr>
            <w:r>
              <w:rPr>
                <w:rFonts w:ascii="Calibri" w:hAnsi="Calibri"/>
                <w:b w:val="0"/>
                <w:i w:val="0"/>
                <w:color w:val="212121"/>
                <w:sz w:val="19"/>
              </w:rPr>
              <w:t>Frequency and contact time drive erosive wear more than total quantity</w:t>
            </w:r>
          </w:p>
          <w:p>
            <w:pPr>
              <w:spacing w:after="40" w:line="252" w:lineRule="auto"/>
            </w:pPr>
            <w:hyperlink r:id="rId12">
              <w:r>
                <w:rPr>
                  <w:rFonts w:ascii="Calibri" w:hAnsi="Calibri" w:cs="Calibri"/>
                  <w:sz w:val="18"/>
                  <w:color w:val="1155CC"/>
                  <w:u w:val="single"/>
                </w:rPr>
                <w:t xml:space="preserve">https://pubmed.ncbi.nlm.nih.gov/24351921/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Beverage/food pH (enamel critical pH ≈ 5.5)</w:t>
            </w:r>
          </w:p>
        </w:tc>
        <w:tc>
          <w:tcPr>
            <w:tcW w:type="dxa" w:w="1655"/>
            <w:vAlign w:val="top"/>
          </w:tcPr>
          <w:p>
            <w:pPr>
              <w:spacing w:after="40" w:before="0" w:line="259" w:lineRule="auto"/>
            </w:pPr>
            <w:r>
              <w:rPr>
                <w:rFonts w:ascii="Calibri" w:hAnsi="Calibri"/>
                <w:b w:val="0"/>
                <w:i w:val="0"/>
                <w:color w:val="212121"/>
                <w:sz w:val="19"/>
              </w:rPr>
              <w:t>Aerated/energy-drink &amp; citrus users</w:t>
            </w:r>
          </w:p>
        </w:tc>
        <w:tc>
          <w:tcPr>
            <w:tcW w:type="dxa" w:w="1512"/>
            <w:vAlign w:val="top"/>
          </w:tcPr>
          <w:p>
            <w:pPr>
              <w:spacing w:after="40" w:before="0" w:line="259" w:lineRule="auto"/>
            </w:pPr>
            <w:r>
              <w:rPr>
                <w:rFonts w:ascii="Calibri" w:hAnsi="Calibri"/>
                <w:b w:val="0"/>
                <w:i w:val="0"/>
                <w:color w:val="212121"/>
                <w:sz w:val="19"/>
              </w:rPr>
              <w:t>&gt; 5.5</w:t>
            </w:r>
          </w:p>
        </w:tc>
        <w:tc>
          <w:tcPr>
            <w:tcW w:type="dxa" w:w="1512"/>
            <w:vAlign w:val="top"/>
          </w:tcPr>
          <w:p>
            <w:pPr>
              <w:spacing w:after="40" w:before="0" w:line="259" w:lineRule="auto"/>
            </w:pPr>
            <w:r>
              <w:rPr>
                <w:rFonts w:ascii="Calibri" w:hAnsi="Calibri"/>
                <w:b w:val="0"/>
                <w:i w:val="0"/>
                <w:color w:val="212121"/>
                <w:sz w:val="19"/>
              </w:rPr>
              <w:t>&lt; 5.5 (colas ≈2.5, lemon ≈2.3, energy drinks ≈3)</w:t>
            </w:r>
          </w:p>
        </w:tc>
        <w:tc>
          <w:tcPr>
            <w:tcW w:type="dxa" w:w="1468"/>
            <w:vAlign w:val="top"/>
          </w:tcPr>
          <w:p>
            <w:pPr>
              <w:spacing w:after="40" w:before="0" w:line="259" w:lineRule="auto"/>
            </w:pPr>
            <w:r>
              <w:rPr>
                <w:rFonts w:ascii="Calibri" w:hAnsi="Calibri"/>
                <w:b w:val="0"/>
                <w:i w:val="0"/>
                <w:color w:val="212121"/>
                <w:sz w:val="19"/>
              </w:rPr>
              <w:t>Below the critical pH enamel demineralises and dissolves</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 bristle &amp; technique</w:t>
            </w:r>
          </w:p>
        </w:tc>
        <w:tc>
          <w:tcPr>
            <w:tcW w:type="dxa" w:w="1655"/>
            <w:vAlign w:val="top"/>
          </w:tcPr>
          <w:p>
            <w:pPr>
              <w:spacing w:after="40" w:before="0" w:line="259" w:lineRule="auto"/>
            </w:pPr>
            <w:r>
              <w:rPr>
                <w:rFonts w:ascii="Calibri" w:hAnsi="Calibri"/>
                <w:b w:val="0"/>
                <w:i w:val="0"/>
                <w:color w:val="212121"/>
                <w:sz w:val="19"/>
              </w:rPr>
              <w:t>Vigorous brushers, recession</w:t>
            </w:r>
          </w:p>
        </w:tc>
        <w:tc>
          <w:tcPr>
            <w:tcW w:type="dxa" w:w="1512"/>
            <w:vAlign w:val="top"/>
          </w:tcPr>
          <w:p>
            <w:pPr>
              <w:spacing w:after="40" w:before="0" w:line="259" w:lineRule="auto"/>
            </w:pPr>
            <w:r>
              <w:rPr>
                <w:rFonts w:ascii="Calibri" w:hAnsi="Calibri"/>
                <w:b w:val="0"/>
                <w:i w:val="0"/>
                <w:color w:val="212121"/>
                <w:sz w:val="19"/>
              </w:rPr>
              <w:t>Soft bristle, gentle modified-Bass</w:t>
            </w:r>
          </w:p>
        </w:tc>
        <w:tc>
          <w:tcPr>
            <w:tcW w:type="dxa" w:w="1512"/>
            <w:vAlign w:val="top"/>
          </w:tcPr>
          <w:p>
            <w:pPr>
              <w:spacing w:after="40" w:before="0" w:line="259" w:lineRule="auto"/>
            </w:pPr>
            <w:r>
              <w:rPr>
                <w:rFonts w:ascii="Calibri" w:hAnsi="Calibri"/>
                <w:b w:val="0"/>
                <w:i w:val="0"/>
                <w:color w:val="212121"/>
                <w:sz w:val="19"/>
              </w:rPr>
              <w:t>Hard bristle + horizontal scrubbing + high force</w:t>
            </w:r>
          </w:p>
        </w:tc>
        <w:tc>
          <w:tcPr>
            <w:tcW w:type="dxa" w:w="1468"/>
            <w:vAlign w:val="top"/>
          </w:tcPr>
          <w:p>
            <w:pPr>
              <w:spacing w:after="40" w:before="0" w:line="259" w:lineRule="auto"/>
            </w:pPr>
            <w:r>
              <w:rPr>
                <w:rFonts w:ascii="Calibri" w:hAnsi="Calibri"/>
                <w:b w:val="0"/>
                <w:i w:val="0"/>
                <w:color w:val="212121"/>
                <w:sz w:val="19"/>
              </w:rPr>
              <w:t>Principal cause of cervical abrasion and gingival recession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Dentifrice abrasivity (RDA)</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RDA ≤ 70 (low–moderate)</w:t>
            </w:r>
          </w:p>
        </w:tc>
        <w:tc>
          <w:tcPr>
            <w:tcW w:type="dxa" w:w="1512"/>
            <w:vAlign w:val="top"/>
          </w:tcPr>
          <w:p>
            <w:pPr>
              <w:spacing w:after="40" w:before="0" w:line="259" w:lineRule="auto"/>
            </w:pPr>
            <w:r>
              <w:rPr>
                <w:rFonts w:ascii="Calibri" w:hAnsi="Calibri"/>
                <w:b w:val="0"/>
                <w:i w:val="0"/>
                <w:color w:val="212121"/>
                <w:sz w:val="19"/>
              </w:rPr>
              <w:t>High-RDA paste, charcoal, tooth-powder, salt/mishri, ash/brick powder</w:t>
            </w:r>
          </w:p>
        </w:tc>
        <w:tc>
          <w:tcPr>
            <w:tcW w:type="dxa" w:w="1468"/>
            <w:vAlign w:val="top"/>
          </w:tcPr>
          <w:p>
            <w:pPr>
              <w:spacing w:after="40" w:before="0" w:line="259" w:lineRule="auto"/>
            </w:pPr>
            <w:r>
              <w:rPr>
                <w:rFonts w:ascii="Calibri" w:hAnsi="Calibri"/>
                <w:b w:val="0"/>
                <w:i w:val="0"/>
                <w:color w:val="212121"/>
                <w:sz w:val="19"/>
              </w:rPr>
              <w:t>High abrasivity accelerates abrasion and erosive-abrasive wear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Timing of brushing after acid/vomiting</w:t>
            </w:r>
          </w:p>
        </w:tc>
        <w:tc>
          <w:tcPr>
            <w:tcW w:type="dxa" w:w="1655"/>
            <w:vAlign w:val="top"/>
          </w:tcPr>
          <w:p>
            <w:pPr>
              <w:spacing w:after="40" w:before="0" w:line="259" w:lineRule="auto"/>
            </w:pPr>
            <w:r>
              <w:rPr>
                <w:rFonts w:ascii="Calibri" w:hAnsi="Calibri"/>
                <w:b w:val="0"/>
                <w:i w:val="0"/>
                <w:color w:val="212121"/>
                <w:sz w:val="19"/>
              </w:rPr>
              <w:t>GERD, bulimia, high acid-diet</w:t>
            </w:r>
          </w:p>
        </w:tc>
        <w:tc>
          <w:tcPr>
            <w:tcW w:type="dxa" w:w="1512"/>
            <w:vAlign w:val="top"/>
          </w:tcPr>
          <w:p>
            <w:pPr>
              <w:spacing w:after="40" w:before="0" w:line="259" w:lineRule="auto"/>
            </w:pPr>
            <w:r>
              <w:rPr>
                <w:rFonts w:ascii="Calibri" w:hAnsi="Calibri"/>
                <w:b w:val="0"/>
                <w:i w:val="0"/>
                <w:color w:val="212121"/>
                <w:sz w:val="19"/>
              </w:rPr>
              <w:t>Wait ≥ 30–60 min; first rinse with water or bicarbonate</w:t>
            </w:r>
          </w:p>
        </w:tc>
        <w:tc>
          <w:tcPr>
            <w:tcW w:type="dxa" w:w="1512"/>
            <w:vAlign w:val="top"/>
          </w:tcPr>
          <w:p>
            <w:pPr>
              <w:spacing w:after="40" w:before="0" w:line="259" w:lineRule="auto"/>
            </w:pPr>
            <w:r>
              <w:rPr>
                <w:rFonts w:ascii="Calibri" w:hAnsi="Calibri"/>
                <w:b w:val="0"/>
                <w:i w:val="0"/>
                <w:color w:val="212121"/>
                <w:sz w:val="19"/>
              </w:rPr>
              <w:t>Brushing immediately after acid exposure</w:t>
            </w:r>
          </w:p>
        </w:tc>
        <w:tc>
          <w:tcPr>
            <w:tcW w:type="dxa" w:w="1468"/>
            <w:vAlign w:val="top"/>
          </w:tcPr>
          <w:p>
            <w:pPr>
              <w:spacing w:after="40" w:before="0" w:line="259" w:lineRule="auto"/>
            </w:pPr>
            <w:r>
              <w:rPr>
                <w:rFonts w:ascii="Calibri" w:hAnsi="Calibri"/>
                <w:b w:val="0"/>
                <w:i w:val="0"/>
                <w:color w:val="212121"/>
                <w:sz w:val="19"/>
              </w:rPr>
              <w:t>Acid-softened enamel is brushed away if cleaned at once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Schiff Air Index / VAS pain</w:t>
            </w:r>
          </w:p>
        </w:tc>
        <w:tc>
          <w:tcPr>
            <w:tcW w:type="dxa" w:w="1655"/>
            <w:vAlign w:val="top"/>
          </w:tcPr>
          <w:p>
            <w:pPr>
              <w:spacing w:after="40" w:before="0" w:line="259" w:lineRule="auto"/>
            </w:pPr>
            <w:r>
              <w:rPr>
                <w:rFonts w:ascii="Calibri" w:hAnsi="Calibri"/>
                <w:b w:val="0"/>
                <w:i w:val="0"/>
                <w:color w:val="212121"/>
                <w:sz w:val="19"/>
              </w:rPr>
              <w:t>Dentine-hypersensitivity patients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 (Schiff) / any VAS pain</w:t>
            </w:r>
          </w:p>
        </w:tc>
        <w:tc>
          <w:tcPr>
            <w:tcW w:type="dxa" w:w="1468"/>
            <w:vAlign w:val="top"/>
          </w:tcPr>
          <w:p>
            <w:pPr>
              <w:spacing w:after="40" w:before="0" w:line="259" w:lineRule="auto"/>
            </w:pPr>
            <w:r>
              <w:rPr>
                <w:rFonts w:ascii="Calibri" w:hAnsi="Calibri"/>
                <w:b w:val="0"/>
                <w:i w:val="0"/>
                <w:color w:val="212121"/>
                <w:sz w:val="19"/>
              </w:rPr>
              <w:t>Objective (air-blast) plus subjective severity of DH</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Smokeless tobacco / areca quid per day</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Abrasive quid plus recession exposes dentine and provokes sensitivity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Sleep-bruxism activity (rhythmic masticatory muscle episodes / masseter EMG)</w:t>
            </w:r>
          </w:p>
        </w:tc>
        <w:tc>
          <w:tcPr>
            <w:tcW w:type="dxa" w:w="1655"/>
            <w:vAlign w:val="top"/>
          </w:tcPr>
          <w:p>
            <w:pPr>
              <w:spacing w:after="40" w:before="0" w:line="259" w:lineRule="auto"/>
            </w:pPr>
            <w:r>
              <w:rPr>
                <w:rFonts w:ascii="Calibri" w:hAnsi="Calibri"/>
                <w:b w:val="0"/>
                <w:i w:val="0"/>
                <w:color w:val="212121"/>
                <w:sz w:val="19"/>
              </w:rPr>
              <w:t>Bruxers</w:t>
            </w:r>
          </w:p>
        </w:tc>
        <w:tc>
          <w:tcPr>
            <w:tcW w:type="dxa" w:w="1512"/>
            <w:vAlign w:val="top"/>
          </w:tcPr>
          <w:p>
            <w:pPr>
              <w:spacing w:after="40" w:before="0" w:line="259" w:lineRule="auto"/>
            </w:pPr>
            <w:r>
              <w:rPr>
                <w:rFonts w:ascii="Calibri" w:hAnsi="Calibri"/>
                <w:b w:val="0"/>
                <w:i w:val="0"/>
                <w:color w:val="212121"/>
                <w:sz w:val="19"/>
              </w:rPr>
              <w:t>None / low</w:t>
            </w:r>
          </w:p>
        </w:tc>
        <w:tc>
          <w:tcPr>
            <w:tcW w:type="dxa" w:w="1512"/>
            <w:vAlign w:val="top"/>
          </w:tcPr>
          <w:p>
            <w:pPr>
              <w:spacing w:after="40" w:before="0" w:line="259" w:lineRule="auto"/>
            </w:pPr>
            <w:r>
              <w:rPr>
                <w:rFonts w:ascii="Calibri" w:hAnsi="Calibri"/>
                <w:b w:val="0"/>
                <w:i w:val="0"/>
                <w:color w:val="212121"/>
                <w:sz w:val="19"/>
              </w:rPr>
              <w:t>Frequent grinding episodes or high EMG activity</w:t>
            </w:r>
          </w:p>
        </w:tc>
        <w:tc>
          <w:tcPr>
            <w:tcW w:type="dxa" w:w="1468"/>
            <w:vAlign w:val="top"/>
          </w:tcPr>
          <w:p>
            <w:pPr>
              <w:spacing w:after="40" w:before="0" w:line="259" w:lineRule="auto"/>
            </w:pPr>
            <w:r>
              <w:rPr>
                <w:rFonts w:ascii="Calibri" w:hAnsi="Calibri"/>
                <w:b w:val="0"/>
                <w:i w:val="0"/>
                <w:color w:val="212121"/>
                <w:sz w:val="19"/>
              </w:rPr>
              <w:t>Drives attrition; indicates need for an occlusal night-guard</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Unstimulated salivary flow rate</w:t>
            </w:r>
          </w:p>
        </w:tc>
        <w:tc>
          <w:tcPr>
            <w:tcW w:type="dxa" w:w="1655"/>
            <w:vAlign w:val="top"/>
          </w:tcPr>
          <w:p>
            <w:pPr>
              <w:spacing w:after="40" w:before="0" w:line="259" w:lineRule="auto"/>
            </w:pPr>
            <w:r>
              <w:rPr>
                <w:rFonts w:ascii="Calibri" w:hAnsi="Calibri"/>
                <w:b w:val="0"/>
                <w:i w:val="0"/>
                <w:color w:val="212121"/>
                <w:sz w:val="19"/>
              </w:rPr>
              <w:t>Xerostomia, elderly, polypharmacy, diabetics</w:t>
            </w:r>
          </w:p>
        </w:tc>
        <w:tc>
          <w:tcPr>
            <w:tcW w:type="dxa" w:w="1512"/>
            <w:vAlign w:val="top"/>
          </w:tcPr>
          <w:p>
            <w:pPr>
              <w:spacing w:after="40" w:before="0" w:line="259" w:lineRule="auto"/>
            </w:pPr>
            <w:r>
              <w:rPr>
                <w:rFonts w:ascii="Calibri" w:hAnsi="Calibri"/>
                <w:b w:val="0"/>
                <w:i w:val="0"/>
                <w:color w:val="212121"/>
                <w:sz w:val="19"/>
              </w:rPr>
              <w:t>≥ 0.3 mL/min</w:t>
            </w:r>
          </w:p>
        </w:tc>
        <w:tc>
          <w:tcPr>
            <w:tcW w:type="dxa" w:w="1512"/>
            <w:vAlign w:val="top"/>
          </w:tcPr>
          <w:p>
            <w:pPr>
              <w:spacing w:after="40" w:before="0" w:line="259" w:lineRule="auto"/>
            </w:pPr>
            <w:r>
              <w:rPr>
                <w:rFonts w:ascii="Calibri" w:hAnsi="Calibri"/>
                <w:b w:val="0"/>
                <w:i w:val="0"/>
                <w:color w:val="212121"/>
                <w:sz w:val="19"/>
              </w:rPr>
              <w:t>&lt; 0.1 mL/min (hyposalivation)</w:t>
            </w:r>
          </w:p>
        </w:tc>
        <w:tc>
          <w:tcPr>
            <w:tcW w:type="dxa" w:w="1468"/>
            <w:vAlign w:val="top"/>
          </w:tcPr>
          <w:p>
            <w:pPr>
              <w:spacing w:after="40" w:before="0" w:line="259" w:lineRule="auto"/>
            </w:pPr>
            <w:r>
              <w:rPr>
                <w:rFonts w:ascii="Calibri" w:hAnsi="Calibri"/>
                <w:b w:val="0"/>
                <w:i w:val="0"/>
                <w:color w:val="212121"/>
                <w:sz w:val="19"/>
              </w:rPr>
              <w:t>Saliva buffers and clears acid and remineralises softened enamel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Chairside stimulus test</w:t>
            </w:r>
          </w:p>
        </w:tc>
        <w:tc>
          <w:tcPr>
            <w:tcW w:type="dxa" w:w="1036"/>
            <w:vAlign w:val="top"/>
          </w:tcPr>
          <w:p>
            <w:pPr>
              <w:spacing w:after="40" w:before="0" w:line="259" w:lineRule="auto"/>
            </w:pPr>
            <w:r>
              <w:rPr>
                <w:rFonts w:ascii="Calibri" w:hAnsi="Calibri"/>
                <w:b w:val="0"/>
                <w:i w:val="0"/>
                <w:color w:val="212121"/>
                <w:sz w:val="16"/>
              </w:rPr>
              <w:t>Schiff Cold Air Sensitivity Index</w:t>
            </w:r>
          </w:p>
        </w:tc>
        <w:tc>
          <w:tcPr>
            <w:tcW w:type="dxa" w:w="892"/>
            <w:vAlign w:val="top"/>
          </w:tcPr>
          <w:p>
            <w:pPr>
              <w:spacing w:after="40" w:before="0" w:line="259" w:lineRule="auto"/>
            </w:pPr>
            <w:r>
              <w:rPr>
                <w:rFonts w:ascii="Calibri" w:hAnsi="Calibri"/>
                <w:b w:val="0"/>
                <w:i w:val="0"/>
                <w:color w:val="212121"/>
                <w:sz w:val="16"/>
              </w:rPr>
              <w:t>Air-blast (evaporative) test</w:t>
            </w:r>
          </w:p>
        </w:tc>
        <w:tc>
          <w:tcPr>
            <w:tcW w:type="dxa" w:w="950"/>
            <w:vAlign w:val="top"/>
          </w:tcPr>
          <w:p>
            <w:pPr>
              <w:spacing w:after="40" w:before="0" w:line="259" w:lineRule="auto"/>
            </w:pPr>
            <w:r>
              <w:rPr>
                <w:rFonts w:ascii="Calibri" w:hAnsi="Calibri"/>
                <w:b w:val="0"/>
                <w:i w:val="0"/>
                <w:color w:val="212121"/>
                <w:sz w:val="16"/>
              </w:rPr>
              <w:t>0 (no response)</w:t>
            </w:r>
          </w:p>
        </w:tc>
        <w:tc>
          <w:tcPr>
            <w:tcW w:type="dxa" w:w="950"/>
            <w:vAlign w:val="top"/>
          </w:tcPr>
          <w:p>
            <w:pPr>
              <w:spacing w:after="40" w:before="0" w:line="259" w:lineRule="auto"/>
            </w:pPr>
            <w:r>
              <w:rPr>
                <w:rFonts w:ascii="Calibri" w:hAnsi="Calibri"/>
                <w:b w:val="0"/>
                <w:i w:val="0"/>
                <w:color w:val="212121"/>
                <w:sz w:val="16"/>
              </w:rPr>
              <w:t>1–3 (mild–severe)</w:t>
            </w:r>
          </w:p>
        </w:tc>
        <w:tc>
          <w:tcPr>
            <w:tcW w:type="dxa" w:w="1036"/>
            <w:vAlign w:val="top"/>
          </w:tcPr>
          <w:p>
            <w:pPr>
              <w:spacing w:after="40" w:before="0" w:line="259" w:lineRule="auto"/>
            </w:pPr>
            <w:r>
              <w:rPr>
                <w:rFonts w:ascii="Calibri" w:hAnsi="Calibri"/>
                <w:b w:val="0"/>
                <w:i w:val="0"/>
                <w:color w:val="212121"/>
                <w:sz w:val="16"/>
              </w:rPr>
              <w:t>Quantifies dentine-hypersensitivity severity to a standardised 1-second air blast</w:t>
            </w:r>
          </w:p>
        </w:tc>
        <w:tc>
          <w:tcPr>
            <w:tcW w:type="dxa" w:w="1036"/>
            <w:vAlign w:val="top"/>
          </w:tcPr>
          <w:p>
            <w:pPr>
              <w:spacing w:after="40" w:before="0" w:line="259" w:lineRule="auto"/>
            </w:pPr>
            <w:r>
              <w:rPr>
                <w:rFonts w:ascii="Calibri" w:hAnsi="Calibri"/>
                <w:b w:val="0"/>
                <w:i w:val="0"/>
                <w:color w:val="212121"/>
                <w:sz w:val="16"/>
              </w:rPr>
              <w:t>Adults with sensitivity, recession, erosive/abrasive wear</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Standard chairside test</w:t>
            </w:r>
          </w:p>
        </w:tc>
        <w:tc>
          <w:tcPr>
            <w:tcW w:type="dxa" w:w="720"/>
            <w:vAlign w:val="top"/>
          </w:tcPr>
          <w:p>
            <w:pPr>
              <w:spacing w:after="40" w:before="0" w:line="259" w:lineRule="auto"/>
            </w:pPr>
            <w:r>
              <w:rPr>
                <w:rFonts w:ascii="Calibri" w:hAnsi="Calibri"/>
                <w:b w:val="0"/>
                <w:i w:val="0"/>
                <w:color w:val="212121"/>
                <w:sz w:val="16"/>
              </w:rPr>
              <w:t>Isolate tooth; direct blast for 1 s from ~1 cm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Patient-reported outcome</w:t>
            </w:r>
          </w:p>
        </w:tc>
        <w:tc>
          <w:tcPr>
            <w:tcW w:type="dxa" w:w="1036"/>
            <w:vAlign w:val="top"/>
          </w:tcPr>
          <w:p>
            <w:pPr>
              <w:spacing w:after="40" w:before="0" w:line="259" w:lineRule="auto"/>
            </w:pPr>
            <w:r>
              <w:rPr>
                <w:rFonts w:ascii="Calibri" w:hAnsi="Calibri"/>
                <w:b w:val="0"/>
                <w:i w:val="0"/>
                <w:color w:val="212121"/>
                <w:sz w:val="16"/>
              </w:rPr>
              <w:t>Visual Analogue / Verbal Rating pain score</w:t>
            </w:r>
          </w:p>
        </w:tc>
        <w:tc>
          <w:tcPr>
            <w:tcW w:type="dxa" w:w="892"/>
            <w:vAlign w:val="top"/>
          </w:tcPr>
          <w:p>
            <w:pPr>
              <w:spacing w:after="40" w:before="0" w:line="259" w:lineRule="auto"/>
            </w:pPr>
            <w:r>
              <w:rPr>
                <w:rFonts w:ascii="Calibri" w:hAnsi="Calibri"/>
                <w:b w:val="0"/>
                <w:i w:val="0"/>
                <w:color w:val="212121"/>
                <w:sz w:val="16"/>
              </w:rPr>
              <w:t>VAS (0–10)</w:t>
            </w:r>
          </w:p>
        </w:tc>
        <w:tc>
          <w:tcPr>
            <w:tcW w:type="dxa" w:w="950"/>
            <w:vAlign w:val="top"/>
          </w:tcPr>
          <w:p>
            <w:pPr>
              <w:spacing w:after="40" w:before="0" w:line="259" w:lineRule="auto"/>
            </w:pPr>
            <w:r>
              <w:rPr>
                <w:rFonts w:ascii="Calibri" w:hAnsi="Calibri"/>
                <w:b w:val="0"/>
                <w:i w:val="0"/>
                <w:color w:val="212121"/>
                <w:sz w:val="16"/>
              </w:rPr>
              <w:t>0</w:t>
            </w:r>
          </w:p>
        </w:tc>
        <w:tc>
          <w:tcPr>
            <w:tcW w:type="dxa" w:w="950"/>
            <w:vAlign w:val="top"/>
          </w:tcPr>
          <w:p>
            <w:pPr>
              <w:spacing w:after="40" w:before="0" w:line="259" w:lineRule="auto"/>
            </w:pPr>
            <w:r>
              <w:rPr>
                <w:rFonts w:ascii="Calibri" w:hAnsi="Calibri"/>
                <w:b w:val="0"/>
                <w:i w:val="0"/>
                <w:color w:val="212121"/>
                <w:sz w:val="16"/>
              </w:rPr>
              <w:t>≥ 1</w:t>
            </w:r>
          </w:p>
        </w:tc>
        <w:tc>
          <w:tcPr>
            <w:tcW w:type="dxa" w:w="1036"/>
            <w:vAlign w:val="top"/>
          </w:tcPr>
          <w:p>
            <w:pPr>
              <w:spacing w:after="40" w:before="0" w:line="259" w:lineRule="auto"/>
            </w:pPr>
            <w:r>
              <w:rPr>
                <w:rFonts w:ascii="Calibri" w:hAnsi="Calibri"/>
                <w:b w:val="0"/>
                <w:i w:val="0"/>
                <w:color w:val="212121"/>
                <w:sz w:val="16"/>
              </w:rPr>
              <w:t>Records DH pain intensity and monitors response to desensitising therapy</w:t>
            </w:r>
          </w:p>
        </w:tc>
        <w:tc>
          <w:tcPr>
            <w:tcW w:type="dxa" w:w="1036"/>
            <w:vAlign w:val="top"/>
          </w:tcPr>
          <w:p>
            <w:pPr>
              <w:spacing w:after="40" w:before="0" w:line="259" w:lineRule="auto"/>
            </w:pPr>
            <w:r>
              <w:rPr>
                <w:rFonts w:ascii="Calibri" w:hAnsi="Calibri"/>
                <w:b w:val="0"/>
                <w:i w:val="0"/>
                <w:color w:val="212121"/>
                <w:sz w:val="16"/>
              </w:rPr>
              <w:t>Dentine-hypersensitivity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Subjective — combine with an objective stimulus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Erosive-wear grading</w:t>
            </w:r>
          </w:p>
        </w:tc>
        <w:tc>
          <w:tcPr>
            <w:tcW w:type="dxa" w:w="1036"/>
            <w:vAlign w:val="top"/>
          </w:tcPr>
          <w:p>
            <w:pPr>
              <w:spacing w:after="40" w:before="0" w:line="259" w:lineRule="auto"/>
            </w:pPr>
            <w:r>
              <w:rPr>
                <w:rFonts w:ascii="Calibri" w:hAnsi="Calibri"/>
                <w:b w:val="0"/>
                <w:i w:val="0"/>
                <w:color w:val="212121"/>
                <w:sz w:val="16"/>
              </w:rPr>
              <w:t>Basic Erosive Wear Examination (BEWE)</w:t>
            </w:r>
          </w:p>
        </w:tc>
        <w:tc>
          <w:tcPr>
            <w:tcW w:type="dxa" w:w="892"/>
            <w:vAlign w:val="top"/>
          </w:tcPr>
          <w:p>
            <w:pPr>
              <w:spacing w:after="40" w:before="0" w:line="259" w:lineRule="auto"/>
            </w:pPr>
            <w:r>
              <w:rPr>
                <w:rFonts w:ascii="Calibri" w:hAnsi="Calibri"/>
                <w:b w:val="0"/>
                <w:i w:val="0"/>
                <w:color w:val="212121"/>
                <w:sz w:val="16"/>
              </w:rPr>
              <w:t>BEWE cumulative score</w:t>
            </w:r>
          </w:p>
        </w:tc>
        <w:tc>
          <w:tcPr>
            <w:tcW w:type="dxa" w:w="950"/>
            <w:vAlign w:val="top"/>
          </w:tcPr>
          <w:p>
            <w:pPr>
              <w:spacing w:after="40" w:before="0" w:line="259" w:lineRule="auto"/>
            </w:pPr>
            <w:r>
              <w:rPr>
                <w:rFonts w:ascii="Calibri" w:hAnsi="Calibri"/>
                <w:b w:val="0"/>
                <w:i w:val="0"/>
                <w:color w:val="212121"/>
                <w:sz w:val="16"/>
              </w:rPr>
              <w:t>0 per sextant</w:t>
            </w:r>
          </w:p>
        </w:tc>
        <w:tc>
          <w:tcPr>
            <w:tcW w:type="dxa" w:w="950"/>
            <w:vAlign w:val="top"/>
          </w:tcPr>
          <w:p>
            <w:pPr>
              <w:spacing w:after="40" w:before="0" w:line="259" w:lineRule="auto"/>
            </w:pPr>
            <w:r>
              <w:rPr>
                <w:rFonts w:ascii="Calibri" w:hAnsi="Calibri"/>
                <w:b w:val="0"/>
                <w:i w:val="0"/>
                <w:color w:val="212121"/>
                <w:sz w:val="16"/>
              </w:rPr>
              <w:t>3 per sextant / high cumulative-risk band</w:t>
            </w:r>
          </w:p>
        </w:tc>
        <w:tc>
          <w:tcPr>
            <w:tcW w:type="dxa" w:w="1036"/>
            <w:vAlign w:val="top"/>
          </w:tcPr>
          <w:p>
            <w:pPr>
              <w:spacing w:after="40" w:before="0" w:line="259" w:lineRule="auto"/>
            </w:pPr>
            <w:r>
              <w:rPr>
                <w:rFonts w:ascii="Calibri" w:hAnsi="Calibri"/>
                <w:b w:val="0"/>
                <w:i w:val="0"/>
                <w:color w:val="212121"/>
                <w:sz w:val="16"/>
              </w:rPr>
              <w:t>Grades severity and risk of erosive tooth wear and guides the management level</w:t>
            </w:r>
          </w:p>
        </w:tc>
        <w:tc>
          <w:tcPr>
            <w:tcW w:type="dxa" w:w="1036"/>
            <w:vAlign w:val="top"/>
          </w:tcPr>
          <w:p>
            <w:pPr>
              <w:spacing w:after="40" w:before="0" w:line="259" w:lineRule="auto"/>
            </w:pPr>
            <w:r>
              <w:rPr>
                <w:rFonts w:ascii="Calibri" w:hAnsi="Calibri"/>
                <w:b w:val="0"/>
                <w:i w:val="0"/>
                <w:color w:val="212121"/>
                <w:sz w:val="16"/>
              </w:rPr>
              <w:t>High acid-diet, GERD, occupational-acid, bulimia</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 / severity</w:t>
            </w:r>
          </w:p>
        </w:tc>
        <w:tc>
          <w:tcPr>
            <w:tcW w:type="dxa" w:w="720"/>
            <w:vAlign w:val="top"/>
          </w:tcPr>
          <w:p>
            <w:pPr>
              <w:spacing w:after="40" w:before="0" w:line="259" w:lineRule="auto"/>
            </w:pPr>
            <w:r>
              <w:rPr>
                <w:rFonts w:ascii="Calibri" w:hAnsi="Calibri"/>
                <w:b w:val="0"/>
                <w:i w:val="0"/>
                <w:color w:val="212121"/>
                <w:sz w:val="16"/>
              </w:rPr>
              <w:t>Score the most-affected surface in each sextant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Wear grading</w:t>
            </w:r>
          </w:p>
        </w:tc>
        <w:tc>
          <w:tcPr>
            <w:tcW w:type="dxa" w:w="1036"/>
            <w:vAlign w:val="top"/>
          </w:tcPr>
          <w:p>
            <w:pPr>
              <w:spacing w:after="40" w:before="0" w:line="259" w:lineRule="auto"/>
            </w:pPr>
            <w:r>
              <w:rPr>
                <w:rFonts w:ascii="Calibri" w:hAnsi="Calibri"/>
                <w:b w:val="0"/>
                <w:i w:val="0"/>
                <w:color w:val="212121"/>
                <w:sz w:val="16"/>
              </w:rPr>
              <w:t>Tooth Wear Index (Smith &amp; Knight) / crown-height loss</w:t>
            </w:r>
          </w:p>
        </w:tc>
        <w:tc>
          <w:tcPr>
            <w:tcW w:type="dxa" w:w="892"/>
            <w:vAlign w:val="top"/>
          </w:tcPr>
          <w:p>
            <w:pPr>
              <w:spacing w:after="40" w:before="0" w:line="259" w:lineRule="auto"/>
            </w:pPr>
            <w:r>
              <w:rPr>
                <w:rFonts w:ascii="Calibri" w:hAnsi="Calibri"/>
                <w:b w:val="0"/>
                <w:i w:val="0"/>
                <w:color w:val="212121"/>
                <w:sz w:val="16"/>
              </w:rPr>
              <w:t>TWI</w:t>
            </w:r>
          </w:p>
        </w:tc>
        <w:tc>
          <w:tcPr>
            <w:tcW w:type="dxa" w:w="950"/>
            <w:vAlign w:val="top"/>
          </w:tcPr>
          <w:p>
            <w:pPr>
              <w:spacing w:after="40" w:before="0" w:line="259" w:lineRule="auto"/>
            </w:pPr>
            <w:r>
              <w:rPr>
                <w:rFonts w:ascii="Calibri" w:hAnsi="Calibri"/>
                <w:b w:val="0"/>
                <w:i w:val="0"/>
                <w:color w:val="212121"/>
                <w:sz w:val="16"/>
              </w:rPr>
              <w:t>0 (enamel intact)</w:t>
            </w:r>
          </w:p>
        </w:tc>
        <w:tc>
          <w:tcPr>
            <w:tcW w:type="dxa" w:w="950"/>
            <w:vAlign w:val="top"/>
          </w:tcPr>
          <w:p>
            <w:pPr>
              <w:spacing w:after="40" w:before="0" w:line="259" w:lineRule="auto"/>
            </w:pPr>
            <w:r>
              <w:rPr>
                <w:rFonts w:ascii="Calibri" w:hAnsi="Calibri"/>
                <w:b w:val="0"/>
                <w:i w:val="0"/>
                <w:color w:val="212121"/>
                <w:sz w:val="16"/>
              </w:rPr>
              <w:t>Dentine exposed / loss of clinical crown height</w:t>
            </w:r>
          </w:p>
        </w:tc>
        <w:tc>
          <w:tcPr>
            <w:tcW w:type="dxa" w:w="1036"/>
            <w:vAlign w:val="top"/>
          </w:tcPr>
          <w:p>
            <w:pPr>
              <w:spacing w:after="40" w:before="0" w:line="259" w:lineRule="auto"/>
            </w:pPr>
            <w:r>
              <w:rPr>
                <w:rFonts w:ascii="Calibri" w:hAnsi="Calibri"/>
                <w:b w:val="0"/>
                <w:i w:val="0"/>
                <w:color w:val="212121"/>
                <w:sz w:val="16"/>
              </w:rPr>
              <w:t>Documents extent of wear and, on serial records, its progression</w:t>
            </w:r>
          </w:p>
        </w:tc>
        <w:tc>
          <w:tcPr>
            <w:tcW w:type="dxa" w:w="1036"/>
            <w:vAlign w:val="top"/>
          </w:tcPr>
          <w:p>
            <w:pPr>
              <w:spacing w:after="40" w:before="0" w:line="259" w:lineRule="auto"/>
            </w:pPr>
            <w:r>
              <w:rPr>
                <w:rFonts w:ascii="Calibri" w:hAnsi="Calibri"/>
                <w:b w:val="0"/>
                <w:i w:val="0"/>
                <w:color w:val="212121"/>
                <w:sz w:val="16"/>
              </w:rPr>
              <w:t>Attrition/bruxism, generalised wear</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Serial study casts or intra-oral scans track progression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Sialometry</w:t>
            </w:r>
          </w:p>
        </w:tc>
        <w:tc>
          <w:tcPr>
            <w:tcW w:type="dxa" w:w="1036"/>
            <w:vAlign w:val="top"/>
          </w:tcPr>
          <w:p>
            <w:pPr>
              <w:spacing w:after="40" w:before="0" w:line="259" w:lineRule="auto"/>
            </w:pPr>
            <w:r>
              <w:rPr>
                <w:rFonts w:ascii="Calibri" w:hAnsi="Calibri"/>
                <w:b w:val="0"/>
                <w:i w:val="0"/>
                <w:color w:val="212121"/>
                <w:sz w:val="16"/>
              </w:rPr>
              <w:t>Unstimulated &amp; stimulated salivary flow</w:t>
            </w:r>
          </w:p>
        </w:tc>
        <w:tc>
          <w:tcPr>
            <w:tcW w:type="dxa" w:w="892"/>
            <w:vAlign w:val="top"/>
          </w:tcPr>
          <w:p>
            <w:pPr>
              <w:spacing w:after="40" w:before="0" w:line="259" w:lineRule="auto"/>
            </w:pPr>
            <w:r>
              <w:rPr>
                <w:rFonts w:ascii="Calibri" w:hAnsi="Calibri"/>
                <w:b w:val="0"/>
                <w:i w:val="0"/>
                <w:color w:val="212121"/>
                <w:sz w:val="16"/>
              </w:rPr>
              <w:t>Salivary flow rate</w:t>
            </w:r>
          </w:p>
        </w:tc>
        <w:tc>
          <w:tcPr>
            <w:tcW w:type="dxa" w:w="950"/>
            <w:vAlign w:val="top"/>
          </w:tcPr>
          <w:p>
            <w:pPr>
              <w:spacing w:after="40" w:before="0" w:line="259" w:lineRule="auto"/>
            </w:pPr>
            <w:r>
              <w:rPr>
                <w:rFonts w:ascii="Calibri" w:hAnsi="Calibri"/>
                <w:b w:val="0"/>
                <w:i w:val="0"/>
                <w:color w:val="212121"/>
                <w:sz w:val="16"/>
              </w:rPr>
              <w:t>Unstimulated ≥ 0.3; stimulated ≥ 1.0 mL/min</w:t>
            </w:r>
          </w:p>
        </w:tc>
        <w:tc>
          <w:tcPr>
            <w:tcW w:type="dxa" w:w="950"/>
            <w:vAlign w:val="top"/>
          </w:tcPr>
          <w:p>
            <w:pPr>
              <w:spacing w:after="40" w:before="0" w:line="259" w:lineRule="auto"/>
            </w:pPr>
            <w:r>
              <w:rPr>
                <w:rFonts w:ascii="Calibri" w:hAnsi="Calibri"/>
                <w:b w:val="0"/>
                <w:i w:val="0"/>
                <w:color w:val="212121"/>
                <w:sz w:val="16"/>
              </w:rPr>
              <w:t>Unstimulated &lt; 0.1; stimulated &lt; 0.7 mL/min</w:t>
            </w:r>
          </w:p>
        </w:tc>
        <w:tc>
          <w:tcPr>
            <w:tcW w:type="dxa" w:w="1036"/>
            <w:vAlign w:val="top"/>
          </w:tcPr>
          <w:p>
            <w:pPr>
              <w:spacing w:after="40" w:before="0" w:line="259" w:lineRule="auto"/>
            </w:pPr>
            <w:r>
              <w:rPr>
                <w:rFonts w:ascii="Calibri" w:hAnsi="Calibri"/>
                <w:b w:val="0"/>
                <w:i w:val="0"/>
                <w:color w:val="212121"/>
                <w:sz w:val="16"/>
              </w:rPr>
              <w:t>Hyposalivation reduces acid clearance/buffering, raising erosion and DH risk</w:t>
            </w:r>
          </w:p>
        </w:tc>
        <w:tc>
          <w:tcPr>
            <w:tcW w:type="dxa" w:w="1036"/>
            <w:vAlign w:val="top"/>
          </w:tcPr>
          <w:p>
            <w:pPr>
              <w:spacing w:after="40" w:before="0" w:line="259" w:lineRule="auto"/>
            </w:pPr>
            <w:r>
              <w:rPr>
                <w:rFonts w:ascii="Calibri" w:hAnsi="Calibri"/>
                <w:b w:val="0"/>
                <w:i w:val="0"/>
                <w:color w:val="212121"/>
                <w:sz w:val="16"/>
              </w:rPr>
              <w:t>Xerostomia, Sjögren, diabetics, polypharmacy, elderly</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Measure ≥ 2 h after eating/drinking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Salivary buffering</w:t>
            </w:r>
          </w:p>
        </w:tc>
        <w:tc>
          <w:tcPr>
            <w:tcW w:type="dxa" w:w="1036"/>
            <w:vAlign w:val="top"/>
          </w:tcPr>
          <w:p>
            <w:pPr>
              <w:spacing w:after="40" w:before="0" w:line="259" w:lineRule="auto"/>
            </w:pPr>
            <w:r>
              <w:rPr>
                <w:rFonts w:ascii="Calibri" w:hAnsi="Calibri"/>
                <w:b w:val="0"/>
                <w:i w:val="0"/>
                <w:color w:val="212121"/>
                <w:sz w:val="16"/>
              </w:rPr>
              <w:t>Buffering capacity / resting pH</w:t>
            </w:r>
          </w:p>
        </w:tc>
        <w:tc>
          <w:tcPr>
            <w:tcW w:type="dxa" w:w="892"/>
            <w:vAlign w:val="top"/>
          </w:tcPr>
          <w:p>
            <w:pPr>
              <w:spacing w:after="40" w:before="0" w:line="259" w:lineRule="auto"/>
            </w:pPr>
            <w:r>
              <w:rPr>
                <w:rFonts w:ascii="Calibri" w:hAnsi="Calibri"/>
                <w:b w:val="0"/>
                <w:i w:val="0"/>
                <w:color w:val="212121"/>
                <w:sz w:val="16"/>
              </w:rPr>
              <w:t>Buffer test (e.g., CRT buffer)</w:t>
            </w:r>
          </w:p>
        </w:tc>
        <w:tc>
          <w:tcPr>
            <w:tcW w:type="dxa" w:w="950"/>
            <w:vAlign w:val="top"/>
          </w:tcPr>
          <w:p>
            <w:pPr>
              <w:spacing w:after="40" w:before="0" w:line="259" w:lineRule="auto"/>
            </w:pPr>
            <w:r>
              <w:rPr>
                <w:rFonts w:ascii="Calibri" w:hAnsi="Calibri"/>
                <w:b w:val="0"/>
                <w:i w:val="0"/>
                <w:color w:val="212121"/>
                <w:sz w:val="16"/>
              </w:rPr>
              <w:t>High buffering (pH ~6–7)</w:t>
            </w:r>
          </w:p>
        </w:tc>
        <w:tc>
          <w:tcPr>
            <w:tcW w:type="dxa" w:w="950"/>
            <w:vAlign w:val="top"/>
          </w:tcPr>
          <w:p>
            <w:pPr>
              <w:spacing w:after="40" w:before="0" w:line="259" w:lineRule="auto"/>
            </w:pPr>
            <w:r>
              <w:rPr>
                <w:rFonts w:ascii="Calibri" w:hAnsi="Calibri"/>
                <w:b w:val="0"/>
                <w:i w:val="0"/>
                <w:color w:val="212121"/>
                <w:sz w:val="16"/>
              </w:rPr>
              <w:t>Low buffering / low resting pH</w:t>
            </w:r>
          </w:p>
        </w:tc>
        <w:tc>
          <w:tcPr>
            <w:tcW w:type="dxa" w:w="1036"/>
            <w:vAlign w:val="top"/>
          </w:tcPr>
          <w:p>
            <w:pPr>
              <w:spacing w:after="40" w:before="0" w:line="259" w:lineRule="auto"/>
            </w:pPr>
            <w:r>
              <w:rPr>
                <w:rFonts w:ascii="Calibri" w:hAnsi="Calibri"/>
                <w:b w:val="0"/>
                <w:i w:val="0"/>
                <w:color w:val="212121"/>
                <w:sz w:val="16"/>
              </w:rPr>
              <w:t>Poor buffering predisposes to erosive demineralisation</w:t>
            </w:r>
          </w:p>
        </w:tc>
        <w:tc>
          <w:tcPr>
            <w:tcW w:type="dxa" w:w="1036"/>
            <w:vAlign w:val="top"/>
          </w:tcPr>
          <w:p>
            <w:pPr>
              <w:spacing w:after="40" w:before="0" w:line="259" w:lineRule="auto"/>
            </w:pPr>
            <w:r>
              <w:rPr>
                <w:rFonts w:ascii="Calibri" w:hAnsi="Calibri"/>
                <w:b w:val="0"/>
                <w:i w:val="0"/>
                <w:color w:val="212121"/>
                <w:sz w:val="16"/>
              </w:rPr>
              <w:t>High acid-diet, GERD, xerostomia</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Complements salivary flow-rate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Gastro-oesophageal (referral)</w:t>
            </w:r>
          </w:p>
        </w:tc>
        <w:tc>
          <w:tcPr>
            <w:tcW w:type="dxa" w:w="1036"/>
            <w:vAlign w:val="top"/>
          </w:tcPr>
          <w:p>
            <w:pPr>
              <w:spacing w:after="40" w:before="0" w:line="259" w:lineRule="auto"/>
            </w:pPr>
            <w:r>
              <w:rPr>
                <w:rFonts w:ascii="Calibri" w:hAnsi="Calibri"/>
                <w:b w:val="0"/>
                <w:i w:val="0"/>
                <w:color w:val="212121"/>
                <w:sz w:val="16"/>
              </w:rPr>
              <w:t>24-h ambulatory oesophageal pH-impedance / DeMeester score</w:t>
            </w:r>
          </w:p>
        </w:tc>
        <w:tc>
          <w:tcPr>
            <w:tcW w:type="dxa" w:w="892"/>
            <w:vAlign w:val="top"/>
          </w:tcPr>
          <w:p>
            <w:pPr>
              <w:spacing w:after="40" w:before="0" w:line="259" w:lineRule="auto"/>
            </w:pPr>
            <w:r>
              <w:rPr>
                <w:rFonts w:ascii="Calibri" w:hAnsi="Calibri"/>
                <w:b w:val="0"/>
                <w:i w:val="0"/>
                <w:color w:val="212121"/>
                <w:sz w:val="16"/>
              </w:rPr>
              <w:t>Oesophageal pH-metry</w:t>
            </w:r>
          </w:p>
        </w:tc>
        <w:tc>
          <w:tcPr>
            <w:tcW w:type="dxa" w:w="950"/>
            <w:vAlign w:val="top"/>
          </w:tcPr>
          <w:p>
            <w:pPr>
              <w:spacing w:after="40" w:before="0" w:line="259" w:lineRule="auto"/>
            </w:pPr>
            <w:r>
              <w:rPr>
                <w:rFonts w:ascii="Calibri" w:hAnsi="Calibri"/>
                <w:b w:val="0"/>
                <w:i w:val="0"/>
                <w:color w:val="212121"/>
                <w:sz w:val="16"/>
              </w:rPr>
              <w:t>DeMeester &lt; 14.7; acid-exposure time &lt; 4%</w:t>
            </w:r>
          </w:p>
        </w:tc>
        <w:tc>
          <w:tcPr>
            <w:tcW w:type="dxa" w:w="950"/>
            <w:vAlign w:val="top"/>
          </w:tcPr>
          <w:p>
            <w:pPr>
              <w:spacing w:after="40" w:before="0" w:line="259" w:lineRule="auto"/>
            </w:pPr>
            <w:r>
              <w:rPr>
                <w:rFonts w:ascii="Calibri" w:hAnsi="Calibri"/>
                <w:b w:val="0"/>
                <w:i w:val="0"/>
                <w:color w:val="212121"/>
                <w:sz w:val="16"/>
              </w:rPr>
              <w:t>Elevated acid exposure time</w:t>
            </w:r>
          </w:p>
        </w:tc>
        <w:tc>
          <w:tcPr>
            <w:tcW w:type="dxa" w:w="1036"/>
            <w:vAlign w:val="top"/>
          </w:tcPr>
          <w:p>
            <w:pPr>
              <w:spacing w:after="40" w:before="0" w:line="259" w:lineRule="auto"/>
            </w:pPr>
            <w:r>
              <w:rPr>
                <w:rFonts w:ascii="Calibri" w:hAnsi="Calibri"/>
                <w:b w:val="0"/>
                <w:i w:val="0"/>
                <w:color w:val="212121"/>
                <w:sz w:val="16"/>
              </w:rPr>
              <w:t>Confirms pathological reflux underlying intrinsic (palatal) erosion — refer to gastroenterology</w:t>
            </w:r>
          </w:p>
        </w:tc>
        <w:tc>
          <w:tcPr>
            <w:tcW w:type="dxa" w:w="1036"/>
            <w:vAlign w:val="top"/>
          </w:tcPr>
          <w:p>
            <w:pPr>
              <w:spacing w:after="40" w:before="0" w:line="259" w:lineRule="auto"/>
            </w:pPr>
            <w:r>
              <w:rPr>
                <w:rFonts w:ascii="Calibri" w:hAnsi="Calibri"/>
                <w:b w:val="0"/>
                <w:i w:val="0"/>
                <w:color w:val="212121"/>
                <w:sz w:val="16"/>
              </w:rPr>
              <w:t>Perimylolysis pattern, unexplained intrinsic wear, reflux symptoms</w:t>
            </w:r>
          </w:p>
        </w:tc>
        <w:tc>
          <w:tcPr>
            <w:tcW w:type="dxa" w:w="720"/>
            <w:vAlign w:val="top"/>
          </w:tcPr>
          <w:p>
            <w:pPr>
              <w:spacing w:after="40" w:before="0" w:line="259" w:lineRule="auto"/>
            </w:pPr>
            <w:r>
              <w:rPr>
                <w:rFonts w:ascii="Calibri" w:hAnsi="Calibri"/>
                <w:b w:val="0"/>
                <w:i w:val="0"/>
                <w:color w:val="212121"/>
                <w:sz w:val="16"/>
              </w:rPr>
              <w:t>Food; Posture</w:t>
            </w:r>
          </w:p>
        </w:tc>
        <w:tc>
          <w:tcPr>
            <w:tcW w:type="dxa" w:w="720"/>
            <w:vAlign w:val="top"/>
          </w:tcPr>
          <w:p>
            <w:pPr>
              <w:spacing w:after="40" w:before="0" w:line="259" w:lineRule="auto"/>
            </w:pPr>
            <w:r>
              <w:rPr>
                <w:rFonts w:ascii="Calibri" w:hAnsi="Calibri"/>
                <w:b w:val="0"/>
                <w:i w:val="0"/>
                <w:color w:val="212121"/>
                <w:sz w:val="16"/>
              </w:rPr>
              <w:t>Confirm / refer</w:t>
            </w:r>
          </w:p>
        </w:tc>
        <w:tc>
          <w:tcPr>
            <w:tcW w:type="dxa" w:w="720"/>
            <w:vAlign w:val="top"/>
          </w:tcPr>
          <w:p>
            <w:pPr>
              <w:spacing w:after="40" w:before="0" w:line="259" w:lineRule="auto"/>
            </w:pPr>
            <w:r>
              <w:rPr>
                <w:rFonts w:ascii="Calibri" w:hAnsi="Calibri"/>
                <w:b w:val="0"/>
                <w:i w:val="0"/>
                <w:color w:val="212121"/>
                <w:sz w:val="16"/>
              </w:rPr>
              <w:t>Indicated when intrinsic acid erosion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Short, sharp pain to cold/sweet/air; teeth look worn or short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Characteristic stimulus-evoked pain and/or visible surface loss</w:t>
            </w:r>
          </w:p>
        </w:tc>
        <w:tc>
          <w:tcPr>
            <w:tcW w:type="dxa" w:w="1036"/>
            <w:vAlign w:val="top"/>
          </w:tcPr>
          <w:p>
            <w:pPr>
              <w:spacing w:after="40" w:before="0" w:line="259" w:lineRule="auto"/>
            </w:pPr>
            <w:r>
              <w:rPr>
                <w:rFonts w:ascii="Calibri" w:hAnsi="Calibri"/>
                <w:b w:val="0"/>
                <w:i w:val="0"/>
                <w:color w:val="212121"/>
                <w:sz w:val="16"/>
              </w:rPr>
              <w:t>Points to dentine hypersensitivity and/or tooth surface loss</w:t>
            </w:r>
          </w:p>
        </w:tc>
        <w:tc>
          <w:tcPr>
            <w:tcW w:type="dxa" w:w="1036"/>
            <w:vAlign w:val="top"/>
          </w:tcPr>
          <w:p>
            <w:pPr>
              <w:spacing w:after="40" w:before="0" w:line="259" w:lineRule="auto"/>
            </w:pPr>
            <w:r>
              <w:rPr>
                <w:rFonts w:ascii="Calibri" w:hAnsi="Calibri"/>
                <w:b w:val="0"/>
                <w:i w:val="0"/>
                <w:color w:val="212121"/>
                <w:sz w:val="16"/>
              </w:rPr>
              <w:t>Adults, adolescents, recession, bruxers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 subsides on stimulus removal (unlike lingering pulpitis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Type, frequency, timing and mode of acid intake</w:t>
            </w:r>
          </w:p>
        </w:tc>
        <w:tc>
          <w:tcPr>
            <w:tcW w:type="dxa" w:w="950"/>
            <w:vAlign w:val="top"/>
          </w:tcPr>
          <w:p>
            <w:pPr>
              <w:spacing w:after="40" w:before="0" w:line="259" w:lineRule="auto"/>
            </w:pPr>
            <w:r>
              <w:rPr>
                <w:rFonts w:ascii="Calibri" w:hAnsi="Calibri"/>
                <w:b w:val="0"/>
                <w:i w:val="0"/>
                <w:color w:val="212121"/>
                <w:sz w:val="16"/>
              </w:rPr>
              <w:t>Infrequent, taken with meals</w:t>
            </w:r>
          </w:p>
        </w:tc>
        <w:tc>
          <w:tcPr>
            <w:tcW w:type="dxa" w:w="950"/>
            <w:vAlign w:val="top"/>
          </w:tcPr>
          <w:p>
            <w:pPr>
              <w:spacing w:after="40" w:before="0" w:line="259" w:lineRule="auto"/>
            </w:pPr>
            <w:r>
              <w:rPr>
                <w:rFonts w:ascii="Calibri" w:hAnsi="Calibri"/>
                <w:b w:val="0"/>
                <w:i w:val="0"/>
                <w:color w:val="212121"/>
                <w:sz w:val="16"/>
              </w:rPr>
              <w:t>Frequent sipping/swishing; ≥ 4 acid exposures/day</w:t>
            </w:r>
          </w:p>
        </w:tc>
        <w:tc>
          <w:tcPr>
            <w:tcW w:type="dxa" w:w="1036"/>
            <w:vAlign w:val="top"/>
          </w:tcPr>
          <w:p>
            <w:pPr>
              <w:spacing w:after="40" w:before="0" w:line="259" w:lineRule="auto"/>
            </w:pPr>
            <w:r>
              <w:rPr>
                <w:rFonts w:ascii="Calibri" w:hAnsi="Calibri"/>
                <w:b w:val="0"/>
                <w:i w:val="0"/>
                <w:color w:val="212121"/>
                <w:sz w:val="16"/>
              </w:rPr>
              <w:t>Identifies the extrinsic erosive challenge</w:t>
            </w:r>
          </w:p>
        </w:tc>
        <w:tc>
          <w:tcPr>
            <w:tcW w:type="dxa" w:w="1036"/>
            <w:vAlign w:val="top"/>
          </w:tcPr>
          <w:p>
            <w:pPr>
              <w:spacing w:after="40" w:before="0" w:line="259" w:lineRule="auto"/>
            </w:pPr>
            <w:r>
              <w:rPr>
                <w:rFonts w:ascii="Calibri" w:hAnsi="Calibri"/>
                <w:b w:val="0"/>
                <w:i w:val="0"/>
                <w:color w:val="212121"/>
                <w:sz w:val="16"/>
              </w:rPr>
              <w:t>Aerated/energy-drink users, citrus/tamarind eaters, swimmers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Causal</w:t>
            </w:r>
          </w:p>
        </w:tc>
        <w:tc>
          <w:tcPr>
            <w:tcW w:type="dxa" w:w="720"/>
            <w:vAlign w:val="top"/>
          </w:tcPr>
          <w:p>
            <w:pPr>
              <w:spacing w:after="40" w:before="0" w:line="259" w:lineRule="auto"/>
            </w:pPr>
            <w:r>
              <w:rPr>
                <w:rFonts w:ascii="Calibri" w:hAnsi="Calibri"/>
                <w:b w:val="0"/>
                <w:i w:val="0"/>
                <w:color w:val="212121"/>
                <w:sz w:val="16"/>
              </w:rPr>
              <w:t>A 4-day diet diary quantifies exposures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 behavioural history</w:t>
            </w:r>
          </w:p>
        </w:tc>
        <w:tc>
          <w:tcPr>
            <w:tcW w:type="dxa" w:w="979"/>
            <w:vAlign w:val="top"/>
          </w:tcPr>
          <w:p>
            <w:pPr>
              <w:spacing w:after="40" w:before="0" w:line="259" w:lineRule="auto"/>
            </w:pPr>
            <w:r>
              <w:rPr>
                <w:rFonts w:ascii="Calibri" w:hAnsi="Calibri"/>
                <w:b w:val="0"/>
                <w:i w:val="0"/>
                <w:color w:val="212121"/>
                <w:sz w:val="16"/>
              </w:rPr>
              <w:t>Reflux, vomiting, eating disorder, rumination, xerostomic/acidic drugs, occupation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Identifies intrinsic acid sources and risk modifiers</w:t>
            </w:r>
          </w:p>
        </w:tc>
        <w:tc>
          <w:tcPr>
            <w:tcW w:type="dxa" w:w="1036"/>
            <w:vAlign w:val="top"/>
          </w:tcPr>
          <w:p>
            <w:pPr>
              <w:spacing w:after="40" w:before="0" w:line="259" w:lineRule="auto"/>
            </w:pPr>
            <w:r>
              <w:rPr>
                <w:rFonts w:ascii="Calibri" w:hAnsi="Calibri"/>
                <w:b w:val="0"/>
                <w:i w:val="0"/>
                <w:color w:val="212121"/>
                <w:sz w:val="16"/>
              </w:rPr>
              <w:t>GERD, bulimia, pregnancy, acid-industry workers</w:t>
            </w:r>
          </w:p>
        </w:tc>
        <w:tc>
          <w:tcPr>
            <w:tcW w:type="dxa" w:w="720"/>
            <w:vAlign w:val="top"/>
          </w:tcPr>
          <w:p>
            <w:pPr>
              <w:spacing w:after="40" w:before="0" w:line="259" w:lineRule="auto"/>
            </w:pPr>
            <w:r>
              <w:rPr>
                <w:rFonts w:ascii="Calibri" w:hAnsi="Calibri"/>
                <w:b w:val="0"/>
                <w:i w:val="0"/>
                <w:color w:val="212121"/>
                <w:sz w:val="16"/>
              </w:rPr>
              <w:t>Food; Mental health; Posture</w:t>
            </w:r>
          </w:p>
        </w:tc>
        <w:tc>
          <w:tcPr>
            <w:tcW w:type="dxa" w:w="720"/>
            <w:vAlign w:val="top"/>
          </w:tcPr>
          <w:p>
            <w:pPr>
              <w:spacing w:after="40" w:before="0" w:line="259" w:lineRule="auto"/>
            </w:pPr>
            <w:r>
              <w:rPr>
                <w:rFonts w:ascii="Calibri" w:hAnsi="Calibri"/>
                <w:b w:val="0"/>
                <w:i w:val="0"/>
                <w:color w:val="212121"/>
                <w:sz w:val="16"/>
              </w:rPr>
              <w:t>Causal</w:t>
            </w:r>
          </w:p>
        </w:tc>
        <w:tc>
          <w:tcPr>
            <w:tcW w:type="dxa" w:w="720"/>
            <w:vAlign w:val="top"/>
          </w:tcPr>
          <w:p>
            <w:pPr>
              <w:spacing w:after="40" w:before="0" w:line="259" w:lineRule="auto"/>
            </w:pPr>
            <w:r>
              <w:rPr>
                <w:rFonts w:ascii="Calibri" w:hAnsi="Calibri"/>
                <w:b w:val="0"/>
                <w:i w:val="0"/>
                <w:color w:val="212121"/>
                <w:sz w:val="16"/>
              </w:rPr>
              <w:t>Enquire sensitively about self-induced vomiting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Habit history</w:t>
            </w:r>
          </w:p>
        </w:tc>
        <w:tc>
          <w:tcPr>
            <w:tcW w:type="dxa" w:w="979"/>
            <w:vAlign w:val="top"/>
          </w:tcPr>
          <w:p>
            <w:pPr>
              <w:spacing w:after="40" w:before="0" w:line="259" w:lineRule="auto"/>
            </w:pPr>
            <w:r>
              <w:rPr>
                <w:rFonts w:ascii="Calibri" w:hAnsi="Calibri"/>
                <w:b w:val="0"/>
                <w:i w:val="0"/>
                <w:color w:val="212121"/>
                <w:sz w:val="16"/>
              </w:rPr>
              <w:t>Bruxism/clenching; tobacco/areca chewing; brushing technique/force/bristle/dentifrice</w:t>
            </w:r>
          </w:p>
        </w:tc>
        <w:tc>
          <w:tcPr>
            <w:tcW w:type="dxa" w:w="950"/>
            <w:vAlign w:val="top"/>
          </w:tcPr>
          <w:p>
            <w:pPr>
              <w:spacing w:after="40" w:before="0" w:line="259" w:lineRule="auto"/>
            </w:pPr>
            <w:r>
              <w:rPr>
                <w:rFonts w:ascii="Calibri" w:hAnsi="Calibri"/>
                <w:b w:val="0"/>
                <w:i w:val="0"/>
                <w:color w:val="212121"/>
                <w:sz w:val="16"/>
              </w:rPr>
              <w:t>Gentle soft-brush, low-abrasive paste, no parafunction</w:t>
            </w:r>
          </w:p>
        </w:tc>
        <w:tc>
          <w:tcPr>
            <w:tcW w:type="dxa" w:w="950"/>
            <w:vAlign w:val="top"/>
          </w:tcPr>
          <w:p>
            <w:pPr>
              <w:spacing w:after="40" w:before="0" w:line="259" w:lineRule="auto"/>
            </w:pPr>
            <w:r>
              <w:rPr>
                <w:rFonts w:ascii="Calibri" w:hAnsi="Calibri"/>
                <w:b w:val="0"/>
                <w:i w:val="0"/>
                <w:color w:val="212121"/>
                <w:sz w:val="16"/>
              </w:rPr>
              <w:t>Horizontal hard-brush scrubbing, abrasive powders, clenching/grinding</w:t>
            </w:r>
          </w:p>
        </w:tc>
        <w:tc>
          <w:tcPr>
            <w:tcW w:type="dxa" w:w="1036"/>
            <w:vAlign w:val="top"/>
          </w:tcPr>
          <w:p>
            <w:pPr>
              <w:spacing w:after="40" w:before="0" w:line="259" w:lineRule="auto"/>
            </w:pPr>
            <w:r>
              <w:rPr>
                <w:rFonts w:ascii="Calibri" w:hAnsi="Calibri"/>
                <w:b w:val="0"/>
                <w:i w:val="0"/>
                <w:color w:val="212121"/>
                <w:sz w:val="16"/>
              </w:rPr>
              <w:t>Identifies mechanical (attrition/abrasion) causes</w:t>
            </w:r>
          </w:p>
        </w:tc>
        <w:tc>
          <w:tcPr>
            <w:tcW w:type="dxa" w:w="1036"/>
            <w:vAlign w:val="top"/>
          </w:tcPr>
          <w:p>
            <w:pPr>
              <w:spacing w:after="40" w:before="0" w:line="259" w:lineRule="auto"/>
            </w:pPr>
            <w:r>
              <w:rPr>
                <w:rFonts w:ascii="Calibri" w:hAnsi="Calibri"/>
                <w:b w:val="0"/>
                <w:i w:val="0"/>
                <w:color w:val="212121"/>
                <w:sz w:val="16"/>
              </w:rPr>
              <w:t>Bruxers, vigorous brushers, tobacco/areca chewers</w:t>
            </w:r>
          </w:p>
        </w:tc>
        <w:tc>
          <w:tcPr>
            <w:tcW w:type="dxa" w:w="720"/>
            <w:vAlign w:val="top"/>
          </w:tcPr>
          <w:p>
            <w:pPr>
              <w:spacing w:after="40" w:before="0" w:line="259" w:lineRule="auto"/>
            </w:pPr>
            <w:r>
              <w:rPr>
                <w:rFonts w:ascii="Calibri" w:hAnsi="Calibri"/>
                <w:b w:val="0"/>
                <w:i w:val="0"/>
                <w:color w:val="212121"/>
                <w:sz w:val="16"/>
              </w:rPr>
              <w:t>Hygiene; Smoking; Sleep</w:t>
            </w:r>
          </w:p>
        </w:tc>
        <w:tc>
          <w:tcPr>
            <w:tcW w:type="dxa" w:w="720"/>
            <w:vAlign w:val="top"/>
          </w:tcPr>
          <w:p>
            <w:pPr>
              <w:spacing w:after="40" w:before="0" w:line="259" w:lineRule="auto"/>
            </w:pPr>
            <w:r>
              <w:rPr>
                <w:rFonts w:ascii="Calibri" w:hAnsi="Calibri"/>
                <w:b w:val="0"/>
                <w:i w:val="0"/>
                <w:color w:val="212121"/>
                <w:sz w:val="16"/>
              </w:rPr>
              <w:t>Causal</w:t>
            </w:r>
          </w:p>
        </w:tc>
        <w:tc>
          <w:tcPr>
            <w:tcW w:type="dxa" w:w="720"/>
            <w:vAlign w:val="top"/>
          </w:tcPr>
          <w:p>
            <w:pPr>
              <w:spacing w:after="40" w:before="0" w:line="259" w:lineRule="auto"/>
            </w:pPr>
            <w:r>
              <w:rPr>
                <w:rFonts w:ascii="Calibri" w:hAnsi="Calibri"/>
                <w:b w:val="0"/>
                <w:i w:val="0"/>
                <w:color w:val="212121"/>
                <w:sz w:val="16"/>
              </w:rPr>
              <w:t>Inspect the patient’s toothbrush for bristle splaying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Wear-pattern inspection</w:t>
            </w:r>
          </w:p>
        </w:tc>
        <w:tc>
          <w:tcPr>
            <w:tcW w:type="dxa" w:w="979"/>
            <w:vAlign w:val="top"/>
          </w:tcPr>
          <w:p>
            <w:pPr>
              <w:spacing w:after="40" w:before="0" w:line="259" w:lineRule="auto"/>
            </w:pPr>
            <w:r>
              <w:rPr>
                <w:rFonts w:ascii="Calibri" w:hAnsi="Calibri"/>
                <w:b w:val="0"/>
                <w:i w:val="0"/>
                <w:color w:val="212121"/>
                <w:sz w:val="16"/>
              </w:rPr>
              <w:t>Cupping/grooving &amp; glazed concavities; matching facets; V-shaped cervical notches; palatal perimylolysis</w:t>
            </w:r>
          </w:p>
        </w:tc>
        <w:tc>
          <w:tcPr>
            <w:tcW w:type="dxa" w:w="950"/>
            <w:vAlign w:val="top"/>
          </w:tcPr>
          <w:p>
            <w:pPr>
              <w:spacing w:after="40" w:before="0" w:line="259" w:lineRule="auto"/>
            </w:pPr>
            <w:r>
              <w:rPr>
                <w:rFonts w:ascii="Calibri" w:hAnsi="Calibri"/>
                <w:b w:val="0"/>
                <w:i w:val="0"/>
                <w:color w:val="212121"/>
                <w:sz w:val="16"/>
              </w:rPr>
              <w:t>Intact enamel anatomy</w:t>
            </w:r>
          </w:p>
        </w:tc>
        <w:tc>
          <w:tcPr>
            <w:tcW w:type="dxa" w:w="950"/>
            <w:vAlign w:val="top"/>
          </w:tcPr>
          <w:p>
            <w:pPr>
              <w:spacing w:after="40" w:before="0" w:line="259" w:lineRule="auto"/>
            </w:pPr>
            <w:r>
              <w:rPr>
                <w:rFonts w:ascii="Calibri" w:hAnsi="Calibri"/>
                <w:b w:val="0"/>
                <w:i w:val="0"/>
                <w:color w:val="212121"/>
                <w:sz w:val="16"/>
              </w:rPr>
              <w:t>Pattern-specific surface loss</w:t>
            </w:r>
          </w:p>
        </w:tc>
        <w:tc>
          <w:tcPr>
            <w:tcW w:type="dxa" w:w="1036"/>
            <w:vAlign w:val="top"/>
          </w:tcPr>
          <w:p>
            <w:pPr>
              <w:spacing w:after="40" w:before="0" w:line="259" w:lineRule="auto"/>
            </w:pPr>
            <w:r>
              <w:rPr>
                <w:rFonts w:ascii="Calibri" w:hAnsi="Calibri"/>
                <w:b w:val="0"/>
                <w:i w:val="0"/>
                <w:color w:val="212121"/>
                <w:sz w:val="16"/>
              </w:rPr>
              <w:t>Distinguishes erosion vs attrition vs abrasion (often combined)</w:t>
            </w:r>
          </w:p>
        </w:tc>
        <w:tc>
          <w:tcPr>
            <w:tcW w:type="dxa" w:w="1036"/>
            <w:vAlign w:val="top"/>
          </w:tcPr>
          <w:p>
            <w:pPr>
              <w:spacing w:after="40" w:before="0" w:line="259" w:lineRule="auto"/>
            </w:pPr>
            <w:r>
              <w:rPr>
                <w:rFonts w:ascii="Calibri" w:hAnsi="Calibri"/>
                <w:b w:val="0"/>
                <w:i w:val="0"/>
                <w:color w:val="212121"/>
                <w:sz w:val="16"/>
              </w:rPr>
              <w:t>All tooth-wear patients</w:t>
            </w:r>
          </w:p>
        </w:tc>
        <w:tc>
          <w:tcPr>
            <w:tcW w:type="dxa" w:w="720"/>
            <w:vAlign w:val="top"/>
          </w:tcPr>
          <w:p>
            <w:pPr>
              <w:spacing w:after="40" w:before="0" w:line="259" w:lineRule="auto"/>
            </w:pPr>
            <w:r>
              <w:rPr>
                <w:rFonts w:ascii="Calibri" w:hAnsi="Calibri"/>
                <w:b w:val="0"/>
                <w:i w:val="0"/>
                <w:color w:val="212121"/>
                <w:sz w:val="16"/>
              </w:rPr>
              <w:t>Food; Sleep;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Restorations standing proud of the surface indicate active erosion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tests</w:t>
            </w:r>
          </w:p>
        </w:tc>
        <w:tc>
          <w:tcPr>
            <w:tcW w:type="dxa" w:w="950"/>
            <w:vAlign w:val="top"/>
          </w:tcPr>
          <w:p>
            <w:pPr>
              <w:spacing w:after="40" w:before="0" w:line="259" w:lineRule="auto"/>
            </w:pPr>
            <w:r>
              <w:rPr>
                <w:rFonts w:ascii="Calibri" w:hAnsi="Calibri"/>
                <w:b w:val="0"/>
                <w:i w:val="0"/>
                <w:color w:val="212121"/>
                <w:sz w:val="16"/>
              </w:rPr>
              <w:t>Vitality &amp; exclusion</w:t>
            </w:r>
          </w:p>
        </w:tc>
        <w:tc>
          <w:tcPr>
            <w:tcW w:type="dxa" w:w="979"/>
            <w:vAlign w:val="top"/>
          </w:tcPr>
          <w:p>
            <w:pPr>
              <w:spacing w:after="40" w:before="0" w:line="259" w:lineRule="auto"/>
            </w:pPr>
            <w:r>
              <w:rPr>
                <w:rFonts w:ascii="Calibri" w:hAnsi="Calibri"/>
                <w:b w:val="0"/>
                <w:i w:val="0"/>
                <w:color w:val="212121"/>
                <w:sz w:val="16"/>
              </w:rPr>
              <w:t>Thermal/electric pulp test, percussion, transillumination, radiographs</w:t>
            </w:r>
          </w:p>
        </w:tc>
        <w:tc>
          <w:tcPr>
            <w:tcW w:type="dxa" w:w="950"/>
            <w:vAlign w:val="top"/>
          </w:tcPr>
          <w:p>
            <w:pPr>
              <w:spacing w:after="40" w:before="0" w:line="259" w:lineRule="auto"/>
            </w:pPr>
            <w:r>
              <w:rPr>
                <w:rFonts w:ascii="Calibri" w:hAnsi="Calibri"/>
                <w:b w:val="0"/>
                <w:i w:val="0"/>
                <w:color w:val="212121"/>
                <w:sz w:val="16"/>
              </w:rPr>
              <w:t>Vital; no caries, crack or periapical lesion</w:t>
            </w:r>
          </w:p>
        </w:tc>
        <w:tc>
          <w:tcPr>
            <w:tcW w:type="dxa" w:w="950"/>
            <w:vAlign w:val="top"/>
          </w:tcPr>
          <w:p>
            <w:pPr>
              <w:spacing w:after="40" w:before="0" w:line="259" w:lineRule="auto"/>
            </w:pPr>
            <w:r>
              <w:rPr>
                <w:rFonts w:ascii="Calibri" w:hAnsi="Calibri"/>
                <w:b w:val="0"/>
                <w:i w:val="0"/>
                <w:color w:val="212121"/>
                <w:sz w:val="16"/>
              </w:rPr>
              <w:t>Non-vital, caries, cracked tooth or periapical pathology</w:t>
            </w:r>
          </w:p>
        </w:tc>
        <w:tc>
          <w:tcPr>
            <w:tcW w:type="dxa" w:w="1036"/>
            <w:vAlign w:val="top"/>
          </w:tcPr>
          <w:p>
            <w:pPr>
              <w:spacing w:after="40" w:before="0" w:line="259" w:lineRule="auto"/>
            </w:pPr>
            <w:r>
              <w:rPr>
                <w:rFonts w:ascii="Calibri" w:hAnsi="Calibri"/>
                <w:b w:val="0"/>
                <w:i w:val="0"/>
                <w:color w:val="212121"/>
                <w:sz w:val="16"/>
              </w:rPr>
              <w:t>Excludes other causes — dentine hypersensitivity is a diagnosis of exclusion</w:t>
            </w:r>
          </w:p>
        </w:tc>
        <w:tc>
          <w:tcPr>
            <w:tcW w:type="dxa" w:w="1036"/>
            <w:vAlign w:val="top"/>
          </w:tcPr>
          <w:p>
            <w:pPr>
              <w:spacing w:after="40" w:before="0" w:line="259" w:lineRule="auto"/>
            </w:pPr>
            <w:r>
              <w:rPr>
                <w:rFonts w:ascii="Calibri" w:hAnsi="Calibri"/>
                <w:b w:val="0"/>
                <w:i w:val="0"/>
                <w:color w:val="212121"/>
                <w:sz w:val="16"/>
              </w:rPr>
              <w:t>Any tooth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Rules out pulpitis, caries and cracked-tooth syndrome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Short, sharp pain to cold (thermal)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dentine hypersensitivity; brief pain to cold food, drink or air that stops when the stimulus is removed.</w:t>
            </w:r>
          </w:p>
        </w:tc>
      </w:tr>
      <w:tr>
        <w:trPr>
          <w:cantSplit/>
        </w:trPr>
        <w:tc>
          <w:tcPr>
            <w:tcW w:type="dxa" w:w="2304"/>
            <w:vAlign w:val="top"/>
          </w:tcPr>
          <w:p>
            <w:pPr>
              <w:spacing w:after="40" w:before="0" w:line="259" w:lineRule="auto"/>
            </w:pPr>
            <w:r>
              <w:rPr>
                <w:rFonts w:ascii="Calibri" w:hAnsi="Calibri"/>
                <w:b/>
                <w:i w:val="0"/>
                <w:color w:val="212121"/>
                <w:sz w:val="19"/>
              </w:rPr>
              <w:t>Pain to sweet or sour foods (osmotic/chemical)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Osmotic and acidic stimuli draw fluid through exposed tubules, provoking a sharp twinge.</w:t>
            </w:r>
          </w:p>
        </w:tc>
      </w:tr>
      <w:tr>
        <w:trPr>
          <w:cantSplit/>
        </w:trPr>
        <w:tc>
          <w:tcPr>
            <w:tcW w:type="dxa" w:w="2304"/>
            <w:vAlign w:val="top"/>
          </w:tcPr>
          <w:p>
            <w:pPr>
              <w:spacing w:after="40" w:before="0" w:line="259" w:lineRule="auto"/>
            </w:pPr>
            <w:r>
              <w:rPr>
                <w:rFonts w:ascii="Calibri" w:hAnsi="Calibri"/>
                <w:b/>
                <w:i w:val="0"/>
                <w:color w:val="212121"/>
                <w:sz w:val="19"/>
              </w:rPr>
              <w:t>Pain to cold air (evaporative)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Triggered by breathing cold air, mouth-breathing in winter, or the dental air syringe.</w:t>
            </w:r>
          </w:p>
        </w:tc>
      </w:tr>
      <w:tr>
        <w:trPr>
          <w:cantSplit/>
        </w:trPr>
        <w:tc>
          <w:tcPr>
            <w:tcW w:type="dxa" w:w="2304"/>
            <w:vAlign w:val="top"/>
          </w:tcPr>
          <w:p>
            <w:pPr>
              <w:spacing w:after="40" w:before="0" w:line="259" w:lineRule="auto"/>
            </w:pPr>
            <w:r>
              <w:rPr>
                <w:rFonts w:ascii="Calibri" w:hAnsi="Calibri"/>
                <w:b/>
                <w:i w:val="0"/>
                <w:color w:val="212121"/>
                <w:sz w:val="19"/>
              </w:rPr>
              <w:t>Pain to tactile contact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toothbrush, fingernail or probe touching exposed dentine elicits pain.</w:t>
            </w:r>
          </w:p>
        </w:tc>
      </w:tr>
      <w:tr>
        <w:trPr>
          <w:cantSplit/>
        </w:trPr>
        <w:tc>
          <w:tcPr>
            <w:tcW w:type="dxa" w:w="2304"/>
            <w:vAlign w:val="top"/>
          </w:tcPr>
          <w:p>
            <w:pPr>
              <w:spacing w:after="40" w:before="0" w:line="259" w:lineRule="auto"/>
            </w:pPr>
            <w:r>
              <w:rPr>
                <w:rFonts w:ascii="Calibri" w:hAnsi="Calibri"/>
                <w:b/>
                <w:i w:val="0"/>
                <w:color w:val="212121"/>
                <w:sz w:val="19"/>
              </w:rPr>
              <w:t>Teeth appear worn, short or chipped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 or family notices flattened, shortened or notched teeth from progressive surface loss.</w:t>
            </w:r>
          </w:p>
        </w:tc>
      </w:tr>
      <w:tr>
        <w:trPr>
          <w:cantSplit/>
        </w:trPr>
        <w:tc>
          <w:tcPr>
            <w:tcW w:type="dxa" w:w="2304"/>
            <w:vAlign w:val="top"/>
          </w:tcPr>
          <w:p>
            <w:pPr>
              <w:spacing w:after="40" w:before="0" w:line="259" w:lineRule="auto"/>
            </w:pPr>
            <w:r>
              <w:rPr>
                <w:rFonts w:ascii="Calibri" w:hAnsi="Calibri"/>
                <w:b/>
                <w:i w:val="0"/>
                <w:color w:val="212121"/>
                <w:sz w:val="19"/>
              </w:rPr>
              <w:t>Rough, notched or grooved tooth surfaces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Cervical notches or occlusal grooves that the tongue or nail catches on.</w:t>
            </w:r>
          </w:p>
        </w:tc>
      </w:tr>
      <w:tr>
        <w:trPr>
          <w:cantSplit/>
        </w:trPr>
        <w:tc>
          <w:tcPr>
            <w:tcW w:type="dxa" w:w="2304"/>
            <w:vAlign w:val="top"/>
          </w:tcPr>
          <w:p>
            <w:pPr>
              <w:spacing w:after="40" w:before="0" w:line="259" w:lineRule="auto"/>
            </w:pPr>
            <w:r>
              <w:rPr>
                <w:rFonts w:ascii="Calibri" w:hAnsi="Calibri"/>
                <w:b/>
                <w:i w:val="0"/>
                <w:color w:val="212121"/>
                <w:sz w:val="19"/>
              </w:rPr>
              <w:t>Yellow discolouration of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Thinned, translucent enamel lets underlying yellow dentine show through, especially at incisal edges.</w:t>
            </w:r>
          </w:p>
        </w:tc>
      </w:tr>
      <w:tr>
        <w:trPr>
          <w:cantSplit/>
        </w:trPr>
        <w:tc>
          <w:tcPr>
            <w:tcW w:type="dxa" w:w="2304"/>
            <w:vAlign w:val="top"/>
          </w:tcPr>
          <w:p>
            <w:pPr>
              <w:spacing w:after="40" w:before="0" w:line="259" w:lineRule="auto"/>
            </w:pPr>
            <w:r>
              <w:rPr>
                <w:rFonts w:ascii="Calibri" w:hAnsi="Calibri"/>
                <w:b/>
                <w:i w:val="0"/>
                <w:color w:val="212121"/>
                <w:sz w:val="19"/>
              </w:rPr>
              <w:t>Avoidance of cold or acidic food/drink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Behavioural adaptation to anticipated sensitivity that can affect diet and nutrition.</w:t>
            </w:r>
          </w:p>
        </w:tc>
      </w:tr>
      <w:tr>
        <w:trPr>
          <w:cantSplit/>
        </w:trPr>
        <w:tc>
          <w:tcPr>
            <w:tcW w:type="dxa" w:w="2304"/>
            <w:vAlign w:val="top"/>
          </w:tcPr>
          <w:p>
            <w:pPr>
              <w:spacing w:after="40" w:before="0" w:line="259" w:lineRule="auto"/>
            </w:pPr>
            <w:r>
              <w:rPr>
                <w:rFonts w:ascii="Calibri" w:hAnsi="Calibri"/>
                <w:b/>
                <w:i w:val="0"/>
                <w:color w:val="212121"/>
                <w:sz w:val="19"/>
              </w:rPr>
              <w:t>Sensitivity to hot stimuli</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Less typical than cold; persistent heat sensitivity should raise suspicion of pulpal involvement.</w:t>
            </w:r>
          </w:p>
        </w:tc>
      </w:tr>
      <w:tr>
        <w:trPr>
          <w:cantSplit/>
        </w:trPr>
        <w:tc>
          <w:tcPr>
            <w:tcW w:type="dxa" w:w="2304"/>
            <w:vAlign w:val="top"/>
          </w:tcPr>
          <w:p>
            <w:pPr>
              <w:spacing w:after="40" w:before="0" w:line="259" w:lineRule="auto"/>
            </w:pPr>
            <w:r>
              <w:rPr>
                <w:rFonts w:ascii="Calibri" w:hAnsi="Calibri"/>
                <w:b/>
                <w:i w:val="0"/>
                <w:color w:val="212121"/>
                <w:sz w:val="19"/>
              </w:rPr>
              <w:t>Jaw soreness or morning tightness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Associated with bruxism/parafunction underlying attrition-type wear.</w:t>
            </w:r>
          </w:p>
        </w:tc>
      </w:tr>
      <w:tr>
        <w:trPr>
          <w:cantSplit/>
        </w:trPr>
        <w:tc>
          <w:tcPr>
            <w:tcW w:type="dxa" w:w="2304"/>
            <w:vAlign w:val="top"/>
          </w:tcPr>
          <w:p>
            <w:pPr>
              <w:spacing w:after="40" w:before="0" w:line="259" w:lineRule="auto"/>
            </w:pPr>
            <w:r>
              <w:rPr>
                <w:rFonts w:ascii="Calibri" w:hAnsi="Calibri"/>
                <w:b/>
                <w:i w:val="0"/>
                <w:color w:val="212121"/>
                <w:sz w:val="19"/>
              </w:rPr>
              <w:t>Aesthetic concern about worn/discoloured teeth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tooth height, chipped edges and darkening prompt cosmetic complaints.</w:t>
            </w:r>
          </w:p>
        </w:tc>
      </w:tr>
      <w:tr>
        <w:trPr>
          <w:cantSplit/>
        </w:trPr>
        <w:tc>
          <w:tcPr>
            <w:tcW w:type="dxa" w:w="2304"/>
            <w:vAlign w:val="top"/>
          </w:tcPr>
          <w:p>
            <w:pPr>
              <w:spacing w:after="40" w:before="0" w:line="259" w:lineRule="auto"/>
            </w:pPr>
            <w:r>
              <w:rPr>
                <w:rFonts w:ascii="Calibri" w:hAnsi="Calibri"/>
                <w:b/>
                <w:i w:val="0"/>
                <w:color w:val="212121"/>
                <w:sz w:val="19"/>
              </w:rPr>
              <w:t>Lingering or spontaneous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 flag — suggests pulpitis or a cracked tooth rather than simple dentine hypersensitivity.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Exposed dentine (loss of enamel or gingival recession)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yellow dentine where enamel is worn away or the root is uncovered — prerequisite for hypersensitivity.</w:t>
            </w:r>
          </w:p>
        </w:tc>
      </w:tr>
      <w:tr>
        <w:trPr>
          <w:cantSplit/>
        </w:trPr>
        <w:tc>
          <w:tcPr>
            <w:tcW w:type="dxa" w:w="3456"/>
            <w:vAlign w:val="top"/>
          </w:tcPr>
          <w:p>
            <w:pPr>
              <w:spacing w:after="40" w:before="0" w:line="259" w:lineRule="auto"/>
            </w:pPr>
            <w:r>
              <w:rPr>
                <w:rFonts w:ascii="Calibri" w:hAnsi="Calibri"/>
                <w:b/>
                <w:i w:val="0"/>
                <w:color w:val="212121"/>
                <w:sz w:val="19"/>
              </w:rPr>
              <w:t>Positive air-blast / tactile test (Schiff ≥ 1)</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Reproduces the patient’s short, sharp pain and confirms dentine hypersensitivity.</w:t>
            </w:r>
          </w:p>
        </w:tc>
      </w:tr>
      <w:tr>
        <w:trPr>
          <w:cantSplit/>
        </w:trPr>
        <w:tc>
          <w:tcPr>
            <w:tcW w:type="dxa" w:w="3456"/>
            <w:vAlign w:val="top"/>
          </w:tcPr>
          <w:p>
            <w:pPr>
              <w:spacing w:after="40" w:before="0" w:line="259" w:lineRule="auto"/>
            </w:pPr>
            <w:r>
              <w:rPr>
                <w:rFonts w:ascii="Calibri" w:hAnsi="Calibri"/>
                <w:b/>
                <w:i w:val="0"/>
                <w:color w:val="212121"/>
                <w:sz w:val="19"/>
              </w:rPr>
              <w:t>Occlusal/incisal cupping and grooving with glazed concavities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shiny, scooped-out lesions typical of erosion; cusp tips become cupped.</w:t>
            </w:r>
          </w:p>
        </w:tc>
      </w:tr>
      <w:tr>
        <w:trPr>
          <w:cantSplit/>
        </w:trPr>
        <w:tc>
          <w:tcPr>
            <w:tcW w:type="dxa" w:w="3456"/>
            <w:vAlign w:val="top"/>
          </w:tcPr>
          <w:p>
            <w:pPr>
              <w:spacing w:after="40" w:before="0" w:line="259" w:lineRule="auto"/>
            </w:pPr>
            <w:r>
              <w:rPr>
                <w:rFonts w:ascii="Calibri" w:hAnsi="Calibri"/>
                <w:b/>
                <w:i w:val="0"/>
                <w:color w:val="212121"/>
                <w:sz w:val="19"/>
              </w:rPr>
              <w:t>Restorations standing proud of the tooth surface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Amalgam or composite ‘islands’ raised above surrounding eroded enamel indicate active erosion.</w:t>
            </w:r>
          </w:p>
        </w:tc>
      </w:tr>
      <w:tr>
        <w:trPr>
          <w:cantSplit/>
        </w:trPr>
        <w:tc>
          <w:tcPr>
            <w:tcW w:type="dxa" w:w="3456"/>
            <w:vAlign w:val="top"/>
          </w:tcPr>
          <w:p>
            <w:pPr>
              <w:spacing w:after="40" w:before="0" w:line="259" w:lineRule="auto"/>
            </w:pPr>
            <w:r>
              <w:rPr>
                <w:rFonts w:ascii="Calibri" w:hAnsi="Calibri"/>
                <w:b/>
                <w:i w:val="0"/>
                <w:color w:val="212121"/>
                <w:sz w:val="19"/>
              </w:rPr>
              <w:t>Flat, shiny, matching wear facets; shortened crowns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Inter-digitating facets on opposing teeth with reduced crown height — hallmark of attrition.</w:t>
            </w:r>
          </w:p>
        </w:tc>
      </w:tr>
      <w:tr>
        <w:trPr>
          <w:cantSplit/>
        </w:trPr>
        <w:tc>
          <w:tcPr>
            <w:tcW w:type="dxa" w:w="3456"/>
            <w:vAlign w:val="top"/>
          </w:tcPr>
          <w:p>
            <w:pPr>
              <w:spacing w:after="40" w:before="0" w:line="259" w:lineRule="auto"/>
            </w:pPr>
            <w:r>
              <w:rPr>
                <w:rFonts w:ascii="Calibri" w:hAnsi="Calibri"/>
                <w:b/>
                <w:i w:val="0"/>
                <w:color w:val="212121"/>
                <w:sz w:val="19"/>
              </w:rPr>
              <w:t>V-shaped / wedge-shaped cervical notches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Sharply-defined cervical lesions of abrasion/abfraction at the cemento-enamel junction.</w:t>
            </w:r>
          </w:p>
        </w:tc>
      </w:tr>
      <w:tr>
        <w:trPr>
          <w:cantSplit/>
        </w:trPr>
        <w:tc>
          <w:tcPr>
            <w:tcW w:type="dxa" w:w="3456"/>
            <w:vAlign w:val="top"/>
          </w:tcPr>
          <w:p>
            <w:pPr>
              <w:spacing w:after="40" w:before="0" w:line="259" w:lineRule="auto"/>
            </w:pPr>
            <w:r>
              <w:rPr>
                <w:rFonts w:ascii="Calibri" w:hAnsi="Calibri"/>
                <w:b/>
                <w:i w:val="0"/>
                <w:color w:val="212121"/>
                <w:sz w:val="19"/>
              </w:rPr>
              <w:t>Gingival recession with exposed root surface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Root/cementum exposure whose tubules transmit stimuli, a major source of sensitivity.</w:t>
            </w:r>
          </w:p>
        </w:tc>
      </w:tr>
      <w:tr>
        <w:trPr>
          <w:cantSplit/>
        </w:trPr>
        <w:tc>
          <w:tcPr>
            <w:tcW w:type="dxa" w:w="3456"/>
            <w:vAlign w:val="top"/>
          </w:tcPr>
          <w:p>
            <w:pPr>
              <w:spacing w:after="40" w:before="0" w:line="259" w:lineRule="auto"/>
            </w:pPr>
            <w:r>
              <w:rPr>
                <w:rFonts w:ascii="Calibri" w:hAnsi="Calibri"/>
                <w:b/>
                <w:i w:val="0"/>
                <w:color w:val="212121"/>
                <w:sz w:val="19"/>
              </w:rPr>
              <w:t>Thinned, translucent incisal edges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Enamel loss makes incisal edges glassy and prone to chipping.</w:t>
            </w:r>
          </w:p>
        </w:tc>
      </w:tr>
      <w:tr>
        <w:trPr>
          <w:cantSplit/>
        </w:trPr>
        <w:tc>
          <w:tcPr>
            <w:tcW w:type="dxa" w:w="3456"/>
            <w:vAlign w:val="top"/>
          </w:tcPr>
          <w:p>
            <w:pPr>
              <w:spacing w:after="40" w:before="0" w:line="259" w:lineRule="auto"/>
            </w:pPr>
            <w:r>
              <w:rPr>
                <w:rFonts w:ascii="Calibri" w:hAnsi="Calibri"/>
                <w:b/>
                <w:i w:val="0"/>
                <w:color w:val="212121"/>
                <w:sz w:val="19"/>
              </w:rPr>
              <w:t>Palatal erosion of upper anterior teeth (perimylolysis)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Concave loss of palatal enamel from intrinsic acid — points to GERD or purging.</w:t>
            </w:r>
          </w:p>
        </w:tc>
      </w:tr>
      <w:tr>
        <w:trPr>
          <w:cantSplit/>
        </w:trPr>
        <w:tc>
          <w:tcPr>
            <w:tcW w:type="dxa" w:w="3456"/>
            <w:vAlign w:val="top"/>
          </w:tcPr>
          <w:p>
            <w:pPr>
              <w:spacing w:after="40" w:before="0" w:line="259" w:lineRule="auto"/>
            </w:pPr>
            <w:r>
              <w:rPr>
                <w:rFonts w:ascii="Calibri" w:hAnsi="Calibri"/>
                <w:b/>
                <w:i w:val="0"/>
                <w:color w:val="212121"/>
                <w:sz w:val="19"/>
              </w:rPr>
              <w:t>Pulp exposure / near-exposure or secondary caries in worn areas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Advanced wear that reaches the pulp or leaves dentine that becomes carious.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Dentine hypersensitivity (short, sharp stimulus-evoked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irreversible loss of enamel and dentine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surface anatomy and tooth translucency/discolouration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notching and gingival recession</w:t>
            </w:r>
          </w:p>
        </w:tc>
        <w:tc>
          <w:tcPr>
            <w:tcW w:type="dxa" w:w="2980"/>
            <w:vAlign w:val="top"/>
          </w:tcPr>
          <w:p>
            <w:pPr>
              <w:spacing w:after="40" w:before="0" w:line="259" w:lineRule="auto"/>
            </w:pPr>
            <w:r>
              <w:rPr>
                <w:rFonts w:ascii="Calibri" w:hAnsi="Calibri"/>
                <w:b w:val="0"/>
                <w:i w:val="0"/>
                <w:color w:val="212121"/>
                <w:sz w:val="19"/>
              </w:rPr>
              <w:t>Direct hard-tissue and symptomatic effects of ongoing acid and mechanical surface loss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Pulpitis and pulpal exposure/necrosis from deep 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caries in exposed, worn dentine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fracture, chipping and failure/loss of restorations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occlusal vertical dimension and occlusal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Temporomandibular/masticatory muscle pain (with attrition)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mastication, dietary restriction and compromised aesthetics</w:t>
            </w:r>
          </w:p>
        </w:tc>
        <w:tc>
          <w:tcPr>
            <w:tcW w:type="dxa" w:w="2980"/>
            <w:vAlign w:val="top"/>
          </w:tcPr>
          <w:p>
            <w:pPr>
              <w:spacing w:after="40" w:before="0" w:line="259" w:lineRule="auto"/>
            </w:pPr>
            <w:r>
              <w:rPr>
                <w:rFonts w:ascii="Calibri" w:hAnsi="Calibri"/>
                <w:b w:val="0"/>
                <w:i w:val="0"/>
                <w:color w:val="212121"/>
                <w:sz w:val="19"/>
              </w:rPr>
              <w:t>Consequences of advancing surface loss on pulp vitality, occlusion, function and quality of life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extensive restorative/prosthetic rehabilitation (crowns, onlays, full-mouth reconstruction)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Endodontic (root-canal) treatment of involved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loss and eventual edentulism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loss of vertical dimension requiring occlusal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orofacial pain and significant treatment cost and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impact from impaired appearance and function</w:t>
            </w:r>
          </w:p>
        </w:tc>
        <w:tc>
          <w:tcPr>
            <w:tcW w:type="dxa" w:w="2980"/>
            <w:vAlign w:val="top"/>
          </w:tcPr>
          <w:p>
            <w:pPr>
              <w:spacing w:after="40" w:before="0" w:line="259" w:lineRule="auto"/>
            </w:pPr>
            <w:r>
              <w:rPr>
                <w:rFonts w:ascii="Calibri" w:hAnsi="Calibri"/>
                <w:b w:val="0"/>
                <w:i w:val="0"/>
                <w:color w:val="212121"/>
                <w:sz w:val="19"/>
              </w:rPr>
              <w:t>Irreversible, disabling and costly end-stage outcomes of longstanding, untreated tooth wear</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 / hiatus hernia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reflux of gastric acid onto palatal and occlusal surfaces is a leading cause of intrinsic erosive tooth wear; meta-analysis confirms significantly higher erosion prevalence in GERD.</w:t>
            </w:r>
          </w:p>
        </w:tc>
      </w:tr>
      <w:tr>
        <w:trPr>
          <w:cantSplit/>
        </w:trPr>
        <w:tc>
          <w:tcPr>
            <w:tcW w:type="dxa" w:w="2232"/>
            <w:vAlign w:val="top"/>
          </w:tcPr>
          <w:p>
            <w:pPr>
              <w:spacing w:after="40" w:before="0" w:line="259" w:lineRule="auto"/>
            </w:pPr>
            <w:r>
              <w:rPr>
                <w:rFonts w:ascii="Calibri" w:hAnsi="Calibri"/>
                <w:b/>
                <w:i w:val="0"/>
                <w:color w:val="212121"/>
                <w:sz w:val="19"/>
              </w:rPr>
              <w:t>Bulimia nervosa / purging-type eating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self-induced vomiting produces characteristic palatal erosion of the upper anterior teeth (perimylolysis); dental erosion is often the first clinical sign and mandates sensitive referral.</w:t>
            </w:r>
          </w:p>
        </w:tc>
      </w:tr>
      <w:tr>
        <w:trPr>
          <w:cantSplit/>
        </w:trPr>
        <w:tc>
          <w:tcPr>
            <w:tcW w:type="dxa" w:w="2232"/>
            <w:vAlign w:val="top"/>
          </w:tcPr>
          <w:p>
            <w:pPr>
              <w:spacing w:after="40" w:before="0" w:line="259" w:lineRule="auto"/>
            </w:pPr>
            <w:r>
              <w:rPr>
                <w:rFonts w:ascii="Calibri" w:hAnsi="Calibri"/>
                <w:b/>
                <w:i w:val="0"/>
                <w:color w:val="212121"/>
                <w:sz w:val="19"/>
              </w:rPr>
              <w:t>Sleep / awake bruxism (parafunction)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Repetitive high occlusal forces are the principal driver of attrition-type wear and contribute to cervical abfraction; management centres on occlusal protection and behavioural measures.</w:t>
            </w:r>
          </w:p>
        </w:tc>
      </w:tr>
      <w:tr>
        <w:trPr>
          <w:cantSplit/>
        </w:trPr>
        <w:tc>
          <w:tcPr>
            <w:tcW w:type="dxa" w:w="2232"/>
            <w:vAlign w:val="top"/>
          </w:tcPr>
          <w:p>
            <w:pPr>
              <w:spacing w:after="40" w:before="0" w:line="259" w:lineRule="auto"/>
            </w:pPr>
            <w:r>
              <w:rPr>
                <w:rFonts w:ascii="Calibri" w:hAnsi="Calibri"/>
                <w:b/>
                <w:i w:val="0"/>
                <w:color w:val="212121"/>
                <w:sz w:val="19"/>
              </w:rPr>
              <w:t>Xerostomia / Sjögren syndrome / salivary hypofunction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salivary flow and buffering impair acid clearance and remineralisation, accelerating erosion and mechanical wear and intensifying dentine hypersensitivity.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Diabetes-related xerostomia, altered saliva and periodontal recession increase tooth wear and sensitivity and worsen oral-health-related quality of life.</w:t>
            </w:r>
          </w:p>
        </w:tc>
      </w:tr>
      <w:tr>
        <w:trPr>
          <w:cantSplit/>
        </w:trPr>
        <w:tc>
          <w:tcPr>
            <w:tcW w:type="dxa" w:w="2232"/>
            <w:vAlign w:val="top"/>
          </w:tcPr>
          <w:p>
            <w:pPr>
              <w:spacing w:after="40" w:before="0" w:line="259" w:lineRule="auto"/>
            </w:pPr>
            <w:r>
              <w:rPr>
                <w:rFonts w:ascii="Calibri" w:hAnsi="Calibri"/>
                <w:b/>
                <w:i w:val="0"/>
                <w:color w:val="212121"/>
                <w:sz w:val="19"/>
              </w:rPr>
              <w:t>Chronic periodontitis / gingival recession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Attachment loss and recession expose root dentine, a major source of hypersensitivity; over-vigorous brushing contributes to both recession and cervical abrasion.</w:t>
            </w:r>
          </w:p>
          <w:p>
            <w:pPr>
              <w:spacing w:after="40" w:before="0" w:line="259" w:lineRule="auto"/>
            </w:pPr>
            <w:r>
              <w:rPr>
                <w:rFonts w:ascii="Calibri" w:hAnsi="Calibri"/>
                <w:b/>
                <w:i w:val="0"/>
                <w:color w:val="212121"/>
                <w:sz w:val="19"/>
              </w:rPr>
              <w:t>Up to 47.8%</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Worn, acid-softened and exposed dentine is more susceptible to caries, and erosion and caries share an underlying demineralisation process.</w:t>
            </w:r>
          </w:p>
        </w:tc>
      </w:tr>
      <w:tr>
        <w:trPr>
          <w:cantSplit/>
        </w:trPr>
        <w:tc>
          <w:tcPr>
            <w:tcW w:type="dxa" w:w="2232"/>
            <w:vAlign w:val="top"/>
          </w:tcPr>
          <w:p>
            <w:pPr>
              <w:spacing w:after="40" w:before="0" w:line="259" w:lineRule="auto"/>
            </w:pPr>
            <w:r>
              <w:rPr>
                <w:rFonts w:ascii="Calibri" w:hAnsi="Calibri"/>
                <w:b/>
                <w:i w:val="0"/>
                <w:color w:val="212121"/>
                <w:sz w:val="19"/>
              </w:rPr>
              <w:t>Pulpitis / pulpal pathology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Advanced wear that approaches or exposes the pulp can cause reversible or irreversible pulpitis and pulpal necrosis, requiring endodontic care.</w:t>
            </w:r>
          </w:p>
        </w:tc>
      </w:tr>
      <w:tr>
        <w:trPr>
          <w:cantSplit/>
        </w:trPr>
        <w:tc>
          <w:tcPr>
            <w:tcW w:type="dxa" w:w="2232"/>
            <w:vAlign w:val="top"/>
          </w:tcPr>
          <w:p>
            <w:pPr>
              <w:spacing w:after="40" w:before="0" w:line="259" w:lineRule="auto"/>
            </w:pPr>
            <w:r>
              <w:rPr>
                <w:rFonts w:ascii="Calibri" w:hAnsi="Calibri"/>
                <w:b/>
                <w:i w:val="0"/>
                <w:color w:val="212121"/>
                <w:sz w:val="19"/>
              </w:rPr>
              <w:t>Temporomandibular disorders (TMD) / myofascial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Bruxism links attrition with masticatory muscle and joint pain, and loss of vertical dimension from severe wear can alter joint loading.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hidden acid sources — aerated/energy/sports drinks, citrus, lemon, tamarind, raw mango, amla and pickles — and cut their frequency, not just quantity.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brush immediately after acidic food/drink or vomiting; wait 30–60 minutes and first rinse with plain water or a bicarbonate rinse.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soft-bristled brush with a gentle, non-horizontal technique and a low-abrasive fluoride toothpaste; avoid charcoal, tooth-powder, salt/mishri and ash/brick powders.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acidic beverages quickly (with meals) through a straw rather than sipping or swishing, and avoid acidic drinks at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an early dental check for any tooth sensitivity, notching or visible wear, and have reflux, vomiting or grinding evaluated and treated.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acid-diet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Bruxers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 reflux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Competitive swimmers should ensure pool water is correctly pH-buffered and rinse the mouth with water after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acidic sports and energy drinks with plain water during and after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exercise-related dry mouth by hydrating well, since low saliva flow raises erosion and sensitivity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regular dental screening if training involves frequent acidic-drink use or pool immersion.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Competitive 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Endurance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sports/energy-drink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the frequency and contact time of acidic foods and drinks; confine them to mealtimes and avoid constant sipping.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Finish an acidic meal with a neutralising food such as milk, cheese or plain water to raise oral 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holding, swishing or sucking lemon, tamarind or amla candies and acidic drinks in the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water or milk over carbonated, energy and sports drinks; avoid acidic drinks last thing at 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Aerated/energy-drink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Citrus/tamarind/amla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fluoride and calcium/phosphate (CPP-ACP) remineralising toothpastes, rinses or varnishes to harden softened enamel and occlude tubules.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 sugar-free gum after meals to stimulate protective salivary flow and acid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structured dietary counselling using a 4-day diet diary to identify and reduce erosive exposures.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in-office desensitising or fluoride/high-strength products for established hypersensitivity.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erosive tooth 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Dentine-hypersensitivity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Xerostomia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an occlusal splint / night-guard to protect teeth from sleep-bruxism attrition.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and avoid late/large meals to reduce nocturnal gastro-oesophageal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Evaluate for sleep-disordered breathing (OSA), which is linked to sleep bruxism and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and alcohol close to bedtime, as both can worsen bruxism and reflux.</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bruxers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Attrition/tooth-wear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OSA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smokeless tobacco, gutka, betel-quid and areca-nut chewing, which abrade teeth and cause gingival recession.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tobacco-cessation support and nicotine-replacement or counselling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gentle plaque control and regular dental review to limit recession-related sensitivity.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 areca-nut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recession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Gutka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and binge alcohol intake, which promotes reflux, vomiting and exposure to acidic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holding acidic alcoholic drinks (e.g., wine) in the mouth; alternate with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and manage associated dry mouth to protect teeth.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alcohol-related reflux or vomiting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relaxation and cognitive-behavioural techniques (and biofeedback where available) to reduce clenching and grinding.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refer, purging-type eating disorders — dental erosion may be the first sign — for multidisciplinary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underlying anxiety and depression that drive bruxism and disordered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therapy with an occlusal guard for parafunction-related wear.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adults / bruxers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eating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Anxiety/depression with parafunction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active patients with established wear, substitute water for acidic drinks and add fluoride/remineralising products around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Schedule periodic BEWE/wear monitoring for swimmers and athletes with ongoing erosive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with erosive 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Competitive swimmers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386522/" TargetMode="External"/><Relationship Id="rId10" Type="http://schemas.openxmlformats.org/officeDocument/2006/relationships/hyperlink" Target="https://pubmed.ncbi.nlm.nih.gov/23162341/" TargetMode="External"/><Relationship Id="rId11" Type="http://schemas.openxmlformats.org/officeDocument/2006/relationships/hyperlink" Target="https://pubmed.ncbi.nlm.nih.gov/26582076/" TargetMode="External"/><Relationship Id="rId12" Type="http://schemas.openxmlformats.org/officeDocument/2006/relationships/hyperlink" Target="https://pubmed.ncbi.nlm.nih.gov/24351921/" TargetMode="External"/><Relationship Id="rId13" Type="http://schemas.openxmlformats.org/officeDocument/2006/relationships/hyperlink" Target="https://pubmed.ncbi.nlm.nih.gov/33474786/" TargetMode="External"/><Relationship Id="rId14" Type="http://schemas.openxmlformats.org/officeDocument/2006/relationships/hyperlink" Target="https://pubmed.ncbi.nlm.nih.gov/30745913/" TargetMode="External"/><Relationship Id="rId15" Type="http://schemas.openxmlformats.org/officeDocument/2006/relationships/hyperlink" Target="https://pubmed.ncbi.nlm.nih.gov/35877400/" TargetMode="External"/><Relationship Id="rId16" Type="http://schemas.openxmlformats.org/officeDocument/2006/relationships/hyperlink" Target="https://pubmed.ncbi.nlm.nih.gov/39140088/" TargetMode="External"/><Relationship Id="rId17" Type="http://schemas.openxmlformats.org/officeDocument/2006/relationships/hyperlink" Target="https://pubmed.ncbi.nlm.nih.gov/274116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