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Malocclusion</w:t>
      </w:r>
    </w:p>
    <w:p>
      <w:pPr>
        <w:spacing w:before="0" w:after="160"/>
      </w:pPr>
      <w:r>
        <w:rPr>
          <w:rFonts w:ascii="Calibri" w:hAnsi="Calibri"/>
          <w:b/>
          <w:i w:val="0"/>
          <w:color w:val="212121"/>
          <w:sz w:val="22"/>
        </w:rPr>
        <w:t xml:space="preserve">AKA </w:t>
      </w:r>
      <w:r>
        <w:rPr>
          <w:rFonts w:ascii="Calibri" w:hAnsi="Calibri"/>
          <w:b w:val="0"/>
          <w:i w:val="0"/>
          <w:color w:val="212121"/>
          <w:sz w:val="22"/>
        </w:rPr>
        <w:t>i.e., Bad bite, Crooked teeth, Misaligned teeth, Dental irregularity, Occlusal disharmony; includes crowding, spacing, increased overjet ('buck teeth'), deep bite, open bite, crossbite and underbite</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Malocclusion is a developmental deviation of the dentition and/or jaws in which the teeth are poorly aligned and the dental arches meet in an abnormal relationship when the jaws close. It is a variation from the ideal 'Class I' occlusion rather than a disease, and encompasses dental crowding and spacing, increased or reverse overjet, deep or open bite, crossbite, and skeletal discrepancies between the maxilla and mandible. Severity ranges from a minor aesthetic irregularity to a marked skeletal disproportion that impairs chewing, speech, oral hygiene, facial appearance and psychosocial wellbeing.</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Malocclusion is one of the most common dental public-health problems in India, generally ranked third after dental caries and periodontal disease. A national systematic review and meta-analysis of children aged 8-15 years estimated a pooled prevalence of about 35.4%, with the highest burden in South India (about 39.6%). Regional school surveys report even higher figures - for example roughly 83% of 10-12-year-old schoolchildren in Kozhikode district, Kerala - reflecting differences in age group, dentition stage and the diagnostic index used. Angle Class I malocclusion (a normal molar relationship with local irregularities such as crowding) is the most common pattern, while Class II and Class III are progressively less frequent. Because malocclusion is a developmental variation rather than an infection, prevalence rises as the permanent dentition establishes through late childhood and adolescence, which is also the period of peak orthodontic treatment demand.</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Malocclusion is a clinical diagnosis made by an orthodontic/dental examination supplemented by study models (or digital scans), photographs and radiographs; it is described by the relationship of the teeth and jaws rather than by a laboratory test. Assessment rests on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Angle's classification of the molar relationship - the mesiobuccal cusp of the maxillary first permanent molar relative to the buccal groove of the mandibular first molar - defining Class I, Class II or Class III;</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Measurement of overjet (normal ~2-4 mm) and overbite (normal ~2-4 mm, about 20-30% incisor overlap); increased, reduced, reverse or open relationships are recorded;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Detection of crossbites (anterior/posterior), open bite, deep bite, midline shift, rotations, crowding and spacing;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Space (arch-length / tooth-size) analysis on study models or digital scans to quantify crowding or spacing, with Bolton analysis for tooth-size discrepancy;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Lateral cephalometric analysis (e.g. SNA, SNB and ANB angles) to distinguish dental from skeletal malocclusion and to localise the maxilla and mandible;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Panoramic radiograph (OPG) to assess eruption, impaction, congenitally missing or supernumerary teeth and root morphology;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Objective indices of severity and treatment need such as the Index of Orthodontic Treatment Need (IOTN, with Dental Health and Aesthetic Components) or the Dental Aesthetic Index (DAI).</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Malocclusion is classified in several complementary ways; Angle's classification of the anteroposterior molar relationship remains the cornerstone and is combined with skeletal, vertical, transverse and trait-based descriptions:</w:t>
      </w:r>
    </w:p>
    <w:p>
      <w:pPr>
        <w:spacing w:before="0" w:after="80"/>
      </w:pPr>
      <w:r>
        <w:rPr>
          <w:rFonts w:ascii="Calibri" w:hAnsi="Calibri"/>
          <w:b w:val="0"/>
          <w:i w:val="0"/>
          <w:color w:val="212121"/>
          <w:sz w:val="21"/>
        </w:rPr>
        <w:t>(1) Angle Class I (neutrocclusion): a normal molar relationship but malalignment elsewhere - crowding, spacing, rotations, or localised cross/open bites. It is the most common class and is further subdivided by Dewey's modifications (Type 1 crowding, Type 2 proclined incisors, Type 3 anterior crossbite, Type 4 posterior crossbite, Type 5 mesial drift of molars).</w:t>
      </w:r>
    </w:p>
    <w:p>
      <w:pPr>
        <w:spacing w:before="0" w:after="80"/>
      </w:pPr>
      <w:r>
        <w:rPr>
          <w:rFonts w:ascii="Calibri" w:hAnsi="Calibri"/>
          <w:b w:val="0"/>
          <w:i w:val="0"/>
          <w:color w:val="212121"/>
          <w:sz w:val="21"/>
        </w:rPr>
        <w:t>(2) Angle Class II (distocclusion / 'retrognathic'): the mandibular arch sits distal to normal. Division 1 has proclined maxillary incisors with an increased overjet ('buck teeth'); Division 2 has retroclined maxillary central incisors with a deep overbite. A subdivision denotes a unilateral (one-sided) relationship.</w:t>
      </w:r>
    </w:p>
    <w:p>
      <w:pPr>
        <w:spacing w:before="0" w:after="80"/>
      </w:pPr>
      <w:r>
        <w:rPr>
          <w:rFonts w:ascii="Calibri" w:hAnsi="Calibri"/>
          <w:b w:val="0"/>
          <w:i w:val="0"/>
          <w:color w:val="212121"/>
          <w:sz w:val="21"/>
        </w:rPr>
        <w:t>(3) Angle Class III (mesiocclusion / 'prognathic'): the mandibular arch sits mesial to normal, typically with an anterior crossbite and a concave facial profile, arising from mandibular prognathism, maxillary retrognathism, or both.</w:t>
      </w:r>
    </w:p>
    <w:p>
      <w:pPr>
        <w:spacing w:before="0" w:after="80"/>
      </w:pPr>
      <w:r>
        <w:rPr>
          <w:rFonts w:ascii="Calibri" w:hAnsi="Calibri"/>
          <w:b w:val="0"/>
          <w:i w:val="0"/>
          <w:color w:val="212121"/>
          <w:sz w:val="21"/>
        </w:rPr>
        <w:t>(4) Skeletal-versus-dental and trait-based classification: malocclusion is additionally described as skeletal (a jaw-size or jaw-position discrepancy on cephalometry) or dental (teeth only), and by specific traits - increased overjet, deep bite, anterior open bite, anterior/posterior crossbite, crowding and spacing - and by the stage of dentition (primary, mixed or permanent).</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Genetic / hereditary factors: Jaw size, tooth size and number and the underlying skeletal pattern are strongly inherited; a mismatch between inherited large teeth and small jaws (or the reverse) produces crowding or spacing, and mandibular prognathism (Class III) shows clear familial aggregation and measurable heritability.</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Deleterious oral habits: Prolonged thumb or finger sucking, pacifier use, tongue thrusting, lip biting and nail biting apply sustained abnormal forces to the teeth and arches, producing anterior open bite, increased overjet and posterior crossbite.</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Mouth breathing and airway obstruction: Chronic nasal obstruction from enlarged adenoids/tonsils or allergic rhinitis forces habitual mouth breathing, altering tongue and mandibular posture and favouring a long face, narrow high-arched palate and Class II pattern.</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Premature loss of primary teeth: Early loss of deciduous teeth (usually from untreated early-childhood caries) lets adjacent teeth drift, reducing arch length and causing crowding, impaction or ectopic eruption of the permanent successors.</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Local dental factors: Congenitally missing teeth (hypodontia), supernumerary teeth, retained or ankylosed deciduous teeth, abnormal frenal attachment and delayed or ectopic eruption disrupt normal alignment.</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Developmental and congenital anomalies: Cleft lip and palate, craniofacial syndromes (e.g. Down syndrome) and prenatal/birth factors produce severe skeletal and dental malocclusion.</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Reduced masticatory function: A soft, refined modern diet lowers the functional load on the growing jaws and is thought to contribute to under-development of the dental arches and increasing crowding.</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Children (mixed dentition, 6-12 years)</w:t>
            </w:r>
          </w:p>
        </w:tc>
        <w:tc>
          <w:tcPr>
            <w:tcW w:type="dxa" w:w="4276"/>
            <w:vAlign w:val="top"/>
          </w:tcPr>
          <w:p>
            <w:pPr>
              <w:spacing w:after="60" w:line="259" w:lineRule="auto"/>
            </w:pPr>
            <w:r>
              <w:rPr>
                <w:rFonts w:ascii="Calibri" w:hAnsi="Calibri"/>
                <w:b w:val="0"/>
                <w:i w:val="0"/>
                <w:color w:val="212121"/>
                <w:sz w:val="19"/>
              </w:rPr>
              <w:t>The mixed-dentition years are when malocclusion develops and first becomes detectable: primary teeth exfoliate, permanent teeth erupt, and oral habits or premature tooth loss can readily divert eruption. This is the key window for interceptive orthodontics.</w:t>
            </w:r>
          </w:p>
          <w:p>
            <w:pPr>
              <w:spacing w:after="40" w:before="60" w:line="259" w:lineRule="auto"/>
            </w:pPr>
            <w:r>
              <w:rPr>
                <w:rFonts w:ascii="Calibri" w:hAnsi="Calibri"/>
                <w:b w:val="0"/>
                <w:i w:val="0"/>
                <w:color w:val="212121"/>
                <w:sz w:val="19"/>
              </w:rPr>
              <w:t>An Indian systematic review and meta-analysis of children aged 8-15 years found a pooled malocclusion prevalence of about 35.4%.</w:t>
            </w:r>
          </w:p>
          <w:p>
            <w:pPr>
              <w:spacing w:after="40" w:line="252" w:lineRule="auto"/>
            </w:pPr>
            <w:hyperlink r:id="rId9">
              <w:r>
                <w:rPr>
                  <w:rFonts w:ascii="Calibri" w:hAnsi="Calibri" w:cs="Calibri"/>
                  <w:sz w:val="18"/>
                  <w:color w:val="1155CC"/>
                  <w:u w:val="single"/>
                </w:rPr>
                <w:t xml:space="preserve">pubmed.ncbi.nlm.nih.gov/33659178 - pooled prevalence in Indian children</w:t>
              </w:r>
            </w:hyperlink>
          </w:p>
          <w:p>
            <w:pPr>
              <w:spacing w:before="60" w:after="40"/>
            </w:pPr>
            <w:r>
              <w:rPr>
                <w:rFonts w:ascii="Calibri" w:hAnsi="Calibri"/>
                <w:b w:val="0"/>
                <w:i w:val="0"/>
                <w:color w:val="5A5A5A"/>
                <w:sz w:val="18"/>
              </w:rPr>
              <w:t>#mixeddentition  #interceptive  #developingocclusion  #eruption  #agewindow</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Adolescents (12-18 years)</w:t>
            </w:r>
          </w:p>
        </w:tc>
        <w:tc>
          <w:tcPr>
            <w:tcW w:type="dxa" w:w="4276"/>
            <w:vAlign w:val="top"/>
          </w:tcPr>
          <w:p>
            <w:pPr>
              <w:spacing w:after="60" w:line="259" w:lineRule="auto"/>
            </w:pPr>
            <w:r>
              <w:rPr>
                <w:rFonts w:ascii="Calibri" w:hAnsi="Calibri"/>
                <w:b w:val="0"/>
                <w:i w:val="0"/>
                <w:color w:val="212121"/>
                <w:sz w:val="19"/>
              </w:rPr>
              <w:t>By adolescence the permanent dentition is established and any malocclusion is fully expressed, making this the age of peak orthodontic treatment demand. Established skeletal discrepancies are harder to correct without appliances or, later, surgery.</w:t>
            </w:r>
          </w:p>
          <w:p>
            <w:pPr>
              <w:spacing w:after="40" w:before="60" w:line="259" w:lineRule="auto"/>
            </w:pPr>
            <w:r>
              <w:rPr>
                <w:rFonts w:ascii="Calibri" w:hAnsi="Calibri"/>
                <w:b w:val="0"/>
                <w:i w:val="0"/>
                <w:color w:val="212121"/>
                <w:sz w:val="19"/>
              </w:rPr>
              <w:t>School surveys show a high adolescent burden - for example about 83% of 10-12-year-old schoolchildren in Kozhikode district, Kerala had some malocclusion.</w:t>
            </w:r>
          </w:p>
          <w:p>
            <w:pPr>
              <w:spacing w:after="40" w:line="252" w:lineRule="auto"/>
            </w:pPr>
            <w:hyperlink r:id="rId10">
              <w:r>
                <w:rPr>
                  <w:rFonts w:ascii="Calibri" w:hAnsi="Calibri" w:cs="Calibri"/>
                  <w:sz w:val="18"/>
                  <w:color w:val="1155CC"/>
                  <w:u w:val="single"/>
                </w:rPr>
                <w:t xml:space="preserve">pubmed.ncbi.nlm.nih.gov/27274156 - schoolchildren, Kozhikode, Kerala</w:t>
              </w:r>
            </w:hyperlink>
          </w:p>
          <w:p>
            <w:pPr>
              <w:spacing w:before="60" w:after="40"/>
            </w:pPr>
            <w:r>
              <w:rPr>
                <w:rFonts w:ascii="Calibri" w:hAnsi="Calibri"/>
                <w:b w:val="0"/>
                <w:i w:val="0"/>
                <w:color w:val="5A5A5A"/>
                <w:sz w:val="18"/>
              </w:rPr>
              <w:t>#adolescents  #permanentdentition  #treatmentdemand  #orthodontics  #peakneed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w:t>
            </w:r>
          </w:p>
        </w:tc>
        <w:tc>
          <w:tcPr>
            <w:tcW w:type="dxa" w:w="4276"/>
            <w:vAlign w:val="top"/>
          </w:tcPr>
          <w:p>
            <w:pPr>
              <w:spacing w:after="60" w:line="259" w:lineRule="auto"/>
            </w:pPr>
            <w:r>
              <w:rPr>
                <w:rFonts w:ascii="Calibri" w:hAnsi="Calibri"/>
                <w:b w:val="0"/>
                <w:i w:val="0"/>
                <w:color w:val="212121"/>
                <w:sz w:val="19"/>
              </w:rPr>
              <w:t>Overall malocclusion prevalence is broadly similar between the sexes, but girls and their families more often perceive an aesthetic problem and seek orthodontic care, so treatment demand is higher in females; some Indian surveys report modest sex differences in specific traits.</w:t>
            </w:r>
          </w:p>
          <w:p>
            <w:pPr>
              <w:spacing w:after="40" w:before="60" w:line="259" w:lineRule="auto"/>
            </w:pPr>
            <w:r>
              <w:rPr>
                <w:rFonts w:ascii="Calibri" w:hAnsi="Calibri"/>
                <w:b w:val="0"/>
                <w:i w:val="0"/>
                <w:color w:val="212121"/>
                <w:sz w:val="19"/>
              </w:rPr>
              <w:t>Indian adolescent surveys (e.g. 13-15-year-olds in Kerala) have examined the gender distribution of malocclusion and orthodontic treatment need.</w:t>
            </w:r>
          </w:p>
          <w:p>
            <w:pPr>
              <w:spacing w:after="40" w:line="252" w:lineRule="auto"/>
            </w:pPr>
            <w:hyperlink r:id="rId11">
              <w:r>
                <w:rPr>
                  <w:rFonts w:ascii="Calibri" w:hAnsi="Calibri" w:cs="Calibri"/>
                  <w:sz w:val="18"/>
                  <w:color w:val="1155CC"/>
                  <w:u w:val="single"/>
                </w:rPr>
                <w:t xml:space="preserve">pubmed.ncbi.nlm.nih.gov/31397424 - gender distribution, Kerala adolescents</w:t>
              </w:r>
            </w:hyperlink>
          </w:p>
          <w:p>
            <w:pPr>
              <w:spacing w:before="60" w:after="40"/>
            </w:pPr>
            <w:r>
              <w:rPr>
                <w:rFonts w:ascii="Calibri" w:hAnsi="Calibri"/>
                <w:b w:val="0"/>
                <w:i w:val="0"/>
                <w:color w:val="5A5A5A"/>
                <w:sz w:val="18"/>
              </w:rPr>
              <w:t>#aestheticdemand  #treatmentseeking  #gender  #orthodontics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 limited orthodontic access</w:t>
            </w:r>
          </w:p>
        </w:tc>
        <w:tc>
          <w:tcPr>
            <w:tcW w:type="dxa" w:w="4276"/>
            <w:vAlign w:val="top"/>
          </w:tcPr>
          <w:p>
            <w:pPr>
              <w:spacing w:after="60" w:line="259" w:lineRule="auto"/>
            </w:pPr>
            <w:r>
              <w:rPr>
                <w:rFonts w:ascii="Calibri" w:hAnsi="Calibri"/>
                <w:b w:val="0"/>
                <w:i w:val="0"/>
                <w:color w:val="212121"/>
                <w:sz w:val="19"/>
              </w:rPr>
              <w:t>Lower-income children have more untreated early-childhood caries (leading to premature tooth loss and space loss) and far less access to timely interceptive or corrective orthodontics, so malocclusion is both commoner and detected later and more severe.</w:t>
            </w:r>
          </w:p>
          <w:p>
            <w:pPr>
              <w:spacing w:after="40" w:before="60" w:line="259" w:lineRule="auto"/>
            </w:pPr>
            <w:r>
              <w:rPr>
                <w:rFonts w:ascii="Calibri" w:hAnsi="Calibri"/>
                <w:b w:val="0"/>
                <w:i w:val="0"/>
                <w:color w:val="212121"/>
                <w:sz w:val="19"/>
              </w:rPr>
              <w:t>Untreated malocclusion and unmet orthodontic treatment need cluster in lower-socioeconomic and rural Indian populations with limited access to specialist care.</w:t>
            </w:r>
          </w:p>
          <w:p>
            <w:pPr>
              <w:spacing w:before="60" w:after="40"/>
            </w:pPr>
            <w:r>
              <w:rPr>
                <w:rFonts w:ascii="Calibri" w:hAnsi="Calibri"/>
                <w:b w:val="0"/>
                <w:i w:val="0"/>
                <w:color w:val="5A5A5A"/>
                <w:sz w:val="18"/>
              </w:rPr>
              <w:t>#accesstocare  #healthinequity  #unmetneed  #untreatedcaries  #latepresentation</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South Indian children</w:t>
            </w:r>
          </w:p>
        </w:tc>
        <w:tc>
          <w:tcPr>
            <w:tcW w:type="dxa" w:w="4276"/>
            <w:vAlign w:val="top"/>
          </w:tcPr>
          <w:p>
            <w:pPr>
              <w:spacing w:after="60" w:line="259" w:lineRule="auto"/>
            </w:pPr>
            <w:r>
              <w:rPr>
                <w:rFonts w:ascii="Calibri" w:hAnsi="Calibri"/>
                <w:b w:val="0"/>
                <w:i w:val="0"/>
                <w:color w:val="212121"/>
                <w:sz w:val="19"/>
              </w:rPr>
              <w:t>Pooled Indian data show the highest malocclusion prevalence in the southern zone, reflecting regional differences in genetic background, dentition patterns and study methods.</w:t>
            </w:r>
          </w:p>
          <w:p>
            <w:pPr>
              <w:spacing w:after="40" w:before="60" w:line="259" w:lineRule="auto"/>
            </w:pPr>
            <w:r>
              <w:rPr>
                <w:rFonts w:ascii="Calibri" w:hAnsi="Calibri"/>
                <w:b w:val="0"/>
                <w:i w:val="0"/>
                <w:color w:val="212121"/>
                <w:sz w:val="19"/>
              </w:rPr>
              <w:t>In the national meta-analysis the southern zone had the highest zone-wise prevalence, at about 39.6%.</w:t>
            </w:r>
          </w:p>
          <w:p>
            <w:pPr>
              <w:spacing w:after="40" w:line="252" w:lineRule="auto"/>
            </w:pPr>
            <w:hyperlink r:id="rId9">
              <w:r>
                <w:rPr>
                  <w:rFonts w:ascii="Calibri" w:hAnsi="Calibri" w:cs="Calibri"/>
                  <w:sz w:val="18"/>
                  <w:color w:val="1155CC"/>
                  <w:u w:val="single"/>
                </w:rPr>
                <w:t xml:space="preserve">pubmed.ncbi.nlm.nih.gov/33659178 - highest prevalence in South India</w:t>
              </w:r>
            </w:hyperlink>
          </w:p>
          <w:p>
            <w:pPr>
              <w:spacing w:before="60" w:after="40"/>
            </w:pPr>
            <w:r>
              <w:rPr>
                <w:rFonts w:ascii="Calibri" w:hAnsi="Calibri"/>
                <w:b w:val="0"/>
                <w:i w:val="0"/>
                <w:color w:val="5A5A5A"/>
                <w:sz w:val="18"/>
              </w:rPr>
              <w:t>#southindia  #regionalvariation  #india  #zonewise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Urbanisation / diet transition</w:t>
            </w:r>
          </w:p>
        </w:tc>
        <w:tc>
          <w:tcPr>
            <w:tcW w:type="dxa" w:w="2160"/>
            <w:vAlign w:val="top"/>
          </w:tcPr>
          <w:p>
            <w:pPr>
              <w:spacing w:after="40" w:before="0" w:line="259" w:lineRule="auto"/>
            </w:pPr>
            <w:r>
              <w:rPr>
                <w:rFonts w:ascii="Calibri" w:hAnsi="Calibri"/>
                <w:b w:val="0"/>
                <w:i w:val="0"/>
                <w:color w:val="212121"/>
                <w:sz w:val="19"/>
              </w:rPr>
              <w:t>Urban Indian children (soft modern diet)</w:t>
            </w:r>
          </w:p>
        </w:tc>
        <w:tc>
          <w:tcPr>
            <w:tcW w:type="dxa" w:w="4276"/>
            <w:vAlign w:val="top"/>
          </w:tcPr>
          <w:p>
            <w:pPr>
              <w:spacing w:after="60" w:line="259" w:lineRule="auto"/>
            </w:pPr>
            <w:r>
              <w:rPr>
                <w:rFonts w:ascii="Calibri" w:hAnsi="Calibri"/>
                <w:b w:val="0"/>
                <w:i w:val="0"/>
                <w:color w:val="212121"/>
                <w:sz w:val="19"/>
              </w:rPr>
              <w:t>Urban children eat a softer, more processed diet that reduces the chewing load on growing jaws; this diminished masticatory stimulus is thought to contribute to under-developed arches and rising crowding, while urban, screen-heavy lifestyles coexist with mouth-breathing habits.</w:t>
            </w:r>
          </w:p>
          <w:p>
            <w:pPr>
              <w:spacing w:after="40" w:before="60" w:line="259" w:lineRule="auto"/>
            </w:pPr>
            <w:r>
              <w:rPr>
                <w:rFonts w:ascii="Calibri" w:hAnsi="Calibri"/>
                <w:b w:val="0"/>
                <w:i w:val="0"/>
                <w:color w:val="212121"/>
                <w:sz w:val="19"/>
              </w:rPr>
              <w:t>Urban Indian school surveys (e.g. 12-14-year-olds in Bagalkot, Karnataka) document a substantial malocclusion burden in city populations.</w:t>
            </w:r>
          </w:p>
          <w:p>
            <w:pPr>
              <w:spacing w:after="40" w:line="252" w:lineRule="auto"/>
            </w:pPr>
            <w:hyperlink r:id="rId12">
              <w:r>
                <w:rPr>
                  <w:rFonts w:ascii="Calibri" w:hAnsi="Calibri" w:cs="Calibri"/>
                  <w:sz w:val="18"/>
                  <w:color w:val="1155CC"/>
                  <w:u w:val="single"/>
                </w:rPr>
                <w:t xml:space="preserve">pubmed.ncbi.nlm.nih.gov/22918003 - urban Indian schoolchildren</w:t>
              </w:r>
            </w:hyperlink>
          </w:p>
          <w:p>
            <w:pPr>
              <w:spacing w:before="60" w:after="40"/>
            </w:pPr>
            <w:r>
              <w:rPr>
                <w:rFonts w:ascii="Calibri" w:hAnsi="Calibri"/>
                <w:b w:val="0"/>
                <w:i w:val="0"/>
                <w:color w:val="5A5A5A"/>
                <w:sz w:val="18"/>
              </w:rPr>
              <w:t>#softdiet  #urbanisation  #reducedmastication  #crowding  #dietarytransition</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Oral habit (non-nutritive sucking)</w:t>
            </w:r>
          </w:p>
        </w:tc>
        <w:tc>
          <w:tcPr>
            <w:tcW w:type="dxa" w:w="2160"/>
            <w:vAlign w:val="top"/>
          </w:tcPr>
          <w:p>
            <w:pPr>
              <w:spacing w:after="40" w:before="0" w:line="259" w:lineRule="auto"/>
            </w:pPr>
            <w:r>
              <w:rPr>
                <w:rFonts w:ascii="Calibri" w:hAnsi="Calibri"/>
                <w:b w:val="0"/>
                <w:i w:val="0"/>
                <w:color w:val="212121"/>
                <w:sz w:val="19"/>
              </w:rPr>
              <w:t>Prolonged thumb / finger / pacifier suckers</w:t>
            </w:r>
          </w:p>
        </w:tc>
        <w:tc>
          <w:tcPr>
            <w:tcW w:type="dxa" w:w="4276"/>
            <w:vAlign w:val="top"/>
          </w:tcPr>
          <w:p>
            <w:pPr>
              <w:spacing w:after="60" w:line="259" w:lineRule="auto"/>
            </w:pPr>
            <w:r>
              <w:rPr>
                <w:rFonts w:ascii="Calibri" w:hAnsi="Calibri"/>
                <w:b w:val="0"/>
                <w:i w:val="0"/>
                <w:color w:val="212121"/>
                <w:sz w:val="19"/>
              </w:rPr>
              <w:t>Sucking habits that persist beyond about age 3-4 apply continuous force that proclines the upper incisors, raises overjet, and creates an anterior open bite and a narrow arch with posterior crossbite.</w:t>
            </w:r>
          </w:p>
          <w:p>
            <w:pPr>
              <w:spacing w:after="40" w:before="60" w:line="259" w:lineRule="auto"/>
            </w:pPr>
            <w:r>
              <w:rPr>
                <w:rFonts w:ascii="Calibri" w:hAnsi="Calibri"/>
                <w:b w:val="0"/>
                <w:i w:val="0"/>
                <w:color w:val="212121"/>
                <w:sz w:val="19"/>
              </w:rPr>
              <w:t>Pacifier sucking beyond age 2 was associated with roughly a 15-fold higher odds of malocclusion (OR ~14.7) in a classic prospective study.</w:t>
            </w:r>
          </w:p>
          <w:p>
            <w:pPr>
              <w:spacing w:after="40" w:line="252" w:lineRule="auto"/>
            </w:pPr>
            <w:hyperlink r:id="rId13">
              <w:r>
                <w:rPr>
                  <w:rFonts w:ascii="Calibri" w:hAnsi="Calibri" w:cs="Calibri"/>
                  <w:sz w:val="18"/>
                  <w:color w:val="1155CC"/>
                  <w:u w:val="single"/>
                </w:rPr>
                <w:t xml:space="preserve">pubmed.ncbi.nlm.nih.gov/18302463 - sucking habits, breathing and malocclusion</w:t>
              </w:r>
            </w:hyperlink>
          </w:p>
          <w:p>
            <w:pPr>
              <w:spacing w:before="60" w:after="40"/>
            </w:pPr>
            <w:r>
              <w:rPr>
                <w:rFonts w:ascii="Calibri" w:hAnsi="Calibri"/>
                <w:b w:val="0"/>
                <w:i w:val="0"/>
                <w:color w:val="5A5A5A"/>
                <w:sz w:val="18"/>
              </w:rPr>
              <w:t>#thumbsucking  #openbite  #overjet  #habit  #pacifier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Mouth breathing</w:t>
            </w:r>
          </w:p>
        </w:tc>
        <w:tc>
          <w:tcPr>
            <w:tcW w:type="dxa" w:w="2160"/>
            <w:vAlign w:val="top"/>
          </w:tcPr>
          <w:p>
            <w:pPr>
              <w:spacing w:after="40" w:before="0" w:line="259" w:lineRule="auto"/>
            </w:pPr>
            <w:r>
              <w:rPr>
                <w:rFonts w:ascii="Calibri" w:hAnsi="Calibri"/>
                <w:b w:val="0"/>
                <w:i w:val="0"/>
                <w:color w:val="212121"/>
                <w:sz w:val="19"/>
              </w:rPr>
              <w:t>Habitual mouth breathers</w:t>
            </w:r>
          </w:p>
        </w:tc>
        <w:tc>
          <w:tcPr>
            <w:tcW w:type="dxa" w:w="4276"/>
            <w:vAlign w:val="top"/>
          </w:tcPr>
          <w:p>
            <w:pPr>
              <w:spacing w:after="60" w:line="259" w:lineRule="auto"/>
            </w:pPr>
            <w:r>
              <w:rPr>
                <w:rFonts w:ascii="Calibri" w:hAnsi="Calibri"/>
                <w:b w:val="0"/>
                <w:i w:val="0"/>
                <w:color w:val="212121"/>
                <w:sz w:val="19"/>
              </w:rPr>
              <w:t>Chronic mouth breathing (often from nasal obstruction, adenoids or allergy) lowers the tongue and mandible, lengthens the face and narrows the maxilla, producing the classic 'long-face' Class II pattern with a high-arched palate.</w:t>
            </w:r>
          </w:p>
          <w:p>
            <w:pPr>
              <w:spacing w:after="40" w:before="60" w:line="259" w:lineRule="auto"/>
            </w:pPr>
            <w:r>
              <w:rPr>
                <w:rFonts w:ascii="Calibri" w:hAnsi="Calibri"/>
                <w:b w:val="0"/>
                <w:i w:val="0"/>
                <w:color w:val="212121"/>
                <w:sz w:val="19"/>
              </w:rPr>
              <w:t>A habitual mouth-breathing pattern was associated with about an 11-fold higher odds of malocclusion (OR ~10.9).</w:t>
            </w:r>
          </w:p>
          <w:p>
            <w:pPr>
              <w:spacing w:after="40" w:line="252" w:lineRule="auto"/>
            </w:pPr>
            <w:hyperlink r:id="rId13">
              <w:r>
                <w:rPr>
                  <w:rFonts w:ascii="Calibri" w:hAnsi="Calibri" w:cs="Calibri"/>
                  <w:sz w:val="18"/>
                  <w:color w:val="1155CC"/>
                  <w:u w:val="single"/>
                </w:rPr>
                <w:t xml:space="preserve">pubmed.ncbi.nlm.nih.gov/18302463 - mouth-breathing and malocclusion</w:t>
              </w:r>
            </w:hyperlink>
          </w:p>
          <w:p>
            <w:pPr>
              <w:spacing w:before="60" w:after="40"/>
            </w:pPr>
            <w:r>
              <w:rPr>
                <w:rFonts w:ascii="Calibri" w:hAnsi="Calibri"/>
                <w:b w:val="0"/>
                <w:i w:val="0"/>
                <w:color w:val="5A5A5A"/>
                <w:sz w:val="18"/>
              </w:rPr>
              <w:t>#mouthbreathing  #adenoidfacies  #longface  #narrowarch  #airway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Oral habit (tongue thrust / other)</w:t>
            </w:r>
          </w:p>
        </w:tc>
        <w:tc>
          <w:tcPr>
            <w:tcW w:type="dxa" w:w="2160"/>
            <w:vAlign w:val="top"/>
          </w:tcPr>
          <w:p>
            <w:pPr>
              <w:spacing w:after="40" w:before="0" w:line="259" w:lineRule="auto"/>
            </w:pPr>
            <w:r>
              <w:rPr>
                <w:rFonts w:ascii="Calibri" w:hAnsi="Calibri"/>
                <w:b w:val="0"/>
                <w:i w:val="0"/>
                <w:color w:val="212121"/>
                <w:sz w:val="19"/>
              </w:rPr>
              <w:t>Tongue thrusters, lip-biters, nail-biters</w:t>
            </w:r>
          </w:p>
        </w:tc>
        <w:tc>
          <w:tcPr>
            <w:tcW w:type="dxa" w:w="4276"/>
            <w:vAlign w:val="top"/>
          </w:tcPr>
          <w:p>
            <w:pPr>
              <w:spacing w:after="60" w:line="259" w:lineRule="auto"/>
            </w:pPr>
            <w:r>
              <w:rPr>
                <w:rFonts w:ascii="Calibri" w:hAnsi="Calibri"/>
                <w:b w:val="0"/>
                <w:i w:val="0"/>
                <w:color w:val="212121"/>
                <w:sz w:val="19"/>
              </w:rPr>
              <w:t>A persistent infantile tongue-thrust swallow or lip/nail biting keeps abnormal pressure on the incisors, sustaining anterior open bite and increased overjet and undermining the stability of orthodontic correction.</w:t>
            </w:r>
          </w:p>
          <w:p>
            <w:pPr>
              <w:spacing w:after="40" w:before="60" w:line="259" w:lineRule="auto"/>
            </w:pPr>
            <w:r>
              <w:rPr>
                <w:rFonts w:ascii="Calibri" w:hAnsi="Calibri"/>
                <w:b w:val="0"/>
                <w:i w:val="0"/>
                <w:color w:val="212121"/>
                <w:sz w:val="19"/>
              </w:rPr>
              <w:t>Deleterious oral habits are consistently associated with vertical, transverse and sagittal malocclusion traits in children.</w:t>
            </w:r>
          </w:p>
          <w:p>
            <w:pPr>
              <w:spacing w:after="40" w:line="252" w:lineRule="auto"/>
            </w:pPr>
            <w:hyperlink r:id="rId14">
              <w:r>
                <w:rPr>
                  <w:rFonts w:ascii="Calibri" w:hAnsi="Calibri" w:cs="Calibri"/>
                  <w:sz w:val="18"/>
                  <w:color w:val="1155CC"/>
                  <w:u w:val="single"/>
                </w:rPr>
                <w:t xml:space="preserve">pubmed.ncbi.nlm.nih.gov/39640127 - oral habits and pediatric malocclusion</w:t>
              </w:r>
            </w:hyperlink>
          </w:p>
          <w:p>
            <w:pPr>
              <w:spacing w:before="60" w:after="40"/>
            </w:pPr>
            <w:r>
              <w:rPr>
                <w:rFonts w:ascii="Calibri" w:hAnsi="Calibri"/>
                <w:b w:val="0"/>
                <w:i w:val="0"/>
                <w:color w:val="5A5A5A"/>
                <w:sz w:val="18"/>
              </w:rPr>
              <w:t>#tonguethrust  #openbite  #parafunction  #habit  #myofunctional</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Reduced mastication</w:t>
            </w:r>
          </w:p>
        </w:tc>
        <w:tc>
          <w:tcPr>
            <w:tcW w:type="dxa" w:w="2160"/>
            <w:vAlign w:val="top"/>
          </w:tcPr>
          <w:p>
            <w:pPr>
              <w:spacing w:after="40" w:before="0" w:line="259" w:lineRule="auto"/>
            </w:pPr>
            <w:r>
              <w:rPr>
                <w:rFonts w:ascii="Calibri" w:hAnsi="Calibri"/>
                <w:b w:val="0"/>
                <w:i w:val="0"/>
                <w:color w:val="212121"/>
                <w:sz w:val="19"/>
              </w:rPr>
              <w:t>Children on soft / refined diets</w:t>
            </w:r>
          </w:p>
        </w:tc>
        <w:tc>
          <w:tcPr>
            <w:tcW w:type="dxa" w:w="4276"/>
            <w:vAlign w:val="top"/>
          </w:tcPr>
          <w:p>
            <w:pPr>
              <w:spacing w:after="60" w:line="259" w:lineRule="auto"/>
            </w:pPr>
            <w:r>
              <w:rPr>
                <w:rFonts w:ascii="Calibri" w:hAnsi="Calibri"/>
                <w:b w:val="0"/>
                <w:i w:val="0"/>
                <w:color w:val="212121"/>
                <w:sz w:val="19"/>
              </w:rPr>
              <w:t>A predominantly soft, refined and processed diet reduces the mechanical stimulus needed for normal jaw growth and arch development, and is proposed as a contributor to the modern rise in dental crowding.</w:t>
            </w:r>
          </w:p>
          <w:p>
            <w:pPr>
              <w:spacing w:after="40" w:before="60" w:line="259" w:lineRule="auto"/>
            </w:pPr>
            <w:r>
              <w:rPr>
                <w:rFonts w:ascii="Calibri" w:hAnsi="Calibri"/>
                <w:b w:val="0"/>
                <w:i w:val="0"/>
                <w:color w:val="212121"/>
                <w:sz w:val="19"/>
              </w:rPr>
              <w:t>Reduced masticatory function from soft modern diets is a recognised environmental contributor to arch under-development and crowding.</w:t>
            </w:r>
          </w:p>
          <w:p>
            <w:pPr>
              <w:spacing w:before="60" w:after="40"/>
            </w:pPr>
            <w:r>
              <w:rPr>
                <w:rFonts w:ascii="Calibri" w:hAnsi="Calibri"/>
                <w:b w:val="0"/>
                <w:i w:val="0"/>
                <w:color w:val="5A5A5A"/>
                <w:sz w:val="18"/>
              </w:rPr>
              <w:t>#softdiet  #mastication  #archdevelopment  #crowding  #fibre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Infant feeding</w:t>
            </w:r>
          </w:p>
        </w:tc>
        <w:tc>
          <w:tcPr>
            <w:tcW w:type="dxa" w:w="2160"/>
            <w:vAlign w:val="top"/>
          </w:tcPr>
          <w:p>
            <w:pPr>
              <w:spacing w:after="40" w:before="0" w:line="259" w:lineRule="auto"/>
            </w:pPr>
            <w:r>
              <w:rPr>
                <w:rFonts w:ascii="Calibri" w:hAnsi="Calibri"/>
                <w:b w:val="0"/>
                <w:i w:val="0"/>
                <w:color w:val="212121"/>
                <w:sz w:val="19"/>
              </w:rPr>
              <w:t>Bottle-fed / short breastfeeding duration</w:t>
            </w:r>
          </w:p>
        </w:tc>
        <w:tc>
          <w:tcPr>
            <w:tcW w:type="dxa" w:w="4276"/>
            <w:vAlign w:val="top"/>
          </w:tcPr>
          <w:p>
            <w:pPr>
              <w:spacing w:after="60" w:line="259" w:lineRule="auto"/>
            </w:pPr>
            <w:r>
              <w:rPr>
                <w:rFonts w:ascii="Calibri" w:hAnsi="Calibri"/>
                <w:b w:val="0"/>
                <w:i w:val="0"/>
                <w:color w:val="212121"/>
                <w:sz w:val="19"/>
              </w:rPr>
              <w:t>Breastfeeding promotes normal orofacial muscle function and jaw development; prolonged bottle feeding and non-nutritive pacifier use are associated with a higher risk of later malocclusion, especially posterior crossbite and open bite.</w:t>
            </w:r>
          </w:p>
          <w:p>
            <w:pPr>
              <w:spacing w:after="40" w:before="60" w:line="259" w:lineRule="auto"/>
            </w:pPr>
            <w:r>
              <w:rPr>
                <w:rFonts w:ascii="Calibri" w:hAnsi="Calibri"/>
                <w:b w:val="0"/>
                <w:i w:val="0"/>
                <w:color w:val="212121"/>
                <w:sz w:val="19"/>
              </w:rPr>
              <w:t>Shorter breastfeeding and prolonged bottle/pacifier use are associated with an increased risk of malocclusion in early childhood.</w:t>
            </w:r>
          </w:p>
          <w:p>
            <w:pPr>
              <w:spacing w:before="60" w:after="40"/>
            </w:pPr>
            <w:r>
              <w:rPr>
                <w:rFonts w:ascii="Calibri" w:hAnsi="Calibri"/>
                <w:b w:val="0"/>
                <w:i w:val="0"/>
                <w:color w:val="5A5A5A"/>
                <w:sz w:val="18"/>
              </w:rPr>
              <w:t>#breastfeeding  #bottlefeeding  #infantfeeding  #crossbite  #orofacialgrowth</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 / skeletal pattern</w:t>
            </w:r>
          </w:p>
        </w:tc>
        <w:tc>
          <w:tcPr>
            <w:tcW w:type="dxa" w:w="2160"/>
            <w:vAlign w:val="top"/>
          </w:tcPr>
          <w:p>
            <w:pPr>
              <w:spacing w:after="40" w:before="0" w:line="259" w:lineRule="auto"/>
            </w:pPr>
            <w:r>
              <w:rPr>
                <w:rFonts w:ascii="Calibri" w:hAnsi="Calibri"/>
                <w:b w:val="0"/>
                <w:i w:val="0"/>
                <w:color w:val="212121"/>
                <w:sz w:val="19"/>
              </w:rPr>
              <w:t>Familial Class III / tooth-jaw discrepancy</w:t>
            </w:r>
          </w:p>
        </w:tc>
        <w:tc>
          <w:tcPr>
            <w:tcW w:type="dxa" w:w="4276"/>
            <w:vAlign w:val="top"/>
          </w:tcPr>
          <w:p>
            <w:pPr>
              <w:spacing w:after="60" w:line="259" w:lineRule="auto"/>
            </w:pPr>
            <w:r>
              <w:rPr>
                <w:rFonts w:ascii="Calibri" w:hAnsi="Calibri"/>
                <w:b w:val="0"/>
                <w:i w:val="0"/>
                <w:color w:val="212121"/>
                <w:sz w:val="19"/>
              </w:rPr>
              <w:t>Skeletal jaw relationships are strongly heritable; mandibular prognathism (Class III) aggregates in families, and inheriting large teeth from one parent with small jaws from the other yields crowding - a classic gene-driven tooth-size/arch-length discrepancy.</w:t>
            </w:r>
          </w:p>
          <w:p>
            <w:pPr>
              <w:spacing w:after="40" w:before="60" w:line="259" w:lineRule="auto"/>
            </w:pPr>
            <w:r>
              <w:rPr>
                <w:rFonts w:ascii="Calibri" w:hAnsi="Calibri"/>
                <w:b w:val="0"/>
                <w:i w:val="0"/>
                <w:color w:val="212121"/>
                <w:sz w:val="19"/>
              </w:rPr>
              <w:t>Heritability analyses confirm a significant genetic contribution to skeletal Class III (mandibular prognathism).</w:t>
            </w:r>
          </w:p>
          <w:p>
            <w:pPr>
              <w:spacing w:after="40" w:line="252" w:lineRule="auto"/>
            </w:pPr>
            <w:hyperlink r:id="rId15">
              <w:r>
                <w:rPr>
                  <w:rFonts w:ascii="Calibri" w:hAnsi="Calibri" w:cs="Calibri"/>
                  <w:sz w:val="18"/>
                  <w:color w:val="1155CC"/>
                  <w:u w:val="single"/>
                </w:rPr>
                <w:t xml:space="preserve">pubmed.ncbi.nlm.nih.gov/16862359 - heritability of skeletal Class III</w:t>
              </w:r>
            </w:hyperlink>
          </w:p>
          <w:p>
            <w:pPr>
              <w:spacing w:before="60" w:after="40"/>
            </w:pPr>
            <w:r>
              <w:rPr>
                <w:rFonts w:ascii="Calibri" w:hAnsi="Calibri"/>
                <w:b w:val="0"/>
                <w:i w:val="0"/>
                <w:color w:val="5A5A5A"/>
                <w:sz w:val="18"/>
              </w:rPr>
              <w:t>#heredity  #classIII  #prognathism  #toothsizediscrepancy  #familyhistory</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Adenotonsillar hypertrophy</w:t>
            </w:r>
          </w:p>
        </w:tc>
        <w:tc>
          <w:tcPr>
            <w:tcW w:type="dxa" w:w="2160"/>
            <w:vAlign w:val="top"/>
          </w:tcPr>
          <w:p>
            <w:pPr>
              <w:spacing w:after="40" w:before="0" w:line="259" w:lineRule="auto"/>
            </w:pPr>
            <w:r>
              <w:rPr>
                <w:rFonts w:ascii="Calibri" w:hAnsi="Calibri"/>
                <w:b w:val="0"/>
                <w:i w:val="0"/>
                <w:color w:val="212121"/>
                <w:sz w:val="19"/>
              </w:rPr>
              <w:t>Children with enlarged adenoids/tonsils</w:t>
            </w:r>
          </w:p>
        </w:tc>
        <w:tc>
          <w:tcPr>
            <w:tcW w:type="dxa" w:w="4276"/>
            <w:vAlign w:val="top"/>
          </w:tcPr>
          <w:p>
            <w:pPr>
              <w:spacing w:after="60" w:line="259" w:lineRule="auto"/>
            </w:pPr>
            <w:r>
              <w:rPr>
                <w:rFonts w:ascii="Calibri" w:hAnsi="Calibri"/>
                <w:b w:val="0"/>
                <w:i w:val="0"/>
                <w:color w:val="212121"/>
                <w:sz w:val="19"/>
              </w:rPr>
              <w:t>Adenotonsillar hypertrophy obstructs the nasal airway and forces mouth breathing, steering craniofacial growth toward a long-face, retrognathic Class II malocclusion with a narrow palate.</w:t>
            </w:r>
          </w:p>
          <w:p>
            <w:pPr>
              <w:spacing w:after="40" w:before="60" w:line="259" w:lineRule="auto"/>
            </w:pPr>
            <w:r>
              <w:rPr>
                <w:rFonts w:ascii="Calibri" w:hAnsi="Calibri"/>
                <w:b w:val="0"/>
                <w:i w:val="0"/>
                <w:color w:val="212121"/>
                <w:sz w:val="19"/>
              </w:rPr>
              <w:t>Adenotonsillar hypertrophy is an identified risk factor for dentofacial abnormality and malocclusion in children.</w:t>
            </w:r>
          </w:p>
          <w:p>
            <w:pPr>
              <w:spacing w:after="40" w:line="252" w:lineRule="auto"/>
            </w:pPr>
            <w:hyperlink r:id="rId16">
              <w:r>
                <w:rPr>
                  <w:rFonts w:ascii="Calibri" w:hAnsi="Calibri" w:cs="Calibri"/>
                  <w:sz w:val="18"/>
                  <w:color w:val="1155CC"/>
                  <w:u w:val="single"/>
                </w:rPr>
                <w:t xml:space="preserve">pubmed.ncbi.nlm.nih.gov/25490975 - adenotonsillar hypertrophy and dentofacial change</w:t>
              </w:r>
            </w:hyperlink>
          </w:p>
          <w:p>
            <w:pPr>
              <w:spacing w:before="60" w:after="40"/>
            </w:pPr>
            <w:r>
              <w:rPr>
                <w:rFonts w:ascii="Calibri" w:hAnsi="Calibri"/>
                <w:b w:val="0"/>
                <w:i w:val="0"/>
                <w:color w:val="5A5A5A"/>
                <w:sz w:val="18"/>
              </w:rPr>
              <w:t>#adenoids  #tonsils  #airway  #classII  #mouthbreathing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Cleft lip and palate</w:t>
            </w:r>
          </w:p>
        </w:tc>
        <w:tc>
          <w:tcPr>
            <w:tcW w:type="dxa" w:w="2160"/>
            <w:vAlign w:val="top"/>
          </w:tcPr>
          <w:p>
            <w:pPr>
              <w:spacing w:after="40" w:before="0" w:line="259" w:lineRule="auto"/>
            </w:pPr>
            <w:r>
              <w:rPr>
                <w:rFonts w:ascii="Calibri" w:hAnsi="Calibri"/>
                <w:b w:val="0"/>
                <w:i w:val="0"/>
                <w:color w:val="212121"/>
                <w:sz w:val="19"/>
              </w:rPr>
              <w:t>Children with orofacial clefts</w:t>
            </w:r>
          </w:p>
        </w:tc>
        <w:tc>
          <w:tcPr>
            <w:tcW w:type="dxa" w:w="4276"/>
            <w:vAlign w:val="top"/>
          </w:tcPr>
          <w:p>
            <w:pPr>
              <w:spacing w:after="60" w:line="259" w:lineRule="auto"/>
            </w:pPr>
            <w:r>
              <w:rPr>
                <w:rFonts w:ascii="Calibri" w:hAnsi="Calibri"/>
                <w:b w:val="0"/>
                <w:i w:val="0"/>
                <w:color w:val="212121"/>
                <w:sz w:val="19"/>
              </w:rPr>
              <w:t>Clefting disrupts maxillary growth and dental development, producing severe malocclusion - a collapsed or retrusive maxilla, anterior and posterior crossbites, and missing or malformed teeth - that needs coordinated orthodontic-surgical care.</w:t>
            </w:r>
          </w:p>
          <w:p>
            <w:pPr>
              <w:spacing w:after="40" w:before="60" w:line="259" w:lineRule="auto"/>
            </w:pPr>
            <w:r>
              <w:rPr>
                <w:rFonts w:ascii="Calibri" w:hAnsi="Calibri"/>
                <w:b w:val="0"/>
                <w:i w:val="0"/>
                <w:color w:val="212121"/>
                <w:sz w:val="19"/>
              </w:rPr>
              <w:t>Cleft lip and/or palate occurs in roughly 1 in 1000-1500 births worldwide and is a major congenital cause of severe malocclusion.</w:t>
            </w:r>
          </w:p>
          <w:p>
            <w:pPr>
              <w:spacing w:after="40" w:line="252" w:lineRule="auto"/>
            </w:pPr>
            <w:hyperlink r:id="rId17">
              <w:r>
                <w:rPr>
                  <w:rFonts w:ascii="Calibri" w:hAnsi="Calibri" w:cs="Calibri"/>
                  <w:sz w:val="18"/>
                  <w:color w:val="1155CC"/>
                  <w:u w:val="single"/>
                </w:rPr>
                <w:t xml:space="preserve">who.int - oral health fact sheet (cleft lip/palate)</w:t>
              </w:r>
            </w:hyperlink>
          </w:p>
          <w:p>
            <w:pPr>
              <w:spacing w:before="60" w:after="40"/>
            </w:pPr>
            <w:r>
              <w:rPr>
                <w:rFonts w:ascii="Calibri" w:hAnsi="Calibri"/>
                <w:b w:val="0"/>
                <w:i w:val="0"/>
                <w:color w:val="5A5A5A"/>
                <w:sz w:val="18"/>
              </w:rPr>
              <w:t>#cleft  #craniofacial  #crossbite  #maxillaryhypoplasia  #congenital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Early childhood caries / premature tooth loss</w:t>
            </w:r>
          </w:p>
        </w:tc>
        <w:tc>
          <w:tcPr>
            <w:tcW w:type="dxa" w:w="2160"/>
            <w:vAlign w:val="top"/>
          </w:tcPr>
          <w:p>
            <w:pPr>
              <w:spacing w:after="40" w:before="0" w:line="259" w:lineRule="auto"/>
            </w:pPr>
            <w:r>
              <w:rPr>
                <w:rFonts w:ascii="Calibri" w:hAnsi="Calibri"/>
                <w:b w:val="0"/>
                <w:i w:val="0"/>
                <w:color w:val="212121"/>
                <w:sz w:val="19"/>
              </w:rPr>
              <w:t>Children with early primary-tooth loss</w:t>
            </w:r>
          </w:p>
        </w:tc>
        <w:tc>
          <w:tcPr>
            <w:tcW w:type="dxa" w:w="4276"/>
            <w:vAlign w:val="top"/>
          </w:tcPr>
          <w:p>
            <w:pPr>
              <w:spacing w:after="60" w:line="259" w:lineRule="auto"/>
            </w:pPr>
            <w:r>
              <w:rPr>
                <w:rFonts w:ascii="Calibri" w:hAnsi="Calibri"/>
                <w:b w:val="0"/>
                <w:i w:val="0"/>
                <w:color w:val="212121"/>
                <w:sz w:val="19"/>
              </w:rPr>
              <w:t>Untreated early-childhood caries leads to premature loss of primary teeth; the resulting loss of arch length lets teeth drift and is considered one of the main causes of malocclusion in the permanent dentition.</w:t>
            </w:r>
          </w:p>
          <w:p>
            <w:pPr>
              <w:spacing w:after="40" w:before="60" w:line="259" w:lineRule="auto"/>
            </w:pPr>
            <w:r>
              <w:rPr>
                <w:rFonts w:ascii="Calibri" w:hAnsi="Calibri"/>
                <w:b w:val="0"/>
                <w:i w:val="0"/>
                <w:color w:val="212121"/>
                <w:sz w:val="19"/>
              </w:rPr>
              <w:t>Loss of space after premature primary-tooth loss is regarded as one of the main causes of malocclusion in the permanent dentition.</w:t>
            </w:r>
          </w:p>
          <w:p>
            <w:pPr>
              <w:spacing w:after="40" w:line="252" w:lineRule="auto"/>
            </w:pPr>
            <w:hyperlink r:id="rId18">
              <w:r>
                <w:rPr>
                  <w:rFonts w:ascii="Calibri" w:hAnsi="Calibri" w:cs="Calibri"/>
                  <w:sz w:val="18"/>
                  <w:color w:val="1155CC"/>
                  <w:u w:val="single"/>
                </w:rPr>
                <w:t xml:space="preserve">pubmed.ncbi.nlm.nih.gov/22439522 - space loss and malocclusion</w:t>
              </w:r>
            </w:hyperlink>
          </w:p>
          <w:p>
            <w:pPr>
              <w:spacing w:before="60" w:after="40"/>
            </w:pPr>
            <w:r>
              <w:rPr>
                <w:rFonts w:ascii="Calibri" w:hAnsi="Calibri"/>
                <w:b w:val="0"/>
                <w:i w:val="0"/>
                <w:color w:val="5A5A5A"/>
                <w:sz w:val="18"/>
              </w:rPr>
              <w:t>#earlychildhoodcaries  #spaceloss  #prematuretoothloss  #spacemaintainer  #archlength</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Craniofacial syndromes</w:t>
            </w:r>
          </w:p>
        </w:tc>
        <w:tc>
          <w:tcPr>
            <w:tcW w:type="dxa" w:w="2160"/>
            <w:vAlign w:val="top"/>
          </w:tcPr>
          <w:p>
            <w:pPr>
              <w:spacing w:after="40" w:before="0" w:line="259" w:lineRule="auto"/>
            </w:pPr>
            <w:r>
              <w:rPr>
                <w:rFonts w:ascii="Calibri" w:hAnsi="Calibri"/>
                <w:b w:val="0"/>
                <w:i w:val="0"/>
                <w:color w:val="212121"/>
                <w:sz w:val="19"/>
              </w:rPr>
              <w:t>Children with Down syndrome / craniofacial anomalies</w:t>
            </w:r>
          </w:p>
        </w:tc>
        <w:tc>
          <w:tcPr>
            <w:tcW w:type="dxa" w:w="4276"/>
            <w:vAlign w:val="top"/>
          </w:tcPr>
          <w:p>
            <w:pPr>
              <w:spacing w:after="60" w:line="259" w:lineRule="auto"/>
            </w:pPr>
            <w:r>
              <w:rPr>
                <w:rFonts w:ascii="Calibri" w:hAnsi="Calibri"/>
                <w:b w:val="0"/>
                <w:i w:val="0"/>
                <w:color w:val="212121"/>
                <w:sz w:val="19"/>
              </w:rPr>
              <w:t>Syndromes such as Down syndrome feature midface hypoplasia, a relatively large tongue, delayed and irregular eruption and hypodontia, giving a high rate of Class III and open-bite malocclusion.</w:t>
            </w:r>
          </w:p>
          <w:p>
            <w:pPr>
              <w:spacing w:after="40" w:before="60" w:line="259" w:lineRule="auto"/>
            </w:pPr>
            <w:r>
              <w:rPr>
                <w:rFonts w:ascii="Calibri" w:hAnsi="Calibri"/>
                <w:b w:val="0"/>
                <w:i w:val="0"/>
                <w:color w:val="212121"/>
                <w:sz w:val="19"/>
              </w:rPr>
              <w:t>Craniofacial abnormalities in syndromes such as Down syndrome commonly include malocclusion, midface hypoplasia and articulation problems.</w:t>
            </w:r>
          </w:p>
          <w:p>
            <w:pPr>
              <w:spacing w:after="40" w:line="252" w:lineRule="auto"/>
            </w:pPr>
            <w:hyperlink r:id="rId19">
              <w:r>
                <w:rPr>
                  <w:rFonts w:ascii="Calibri" w:hAnsi="Calibri" w:cs="Calibri"/>
                  <w:sz w:val="18"/>
                  <w:color w:val="1155CC"/>
                  <w:u w:val="single"/>
                </w:rPr>
                <w:t xml:space="preserve">pubmed.ncbi.nlm.nih.gov/31778604 - craniofacial anomalies in Down syndrome</w:t>
              </w:r>
            </w:hyperlink>
          </w:p>
          <w:p>
            <w:pPr>
              <w:spacing w:before="60" w:after="40"/>
            </w:pPr>
            <w:r>
              <w:rPr>
                <w:rFonts w:ascii="Calibri" w:hAnsi="Calibri"/>
                <w:b w:val="0"/>
                <w:i w:val="0"/>
                <w:color w:val="5A5A5A"/>
                <w:sz w:val="18"/>
              </w:rPr>
              <w:t>#downsyndrome  #midfacehypoplasia  #macroglossia  #classIII  #syndromic</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Physical activity has little direct effect on jaw alignment; its relevance is indirect - general growth and, in sport, the risk of trauma to protruding incisors, which is reduced by wearing a mouthguard.</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Diet influences occlusion two ways: a soft, refined diet reduces the masticatory stimulus for jaw growth and favours crowding, while frequent sugary/sticky foods cause caries and premature primary-tooth loss that leads to space loss and malocclusion.</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Malocclusion and sleep are bidirectionally linked: mouth breathing and a retrognathic, narrow-arch pattern narrow the airway and predispose to snoring and obstructive sleep apnoea, while sleep-disordered breathing further distorts dentofacial growth.</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Smoking does not cause malocclusion directly; the relevant links are maternal smoking in pregnancy, which raises the risk of orofacial clefts, and adult smoking, which worsens the periodontal support of malaligned teeth.</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Alcohol has no direct role in occlusal development; heavy prenatal exposure can cause craniofacial anomalies (fetal alcohol spectrum), and adult misuse harms periodontal health.</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The relationship is largely bidirectional: visible malocclusion lowers self-esteem and provokes teasing/bullying and poorer oral-health-related quality of life, while stress and anxiety promote parafunctional habits (bruxism, nail/lip biting).</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Water has no direct effect on tooth alignment; adequate fluoride exposure helps prevent the caries that can cause premature tooth loss and secondary space loss.</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There is no meaningful or established relationship between caffeine intake and malocclusion; any effect is negligible.</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Hygiene and malocclusion interact bidirectionally: crowded, malaligned teeth are harder to clean and retain plaque (raising caries and gingivitis risk), and poor-hygiene-driven caries causes the premature tooth loss that itself produces malocclusion.</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The main provoking factors are deleterious oral habits (thumb/finger/pacifier sucking, tongue thrust, mouth breathing), premature loss of primary teeth, adenotonsillar/airway obstruction and orofacial trauma - all of which actively divert dentofacial growth.</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Oral posture matters in malocclusion: a low, forward tongue posture and the open-mouth, forward-head posture of habitual mouth breathers ('adenoid facies') are associated with narrow arches, increased face height and Class II/open-bite patterns.</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Duration of digit / pacifier-sucking habit</w:t>
            </w:r>
          </w:p>
        </w:tc>
        <w:tc>
          <w:tcPr>
            <w:tcW w:type="dxa" w:w="1655"/>
            <w:vAlign w:val="top"/>
          </w:tcPr>
          <w:p>
            <w:pPr>
              <w:spacing w:after="40" w:before="0" w:line="259" w:lineRule="auto"/>
            </w:pPr>
            <w:r>
              <w:rPr>
                <w:rFonts w:ascii="Calibri" w:hAnsi="Calibri"/>
                <w:b w:val="0"/>
                <w:i w:val="0"/>
                <w:color w:val="212121"/>
                <w:sz w:val="19"/>
              </w:rPr>
              <w:t>Young children</w:t>
            </w:r>
          </w:p>
        </w:tc>
        <w:tc>
          <w:tcPr>
            <w:tcW w:type="dxa" w:w="1512"/>
            <w:vAlign w:val="top"/>
          </w:tcPr>
          <w:p>
            <w:pPr>
              <w:spacing w:after="40" w:before="0" w:line="259" w:lineRule="auto"/>
            </w:pPr>
            <w:r>
              <w:rPr>
                <w:rFonts w:ascii="Calibri" w:hAnsi="Calibri"/>
                <w:b w:val="0"/>
                <w:i w:val="0"/>
                <w:color w:val="212121"/>
                <w:sz w:val="19"/>
              </w:rPr>
              <w:t>Ceased by age 3</w:t>
            </w:r>
          </w:p>
        </w:tc>
        <w:tc>
          <w:tcPr>
            <w:tcW w:type="dxa" w:w="1512"/>
            <w:vAlign w:val="top"/>
          </w:tcPr>
          <w:p>
            <w:pPr>
              <w:spacing w:after="40" w:before="0" w:line="259" w:lineRule="auto"/>
            </w:pPr>
            <w:r>
              <w:rPr>
                <w:rFonts w:ascii="Calibri" w:hAnsi="Calibri"/>
                <w:b w:val="0"/>
                <w:i w:val="0"/>
                <w:color w:val="212121"/>
                <w:sz w:val="19"/>
              </w:rPr>
              <w:t>Persists beyond 3-4 years</w:t>
            </w:r>
          </w:p>
        </w:tc>
        <w:tc>
          <w:tcPr>
            <w:tcW w:type="dxa" w:w="1468"/>
            <w:vAlign w:val="top"/>
          </w:tcPr>
          <w:p>
            <w:pPr>
              <w:spacing w:after="60" w:line="259" w:lineRule="auto"/>
            </w:pPr>
            <w:r>
              <w:rPr>
                <w:rFonts w:ascii="Calibri" w:hAnsi="Calibri"/>
                <w:b w:val="0"/>
                <w:i w:val="0"/>
                <w:color w:val="212121"/>
                <w:sz w:val="19"/>
              </w:rPr>
              <w:t>Prolonged sucking causes anterior open bite, increased overjet and posterior crossbite</w:t>
            </w:r>
          </w:p>
          <w:p>
            <w:pPr>
              <w:spacing w:after="40" w:line="252" w:lineRule="auto"/>
            </w:pPr>
            <w:hyperlink r:id="rId13">
              <w:r>
                <w:rPr>
                  <w:rFonts w:ascii="Calibri" w:hAnsi="Calibri" w:cs="Calibri"/>
                  <w:sz w:val="18"/>
                  <w:color w:val="1155CC"/>
                  <w:u w:val="single"/>
                </w:rPr>
                <w:t xml:space="preserve">https://pubmed.ncbi.nlm.nih.gov/18302463/</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Breathing pattern</w:t>
            </w:r>
          </w:p>
        </w:tc>
        <w:tc>
          <w:tcPr>
            <w:tcW w:type="dxa" w:w="1655"/>
            <w:vAlign w:val="top"/>
          </w:tcPr>
          <w:p>
            <w:pPr>
              <w:spacing w:after="40" w:before="0" w:line="259" w:lineRule="auto"/>
            </w:pPr>
            <w:r>
              <w:rPr>
                <w:rFonts w:ascii="Calibri" w:hAnsi="Calibri"/>
                <w:b w:val="0"/>
                <w:i w:val="0"/>
                <w:color w:val="212121"/>
                <w:sz w:val="19"/>
              </w:rPr>
              <w:t>Children</w:t>
            </w:r>
          </w:p>
        </w:tc>
        <w:tc>
          <w:tcPr>
            <w:tcW w:type="dxa" w:w="1512"/>
            <w:vAlign w:val="top"/>
          </w:tcPr>
          <w:p>
            <w:pPr>
              <w:spacing w:after="40" w:before="0" w:line="259" w:lineRule="auto"/>
            </w:pPr>
            <w:r>
              <w:rPr>
                <w:rFonts w:ascii="Calibri" w:hAnsi="Calibri"/>
                <w:b w:val="0"/>
                <w:i w:val="0"/>
                <w:color w:val="212121"/>
                <w:sz w:val="19"/>
              </w:rPr>
              <w:t>Nasal breathing</w:t>
            </w:r>
          </w:p>
        </w:tc>
        <w:tc>
          <w:tcPr>
            <w:tcW w:type="dxa" w:w="1512"/>
            <w:vAlign w:val="top"/>
          </w:tcPr>
          <w:p>
            <w:pPr>
              <w:spacing w:after="40" w:before="0" w:line="259" w:lineRule="auto"/>
            </w:pPr>
            <w:r>
              <w:rPr>
                <w:rFonts w:ascii="Calibri" w:hAnsi="Calibri"/>
                <w:b w:val="0"/>
                <w:i w:val="0"/>
                <w:color w:val="212121"/>
                <w:sz w:val="19"/>
              </w:rPr>
              <w:t>Habitual mouth breathing</w:t>
            </w:r>
          </w:p>
        </w:tc>
        <w:tc>
          <w:tcPr>
            <w:tcW w:type="dxa" w:w="1468"/>
            <w:vAlign w:val="top"/>
          </w:tcPr>
          <w:p>
            <w:pPr>
              <w:spacing w:after="60" w:line="259" w:lineRule="auto"/>
            </w:pPr>
            <w:r>
              <w:rPr>
                <w:rFonts w:ascii="Calibri" w:hAnsi="Calibri"/>
                <w:b w:val="0"/>
                <w:i w:val="0"/>
                <w:color w:val="212121"/>
                <w:sz w:val="19"/>
              </w:rPr>
              <w:t>Mouth breathing alters tongue/mandibular posture and arch form</w:t>
            </w:r>
          </w:p>
          <w:p>
            <w:pPr>
              <w:spacing w:after="40" w:line="252" w:lineRule="auto"/>
            </w:pPr>
            <w:hyperlink r:id="rId13">
              <w:r>
                <w:rPr>
                  <w:rFonts w:ascii="Calibri" w:hAnsi="Calibri" w:cs="Calibri"/>
                  <w:sz w:val="18"/>
                  <w:color w:val="1155CC"/>
                  <w:u w:val="single"/>
                </w:rPr>
                <w:t xml:space="preserve">https://pubmed.ncbi.nlm.nih.gov/18302463/</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Overjet (mm)</w:t>
            </w:r>
          </w:p>
        </w:tc>
        <w:tc>
          <w:tcPr>
            <w:tcW w:type="dxa" w:w="1655"/>
            <w:vAlign w:val="top"/>
          </w:tcPr>
          <w:p>
            <w:pPr>
              <w:spacing w:after="40" w:before="0" w:line="259" w:lineRule="auto"/>
            </w:pPr>
            <w:r>
              <w:rPr>
                <w:rFonts w:ascii="Calibri" w:hAnsi="Calibri"/>
                <w:b w:val="0"/>
                <w:i w:val="0"/>
                <w:color w:val="212121"/>
                <w:sz w:val="19"/>
              </w:rPr>
              <w:t>All ages</w:t>
            </w:r>
          </w:p>
        </w:tc>
        <w:tc>
          <w:tcPr>
            <w:tcW w:type="dxa" w:w="1512"/>
            <w:vAlign w:val="top"/>
          </w:tcPr>
          <w:p>
            <w:pPr>
              <w:spacing w:after="40" w:before="0" w:line="259" w:lineRule="auto"/>
            </w:pPr>
            <w:r>
              <w:rPr>
                <w:rFonts w:ascii="Calibri" w:hAnsi="Calibri"/>
                <w:b w:val="0"/>
                <w:i w:val="0"/>
                <w:color w:val="212121"/>
                <w:sz w:val="19"/>
              </w:rPr>
              <w:t>2-4 mm</w:t>
            </w:r>
          </w:p>
        </w:tc>
        <w:tc>
          <w:tcPr>
            <w:tcW w:type="dxa" w:w="1512"/>
            <w:vAlign w:val="top"/>
          </w:tcPr>
          <w:p>
            <w:pPr>
              <w:spacing w:after="40" w:before="0" w:line="259" w:lineRule="auto"/>
            </w:pPr>
            <w:r>
              <w:rPr>
                <w:rFonts w:ascii="Calibri" w:hAnsi="Calibri"/>
                <w:b w:val="0"/>
                <w:i w:val="0"/>
                <w:color w:val="212121"/>
                <w:sz w:val="19"/>
              </w:rPr>
              <w:t>&gt; 4 mm (increased) or &lt; 0 mm (reverse)</w:t>
            </w:r>
          </w:p>
        </w:tc>
        <w:tc>
          <w:tcPr>
            <w:tcW w:type="dxa" w:w="1468"/>
            <w:vAlign w:val="top"/>
          </w:tcPr>
          <w:p>
            <w:pPr>
              <w:spacing w:after="40" w:before="0" w:line="259" w:lineRule="auto"/>
            </w:pPr>
            <w:r>
              <w:rPr>
                <w:rFonts w:ascii="Calibri" w:hAnsi="Calibri"/>
                <w:b w:val="0"/>
                <w:i w:val="0"/>
                <w:color w:val="212121"/>
                <w:sz w:val="19"/>
              </w:rPr>
              <w:t>Increased overjet raises incisor-trauma risk; reverse overjet indicates Class III</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Overbite (incisor overlap)</w:t>
            </w:r>
          </w:p>
        </w:tc>
        <w:tc>
          <w:tcPr>
            <w:tcW w:type="dxa" w:w="1655"/>
            <w:vAlign w:val="top"/>
          </w:tcPr>
          <w:p>
            <w:pPr>
              <w:spacing w:after="40" w:before="0" w:line="259" w:lineRule="auto"/>
            </w:pPr>
            <w:r>
              <w:rPr>
                <w:rFonts w:ascii="Calibri" w:hAnsi="Calibri"/>
                <w:b w:val="0"/>
                <w:i w:val="0"/>
                <w:color w:val="212121"/>
                <w:sz w:val="19"/>
              </w:rPr>
              <w:t>All ages</w:t>
            </w:r>
          </w:p>
        </w:tc>
        <w:tc>
          <w:tcPr>
            <w:tcW w:type="dxa" w:w="1512"/>
            <w:vAlign w:val="top"/>
          </w:tcPr>
          <w:p>
            <w:pPr>
              <w:spacing w:after="40" w:before="0" w:line="259" w:lineRule="auto"/>
            </w:pPr>
            <w:r>
              <w:rPr>
                <w:rFonts w:ascii="Calibri" w:hAnsi="Calibri"/>
                <w:b w:val="0"/>
                <w:i w:val="0"/>
                <w:color w:val="212121"/>
                <w:sz w:val="19"/>
              </w:rPr>
              <w:t>2-4 mm (~20-30%)</w:t>
            </w:r>
          </w:p>
        </w:tc>
        <w:tc>
          <w:tcPr>
            <w:tcW w:type="dxa" w:w="1512"/>
            <w:vAlign w:val="top"/>
          </w:tcPr>
          <w:p>
            <w:pPr>
              <w:spacing w:after="40" w:before="0" w:line="259" w:lineRule="auto"/>
            </w:pPr>
            <w:r>
              <w:rPr>
                <w:rFonts w:ascii="Calibri" w:hAnsi="Calibri"/>
                <w:b w:val="0"/>
                <w:i w:val="0"/>
                <w:color w:val="212121"/>
                <w:sz w:val="19"/>
              </w:rPr>
              <w:t>&gt; 50% (deep bite) or no overlap (open bite)</w:t>
            </w:r>
          </w:p>
        </w:tc>
        <w:tc>
          <w:tcPr>
            <w:tcW w:type="dxa" w:w="1468"/>
            <w:vAlign w:val="top"/>
          </w:tcPr>
          <w:p>
            <w:pPr>
              <w:spacing w:after="40" w:before="0" w:line="259" w:lineRule="auto"/>
            </w:pPr>
            <w:r>
              <w:rPr>
                <w:rFonts w:ascii="Calibri" w:hAnsi="Calibri"/>
                <w:b w:val="0"/>
                <w:i w:val="0"/>
                <w:color w:val="212121"/>
                <w:sz w:val="19"/>
              </w:rPr>
              <w:t>Vertical discrepancy affecting function and aesthetics</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Arch-length / tooth-size discrepancy (crowding)</w:t>
            </w:r>
          </w:p>
        </w:tc>
        <w:tc>
          <w:tcPr>
            <w:tcW w:type="dxa" w:w="1655"/>
            <w:vAlign w:val="top"/>
          </w:tcPr>
          <w:p>
            <w:pPr>
              <w:spacing w:after="40" w:before="0" w:line="259" w:lineRule="auto"/>
            </w:pPr>
            <w:r>
              <w:rPr>
                <w:rFonts w:ascii="Calibri" w:hAnsi="Calibri"/>
                <w:b w:val="0"/>
                <w:i w:val="0"/>
                <w:color w:val="212121"/>
                <w:sz w:val="19"/>
              </w:rPr>
              <w:t>Mixed / permanent dentition</w:t>
            </w:r>
          </w:p>
        </w:tc>
        <w:tc>
          <w:tcPr>
            <w:tcW w:type="dxa" w:w="1512"/>
            <w:vAlign w:val="top"/>
          </w:tcPr>
          <w:p>
            <w:pPr>
              <w:spacing w:after="40" w:before="0" w:line="259" w:lineRule="auto"/>
            </w:pPr>
            <w:r>
              <w:rPr>
                <w:rFonts w:ascii="Calibri" w:hAnsi="Calibri"/>
                <w:b w:val="0"/>
                <w:i w:val="0"/>
                <w:color w:val="212121"/>
                <w:sz w:val="19"/>
              </w:rPr>
              <w:t>&lt;= 0 mm (no crowding)</w:t>
            </w:r>
          </w:p>
        </w:tc>
        <w:tc>
          <w:tcPr>
            <w:tcW w:type="dxa" w:w="1512"/>
            <w:vAlign w:val="top"/>
          </w:tcPr>
          <w:p>
            <w:pPr>
              <w:spacing w:after="40" w:before="0" w:line="259" w:lineRule="auto"/>
            </w:pPr>
            <w:r>
              <w:rPr>
                <w:rFonts w:ascii="Calibri" w:hAnsi="Calibri"/>
                <w:b w:val="0"/>
                <w:i w:val="0"/>
                <w:color w:val="212121"/>
                <w:sz w:val="19"/>
              </w:rPr>
              <w:t>&gt;= 4 mm (moderate-severe crowding)</w:t>
            </w:r>
          </w:p>
        </w:tc>
        <w:tc>
          <w:tcPr>
            <w:tcW w:type="dxa" w:w="1468"/>
            <w:vAlign w:val="top"/>
          </w:tcPr>
          <w:p>
            <w:pPr>
              <w:spacing w:after="40" w:before="0" w:line="259" w:lineRule="auto"/>
            </w:pPr>
            <w:r>
              <w:rPr>
                <w:rFonts w:ascii="Calibri" w:hAnsi="Calibri"/>
                <w:b w:val="0"/>
                <w:i w:val="0"/>
                <w:color w:val="212121"/>
                <w:sz w:val="19"/>
              </w:rPr>
              <w:t>Quantifies crowding to guide extraction vs expansion</w:t>
            </w:r>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Diet consistency / chewing load</w:t>
            </w:r>
          </w:p>
        </w:tc>
        <w:tc>
          <w:tcPr>
            <w:tcW w:type="dxa" w:w="1655"/>
            <w:vAlign w:val="top"/>
          </w:tcPr>
          <w:p>
            <w:pPr>
              <w:spacing w:after="40" w:before="0" w:line="259" w:lineRule="auto"/>
            </w:pPr>
            <w:r>
              <w:rPr>
                <w:rFonts w:ascii="Calibri" w:hAnsi="Calibri"/>
                <w:b w:val="0"/>
                <w:i w:val="0"/>
                <w:color w:val="212121"/>
                <w:sz w:val="19"/>
              </w:rPr>
              <w:t>Children</w:t>
            </w:r>
          </w:p>
        </w:tc>
        <w:tc>
          <w:tcPr>
            <w:tcW w:type="dxa" w:w="1512"/>
            <w:vAlign w:val="top"/>
          </w:tcPr>
          <w:p>
            <w:pPr>
              <w:spacing w:after="40" w:before="0" w:line="259" w:lineRule="auto"/>
            </w:pPr>
            <w:r>
              <w:rPr>
                <w:rFonts w:ascii="Calibri" w:hAnsi="Calibri"/>
                <w:b w:val="0"/>
                <w:i w:val="0"/>
                <w:color w:val="212121"/>
                <w:sz w:val="19"/>
              </w:rPr>
              <w:t>Includes fibrous, firm-textured foods</w:t>
            </w:r>
          </w:p>
        </w:tc>
        <w:tc>
          <w:tcPr>
            <w:tcW w:type="dxa" w:w="1512"/>
            <w:vAlign w:val="top"/>
          </w:tcPr>
          <w:p>
            <w:pPr>
              <w:spacing w:after="40" w:before="0" w:line="259" w:lineRule="auto"/>
            </w:pPr>
            <w:r>
              <w:rPr>
                <w:rFonts w:ascii="Calibri" w:hAnsi="Calibri"/>
                <w:b w:val="0"/>
                <w:i w:val="0"/>
                <w:color w:val="212121"/>
                <w:sz w:val="19"/>
              </w:rPr>
              <w:t>Predominantly soft / processed</w:t>
            </w:r>
          </w:p>
        </w:tc>
        <w:tc>
          <w:tcPr>
            <w:tcW w:type="dxa" w:w="1468"/>
            <w:vAlign w:val="top"/>
          </w:tcPr>
          <w:p>
            <w:pPr>
              <w:spacing w:after="40" w:before="0" w:line="259" w:lineRule="auto"/>
            </w:pPr>
            <w:r>
              <w:rPr>
                <w:rFonts w:ascii="Calibri" w:hAnsi="Calibri"/>
                <w:b w:val="0"/>
                <w:i w:val="0"/>
                <w:color w:val="212121"/>
                <w:sz w:val="19"/>
              </w:rPr>
              <w:t>Adequate mastication stimulates normal jaw growth</w:t>
            </w:r>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Untreated caries in primary teeth (dmft)</w:t>
            </w:r>
          </w:p>
        </w:tc>
        <w:tc>
          <w:tcPr>
            <w:tcW w:type="dxa" w:w="1655"/>
            <w:vAlign w:val="top"/>
          </w:tcPr>
          <w:p>
            <w:pPr>
              <w:spacing w:after="40" w:before="0" w:line="259" w:lineRule="auto"/>
            </w:pPr>
            <w:r>
              <w:rPr>
                <w:rFonts w:ascii="Calibri" w:hAnsi="Calibri"/>
                <w:b w:val="0"/>
                <w:i w:val="0"/>
                <w:color w:val="212121"/>
                <w:sz w:val="19"/>
              </w:rPr>
              <w:t>Children</w:t>
            </w:r>
          </w:p>
        </w:tc>
        <w:tc>
          <w:tcPr>
            <w:tcW w:type="dxa" w:w="1512"/>
            <w:vAlign w:val="top"/>
          </w:tcPr>
          <w:p>
            <w:pPr>
              <w:spacing w:after="40" w:before="0" w:line="259" w:lineRule="auto"/>
            </w:pPr>
            <w:r>
              <w:rPr>
                <w:rFonts w:ascii="Calibri" w:hAnsi="Calibri"/>
                <w:b w:val="0"/>
                <w:i w:val="0"/>
                <w:color w:val="212121"/>
                <w:sz w:val="19"/>
              </w:rPr>
              <w:t>0</w:t>
            </w:r>
          </w:p>
        </w:tc>
        <w:tc>
          <w:tcPr>
            <w:tcW w:type="dxa" w:w="1512"/>
            <w:vAlign w:val="top"/>
          </w:tcPr>
          <w:p>
            <w:pPr>
              <w:spacing w:after="40" w:before="0" w:line="259" w:lineRule="auto"/>
            </w:pPr>
            <w:r>
              <w:rPr>
                <w:rFonts w:ascii="Calibri" w:hAnsi="Calibri"/>
                <w:b w:val="0"/>
                <w:i w:val="0"/>
                <w:color w:val="212121"/>
                <w:sz w:val="19"/>
              </w:rPr>
              <w:t>Any untreated decay risking early extraction</w:t>
            </w:r>
          </w:p>
        </w:tc>
        <w:tc>
          <w:tcPr>
            <w:tcW w:type="dxa" w:w="1468"/>
            <w:vAlign w:val="top"/>
          </w:tcPr>
          <w:p>
            <w:pPr>
              <w:spacing w:after="60" w:line="259" w:lineRule="auto"/>
            </w:pPr>
            <w:r>
              <w:rPr>
                <w:rFonts w:ascii="Calibri" w:hAnsi="Calibri"/>
                <w:b w:val="0"/>
                <w:i w:val="0"/>
                <w:color w:val="212121"/>
                <w:sz w:val="19"/>
              </w:rPr>
              <w:t>Early primary-tooth loss causes space loss and malocclusion</w:t>
            </w:r>
          </w:p>
          <w:p>
            <w:pPr>
              <w:spacing w:after="40" w:line="252" w:lineRule="auto"/>
            </w:pPr>
            <w:hyperlink r:id="rId18">
              <w:r>
                <w:rPr>
                  <w:rFonts w:ascii="Calibri" w:hAnsi="Calibri" w:cs="Calibri"/>
                  <w:sz w:val="18"/>
                  <w:color w:val="1155CC"/>
                  <w:u w:val="single"/>
                </w:rPr>
                <w:t xml:space="preserve">https://pubmed.ncbi.nlm.nih.gov/22439522/</w:t>
              </w:r>
            </w:hyperlink>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Habitual snoring / sleep-disordered breathing</w:t>
            </w:r>
          </w:p>
        </w:tc>
        <w:tc>
          <w:tcPr>
            <w:tcW w:type="dxa" w:w="1655"/>
            <w:vAlign w:val="top"/>
          </w:tcPr>
          <w:p>
            <w:pPr>
              <w:spacing w:after="40" w:before="0" w:line="259" w:lineRule="auto"/>
            </w:pPr>
            <w:r>
              <w:rPr>
                <w:rFonts w:ascii="Calibri" w:hAnsi="Calibri"/>
                <w:b w:val="0"/>
                <w:i w:val="0"/>
                <w:color w:val="212121"/>
                <w:sz w:val="19"/>
              </w:rPr>
              <w:t>Children</w:t>
            </w:r>
          </w:p>
        </w:tc>
        <w:tc>
          <w:tcPr>
            <w:tcW w:type="dxa" w:w="1512"/>
            <w:vAlign w:val="top"/>
          </w:tcPr>
          <w:p>
            <w:pPr>
              <w:spacing w:after="40" w:before="0" w:line="259" w:lineRule="auto"/>
            </w:pPr>
            <w:r>
              <w:rPr>
                <w:rFonts w:ascii="Calibri" w:hAnsi="Calibri"/>
                <w:b w:val="0"/>
                <w:i w:val="0"/>
                <w:color w:val="212121"/>
                <w:sz w:val="19"/>
              </w:rPr>
              <w:t>Absent</w:t>
            </w:r>
          </w:p>
        </w:tc>
        <w:tc>
          <w:tcPr>
            <w:tcW w:type="dxa" w:w="1512"/>
            <w:vAlign w:val="top"/>
          </w:tcPr>
          <w:p>
            <w:pPr>
              <w:spacing w:after="40" w:before="0" w:line="259" w:lineRule="auto"/>
            </w:pPr>
            <w:r>
              <w:rPr>
                <w:rFonts w:ascii="Calibri" w:hAnsi="Calibri"/>
                <w:b w:val="0"/>
                <w:i w:val="0"/>
                <w:color w:val="212121"/>
                <w:sz w:val="19"/>
              </w:rPr>
              <w:t>Habitual snoring / witnessed apnoea</w:t>
            </w:r>
          </w:p>
        </w:tc>
        <w:tc>
          <w:tcPr>
            <w:tcW w:type="dxa" w:w="1468"/>
            <w:vAlign w:val="top"/>
          </w:tcPr>
          <w:p>
            <w:pPr>
              <w:spacing w:after="60" w:line="259" w:lineRule="auto"/>
            </w:pPr>
            <w:r>
              <w:rPr>
                <w:rFonts w:ascii="Calibri" w:hAnsi="Calibri"/>
                <w:b w:val="0"/>
                <w:i w:val="0"/>
                <w:color w:val="212121"/>
                <w:sz w:val="19"/>
              </w:rPr>
              <w:t>Signals airway obstruction driving Class II / retrognathic growth</w:t>
            </w:r>
          </w:p>
          <w:p>
            <w:pPr>
              <w:spacing w:after="40" w:line="252" w:lineRule="auto"/>
            </w:pPr>
            <w:hyperlink r:id="rId20">
              <w:r>
                <w:rPr>
                  <w:rFonts w:ascii="Calibri" w:hAnsi="Calibri" w:cs="Calibri"/>
                  <w:sz w:val="18"/>
                  <w:color w:val="1155CC"/>
                  <w:u w:val="single"/>
                </w:rPr>
                <w:t xml:space="preserve">https://pubmed.ncbi.nlm.nih.gov/38626960/</w:t>
              </w:r>
            </w:hyperlink>
          </w:p>
        </w:tc>
      </w:tr>
      <w:tr>
        <w:trPr>
          <w:cantSplit/>
        </w:trPr>
        <w:tc>
          <w:tcPr>
            <w:tcW w:type="dxa" w:w="1512"/>
            <w:vAlign w:val="center"/>
          </w:tcPr>
          <w:p>
            <w:pPr>
              <w:spacing w:after="40"/>
            </w:pPr>
            <w:r>
              <w:rPr>
                <w:rFonts w:ascii="Calibri" w:hAnsi="Calibri"/>
                <w:b w:val="0"/>
                <w:i w:val="0"/>
                <w:color w:val="212121"/>
                <w:sz w:val="19"/>
              </w:rPr>
              <w:t>Posture</w:t>
            </w:r>
          </w:p>
        </w:tc>
        <w:tc>
          <w:tcPr>
            <w:tcW w:type="dxa" w:w="1944"/>
            <w:vAlign w:val="top"/>
          </w:tcPr>
          <w:p>
            <w:pPr>
              <w:spacing w:after="40" w:before="0" w:line="259" w:lineRule="auto"/>
            </w:pPr>
            <w:r>
              <w:rPr>
                <w:rFonts w:ascii="Calibri" w:hAnsi="Calibri"/>
                <w:b w:val="0"/>
                <w:i w:val="0"/>
                <w:color w:val="212121"/>
                <w:sz w:val="19"/>
              </w:rPr>
              <w:t>Tongue posture / swallow pattern</w:t>
            </w:r>
          </w:p>
        </w:tc>
        <w:tc>
          <w:tcPr>
            <w:tcW w:type="dxa" w:w="1655"/>
            <w:vAlign w:val="top"/>
          </w:tcPr>
          <w:p>
            <w:pPr>
              <w:spacing w:after="40" w:before="0" w:line="259" w:lineRule="auto"/>
            </w:pPr>
            <w:r>
              <w:rPr>
                <w:rFonts w:ascii="Calibri" w:hAnsi="Calibri"/>
                <w:b w:val="0"/>
                <w:i w:val="0"/>
                <w:color w:val="212121"/>
                <w:sz w:val="19"/>
              </w:rPr>
              <w:t>Children</w:t>
            </w:r>
          </w:p>
        </w:tc>
        <w:tc>
          <w:tcPr>
            <w:tcW w:type="dxa" w:w="1512"/>
            <w:vAlign w:val="top"/>
          </w:tcPr>
          <w:p>
            <w:pPr>
              <w:spacing w:after="40" w:before="0" w:line="259" w:lineRule="auto"/>
            </w:pPr>
            <w:r>
              <w:rPr>
                <w:rFonts w:ascii="Calibri" w:hAnsi="Calibri"/>
                <w:b w:val="0"/>
                <w:i w:val="0"/>
                <w:color w:val="212121"/>
                <w:sz w:val="19"/>
              </w:rPr>
              <w:t>Tongue rests on palate; mature swallow</w:t>
            </w:r>
          </w:p>
        </w:tc>
        <w:tc>
          <w:tcPr>
            <w:tcW w:type="dxa" w:w="1512"/>
            <w:vAlign w:val="top"/>
          </w:tcPr>
          <w:p>
            <w:pPr>
              <w:spacing w:after="40" w:before="0" w:line="259" w:lineRule="auto"/>
            </w:pPr>
            <w:r>
              <w:rPr>
                <w:rFonts w:ascii="Calibri" w:hAnsi="Calibri"/>
                <w:b w:val="0"/>
                <w:i w:val="0"/>
                <w:color w:val="212121"/>
                <w:sz w:val="19"/>
              </w:rPr>
              <w:t>Low tongue posture / infantile tongue thrust</w:t>
            </w:r>
          </w:p>
        </w:tc>
        <w:tc>
          <w:tcPr>
            <w:tcW w:type="dxa" w:w="1468"/>
            <w:vAlign w:val="top"/>
          </w:tcPr>
          <w:p>
            <w:pPr>
              <w:spacing w:after="40" w:before="0" w:line="259" w:lineRule="auto"/>
            </w:pPr>
            <w:r>
              <w:rPr>
                <w:rFonts w:ascii="Calibri" w:hAnsi="Calibri"/>
                <w:b w:val="0"/>
                <w:i w:val="0"/>
                <w:color w:val="212121"/>
                <w:sz w:val="19"/>
              </w:rPr>
              <w:t>Abnormal tongue posture sustains open bite and a narrow arch</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Age at first orthodontic evaluation</w:t>
            </w:r>
          </w:p>
        </w:tc>
        <w:tc>
          <w:tcPr>
            <w:tcW w:type="dxa" w:w="1655"/>
            <w:vAlign w:val="top"/>
          </w:tcPr>
          <w:p>
            <w:pPr>
              <w:spacing w:after="40" w:before="0" w:line="259" w:lineRule="auto"/>
            </w:pPr>
            <w:r>
              <w:rPr>
                <w:rFonts w:ascii="Calibri" w:hAnsi="Calibri"/>
                <w:b w:val="0"/>
                <w:i w:val="0"/>
                <w:color w:val="212121"/>
                <w:sz w:val="19"/>
              </w:rPr>
              <w:t>Children</w:t>
            </w:r>
          </w:p>
        </w:tc>
        <w:tc>
          <w:tcPr>
            <w:tcW w:type="dxa" w:w="1512"/>
            <w:vAlign w:val="top"/>
          </w:tcPr>
          <w:p>
            <w:pPr>
              <w:spacing w:after="40" w:before="0" w:line="259" w:lineRule="auto"/>
            </w:pPr>
            <w:r>
              <w:rPr>
                <w:rFonts w:ascii="Calibri" w:hAnsi="Calibri"/>
                <w:b w:val="0"/>
                <w:i w:val="0"/>
                <w:color w:val="212121"/>
                <w:sz w:val="19"/>
              </w:rPr>
              <w:t>By about age 7 years</w:t>
            </w:r>
          </w:p>
        </w:tc>
        <w:tc>
          <w:tcPr>
            <w:tcW w:type="dxa" w:w="1512"/>
            <w:vAlign w:val="top"/>
          </w:tcPr>
          <w:p>
            <w:pPr>
              <w:spacing w:after="40" w:before="0" w:line="259" w:lineRule="auto"/>
            </w:pPr>
            <w:r>
              <w:rPr>
                <w:rFonts w:ascii="Calibri" w:hAnsi="Calibri"/>
                <w:b w:val="0"/>
                <w:i w:val="0"/>
                <w:color w:val="212121"/>
                <w:sz w:val="19"/>
              </w:rPr>
              <w:t>First assessed in adolescence/adulthood</w:t>
            </w:r>
          </w:p>
        </w:tc>
        <w:tc>
          <w:tcPr>
            <w:tcW w:type="dxa" w:w="1468"/>
            <w:vAlign w:val="top"/>
          </w:tcPr>
          <w:p>
            <w:pPr>
              <w:spacing w:after="40" w:before="0" w:line="259" w:lineRule="auto"/>
            </w:pPr>
            <w:r>
              <w:rPr>
                <w:rFonts w:ascii="Calibri" w:hAnsi="Calibri"/>
                <w:b w:val="0"/>
                <w:i w:val="0"/>
                <w:color w:val="212121"/>
                <w:sz w:val="19"/>
              </w:rPr>
              <w:t>Early screening enables interceptive treatment during active growth</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Clinical measurement</w:t>
            </w:r>
          </w:p>
        </w:tc>
        <w:tc>
          <w:tcPr>
            <w:tcW w:type="dxa" w:w="1036"/>
            <w:vAlign w:val="top"/>
          </w:tcPr>
          <w:p>
            <w:pPr>
              <w:spacing w:after="40" w:before="0" w:line="259" w:lineRule="auto"/>
            </w:pPr>
            <w:r>
              <w:rPr>
                <w:rFonts w:ascii="Calibri" w:hAnsi="Calibri"/>
                <w:b w:val="0"/>
                <w:i w:val="0"/>
                <w:color w:val="212121"/>
                <w:sz w:val="16"/>
              </w:rPr>
              <w:t>Molar &amp; canine relationship (Angle class)</w:t>
            </w:r>
          </w:p>
        </w:tc>
        <w:tc>
          <w:tcPr>
            <w:tcW w:type="dxa" w:w="892"/>
            <w:vAlign w:val="top"/>
          </w:tcPr>
          <w:p>
            <w:pPr>
              <w:spacing w:after="40" w:before="0" w:line="259" w:lineRule="auto"/>
            </w:pPr>
            <w:r>
              <w:rPr>
                <w:rFonts w:ascii="Calibri" w:hAnsi="Calibri"/>
                <w:b w:val="0"/>
                <w:i w:val="0"/>
                <w:color w:val="212121"/>
                <w:sz w:val="16"/>
              </w:rPr>
              <w:t>Occlusal examination</w:t>
            </w:r>
          </w:p>
        </w:tc>
        <w:tc>
          <w:tcPr>
            <w:tcW w:type="dxa" w:w="950"/>
            <w:vAlign w:val="top"/>
          </w:tcPr>
          <w:p>
            <w:pPr>
              <w:spacing w:after="40" w:before="0" w:line="259" w:lineRule="auto"/>
            </w:pPr>
            <w:r>
              <w:rPr>
                <w:rFonts w:ascii="Calibri" w:hAnsi="Calibri"/>
                <w:b w:val="0"/>
                <w:i w:val="0"/>
                <w:color w:val="212121"/>
                <w:sz w:val="16"/>
              </w:rPr>
              <w:t>Class I (neutrocclusion)</w:t>
            </w:r>
          </w:p>
        </w:tc>
        <w:tc>
          <w:tcPr>
            <w:tcW w:type="dxa" w:w="950"/>
            <w:vAlign w:val="top"/>
          </w:tcPr>
          <w:p>
            <w:pPr>
              <w:spacing w:after="40" w:before="0" w:line="259" w:lineRule="auto"/>
            </w:pPr>
            <w:r>
              <w:rPr>
                <w:rFonts w:ascii="Calibri" w:hAnsi="Calibri"/>
                <w:b w:val="0"/>
                <w:i w:val="0"/>
                <w:color w:val="212121"/>
                <w:sz w:val="16"/>
              </w:rPr>
              <w:t>Class II or Class III</w:t>
            </w:r>
          </w:p>
        </w:tc>
        <w:tc>
          <w:tcPr>
            <w:tcW w:type="dxa" w:w="1036"/>
            <w:vAlign w:val="top"/>
          </w:tcPr>
          <w:p>
            <w:pPr>
              <w:spacing w:after="40" w:before="0" w:line="259" w:lineRule="auto"/>
            </w:pPr>
            <w:r>
              <w:rPr>
                <w:rFonts w:ascii="Calibri" w:hAnsi="Calibri"/>
                <w:b w:val="0"/>
                <w:i w:val="0"/>
                <w:color w:val="212121"/>
                <w:sz w:val="16"/>
              </w:rPr>
              <w:t>Defines the anteroposterior occlusal relationship and the basic malocclusion class</w:t>
            </w:r>
          </w:p>
        </w:tc>
        <w:tc>
          <w:tcPr>
            <w:tcW w:type="dxa" w:w="1036"/>
            <w:vAlign w:val="top"/>
          </w:tcPr>
          <w:p>
            <w:pPr>
              <w:spacing w:after="40" w:before="0" w:line="259" w:lineRule="auto"/>
            </w:pPr>
            <w:r>
              <w:rPr>
                <w:rFonts w:ascii="Calibri" w:hAnsi="Calibri"/>
                <w:b w:val="0"/>
                <w:i w:val="0"/>
                <w:color w:val="212121"/>
                <w:sz w:val="16"/>
              </w:rPr>
              <w:t>All patients with a bad bite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 / classification</w:t>
            </w:r>
          </w:p>
        </w:tc>
        <w:tc>
          <w:tcPr>
            <w:tcW w:type="dxa" w:w="720"/>
            <w:vAlign w:val="top"/>
          </w:tcPr>
          <w:p>
            <w:pPr>
              <w:spacing w:after="40" w:before="0" w:line="259" w:lineRule="auto"/>
            </w:pPr>
            <w:r>
              <w:rPr>
                <w:rFonts w:ascii="Calibri" w:hAnsi="Calibri"/>
                <w:b w:val="0"/>
                <w:i w:val="0"/>
                <w:color w:val="212121"/>
                <w:sz w:val="16"/>
              </w:rPr>
              <w:t>Assess both sides; record subdivisions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Clinical measurement</w:t>
            </w:r>
          </w:p>
        </w:tc>
        <w:tc>
          <w:tcPr>
            <w:tcW w:type="dxa" w:w="1036"/>
            <w:vAlign w:val="top"/>
          </w:tcPr>
          <w:p>
            <w:pPr>
              <w:spacing w:after="40" w:before="0" w:line="259" w:lineRule="auto"/>
            </w:pPr>
            <w:r>
              <w:rPr>
                <w:rFonts w:ascii="Calibri" w:hAnsi="Calibri"/>
                <w:b w:val="0"/>
                <w:i w:val="0"/>
                <w:color w:val="212121"/>
                <w:sz w:val="16"/>
              </w:rPr>
              <w:t>Overjet</w:t>
            </w:r>
          </w:p>
        </w:tc>
        <w:tc>
          <w:tcPr>
            <w:tcW w:type="dxa" w:w="892"/>
            <w:vAlign w:val="top"/>
          </w:tcPr>
          <w:p>
            <w:pPr>
              <w:spacing w:after="40" w:before="0" w:line="259" w:lineRule="auto"/>
            </w:pPr>
            <w:r>
              <w:rPr>
                <w:rFonts w:ascii="Calibri" w:hAnsi="Calibri"/>
                <w:b w:val="0"/>
                <w:i w:val="0"/>
                <w:color w:val="212121"/>
                <w:sz w:val="16"/>
              </w:rPr>
              <w:t>Ruler/probe measurement</w:t>
            </w:r>
          </w:p>
        </w:tc>
        <w:tc>
          <w:tcPr>
            <w:tcW w:type="dxa" w:w="950"/>
            <w:vAlign w:val="top"/>
          </w:tcPr>
          <w:p>
            <w:pPr>
              <w:spacing w:after="40" w:before="0" w:line="259" w:lineRule="auto"/>
            </w:pPr>
            <w:r>
              <w:rPr>
                <w:rFonts w:ascii="Calibri" w:hAnsi="Calibri"/>
                <w:b w:val="0"/>
                <w:i w:val="0"/>
                <w:color w:val="212121"/>
                <w:sz w:val="16"/>
              </w:rPr>
              <w:t>2-4 mm</w:t>
            </w:r>
          </w:p>
        </w:tc>
        <w:tc>
          <w:tcPr>
            <w:tcW w:type="dxa" w:w="950"/>
            <w:vAlign w:val="top"/>
          </w:tcPr>
          <w:p>
            <w:pPr>
              <w:spacing w:after="40" w:before="0" w:line="259" w:lineRule="auto"/>
            </w:pPr>
            <w:r>
              <w:rPr>
                <w:rFonts w:ascii="Calibri" w:hAnsi="Calibri"/>
                <w:b w:val="0"/>
                <w:i w:val="0"/>
                <w:color w:val="212121"/>
                <w:sz w:val="16"/>
              </w:rPr>
              <w:t>&gt; 4 mm or reverse (&lt; 0 mm)</w:t>
            </w:r>
          </w:p>
        </w:tc>
        <w:tc>
          <w:tcPr>
            <w:tcW w:type="dxa" w:w="1036"/>
            <w:vAlign w:val="top"/>
          </w:tcPr>
          <w:p>
            <w:pPr>
              <w:spacing w:after="40" w:before="0" w:line="259" w:lineRule="auto"/>
            </w:pPr>
            <w:r>
              <w:rPr>
                <w:rFonts w:ascii="Calibri" w:hAnsi="Calibri"/>
                <w:b w:val="0"/>
                <w:i w:val="0"/>
                <w:color w:val="212121"/>
                <w:sz w:val="16"/>
              </w:rPr>
              <w:t>Horizontal incisor relationship; increased in Class II div 1, reversed in Class III</w:t>
            </w:r>
          </w:p>
        </w:tc>
        <w:tc>
          <w:tcPr>
            <w:tcW w:type="dxa" w:w="1036"/>
            <w:vAlign w:val="top"/>
          </w:tcPr>
          <w:p>
            <w:pPr>
              <w:spacing w:after="40" w:before="0" w:line="259" w:lineRule="auto"/>
            </w:pPr>
            <w:r>
              <w:rPr>
                <w:rFonts w:ascii="Calibri" w:hAnsi="Calibri"/>
                <w:b w:val="0"/>
                <w:i w:val="0"/>
                <w:color w:val="212121"/>
                <w:sz w:val="16"/>
              </w:rPr>
              <w:t>Class II and Class III patients, thumb-suckers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Increased overjet predicts incisor trauma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Clinical measurement</w:t>
            </w:r>
          </w:p>
        </w:tc>
        <w:tc>
          <w:tcPr>
            <w:tcW w:type="dxa" w:w="1036"/>
            <w:vAlign w:val="top"/>
          </w:tcPr>
          <w:p>
            <w:pPr>
              <w:spacing w:after="40" w:before="0" w:line="259" w:lineRule="auto"/>
            </w:pPr>
            <w:r>
              <w:rPr>
                <w:rFonts w:ascii="Calibri" w:hAnsi="Calibri"/>
                <w:b w:val="0"/>
                <w:i w:val="0"/>
                <w:color w:val="212121"/>
                <w:sz w:val="16"/>
              </w:rPr>
              <w:t>Overbite</w:t>
            </w:r>
          </w:p>
        </w:tc>
        <w:tc>
          <w:tcPr>
            <w:tcW w:type="dxa" w:w="892"/>
            <w:vAlign w:val="top"/>
          </w:tcPr>
          <w:p>
            <w:pPr>
              <w:spacing w:after="40" w:before="0" w:line="259" w:lineRule="auto"/>
            </w:pPr>
            <w:r>
              <w:rPr>
                <w:rFonts w:ascii="Calibri" w:hAnsi="Calibri"/>
                <w:b w:val="0"/>
                <w:i w:val="0"/>
                <w:color w:val="212121"/>
                <w:sz w:val="16"/>
              </w:rPr>
              <w:t>Ruler measurement</w:t>
            </w:r>
          </w:p>
        </w:tc>
        <w:tc>
          <w:tcPr>
            <w:tcW w:type="dxa" w:w="950"/>
            <w:vAlign w:val="top"/>
          </w:tcPr>
          <w:p>
            <w:pPr>
              <w:spacing w:after="40" w:before="0" w:line="259" w:lineRule="auto"/>
            </w:pPr>
            <w:r>
              <w:rPr>
                <w:rFonts w:ascii="Calibri" w:hAnsi="Calibri"/>
                <w:b w:val="0"/>
                <w:i w:val="0"/>
                <w:color w:val="212121"/>
                <w:sz w:val="16"/>
              </w:rPr>
              <w:t>2-4 mm (~20-30% overlap)</w:t>
            </w:r>
          </w:p>
        </w:tc>
        <w:tc>
          <w:tcPr>
            <w:tcW w:type="dxa" w:w="950"/>
            <w:vAlign w:val="top"/>
          </w:tcPr>
          <w:p>
            <w:pPr>
              <w:spacing w:after="40" w:before="0" w:line="259" w:lineRule="auto"/>
            </w:pPr>
            <w:r>
              <w:rPr>
                <w:rFonts w:ascii="Calibri" w:hAnsi="Calibri"/>
                <w:b w:val="0"/>
                <w:i w:val="0"/>
                <w:color w:val="212121"/>
                <w:sz w:val="16"/>
              </w:rPr>
              <w:t>Deep bite (&gt; 50%) or anterior open bite (no overlap)</w:t>
            </w:r>
          </w:p>
        </w:tc>
        <w:tc>
          <w:tcPr>
            <w:tcW w:type="dxa" w:w="1036"/>
            <w:vAlign w:val="top"/>
          </w:tcPr>
          <w:p>
            <w:pPr>
              <w:spacing w:after="40" w:before="0" w:line="259" w:lineRule="auto"/>
            </w:pPr>
            <w:r>
              <w:rPr>
                <w:rFonts w:ascii="Calibri" w:hAnsi="Calibri"/>
                <w:b w:val="0"/>
                <w:i w:val="0"/>
                <w:color w:val="212121"/>
                <w:sz w:val="16"/>
              </w:rPr>
              <w:t>Vertical incisor relationship</w:t>
            </w:r>
          </w:p>
        </w:tc>
        <w:tc>
          <w:tcPr>
            <w:tcW w:type="dxa" w:w="1036"/>
            <w:vAlign w:val="top"/>
          </w:tcPr>
          <w:p>
            <w:pPr>
              <w:spacing w:after="40" w:before="0" w:line="259" w:lineRule="auto"/>
            </w:pPr>
            <w:r>
              <w:rPr>
                <w:rFonts w:ascii="Calibri" w:hAnsi="Calibri"/>
                <w:b w:val="0"/>
                <w:i w:val="0"/>
                <w:color w:val="212121"/>
                <w:sz w:val="16"/>
              </w:rPr>
              <w:t>Deep-bite Class II div 2, open-bite/tongue-thrust patients</w:t>
            </w:r>
          </w:p>
        </w:tc>
        <w:tc>
          <w:tcPr>
            <w:tcW w:type="dxa" w:w="720"/>
            <w:vAlign w:val="top"/>
          </w:tcPr>
          <w:p>
            <w:pPr>
              <w:spacing w:after="40" w:before="0" w:line="259" w:lineRule="auto"/>
            </w:pPr>
            <w:r>
              <w:rPr>
                <w:rFonts w:ascii="Calibri" w:hAnsi="Calibri"/>
                <w:b w:val="0"/>
                <w:i w:val="0"/>
                <w:color w:val="212121"/>
                <w:sz w:val="16"/>
              </w:rPr>
              <w:t>Posture; 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Open bite is often habit-related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Radiological</w:t>
            </w:r>
          </w:p>
        </w:tc>
        <w:tc>
          <w:tcPr>
            <w:tcW w:type="dxa" w:w="1036"/>
            <w:vAlign w:val="top"/>
          </w:tcPr>
          <w:p>
            <w:pPr>
              <w:spacing w:after="40" w:before="0" w:line="259" w:lineRule="auto"/>
            </w:pPr>
            <w:r>
              <w:rPr>
                <w:rFonts w:ascii="Calibri" w:hAnsi="Calibri"/>
                <w:b w:val="0"/>
                <w:i w:val="0"/>
                <w:color w:val="212121"/>
                <w:sz w:val="16"/>
              </w:rPr>
              <w:t>Lateral cephalogram - ANB angle</w:t>
            </w:r>
          </w:p>
        </w:tc>
        <w:tc>
          <w:tcPr>
            <w:tcW w:type="dxa" w:w="892"/>
            <w:vAlign w:val="top"/>
          </w:tcPr>
          <w:p>
            <w:pPr>
              <w:spacing w:after="40" w:before="0" w:line="259" w:lineRule="auto"/>
            </w:pPr>
            <w:r>
              <w:rPr>
                <w:rFonts w:ascii="Calibri" w:hAnsi="Calibri"/>
                <w:b w:val="0"/>
                <w:i w:val="0"/>
                <w:color w:val="212121"/>
                <w:sz w:val="16"/>
              </w:rPr>
              <w:t>Cephalometric analysis</w:t>
            </w:r>
          </w:p>
        </w:tc>
        <w:tc>
          <w:tcPr>
            <w:tcW w:type="dxa" w:w="950"/>
            <w:vAlign w:val="top"/>
          </w:tcPr>
          <w:p>
            <w:pPr>
              <w:spacing w:after="40" w:before="0" w:line="259" w:lineRule="auto"/>
            </w:pPr>
            <w:r>
              <w:rPr>
                <w:rFonts w:ascii="Calibri" w:hAnsi="Calibri"/>
                <w:b w:val="0"/>
                <w:i w:val="0"/>
                <w:color w:val="212121"/>
                <w:sz w:val="16"/>
              </w:rPr>
              <w:t>2-4 degrees</w:t>
            </w:r>
          </w:p>
        </w:tc>
        <w:tc>
          <w:tcPr>
            <w:tcW w:type="dxa" w:w="950"/>
            <w:vAlign w:val="top"/>
          </w:tcPr>
          <w:p>
            <w:pPr>
              <w:spacing w:after="40" w:before="0" w:line="259" w:lineRule="auto"/>
            </w:pPr>
            <w:r>
              <w:rPr>
                <w:rFonts w:ascii="Calibri" w:hAnsi="Calibri"/>
                <w:b w:val="0"/>
                <w:i w:val="0"/>
                <w:color w:val="212121"/>
                <w:sz w:val="16"/>
              </w:rPr>
              <w:t>&gt; 4 degrees (skeletal II); &lt; 2 degrees or negative (skeletal III)</w:t>
            </w:r>
          </w:p>
        </w:tc>
        <w:tc>
          <w:tcPr>
            <w:tcW w:type="dxa" w:w="1036"/>
            <w:vAlign w:val="top"/>
          </w:tcPr>
          <w:p>
            <w:pPr>
              <w:spacing w:after="40" w:before="0" w:line="259" w:lineRule="auto"/>
            </w:pPr>
            <w:r>
              <w:rPr>
                <w:rFonts w:ascii="Calibri" w:hAnsi="Calibri"/>
                <w:b w:val="0"/>
                <w:i w:val="0"/>
                <w:color w:val="212121"/>
                <w:sz w:val="16"/>
              </w:rPr>
              <w:t>Distinguishes skeletal from dental malocclusion and identifies the jaw at fault</w:t>
            </w:r>
          </w:p>
        </w:tc>
        <w:tc>
          <w:tcPr>
            <w:tcW w:type="dxa" w:w="1036"/>
            <w:vAlign w:val="top"/>
          </w:tcPr>
          <w:p>
            <w:pPr>
              <w:spacing w:after="40" w:before="0" w:line="259" w:lineRule="auto"/>
            </w:pPr>
            <w:r>
              <w:rPr>
                <w:rFonts w:ascii="Calibri" w:hAnsi="Calibri"/>
                <w:b w:val="0"/>
                <w:i w:val="0"/>
                <w:color w:val="212121"/>
                <w:sz w:val="16"/>
              </w:rPr>
              <w:t>Skeletal discrepancies, surgical planning</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 (skeletal)</w:t>
            </w:r>
          </w:p>
        </w:tc>
        <w:tc>
          <w:tcPr>
            <w:tcW w:type="dxa" w:w="720"/>
            <w:vAlign w:val="top"/>
          </w:tcPr>
          <w:p>
            <w:pPr>
              <w:spacing w:after="40" w:before="0" w:line="259" w:lineRule="auto"/>
            </w:pPr>
            <w:r>
              <w:rPr>
                <w:rFonts w:ascii="Calibri" w:hAnsi="Calibri"/>
                <w:b w:val="0"/>
                <w:i w:val="0"/>
                <w:color w:val="212121"/>
                <w:sz w:val="16"/>
              </w:rPr>
              <w:t>Interpret with SNA/SNB and growth stage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Radiological</w:t>
            </w:r>
          </w:p>
        </w:tc>
        <w:tc>
          <w:tcPr>
            <w:tcW w:type="dxa" w:w="1036"/>
            <w:vAlign w:val="top"/>
          </w:tcPr>
          <w:p>
            <w:pPr>
              <w:spacing w:after="40" w:before="0" w:line="259" w:lineRule="auto"/>
            </w:pPr>
            <w:r>
              <w:rPr>
                <w:rFonts w:ascii="Calibri" w:hAnsi="Calibri"/>
                <w:b w:val="0"/>
                <w:i w:val="0"/>
                <w:color w:val="212121"/>
                <w:sz w:val="16"/>
              </w:rPr>
              <w:t>Panoramic radiograph (OPG)</w:t>
            </w:r>
          </w:p>
        </w:tc>
        <w:tc>
          <w:tcPr>
            <w:tcW w:type="dxa" w:w="892"/>
            <w:vAlign w:val="top"/>
          </w:tcPr>
          <w:p>
            <w:pPr>
              <w:spacing w:after="40" w:before="0" w:line="259" w:lineRule="auto"/>
            </w:pPr>
            <w:r>
              <w:rPr>
                <w:rFonts w:ascii="Calibri" w:hAnsi="Calibri"/>
                <w:b w:val="0"/>
                <w:i w:val="0"/>
                <w:color w:val="212121"/>
                <w:sz w:val="16"/>
              </w:rPr>
              <w:t>Dental panoramic imaging</w:t>
            </w:r>
          </w:p>
        </w:tc>
        <w:tc>
          <w:tcPr>
            <w:tcW w:type="dxa" w:w="950"/>
            <w:vAlign w:val="top"/>
          </w:tcPr>
          <w:p>
            <w:pPr>
              <w:spacing w:after="40" w:before="0" w:line="259" w:lineRule="auto"/>
            </w:pPr>
            <w:r>
              <w:rPr>
                <w:rFonts w:ascii="Calibri" w:hAnsi="Calibri"/>
                <w:b w:val="0"/>
                <w:i w:val="0"/>
                <w:color w:val="212121"/>
                <w:sz w:val="16"/>
              </w:rPr>
              <w:t>All teeth present with a normal eruption path</w:t>
            </w:r>
          </w:p>
        </w:tc>
        <w:tc>
          <w:tcPr>
            <w:tcW w:type="dxa" w:w="950"/>
            <w:vAlign w:val="top"/>
          </w:tcPr>
          <w:p>
            <w:pPr>
              <w:spacing w:after="40" w:before="0" w:line="259" w:lineRule="auto"/>
            </w:pPr>
            <w:r>
              <w:rPr>
                <w:rFonts w:ascii="Calibri" w:hAnsi="Calibri"/>
                <w:b w:val="0"/>
                <w:i w:val="0"/>
                <w:color w:val="212121"/>
                <w:sz w:val="16"/>
              </w:rPr>
              <w:t>Impaction, agenesis, supernumeraries, ectopic eruption</w:t>
            </w:r>
          </w:p>
        </w:tc>
        <w:tc>
          <w:tcPr>
            <w:tcW w:type="dxa" w:w="1036"/>
            <w:vAlign w:val="top"/>
          </w:tcPr>
          <w:p>
            <w:pPr>
              <w:spacing w:after="40" w:before="0" w:line="259" w:lineRule="auto"/>
            </w:pPr>
            <w:r>
              <w:rPr>
                <w:rFonts w:ascii="Calibri" w:hAnsi="Calibri"/>
                <w:b w:val="0"/>
                <w:i w:val="0"/>
                <w:color w:val="212121"/>
                <w:sz w:val="16"/>
              </w:rPr>
              <w:t>Identifies developmental dental anomalies underlying malocclusion</w:t>
            </w:r>
          </w:p>
        </w:tc>
        <w:tc>
          <w:tcPr>
            <w:tcW w:type="dxa" w:w="1036"/>
            <w:vAlign w:val="top"/>
          </w:tcPr>
          <w:p>
            <w:pPr>
              <w:spacing w:after="40" w:before="0" w:line="259" w:lineRule="auto"/>
            </w:pPr>
            <w:r>
              <w:rPr>
                <w:rFonts w:ascii="Calibri" w:hAnsi="Calibri"/>
                <w:b w:val="0"/>
                <w:i w:val="0"/>
                <w:color w:val="212121"/>
                <w:sz w:val="16"/>
              </w:rPr>
              <w:t>Crowding, delayed eruption, missing teeth</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Screen before extraction/appliance planning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Model analysis</w:t>
            </w:r>
          </w:p>
        </w:tc>
        <w:tc>
          <w:tcPr>
            <w:tcW w:type="dxa" w:w="1036"/>
            <w:vAlign w:val="top"/>
          </w:tcPr>
          <w:p>
            <w:pPr>
              <w:spacing w:after="40" w:before="0" w:line="259" w:lineRule="auto"/>
            </w:pPr>
            <w:r>
              <w:rPr>
                <w:rFonts w:ascii="Calibri" w:hAnsi="Calibri"/>
                <w:b w:val="0"/>
                <w:i w:val="0"/>
                <w:color w:val="212121"/>
                <w:sz w:val="16"/>
              </w:rPr>
              <w:t>Space / arch-length &amp; Bolton analysis</w:t>
            </w:r>
          </w:p>
        </w:tc>
        <w:tc>
          <w:tcPr>
            <w:tcW w:type="dxa" w:w="892"/>
            <w:vAlign w:val="top"/>
          </w:tcPr>
          <w:p>
            <w:pPr>
              <w:spacing w:after="40" w:before="0" w:line="259" w:lineRule="auto"/>
            </w:pPr>
            <w:r>
              <w:rPr>
                <w:rFonts w:ascii="Calibri" w:hAnsi="Calibri"/>
                <w:b w:val="0"/>
                <w:i w:val="0"/>
                <w:color w:val="212121"/>
                <w:sz w:val="16"/>
              </w:rPr>
              <w:t>Study models or digital scans</w:t>
            </w:r>
          </w:p>
        </w:tc>
        <w:tc>
          <w:tcPr>
            <w:tcW w:type="dxa" w:w="950"/>
            <w:vAlign w:val="top"/>
          </w:tcPr>
          <w:p>
            <w:pPr>
              <w:spacing w:after="40" w:before="0" w:line="259" w:lineRule="auto"/>
            </w:pPr>
            <w:r>
              <w:rPr>
                <w:rFonts w:ascii="Calibri" w:hAnsi="Calibri"/>
                <w:b w:val="0"/>
                <w:i w:val="0"/>
                <w:color w:val="212121"/>
                <w:sz w:val="16"/>
              </w:rPr>
              <w:t>No arch-length deficiency; normal Bolton ratio</w:t>
            </w:r>
          </w:p>
        </w:tc>
        <w:tc>
          <w:tcPr>
            <w:tcW w:type="dxa" w:w="950"/>
            <w:vAlign w:val="top"/>
          </w:tcPr>
          <w:p>
            <w:pPr>
              <w:spacing w:after="40" w:before="0" w:line="259" w:lineRule="auto"/>
            </w:pPr>
            <w:r>
              <w:rPr>
                <w:rFonts w:ascii="Calibri" w:hAnsi="Calibri"/>
                <w:b w:val="0"/>
                <w:i w:val="0"/>
                <w:color w:val="212121"/>
                <w:sz w:val="16"/>
              </w:rPr>
              <w:t>Arch-length deficiency (crowding) or excess (spacing); Bolton discrepancy</w:t>
            </w:r>
          </w:p>
        </w:tc>
        <w:tc>
          <w:tcPr>
            <w:tcW w:type="dxa" w:w="1036"/>
            <w:vAlign w:val="top"/>
          </w:tcPr>
          <w:p>
            <w:pPr>
              <w:spacing w:after="40" w:before="0" w:line="259" w:lineRule="auto"/>
            </w:pPr>
            <w:r>
              <w:rPr>
                <w:rFonts w:ascii="Calibri" w:hAnsi="Calibri"/>
                <w:b w:val="0"/>
                <w:i w:val="0"/>
                <w:color w:val="212121"/>
                <w:sz w:val="16"/>
              </w:rPr>
              <w:t>Quantifies crowding/spacing and tooth-size discrepancy</w:t>
            </w:r>
          </w:p>
        </w:tc>
        <w:tc>
          <w:tcPr>
            <w:tcW w:type="dxa" w:w="1036"/>
            <w:vAlign w:val="top"/>
          </w:tcPr>
          <w:p>
            <w:pPr>
              <w:spacing w:after="40" w:before="0" w:line="259" w:lineRule="auto"/>
            </w:pPr>
            <w:r>
              <w:rPr>
                <w:rFonts w:ascii="Calibri" w:hAnsi="Calibri"/>
                <w:b w:val="0"/>
                <w:i w:val="0"/>
                <w:color w:val="212121"/>
                <w:sz w:val="16"/>
              </w:rPr>
              <w:t>Crowding/spacing cases</w:t>
            </w:r>
          </w:p>
        </w:tc>
        <w:tc>
          <w:tcPr>
            <w:tcW w:type="dxa" w:w="720"/>
            <w:vAlign w:val="top"/>
          </w:tcPr>
          <w:p>
            <w:pPr>
              <w:spacing w:after="40" w:before="0" w:line="259" w:lineRule="auto"/>
            </w:pPr>
            <w:r>
              <w:rPr>
                <w:rFonts w:ascii="Calibri" w:hAnsi="Calibri"/>
                <w:b w:val="0"/>
                <w:i w:val="0"/>
                <w:color w:val="212121"/>
                <w:sz w:val="16"/>
              </w:rPr>
              <w:t>Food; Provoking factors</w:t>
            </w:r>
          </w:p>
        </w:tc>
        <w:tc>
          <w:tcPr>
            <w:tcW w:type="dxa" w:w="720"/>
            <w:vAlign w:val="top"/>
          </w:tcPr>
          <w:p>
            <w:pPr>
              <w:spacing w:after="40" w:before="0" w:line="259" w:lineRule="auto"/>
            </w:pPr>
            <w:r>
              <w:rPr>
                <w:rFonts w:ascii="Calibri" w:hAnsi="Calibri"/>
                <w:b w:val="0"/>
                <w:i w:val="0"/>
                <w:color w:val="212121"/>
                <w:sz w:val="16"/>
              </w:rPr>
              <w:t>Treatment planning</w:t>
            </w:r>
          </w:p>
        </w:tc>
        <w:tc>
          <w:tcPr>
            <w:tcW w:type="dxa" w:w="720"/>
            <w:vAlign w:val="top"/>
          </w:tcPr>
          <w:p>
            <w:pPr>
              <w:spacing w:after="40" w:before="0" w:line="259" w:lineRule="auto"/>
            </w:pPr>
            <w:r>
              <w:rPr>
                <w:rFonts w:ascii="Calibri" w:hAnsi="Calibri"/>
                <w:b w:val="0"/>
                <w:i w:val="0"/>
                <w:color w:val="212121"/>
                <w:sz w:val="16"/>
              </w:rPr>
              <w:t>Guides extraction versus arch expansion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Index scoring</w:t>
            </w:r>
          </w:p>
        </w:tc>
        <w:tc>
          <w:tcPr>
            <w:tcW w:type="dxa" w:w="1036"/>
            <w:vAlign w:val="top"/>
          </w:tcPr>
          <w:p>
            <w:pPr>
              <w:spacing w:after="40" w:before="0" w:line="259" w:lineRule="auto"/>
            </w:pPr>
            <w:r>
              <w:rPr>
                <w:rFonts w:ascii="Calibri" w:hAnsi="Calibri"/>
                <w:b w:val="0"/>
                <w:i w:val="0"/>
                <w:color w:val="212121"/>
                <w:sz w:val="16"/>
              </w:rPr>
              <w:t>IOTN / Dental Aesthetic Index</w:t>
            </w:r>
          </w:p>
        </w:tc>
        <w:tc>
          <w:tcPr>
            <w:tcW w:type="dxa" w:w="892"/>
            <w:vAlign w:val="top"/>
          </w:tcPr>
          <w:p>
            <w:pPr>
              <w:spacing w:after="40" w:before="0" w:line="259" w:lineRule="auto"/>
            </w:pPr>
            <w:r>
              <w:rPr>
                <w:rFonts w:ascii="Calibri" w:hAnsi="Calibri"/>
                <w:b w:val="0"/>
                <w:i w:val="0"/>
                <w:color w:val="212121"/>
                <w:sz w:val="16"/>
              </w:rPr>
              <w:t>Orthodontic treatment-need index</w:t>
            </w:r>
          </w:p>
        </w:tc>
        <w:tc>
          <w:tcPr>
            <w:tcW w:type="dxa" w:w="950"/>
            <w:vAlign w:val="top"/>
          </w:tcPr>
          <w:p>
            <w:pPr>
              <w:spacing w:after="40" w:before="0" w:line="259" w:lineRule="auto"/>
            </w:pPr>
            <w:r>
              <w:rPr>
                <w:rFonts w:ascii="Calibri" w:hAnsi="Calibri"/>
                <w:b w:val="0"/>
                <w:i w:val="0"/>
                <w:color w:val="212121"/>
                <w:sz w:val="16"/>
              </w:rPr>
              <w:t>IOTN grade 1-2 (little/no need)</w:t>
            </w:r>
          </w:p>
        </w:tc>
        <w:tc>
          <w:tcPr>
            <w:tcW w:type="dxa" w:w="950"/>
            <w:vAlign w:val="top"/>
          </w:tcPr>
          <w:p>
            <w:pPr>
              <w:spacing w:after="40" w:before="0" w:line="259" w:lineRule="auto"/>
            </w:pPr>
            <w:r>
              <w:rPr>
                <w:rFonts w:ascii="Calibri" w:hAnsi="Calibri"/>
                <w:b w:val="0"/>
                <w:i w:val="0"/>
                <w:color w:val="212121"/>
                <w:sz w:val="16"/>
              </w:rPr>
              <w:t>IOTN grade 4-5 (great/very great need)</w:t>
            </w:r>
          </w:p>
        </w:tc>
        <w:tc>
          <w:tcPr>
            <w:tcW w:type="dxa" w:w="1036"/>
            <w:vAlign w:val="top"/>
          </w:tcPr>
          <w:p>
            <w:pPr>
              <w:spacing w:after="40" w:before="0" w:line="259" w:lineRule="auto"/>
            </w:pPr>
            <w:r>
              <w:rPr>
                <w:rFonts w:ascii="Calibri" w:hAnsi="Calibri"/>
                <w:b w:val="0"/>
                <w:i w:val="0"/>
                <w:color w:val="212121"/>
                <w:sz w:val="16"/>
              </w:rPr>
              <w:t>Objectively grades severity and need for treatment</w:t>
            </w:r>
          </w:p>
        </w:tc>
        <w:tc>
          <w:tcPr>
            <w:tcW w:type="dxa" w:w="1036"/>
            <w:vAlign w:val="top"/>
          </w:tcPr>
          <w:p>
            <w:pPr>
              <w:spacing w:after="40" w:before="0" w:line="259" w:lineRule="auto"/>
            </w:pPr>
            <w:r>
              <w:rPr>
                <w:rFonts w:ascii="Calibri" w:hAnsi="Calibri"/>
                <w:b w:val="0"/>
                <w:i w:val="0"/>
                <w:color w:val="212121"/>
                <w:sz w:val="16"/>
              </w:rPr>
              <w:t>Screening, epidemiology, care prioritisation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 / epidemiology</w:t>
            </w:r>
          </w:p>
        </w:tc>
        <w:tc>
          <w:tcPr>
            <w:tcW w:type="dxa" w:w="720"/>
            <w:vAlign w:val="top"/>
          </w:tcPr>
          <w:p>
            <w:pPr>
              <w:spacing w:after="40" w:before="0" w:line="259" w:lineRule="auto"/>
            </w:pPr>
            <w:r>
              <w:rPr>
                <w:rFonts w:ascii="Calibri" w:hAnsi="Calibri"/>
                <w:b w:val="0"/>
                <w:i w:val="0"/>
                <w:color w:val="212121"/>
                <w:sz w:val="16"/>
              </w:rPr>
              <w:t>Combines Dental Health and Aesthetic Components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Radiological</w:t>
            </w:r>
          </w:p>
        </w:tc>
        <w:tc>
          <w:tcPr>
            <w:tcW w:type="dxa" w:w="1036"/>
            <w:vAlign w:val="top"/>
          </w:tcPr>
          <w:p>
            <w:pPr>
              <w:spacing w:after="40" w:before="0" w:line="259" w:lineRule="auto"/>
            </w:pPr>
            <w:r>
              <w:rPr>
                <w:rFonts w:ascii="Calibri" w:hAnsi="Calibri"/>
                <w:b w:val="0"/>
                <w:i w:val="0"/>
                <w:color w:val="212121"/>
                <w:sz w:val="16"/>
              </w:rPr>
              <w:t>Hand-wrist / cervical vertebral maturation</w:t>
            </w:r>
          </w:p>
        </w:tc>
        <w:tc>
          <w:tcPr>
            <w:tcW w:type="dxa" w:w="892"/>
            <w:vAlign w:val="top"/>
          </w:tcPr>
          <w:p>
            <w:pPr>
              <w:spacing w:after="40" w:before="0" w:line="259" w:lineRule="auto"/>
            </w:pPr>
            <w:r>
              <w:rPr>
                <w:rFonts w:ascii="Calibri" w:hAnsi="Calibri"/>
                <w:b w:val="0"/>
                <w:i w:val="0"/>
                <w:color w:val="212121"/>
                <w:sz w:val="16"/>
              </w:rPr>
              <w:t>Skeletal maturity assessment</w:t>
            </w:r>
          </w:p>
        </w:tc>
        <w:tc>
          <w:tcPr>
            <w:tcW w:type="dxa" w:w="950"/>
            <w:vAlign w:val="top"/>
          </w:tcPr>
          <w:p>
            <w:pPr>
              <w:spacing w:after="40" w:before="0" w:line="259" w:lineRule="auto"/>
            </w:pPr>
            <w:r>
              <w:rPr>
                <w:rFonts w:ascii="Calibri" w:hAnsi="Calibri"/>
                <w:b w:val="0"/>
                <w:i w:val="0"/>
                <w:color w:val="212121"/>
                <w:sz w:val="16"/>
              </w:rPr>
              <w:t>Consistent with chronological age</w:t>
            </w:r>
          </w:p>
        </w:tc>
        <w:tc>
          <w:tcPr>
            <w:tcW w:type="dxa" w:w="950"/>
            <w:vAlign w:val="top"/>
          </w:tcPr>
          <w:p>
            <w:pPr>
              <w:spacing w:after="40" w:before="0" w:line="259" w:lineRule="auto"/>
            </w:pPr>
            <w:r>
              <w:rPr>
                <w:rFonts w:ascii="Calibri" w:hAnsi="Calibri"/>
                <w:b w:val="0"/>
                <w:i w:val="0"/>
                <w:color w:val="212121"/>
                <w:sz w:val="16"/>
              </w:rPr>
              <w:t>Identifies peri-pubertal growth-spurt timing</w:t>
            </w:r>
          </w:p>
        </w:tc>
        <w:tc>
          <w:tcPr>
            <w:tcW w:type="dxa" w:w="1036"/>
            <w:vAlign w:val="top"/>
          </w:tcPr>
          <w:p>
            <w:pPr>
              <w:spacing w:after="40" w:before="0" w:line="259" w:lineRule="auto"/>
            </w:pPr>
            <w:r>
              <w:rPr>
                <w:rFonts w:ascii="Calibri" w:hAnsi="Calibri"/>
                <w:b w:val="0"/>
                <w:i w:val="0"/>
                <w:color w:val="212121"/>
                <w:sz w:val="16"/>
              </w:rPr>
              <w:t>Times growth-modification (functional appliance) treatment</w:t>
            </w:r>
          </w:p>
        </w:tc>
        <w:tc>
          <w:tcPr>
            <w:tcW w:type="dxa" w:w="1036"/>
            <w:vAlign w:val="top"/>
          </w:tcPr>
          <w:p>
            <w:pPr>
              <w:spacing w:after="40" w:before="0" w:line="259" w:lineRule="auto"/>
            </w:pPr>
            <w:r>
              <w:rPr>
                <w:rFonts w:ascii="Calibri" w:hAnsi="Calibri"/>
                <w:b w:val="0"/>
                <w:i w:val="0"/>
                <w:color w:val="212121"/>
                <w:sz w:val="16"/>
              </w:rPr>
              <w:t>Growing Class II/III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Timing</w:t>
            </w:r>
          </w:p>
        </w:tc>
        <w:tc>
          <w:tcPr>
            <w:tcW w:type="dxa" w:w="720"/>
            <w:vAlign w:val="top"/>
          </w:tcPr>
          <w:p>
            <w:pPr>
              <w:spacing w:after="40" w:before="0" w:line="259" w:lineRule="auto"/>
            </w:pPr>
            <w:r>
              <w:rPr>
                <w:rFonts w:ascii="Calibri" w:hAnsi="Calibri"/>
                <w:b w:val="0"/>
                <w:i w:val="0"/>
                <w:color w:val="212121"/>
                <w:sz w:val="16"/>
              </w:rPr>
              <w:t>Best functional-appliance response is near the pubertal growth peak</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w:t>
            </w:r>
          </w:p>
        </w:tc>
        <w:tc>
          <w:tcPr>
            <w:tcW w:type="dxa" w:w="979"/>
            <w:vAlign w:val="top"/>
          </w:tcPr>
          <w:p>
            <w:pPr>
              <w:spacing w:after="40" w:before="0" w:line="259" w:lineRule="auto"/>
            </w:pPr>
            <w:r>
              <w:rPr>
                <w:rFonts w:ascii="Calibri" w:hAnsi="Calibri"/>
                <w:b w:val="0"/>
                <w:i w:val="0"/>
                <w:color w:val="212121"/>
                <w:sz w:val="16"/>
              </w:rPr>
              <w:t>Aesthetics, chewing difficulty, spacing, teasing</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Any present</w:t>
            </w:r>
          </w:p>
        </w:tc>
        <w:tc>
          <w:tcPr>
            <w:tcW w:type="dxa" w:w="1036"/>
            <w:vAlign w:val="top"/>
          </w:tcPr>
          <w:p>
            <w:pPr>
              <w:spacing w:after="40" w:before="0" w:line="259" w:lineRule="auto"/>
            </w:pPr>
            <w:r>
              <w:rPr>
                <w:rFonts w:ascii="Calibri" w:hAnsi="Calibri"/>
                <w:b w:val="0"/>
                <w:i w:val="0"/>
                <w:color w:val="212121"/>
                <w:sz w:val="16"/>
              </w:rPr>
              <w:t>Establishes patient concern and motivation for treatment</w:t>
            </w:r>
          </w:p>
        </w:tc>
        <w:tc>
          <w:tcPr>
            <w:tcW w:type="dxa" w:w="1036"/>
            <w:vAlign w:val="top"/>
          </w:tcPr>
          <w:p>
            <w:pPr>
              <w:spacing w:after="40" w:before="0" w:line="259" w:lineRule="auto"/>
            </w:pPr>
            <w:r>
              <w:rPr>
                <w:rFonts w:ascii="Calibri" w:hAnsi="Calibri"/>
                <w:b w:val="0"/>
                <w:i w:val="0"/>
                <w:color w:val="212121"/>
                <w:sz w:val="16"/>
              </w:rPr>
              <w:t>Adolescents, aesthetic-concern patients</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Motivation strongly predicts appliance compliance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Habit history</w:t>
            </w:r>
          </w:p>
        </w:tc>
        <w:tc>
          <w:tcPr>
            <w:tcW w:type="dxa" w:w="979"/>
            <w:vAlign w:val="top"/>
          </w:tcPr>
          <w:p>
            <w:pPr>
              <w:spacing w:after="40" w:before="0" w:line="259" w:lineRule="auto"/>
            </w:pPr>
            <w:r>
              <w:rPr>
                <w:rFonts w:ascii="Calibri" w:hAnsi="Calibri"/>
                <w:b w:val="0"/>
                <w:i w:val="0"/>
                <w:color w:val="212121"/>
                <w:sz w:val="16"/>
              </w:rPr>
              <w:t>Thumb/finger/pacifier sucking, tongue thrust, mouth breathing, bottle feeding</w:t>
            </w:r>
          </w:p>
        </w:tc>
        <w:tc>
          <w:tcPr>
            <w:tcW w:type="dxa" w:w="950"/>
            <w:vAlign w:val="top"/>
          </w:tcPr>
          <w:p>
            <w:pPr>
              <w:spacing w:after="40" w:before="0" w:line="259" w:lineRule="auto"/>
            </w:pPr>
            <w:r>
              <w:rPr>
                <w:rFonts w:ascii="Calibri" w:hAnsi="Calibri"/>
                <w:b w:val="0"/>
                <w:i w:val="0"/>
                <w:color w:val="212121"/>
                <w:sz w:val="16"/>
              </w:rPr>
              <w:t>None / ceased early</w:t>
            </w:r>
          </w:p>
        </w:tc>
        <w:tc>
          <w:tcPr>
            <w:tcW w:type="dxa" w:w="950"/>
            <w:vAlign w:val="top"/>
          </w:tcPr>
          <w:p>
            <w:pPr>
              <w:spacing w:after="40" w:before="0" w:line="259" w:lineRule="auto"/>
            </w:pPr>
            <w:r>
              <w:rPr>
                <w:rFonts w:ascii="Calibri" w:hAnsi="Calibri"/>
                <w:b w:val="0"/>
                <w:i w:val="0"/>
                <w:color w:val="212121"/>
                <w:sz w:val="16"/>
              </w:rPr>
              <w:t>Active or prolonged habit</w:t>
            </w:r>
          </w:p>
        </w:tc>
        <w:tc>
          <w:tcPr>
            <w:tcW w:type="dxa" w:w="1036"/>
            <w:vAlign w:val="top"/>
          </w:tcPr>
          <w:p>
            <w:pPr>
              <w:spacing w:after="40" w:before="0" w:line="259" w:lineRule="auto"/>
            </w:pPr>
            <w:r>
              <w:rPr>
                <w:rFonts w:ascii="Calibri" w:hAnsi="Calibri"/>
                <w:b w:val="0"/>
                <w:i w:val="0"/>
                <w:color w:val="212121"/>
                <w:sz w:val="16"/>
              </w:rPr>
              <w:t>Identifies functional causes amenable to interception</w:t>
            </w:r>
          </w:p>
        </w:tc>
        <w:tc>
          <w:tcPr>
            <w:tcW w:type="dxa" w:w="1036"/>
            <w:vAlign w:val="top"/>
          </w:tcPr>
          <w:p>
            <w:pPr>
              <w:spacing w:after="40" w:before="0" w:line="259" w:lineRule="auto"/>
            </w:pPr>
            <w:r>
              <w:rPr>
                <w:rFonts w:ascii="Calibri" w:hAnsi="Calibri"/>
                <w:b w:val="0"/>
                <w:i w:val="0"/>
                <w:color w:val="212121"/>
                <w:sz w:val="16"/>
              </w:rPr>
              <w:t>Children with open bite/overjet</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Early habit cessation may allow spontaneous self-correction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Medical &amp; developmental history</w:t>
            </w:r>
          </w:p>
        </w:tc>
        <w:tc>
          <w:tcPr>
            <w:tcW w:type="dxa" w:w="979"/>
            <w:vAlign w:val="top"/>
          </w:tcPr>
          <w:p>
            <w:pPr>
              <w:spacing w:after="40" w:before="0" w:line="259" w:lineRule="auto"/>
            </w:pPr>
            <w:r>
              <w:rPr>
                <w:rFonts w:ascii="Calibri" w:hAnsi="Calibri"/>
                <w:b w:val="0"/>
                <w:i w:val="0"/>
                <w:color w:val="212121"/>
                <w:sz w:val="16"/>
              </w:rPr>
              <w:t>Adenoids/tonsils, allergy, cleft, syndromes, airway</w:t>
            </w:r>
          </w:p>
        </w:tc>
        <w:tc>
          <w:tcPr>
            <w:tcW w:type="dxa" w:w="950"/>
            <w:vAlign w:val="top"/>
          </w:tcPr>
          <w:p>
            <w:pPr>
              <w:spacing w:after="40" w:before="0" w:line="259" w:lineRule="auto"/>
            </w:pPr>
            <w:r>
              <w:rPr>
                <w:rFonts w:ascii="Calibri" w:hAnsi="Calibri"/>
                <w:b w:val="0"/>
                <w:i w:val="0"/>
                <w:color w:val="212121"/>
                <w:sz w:val="16"/>
              </w:rPr>
              <w:t>Unremarkable</w:t>
            </w:r>
          </w:p>
        </w:tc>
        <w:tc>
          <w:tcPr>
            <w:tcW w:type="dxa" w:w="950"/>
            <w:vAlign w:val="top"/>
          </w:tcPr>
          <w:p>
            <w:pPr>
              <w:spacing w:after="40" w:before="0" w:line="259" w:lineRule="auto"/>
            </w:pPr>
            <w:r>
              <w:rPr>
                <w:rFonts w:ascii="Calibri" w:hAnsi="Calibri"/>
                <w:b w:val="0"/>
                <w:i w:val="0"/>
                <w:color w:val="212121"/>
                <w:sz w:val="16"/>
              </w:rPr>
              <w:t>Airway obstruction / craniofacial anomaly</w:t>
            </w:r>
          </w:p>
        </w:tc>
        <w:tc>
          <w:tcPr>
            <w:tcW w:type="dxa" w:w="1036"/>
            <w:vAlign w:val="top"/>
          </w:tcPr>
          <w:p>
            <w:pPr>
              <w:spacing w:after="40" w:before="0" w:line="259" w:lineRule="auto"/>
            </w:pPr>
            <w:r>
              <w:rPr>
                <w:rFonts w:ascii="Calibri" w:hAnsi="Calibri"/>
                <w:b w:val="0"/>
                <w:i w:val="0"/>
                <w:color w:val="212121"/>
                <w:sz w:val="16"/>
              </w:rPr>
              <w:t>Reveals airway and syndromic contributors</w:t>
            </w:r>
          </w:p>
        </w:tc>
        <w:tc>
          <w:tcPr>
            <w:tcW w:type="dxa" w:w="1036"/>
            <w:vAlign w:val="top"/>
          </w:tcPr>
          <w:p>
            <w:pPr>
              <w:spacing w:after="40" w:before="0" w:line="259" w:lineRule="auto"/>
            </w:pPr>
            <w:r>
              <w:rPr>
                <w:rFonts w:ascii="Calibri" w:hAnsi="Calibri"/>
                <w:b w:val="0"/>
                <w:i w:val="0"/>
                <w:color w:val="212121"/>
                <w:sz w:val="16"/>
              </w:rPr>
              <w:t>Mouth breathers, cleft/syndromic patients</w:t>
            </w:r>
          </w:p>
        </w:tc>
        <w:tc>
          <w:tcPr>
            <w:tcW w:type="dxa" w:w="720"/>
            <w:vAlign w:val="top"/>
          </w:tcPr>
          <w:p>
            <w:pPr>
              <w:spacing w:after="40" w:before="0" w:line="259" w:lineRule="auto"/>
            </w:pPr>
            <w:r>
              <w:rPr>
                <w:rFonts w:ascii="Calibri" w:hAnsi="Calibri"/>
                <w:b w:val="0"/>
                <w:i w:val="0"/>
                <w:color w:val="212121"/>
                <w:sz w:val="16"/>
              </w:rPr>
              <w:t>Sleep; 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Coordinate ENT referral for airway obstruction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Family history</w:t>
            </w:r>
          </w:p>
        </w:tc>
        <w:tc>
          <w:tcPr>
            <w:tcW w:type="dxa" w:w="979"/>
            <w:vAlign w:val="top"/>
          </w:tcPr>
          <w:p>
            <w:pPr>
              <w:spacing w:after="40" w:before="0" w:line="259" w:lineRule="auto"/>
            </w:pPr>
            <w:r>
              <w:rPr>
                <w:rFonts w:ascii="Calibri" w:hAnsi="Calibri"/>
                <w:b w:val="0"/>
                <w:i w:val="0"/>
                <w:color w:val="212121"/>
                <w:sz w:val="16"/>
              </w:rPr>
              <w:t>Parental Class III / skeletal pattern</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Familial skeletal discrepancy</w:t>
            </w:r>
          </w:p>
        </w:tc>
        <w:tc>
          <w:tcPr>
            <w:tcW w:type="dxa" w:w="1036"/>
            <w:vAlign w:val="top"/>
          </w:tcPr>
          <w:p>
            <w:pPr>
              <w:spacing w:after="40" w:before="0" w:line="259" w:lineRule="auto"/>
            </w:pPr>
            <w:r>
              <w:rPr>
                <w:rFonts w:ascii="Calibri" w:hAnsi="Calibri"/>
                <w:b w:val="0"/>
                <w:i w:val="0"/>
                <w:color w:val="212121"/>
                <w:sz w:val="16"/>
              </w:rPr>
              <w:t>Signals a heritable skeletal basis and likely progression</w:t>
            </w:r>
          </w:p>
        </w:tc>
        <w:tc>
          <w:tcPr>
            <w:tcW w:type="dxa" w:w="1036"/>
            <w:vAlign w:val="top"/>
          </w:tcPr>
          <w:p>
            <w:pPr>
              <w:spacing w:after="40" w:before="0" w:line="259" w:lineRule="auto"/>
            </w:pPr>
            <w:r>
              <w:rPr>
                <w:rFonts w:ascii="Calibri" w:hAnsi="Calibri"/>
                <w:b w:val="0"/>
                <w:i w:val="0"/>
                <w:color w:val="212121"/>
                <w:sz w:val="16"/>
              </w:rPr>
              <w:t>Class III / skeletal cases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Class III may worsen with continued mandibular growth</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Inspection</w:t>
            </w:r>
          </w:p>
        </w:tc>
        <w:tc>
          <w:tcPr>
            <w:tcW w:type="dxa" w:w="950"/>
            <w:vAlign w:val="top"/>
          </w:tcPr>
          <w:p>
            <w:pPr>
              <w:spacing w:after="40" w:before="0" w:line="259" w:lineRule="auto"/>
            </w:pPr>
            <w:r>
              <w:rPr>
                <w:rFonts w:ascii="Calibri" w:hAnsi="Calibri"/>
                <w:b w:val="0"/>
                <w:i w:val="0"/>
                <w:color w:val="212121"/>
                <w:sz w:val="16"/>
              </w:rPr>
              <w:t>Extraoral / facial profile</w:t>
            </w:r>
          </w:p>
        </w:tc>
        <w:tc>
          <w:tcPr>
            <w:tcW w:type="dxa" w:w="979"/>
            <w:vAlign w:val="top"/>
          </w:tcPr>
          <w:p>
            <w:pPr>
              <w:spacing w:after="40" w:before="0" w:line="259" w:lineRule="auto"/>
            </w:pPr>
            <w:r>
              <w:rPr>
                <w:rFonts w:ascii="Calibri" w:hAnsi="Calibri"/>
                <w:b w:val="0"/>
                <w:i w:val="0"/>
                <w:color w:val="212121"/>
                <w:sz w:val="16"/>
              </w:rPr>
              <w:t>Straight/convex/concave profile, symmetry, lip competence</w:t>
            </w:r>
          </w:p>
        </w:tc>
        <w:tc>
          <w:tcPr>
            <w:tcW w:type="dxa" w:w="950"/>
            <w:vAlign w:val="top"/>
          </w:tcPr>
          <w:p>
            <w:pPr>
              <w:spacing w:after="40" w:before="0" w:line="259" w:lineRule="auto"/>
            </w:pPr>
            <w:r>
              <w:rPr>
                <w:rFonts w:ascii="Calibri" w:hAnsi="Calibri"/>
                <w:b w:val="0"/>
                <w:i w:val="0"/>
                <w:color w:val="212121"/>
                <w:sz w:val="16"/>
              </w:rPr>
              <w:t>Straight or mildly convex, competent lips</w:t>
            </w:r>
          </w:p>
        </w:tc>
        <w:tc>
          <w:tcPr>
            <w:tcW w:type="dxa" w:w="950"/>
            <w:vAlign w:val="top"/>
          </w:tcPr>
          <w:p>
            <w:pPr>
              <w:spacing w:after="40" w:before="0" w:line="259" w:lineRule="auto"/>
            </w:pPr>
            <w:r>
              <w:rPr>
                <w:rFonts w:ascii="Calibri" w:hAnsi="Calibri"/>
                <w:b w:val="0"/>
                <w:i w:val="0"/>
                <w:color w:val="212121"/>
                <w:sz w:val="16"/>
              </w:rPr>
              <w:t>Convex (II), concave (III), asymmetry, lip incompetence</w:t>
            </w:r>
          </w:p>
        </w:tc>
        <w:tc>
          <w:tcPr>
            <w:tcW w:type="dxa" w:w="1036"/>
            <w:vAlign w:val="top"/>
          </w:tcPr>
          <w:p>
            <w:pPr>
              <w:spacing w:after="40" w:before="0" w:line="259" w:lineRule="auto"/>
            </w:pPr>
            <w:r>
              <w:rPr>
                <w:rFonts w:ascii="Calibri" w:hAnsi="Calibri"/>
                <w:b w:val="0"/>
                <w:i w:val="0"/>
                <w:color w:val="212121"/>
                <w:sz w:val="16"/>
              </w:rPr>
              <w:t>Screens for the skeletal pattern and vertical proportions</w:t>
            </w:r>
          </w:p>
        </w:tc>
        <w:tc>
          <w:tcPr>
            <w:tcW w:type="dxa" w:w="1036"/>
            <w:vAlign w:val="top"/>
          </w:tcPr>
          <w:p>
            <w:pPr>
              <w:spacing w:after="40" w:before="0" w:line="259" w:lineRule="auto"/>
            </w:pPr>
            <w:r>
              <w:rPr>
                <w:rFonts w:ascii="Calibri" w:hAnsi="Calibri"/>
                <w:b w:val="0"/>
                <w:i w:val="0"/>
                <w:color w:val="212121"/>
                <w:sz w:val="16"/>
              </w:rPr>
              <w:t>Skeletal II/III, long-face patients</w:t>
            </w:r>
          </w:p>
        </w:tc>
        <w:tc>
          <w:tcPr>
            <w:tcW w:type="dxa" w:w="720"/>
            <w:vAlign w:val="top"/>
          </w:tcPr>
          <w:p>
            <w:pPr>
              <w:spacing w:after="40" w:before="0" w:line="259" w:lineRule="auto"/>
            </w:pPr>
            <w:r>
              <w:rPr>
                <w:rFonts w:ascii="Calibri" w:hAnsi="Calibri"/>
                <w:b w:val="0"/>
                <w:i w:val="0"/>
                <w:color w:val="212121"/>
                <w:sz w:val="16"/>
              </w:rPr>
              <w:t>Posture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Note adenoid facies / long-face morphology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Inspection</w:t>
            </w:r>
          </w:p>
        </w:tc>
        <w:tc>
          <w:tcPr>
            <w:tcW w:type="dxa" w:w="950"/>
            <w:vAlign w:val="top"/>
          </w:tcPr>
          <w:p>
            <w:pPr>
              <w:spacing w:after="40" w:before="0" w:line="259" w:lineRule="auto"/>
            </w:pPr>
            <w:r>
              <w:rPr>
                <w:rFonts w:ascii="Calibri" w:hAnsi="Calibri"/>
                <w:b w:val="0"/>
                <w:i w:val="0"/>
                <w:color w:val="212121"/>
                <w:sz w:val="16"/>
              </w:rPr>
              <w:t>Intraoral occlusal assessment</w:t>
            </w:r>
          </w:p>
        </w:tc>
        <w:tc>
          <w:tcPr>
            <w:tcW w:type="dxa" w:w="979"/>
            <w:vAlign w:val="top"/>
          </w:tcPr>
          <w:p>
            <w:pPr>
              <w:spacing w:after="40" w:before="0" w:line="259" w:lineRule="auto"/>
            </w:pPr>
            <w:r>
              <w:rPr>
                <w:rFonts w:ascii="Calibri" w:hAnsi="Calibri"/>
                <w:b w:val="0"/>
                <w:i w:val="0"/>
                <w:color w:val="212121"/>
                <w:sz w:val="16"/>
              </w:rPr>
              <w:t>Crossbite, open bite, deep bite, midline, crowding, rotations</w:t>
            </w:r>
          </w:p>
        </w:tc>
        <w:tc>
          <w:tcPr>
            <w:tcW w:type="dxa" w:w="950"/>
            <w:vAlign w:val="top"/>
          </w:tcPr>
          <w:p>
            <w:pPr>
              <w:spacing w:after="40" w:before="0" w:line="259" w:lineRule="auto"/>
            </w:pPr>
            <w:r>
              <w:rPr>
                <w:rFonts w:ascii="Calibri" w:hAnsi="Calibri"/>
                <w:b w:val="0"/>
                <w:i w:val="0"/>
                <w:color w:val="212121"/>
                <w:sz w:val="16"/>
              </w:rPr>
              <w:t>Aligned arches, coincident midlines</w:t>
            </w:r>
          </w:p>
        </w:tc>
        <w:tc>
          <w:tcPr>
            <w:tcW w:type="dxa" w:w="950"/>
            <w:vAlign w:val="top"/>
          </w:tcPr>
          <w:p>
            <w:pPr>
              <w:spacing w:after="40" w:before="0" w:line="259" w:lineRule="auto"/>
            </w:pPr>
            <w:r>
              <w:rPr>
                <w:rFonts w:ascii="Calibri" w:hAnsi="Calibri"/>
                <w:b w:val="0"/>
                <w:i w:val="0"/>
                <w:color w:val="212121"/>
                <w:sz w:val="16"/>
              </w:rPr>
              <w:t>Any crossbite/open/deep bite, crowding, midline shift</w:t>
            </w:r>
          </w:p>
        </w:tc>
        <w:tc>
          <w:tcPr>
            <w:tcW w:type="dxa" w:w="1036"/>
            <w:vAlign w:val="top"/>
          </w:tcPr>
          <w:p>
            <w:pPr>
              <w:spacing w:after="40" w:before="0" w:line="259" w:lineRule="auto"/>
            </w:pPr>
            <w:r>
              <w:rPr>
                <w:rFonts w:ascii="Calibri" w:hAnsi="Calibri"/>
                <w:b w:val="0"/>
                <w:i w:val="0"/>
                <w:color w:val="212121"/>
                <w:sz w:val="16"/>
              </w:rPr>
              <w:t>Catalogues the specific malocclusion traits present</w:t>
            </w:r>
          </w:p>
        </w:tc>
        <w:tc>
          <w:tcPr>
            <w:tcW w:type="dxa" w:w="1036"/>
            <w:vAlign w:val="top"/>
          </w:tcPr>
          <w:p>
            <w:pPr>
              <w:spacing w:after="40" w:before="0" w:line="259" w:lineRule="auto"/>
            </w:pPr>
            <w:r>
              <w:rPr>
                <w:rFonts w:ascii="Calibri" w:hAnsi="Calibri"/>
                <w:b w:val="0"/>
                <w:i w:val="0"/>
                <w:color w:val="212121"/>
                <w:sz w:val="16"/>
              </w:rPr>
              <w:t>All malocclusion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Record findings for both arches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Palpation / functional</w:t>
            </w:r>
          </w:p>
        </w:tc>
        <w:tc>
          <w:tcPr>
            <w:tcW w:type="dxa" w:w="950"/>
            <w:vAlign w:val="top"/>
          </w:tcPr>
          <w:p>
            <w:pPr>
              <w:spacing w:after="40" w:before="0" w:line="259" w:lineRule="auto"/>
            </w:pPr>
            <w:r>
              <w:rPr>
                <w:rFonts w:ascii="Calibri" w:hAnsi="Calibri"/>
                <w:b w:val="0"/>
                <w:i w:val="0"/>
                <w:color w:val="212121"/>
                <w:sz w:val="16"/>
              </w:rPr>
              <w:t>TMJ &amp; functional examination</w:t>
            </w:r>
          </w:p>
        </w:tc>
        <w:tc>
          <w:tcPr>
            <w:tcW w:type="dxa" w:w="979"/>
            <w:vAlign w:val="top"/>
          </w:tcPr>
          <w:p>
            <w:pPr>
              <w:spacing w:after="40" w:before="0" w:line="259" w:lineRule="auto"/>
            </w:pPr>
            <w:r>
              <w:rPr>
                <w:rFonts w:ascii="Calibri" w:hAnsi="Calibri"/>
                <w:b w:val="0"/>
                <w:i w:val="0"/>
                <w:color w:val="212121"/>
                <w:sz w:val="16"/>
              </w:rPr>
              <w:t>TMJ click/tenderness, path of closure, functional shift</w:t>
            </w:r>
          </w:p>
        </w:tc>
        <w:tc>
          <w:tcPr>
            <w:tcW w:type="dxa" w:w="950"/>
            <w:vAlign w:val="top"/>
          </w:tcPr>
          <w:p>
            <w:pPr>
              <w:spacing w:after="40" w:before="0" w:line="259" w:lineRule="auto"/>
            </w:pPr>
            <w:r>
              <w:rPr>
                <w:rFonts w:ascii="Calibri" w:hAnsi="Calibri"/>
                <w:b w:val="0"/>
                <w:i w:val="0"/>
                <w:color w:val="212121"/>
                <w:sz w:val="16"/>
              </w:rPr>
              <w:t>Smooth closure, no shift or pain</w:t>
            </w:r>
          </w:p>
        </w:tc>
        <w:tc>
          <w:tcPr>
            <w:tcW w:type="dxa" w:w="950"/>
            <w:vAlign w:val="top"/>
          </w:tcPr>
          <w:p>
            <w:pPr>
              <w:spacing w:after="40" w:before="0" w:line="259" w:lineRule="auto"/>
            </w:pPr>
            <w:r>
              <w:rPr>
                <w:rFonts w:ascii="Calibri" w:hAnsi="Calibri"/>
                <w:b w:val="0"/>
                <w:i w:val="0"/>
                <w:color w:val="212121"/>
                <w:sz w:val="16"/>
              </w:rPr>
              <w:t>Functional shift or TMJ signs</w:t>
            </w:r>
          </w:p>
        </w:tc>
        <w:tc>
          <w:tcPr>
            <w:tcW w:type="dxa" w:w="1036"/>
            <w:vAlign w:val="top"/>
          </w:tcPr>
          <w:p>
            <w:pPr>
              <w:spacing w:after="40" w:before="0" w:line="259" w:lineRule="auto"/>
            </w:pPr>
            <w:r>
              <w:rPr>
                <w:rFonts w:ascii="Calibri" w:hAnsi="Calibri"/>
                <w:b w:val="0"/>
                <w:i w:val="0"/>
                <w:color w:val="212121"/>
                <w:sz w:val="16"/>
              </w:rPr>
              <w:t>Detects functional (postural) crossbite and TMD involvement</w:t>
            </w:r>
          </w:p>
        </w:tc>
        <w:tc>
          <w:tcPr>
            <w:tcW w:type="dxa" w:w="1036"/>
            <w:vAlign w:val="top"/>
          </w:tcPr>
          <w:p>
            <w:pPr>
              <w:spacing w:after="40" w:before="0" w:line="259" w:lineRule="auto"/>
            </w:pPr>
            <w:r>
              <w:rPr>
                <w:rFonts w:ascii="Calibri" w:hAnsi="Calibri"/>
                <w:b w:val="0"/>
                <w:i w:val="0"/>
                <w:color w:val="212121"/>
                <w:sz w:val="16"/>
              </w:rPr>
              <w:t>Crossbite, TMD-symptomatic patients</w:t>
            </w:r>
          </w:p>
        </w:tc>
        <w:tc>
          <w:tcPr>
            <w:tcW w:type="dxa" w:w="720"/>
            <w:vAlign w:val="top"/>
          </w:tcPr>
          <w:p>
            <w:pPr>
              <w:spacing w:after="40" w:before="0" w:line="259" w:lineRule="auto"/>
            </w:pPr>
            <w:r>
              <w:rPr>
                <w:rFonts w:ascii="Calibri" w:hAnsi="Calibri"/>
                <w:b w:val="0"/>
                <w:i w:val="0"/>
                <w:color w:val="212121"/>
                <w:sz w:val="16"/>
              </w:rPr>
              <w:t>Mental health; Posture</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Differentiate a functional shift from a true skeletal discrepancy</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Crooked, crowded or overlapping teeth</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Visibly irregular, rotated or overlapping teeth are the commonest presenting concern.</w:t>
            </w:r>
          </w:p>
        </w:tc>
      </w:tr>
      <w:tr>
        <w:trPr>
          <w:cantSplit/>
        </w:trPr>
        <w:tc>
          <w:tcPr>
            <w:tcW w:type="dxa" w:w="2304"/>
            <w:vAlign w:val="top"/>
          </w:tcPr>
          <w:p>
            <w:pPr>
              <w:spacing w:after="40" w:before="0" w:line="259" w:lineRule="auto"/>
            </w:pPr>
            <w:r>
              <w:rPr>
                <w:rFonts w:ascii="Calibri" w:hAnsi="Calibri"/>
                <w:b/>
                <w:i w:val="0"/>
                <w:color w:val="212121"/>
                <w:sz w:val="19"/>
              </w:rPr>
              <w:t>Dissatisfaction with dental or facial appearance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Aesthetic concern about the smile or facial profile is the leading reason for seeking care.</w:t>
            </w:r>
          </w:p>
        </w:tc>
      </w:tr>
      <w:tr>
        <w:trPr>
          <w:cantSplit/>
        </w:trPr>
        <w:tc>
          <w:tcPr>
            <w:tcW w:type="dxa" w:w="2304"/>
            <w:vAlign w:val="top"/>
          </w:tcPr>
          <w:p>
            <w:pPr>
              <w:spacing w:after="40" w:before="0" w:line="259" w:lineRule="auto"/>
            </w:pPr>
            <w:r>
              <w:rPr>
                <w:rFonts w:ascii="Calibri" w:hAnsi="Calibri"/>
                <w:b/>
                <w:i w:val="0"/>
                <w:color w:val="212121"/>
                <w:sz w:val="19"/>
              </w:rPr>
              <w:t>Gaps or spacing between teeth</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Generalised or localised spacing, including a midline diastema.</w:t>
            </w:r>
          </w:p>
        </w:tc>
      </w:tr>
      <w:tr>
        <w:trPr>
          <w:cantSplit/>
        </w:trPr>
        <w:tc>
          <w:tcPr>
            <w:tcW w:type="dxa" w:w="2304"/>
            <w:vAlign w:val="top"/>
          </w:tcPr>
          <w:p>
            <w:pPr>
              <w:spacing w:after="40" w:before="0" w:line="259" w:lineRule="auto"/>
            </w:pPr>
            <w:r>
              <w:rPr>
                <w:rFonts w:ascii="Calibri" w:hAnsi="Calibri"/>
                <w:b/>
                <w:i w:val="0"/>
                <w:color w:val="212121"/>
                <w:sz w:val="19"/>
              </w:rPr>
              <w:t>Protruding upper front teeth</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Prominent, forwardly-placed incisors (increased overjet), often with lip incompetence.</w:t>
            </w:r>
          </w:p>
        </w:tc>
      </w:tr>
      <w:tr>
        <w:trPr>
          <w:cantSplit/>
        </w:trPr>
        <w:tc>
          <w:tcPr>
            <w:tcW w:type="dxa" w:w="2304"/>
            <w:vAlign w:val="top"/>
          </w:tcPr>
          <w:p>
            <w:pPr>
              <w:spacing w:after="40" w:before="0" w:line="259" w:lineRule="auto"/>
            </w:pPr>
            <w:r>
              <w:rPr>
                <w:rFonts w:ascii="Calibri" w:hAnsi="Calibri"/>
                <w:b/>
                <w:i w:val="0"/>
                <w:color w:val="212121"/>
                <w:sz w:val="19"/>
              </w:rPr>
              <w:t>Difficulty biting or chewing food</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Inefficient incising/chewing when the teeth do not meet properly (open bite, crossbite, deep bite).</w:t>
            </w:r>
          </w:p>
        </w:tc>
      </w:tr>
      <w:tr>
        <w:trPr>
          <w:cantSplit/>
        </w:trPr>
        <w:tc>
          <w:tcPr>
            <w:tcW w:type="dxa" w:w="2304"/>
            <w:vAlign w:val="top"/>
          </w:tcPr>
          <w:p>
            <w:pPr>
              <w:spacing w:after="40" w:before="0" w:line="259" w:lineRule="auto"/>
            </w:pPr>
            <w:r>
              <w:rPr>
                <w:rFonts w:ascii="Calibri" w:hAnsi="Calibri"/>
                <w:b/>
                <w:i w:val="0"/>
                <w:color w:val="212121"/>
                <w:sz w:val="19"/>
              </w:rPr>
              <w:t>Awareness of a 'bad bite' / teeth not meeting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upper and lower teeth are felt to fit together abnormally.</w:t>
            </w:r>
          </w:p>
        </w:tc>
      </w:tr>
      <w:tr>
        <w:trPr>
          <w:cantSplit/>
        </w:trPr>
        <w:tc>
          <w:tcPr>
            <w:tcW w:type="dxa" w:w="2304"/>
            <w:vAlign w:val="top"/>
          </w:tcPr>
          <w:p>
            <w:pPr>
              <w:spacing w:after="40" w:before="0" w:line="259" w:lineRule="auto"/>
            </w:pPr>
            <w:r>
              <w:rPr>
                <w:rFonts w:ascii="Calibri" w:hAnsi="Calibri"/>
                <w:b/>
                <w:i w:val="0"/>
                <w:color w:val="212121"/>
                <w:sz w:val="19"/>
              </w:rPr>
              <w:t>Being teased or bullied about the teeth; low self-confidence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Visible malocclusion is a recognised trigger for teasing and reduced self-esteem.</w:t>
            </w:r>
          </w:p>
        </w:tc>
      </w:tr>
      <w:tr>
        <w:trPr>
          <w:cantSplit/>
        </w:trPr>
        <w:tc>
          <w:tcPr>
            <w:tcW w:type="dxa" w:w="2304"/>
            <w:vAlign w:val="top"/>
          </w:tcPr>
          <w:p>
            <w:pPr>
              <w:spacing w:after="40" w:before="0" w:line="259" w:lineRule="auto"/>
            </w:pPr>
            <w:r>
              <w:rPr>
                <w:rFonts w:ascii="Calibri" w:hAnsi="Calibri"/>
                <w:b/>
                <w:i w:val="0"/>
                <w:color w:val="212121"/>
                <w:sz w:val="19"/>
              </w:rPr>
              <w:t>Lisping or difficulty with certain sounds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Open bite or spacing can distort sibilant/dental sounds (s, z, t, d, th).</w:t>
            </w:r>
          </w:p>
        </w:tc>
      </w:tr>
      <w:tr>
        <w:trPr>
          <w:cantSplit/>
        </w:trPr>
        <w:tc>
          <w:tcPr>
            <w:tcW w:type="dxa" w:w="2304"/>
            <w:vAlign w:val="top"/>
          </w:tcPr>
          <w:p>
            <w:pPr>
              <w:spacing w:after="40" w:before="0" w:line="259" w:lineRule="auto"/>
            </w:pPr>
            <w:r>
              <w:rPr>
                <w:rFonts w:ascii="Calibri" w:hAnsi="Calibri"/>
                <w:b/>
                <w:i w:val="0"/>
                <w:color w:val="212121"/>
                <w:sz w:val="19"/>
              </w:rPr>
              <w:t>Habitual mouth breathing / dry mouth</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Common in the long-face pattern with nasal obstruction.</w:t>
            </w:r>
          </w:p>
        </w:tc>
      </w:tr>
      <w:tr>
        <w:trPr>
          <w:cantSplit/>
        </w:trPr>
        <w:tc>
          <w:tcPr>
            <w:tcW w:type="dxa" w:w="2304"/>
            <w:vAlign w:val="top"/>
          </w:tcPr>
          <w:p>
            <w:pPr>
              <w:spacing w:after="40" w:before="0" w:line="259" w:lineRule="auto"/>
            </w:pPr>
            <w:r>
              <w:rPr>
                <w:rFonts w:ascii="Calibri" w:hAnsi="Calibri"/>
                <w:b/>
                <w:i w:val="0"/>
                <w:color w:val="212121"/>
                <w:sz w:val="19"/>
              </w:rPr>
              <w:t>Biting the cheek, lip or palate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Malaligned teeth or a deep bite traumatise the soft tissues.</w:t>
            </w:r>
          </w:p>
        </w:tc>
      </w:tr>
      <w:tr>
        <w:trPr>
          <w:cantSplit/>
        </w:trPr>
        <w:tc>
          <w:tcPr>
            <w:tcW w:type="dxa" w:w="2304"/>
            <w:vAlign w:val="top"/>
          </w:tcPr>
          <w:p>
            <w:pPr>
              <w:spacing w:after="40" w:before="0" w:line="259" w:lineRule="auto"/>
            </w:pPr>
            <w:r>
              <w:rPr>
                <w:rFonts w:ascii="Calibri" w:hAnsi="Calibri"/>
                <w:b/>
                <w:i w:val="0"/>
                <w:color w:val="212121"/>
                <w:sz w:val="19"/>
              </w:rPr>
              <w:t>Jaw-joint pain, clicking or muscle fatigue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Temporomandibular symptoms may accompany some malocclusions, especially crossbite.</w:t>
            </w:r>
          </w:p>
        </w:tc>
      </w:tr>
      <w:tr>
        <w:trPr>
          <w:cantSplit/>
        </w:trPr>
        <w:tc>
          <w:tcPr>
            <w:tcW w:type="dxa" w:w="2304"/>
            <w:vAlign w:val="top"/>
          </w:tcPr>
          <w:p>
            <w:pPr>
              <w:spacing w:after="40" w:before="0" w:line="259" w:lineRule="auto"/>
            </w:pPr>
            <w:r>
              <w:rPr>
                <w:rFonts w:ascii="Calibri" w:hAnsi="Calibri"/>
                <w:b/>
                <w:i w:val="0"/>
                <w:color w:val="212121"/>
                <w:sz w:val="19"/>
              </w:rPr>
              <w:t>Food packing between teeth</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Spacing/malalignment traps food, causing discomfort and hygiene problems.</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Abnormal molar/canine relationship (Class II or III)</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Angle Class II or III identified on occlusal examination.</w:t>
            </w:r>
          </w:p>
        </w:tc>
      </w:tr>
      <w:tr>
        <w:trPr>
          <w:cantSplit/>
        </w:trPr>
        <w:tc>
          <w:tcPr>
            <w:tcW w:type="dxa" w:w="3456"/>
            <w:vAlign w:val="top"/>
          </w:tcPr>
          <w:p>
            <w:pPr>
              <w:spacing w:after="40" w:before="0" w:line="259" w:lineRule="auto"/>
            </w:pPr>
            <w:r>
              <w:rPr>
                <w:rFonts w:ascii="Calibri" w:hAnsi="Calibri"/>
                <w:b/>
                <w:i w:val="0"/>
                <w:color w:val="212121"/>
                <w:sz w:val="19"/>
              </w:rPr>
              <w:t>Increased overjet (&gt; 4 mm)</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Excessive horizontal gap, typically Class II division 1.</w:t>
            </w:r>
          </w:p>
        </w:tc>
      </w:tr>
      <w:tr>
        <w:trPr>
          <w:cantSplit/>
        </w:trPr>
        <w:tc>
          <w:tcPr>
            <w:tcW w:type="dxa" w:w="3456"/>
            <w:vAlign w:val="top"/>
          </w:tcPr>
          <w:p>
            <w:pPr>
              <w:spacing w:after="40" w:before="0" w:line="259" w:lineRule="auto"/>
            </w:pPr>
            <w:r>
              <w:rPr>
                <w:rFonts w:ascii="Calibri" w:hAnsi="Calibri"/>
                <w:b/>
                <w:i w:val="0"/>
                <w:color w:val="212121"/>
                <w:sz w:val="19"/>
              </w:rPr>
              <w:t>Reverse overjet / anterior crossbite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Lower incisors anterior to the uppers, indicating Class III.</w:t>
            </w:r>
          </w:p>
        </w:tc>
      </w:tr>
      <w:tr>
        <w:trPr>
          <w:cantSplit/>
        </w:trPr>
        <w:tc>
          <w:tcPr>
            <w:tcW w:type="dxa" w:w="3456"/>
            <w:vAlign w:val="top"/>
          </w:tcPr>
          <w:p>
            <w:pPr>
              <w:spacing w:after="40" w:before="0" w:line="259" w:lineRule="auto"/>
            </w:pPr>
            <w:r>
              <w:rPr>
                <w:rFonts w:ascii="Calibri" w:hAnsi="Calibri"/>
                <w:b/>
                <w:i w:val="0"/>
                <w:color w:val="212121"/>
                <w:sz w:val="19"/>
              </w:rPr>
              <w:t>Deep overbite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Excessive vertical overlap, sometimes with palatal soft-tissue trauma (Class II div 2).</w:t>
            </w:r>
          </w:p>
        </w:tc>
      </w:tr>
      <w:tr>
        <w:trPr>
          <w:cantSplit/>
        </w:trPr>
        <w:tc>
          <w:tcPr>
            <w:tcW w:type="dxa" w:w="3456"/>
            <w:vAlign w:val="top"/>
          </w:tcPr>
          <w:p>
            <w:pPr>
              <w:spacing w:after="40" w:before="0" w:line="259" w:lineRule="auto"/>
            </w:pPr>
            <w:r>
              <w:rPr>
                <w:rFonts w:ascii="Calibri" w:hAnsi="Calibri"/>
                <w:b/>
                <w:i w:val="0"/>
                <w:color w:val="212121"/>
                <w:sz w:val="19"/>
              </w:rPr>
              <w:t>Anterior open bite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No vertical contact of the anterior teeth, often habit-related.</w:t>
            </w:r>
          </w:p>
        </w:tc>
      </w:tr>
      <w:tr>
        <w:trPr>
          <w:cantSplit/>
        </w:trPr>
        <w:tc>
          <w:tcPr>
            <w:tcW w:type="dxa" w:w="3456"/>
            <w:vAlign w:val="top"/>
          </w:tcPr>
          <w:p>
            <w:pPr>
              <w:spacing w:after="40" w:before="0" w:line="259" w:lineRule="auto"/>
            </w:pPr>
            <w:r>
              <w:rPr>
                <w:rFonts w:ascii="Calibri" w:hAnsi="Calibri"/>
                <w:b/>
                <w:i w:val="0"/>
                <w:color w:val="212121"/>
                <w:sz w:val="19"/>
              </w:rPr>
              <w:t>Posterior crossbite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Lower buccal cusps occluding buccal to the uppers, often with a functional shift.</w:t>
            </w:r>
          </w:p>
        </w:tc>
      </w:tr>
      <w:tr>
        <w:trPr>
          <w:cantSplit/>
        </w:trPr>
        <w:tc>
          <w:tcPr>
            <w:tcW w:type="dxa" w:w="3456"/>
            <w:vAlign w:val="top"/>
          </w:tcPr>
          <w:p>
            <w:pPr>
              <w:spacing w:after="40" w:before="0" w:line="259" w:lineRule="auto"/>
            </w:pPr>
            <w:r>
              <w:rPr>
                <w:rFonts w:ascii="Calibri" w:hAnsi="Calibri"/>
                <w:b/>
                <w:i w:val="0"/>
                <w:color w:val="212121"/>
                <w:sz w:val="19"/>
              </w:rPr>
              <w:t>Dental crowding, rotations or spacing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Arch-length / tooth-size discrepancy.</w:t>
            </w:r>
          </w:p>
        </w:tc>
      </w:tr>
      <w:tr>
        <w:trPr>
          <w:cantSplit/>
        </w:trPr>
        <w:tc>
          <w:tcPr>
            <w:tcW w:type="dxa" w:w="3456"/>
            <w:vAlign w:val="top"/>
          </w:tcPr>
          <w:p>
            <w:pPr>
              <w:spacing w:after="40" w:before="0" w:line="259" w:lineRule="auto"/>
            </w:pPr>
            <w:r>
              <w:rPr>
                <w:rFonts w:ascii="Calibri" w:hAnsi="Calibri"/>
                <w:b/>
                <w:i w:val="0"/>
                <w:color w:val="212121"/>
                <w:sz w:val="19"/>
              </w:rPr>
              <w:t>Dental midline deviation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Upper and lower centrelines not coincident.</w:t>
            </w:r>
          </w:p>
        </w:tc>
      </w:tr>
      <w:tr>
        <w:trPr>
          <w:cantSplit/>
        </w:trPr>
        <w:tc>
          <w:tcPr>
            <w:tcW w:type="dxa" w:w="3456"/>
            <w:vAlign w:val="top"/>
          </w:tcPr>
          <w:p>
            <w:pPr>
              <w:spacing w:after="40" w:before="0" w:line="259" w:lineRule="auto"/>
            </w:pPr>
            <w:r>
              <w:rPr>
                <w:rFonts w:ascii="Calibri" w:hAnsi="Calibri"/>
                <w:b/>
                <w:i w:val="0"/>
                <w:color w:val="212121"/>
                <w:sz w:val="19"/>
              </w:rPr>
              <w:t>Convex or concave facial profile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Reflecting an underlying skeletal Class II or III pattern.</w:t>
            </w:r>
          </w:p>
        </w:tc>
      </w:tr>
      <w:tr>
        <w:trPr>
          <w:cantSplit/>
        </w:trPr>
        <w:tc>
          <w:tcPr>
            <w:tcW w:type="dxa" w:w="3456"/>
            <w:vAlign w:val="top"/>
          </w:tcPr>
          <w:p>
            <w:pPr>
              <w:spacing w:after="40" w:before="0" w:line="259" w:lineRule="auto"/>
            </w:pPr>
            <w:r>
              <w:rPr>
                <w:rFonts w:ascii="Calibri" w:hAnsi="Calibri"/>
                <w:b/>
                <w:i w:val="0"/>
                <w:color w:val="212121"/>
                <w:sz w:val="19"/>
              </w:rPr>
              <w:t>Lip incompetence / strained lip closure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Lips apart at rest with mentalis strain on closure.</w:t>
            </w:r>
          </w:p>
        </w:tc>
      </w:tr>
      <w:tr>
        <w:trPr>
          <w:cantSplit/>
        </w:trPr>
        <w:tc>
          <w:tcPr>
            <w:tcW w:type="dxa" w:w="3456"/>
            <w:vAlign w:val="top"/>
          </w:tcPr>
          <w:p>
            <w:pPr>
              <w:spacing w:after="40" w:before="0" w:line="259" w:lineRule="auto"/>
            </w:pPr>
            <w:r>
              <w:rPr>
                <w:rFonts w:ascii="Calibri" w:hAnsi="Calibri"/>
                <w:b/>
                <w:i w:val="0"/>
                <w:color w:val="212121"/>
                <w:sz w:val="19"/>
              </w:rPr>
              <w:t>High-arched, narrow palate (adenoid facies)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Typical of chronic mouth breathers.</w:t>
            </w:r>
          </w:p>
        </w:tc>
      </w:tr>
      <w:tr>
        <w:trPr>
          <w:cantSplit/>
        </w:trPr>
        <w:tc>
          <w:tcPr>
            <w:tcW w:type="dxa" w:w="3456"/>
            <w:vAlign w:val="top"/>
          </w:tcPr>
          <w:p>
            <w:pPr>
              <w:spacing w:after="40" w:before="0" w:line="259" w:lineRule="auto"/>
            </w:pPr>
            <w:r>
              <w:rPr>
                <w:rFonts w:ascii="Calibri" w:hAnsi="Calibri"/>
                <w:b/>
                <w:i w:val="0"/>
                <w:color w:val="212121"/>
                <w:sz w:val="19"/>
              </w:rPr>
              <w:t>Impacted, ectopic, missing or supernumerary teeth</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Detected clinically and on the panoramic radiograph.</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Impaired mastication and biting efficiency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Speech / articulation difficulty (lisping, distorted sibilants)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Compromised dental and facial aesthetics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Difficulty maintaining oral hygiene around crowded/malaligned teeth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Increased risk of trauma to protruding upper incisors</w:t>
            </w:r>
          </w:p>
        </w:tc>
        <w:tc>
          <w:tcPr>
            <w:tcW w:type="dxa" w:w="2980"/>
            <w:vAlign w:val="top"/>
          </w:tcPr>
          <w:p>
            <w:pPr>
              <w:spacing w:after="40" w:before="0" w:line="259" w:lineRule="auto"/>
            </w:pPr>
            <w:r>
              <w:rPr>
                <w:rFonts w:ascii="Calibri" w:hAnsi="Calibri"/>
                <w:b w:val="0"/>
                <w:i w:val="0"/>
                <w:color w:val="212121"/>
                <w:sz w:val="19"/>
              </w:rPr>
              <w:t>Direct functional, structural and aesthetic consequences of the malaligned teeth and jaws.</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Dental caries from plaque retention in crowded, irregular areas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Gingivitis and periodontal disease around malaligned teeth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Abnormal tooth wear and attrition (compounded by bruxism)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Temporomandibular joint dysfunction, especially with crossbite and functional shift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Psychosocial impact: low self-esteem, teasing/bullying and poorer oral-health-related quality of life</w:t>
            </w:r>
          </w:p>
        </w:tc>
        <w:tc>
          <w:tcPr>
            <w:tcW w:type="dxa" w:w="2980"/>
            <w:vAlign w:val="top"/>
          </w:tcPr>
          <w:p>
            <w:pPr>
              <w:spacing w:after="40" w:before="0" w:line="259" w:lineRule="auto"/>
            </w:pPr>
            <w:r>
              <w:rPr>
                <w:rFonts w:ascii="Calibri" w:hAnsi="Calibri"/>
                <w:b w:val="0"/>
                <w:i w:val="0"/>
                <w:color w:val="212121"/>
                <w:sz w:val="19"/>
              </w:rPr>
              <w:t>Develop over time from the local environment, loading and social consequences created by the malocclusion.</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Progressive periodontal breakdown and eventual tooth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 skeletal discrepancy requiring orthognathic (jaw) surgery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Contribution to obstructive sleep apnoea in retrognathic / narrow-arch patterns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temporomandibular disorder and orofacial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Lasting psychological and social impairment; high cumulative treatment cost</w:t>
            </w:r>
          </w:p>
        </w:tc>
        <w:tc>
          <w:tcPr>
            <w:tcW w:type="dxa" w:w="2980"/>
            <w:vAlign w:val="top"/>
          </w:tcPr>
          <w:p>
            <w:pPr>
              <w:spacing w:after="40" w:before="0" w:line="259" w:lineRule="auto"/>
            </w:pPr>
            <w:r>
              <w:rPr>
                <w:rFonts w:ascii="Calibri" w:hAnsi="Calibri"/>
                <w:b w:val="0"/>
                <w:i w:val="0"/>
                <w:color w:val="212121"/>
                <w:sz w:val="19"/>
              </w:rPr>
              <w:t>Irreversible or major long-term outcomes of severe, untreated malocclusion.</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Dental caries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Crowded, overlapping and rotated teeth retain plaque and are hard to clean, raising caries risk; conversely, caries-driven premature loss of primary teeth causes the space loss that produces malocclusion.</w:t>
            </w:r>
          </w:p>
        </w:tc>
      </w:tr>
      <w:tr>
        <w:trPr>
          <w:cantSplit/>
        </w:trPr>
        <w:tc>
          <w:tcPr>
            <w:tcW w:type="dxa" w:w="2232"/>
            <w:vAlign w:val="top"/>
          </w:tcPr>
          <w:p>
            <w:pPr>
              <w:spacing w:after="40" w:before="0" w:line="259" w:lineRule="auto"/>
            </w:pPr>
            <w:r>
              <w:rPr>
                <w:rFonts w:ascii="Calibri" w:hAnsi="Calibri"/>
                <w:b/>
                <w:i w:val="0"/>
                <w:color w:val="212121"/>
                <w:sz w:val="19"/>
              </w:rPr>
              <w:t>Gingivitis / periodontal disease</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Plaque accumulation around malaligned teeth promotes gingival inflammation and, over time, periodontal attachment loss; orthodontic alignment improves cleansability.</w:t>
            </w:r>
          </w:p>
        </w:tc>
      </w:tr>
      <w:tr>
        <w:trPr>
          <w:cantSplit/>
        </w:trPr>
        <w:tc>
          <w:tcPr>
            <w:tcW w:type="dxa" w:w="2232"/>
            <w:vAlign w:val="top"/>
          </w:tcPr>
          <w:p>
            <w:pPr>
              <w:spacing w:after="40" w:before="0" w:line="259" w:lineRule="auto"/>
            </w:pPr>
            <w:r>
              <w:rPr>
                <w:rFonts w:ascii="Calibri" w:hAnsi="Calibri"/>
                <w:b/>
                <w:i w:val="0"/>
                <w:color w:val="212121"/>
                <w:sz w:val="19"/>
              </w:rPr>
              <w:t>Temporomandibular disorders (TMD)</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Occlusal disharmony - particularly a crossbite with a functional shift - is associated with TMD, though most individual malocclusion traits are weak and debated predictors.</w:t>
            </w:r>
          </w:p>
        </w:tc>
      </w:tr>
      <w:tr>
        <w:trPr>
          <w:cantSplit/>
        </w:trPr>
        <w:tc>
          <w:tcPr>
            <w:tcW w:type="dxa" w:w="2232"/>
            <w:vAlign w:val="top"/>
          </w:tcPr>
          <w:p>
            <w:pPr>
              <w:spacing w:after="40" w:before="0" w:line="259" w:lineRule="auto"/>
            </w:pPr>
            <w:r>
              <w:rPr>
                <w:rFonts w:ascii="Calibri" w:hAnsi="Calibri"/>
                <w:b/>
                <w:i w:val="0"/>
                <w:color w:val="212121"/>
                <w:sz w:val="19"/>
              </w:rPr>
              <w:t>Obstructive sleep apnoea (OSA)</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 retrognathic mandible and narrow, high-arched maxilla reduce the pharyngeal airway; Class II retrognathia is a common feature of paediatric OSA, and OSA-related mouth breathing further distorts growth.</w:t>
            </w:r>
          </w:p>
        </w:tc>
      </w:tr>
      <w:tr>
        <w:trPr>
          <w:cantSplit/>
        </w:trPr>
        <w:tc>
          <w:tcPr>
            <w:tcW w:type="dxa" w:w="2232"/>
            <w:vAlign w:val="top"/>
          </w:tcPr>
          <w:p>
            <w:pPr>
              <w:spacing w:after="40" w:before="0" w:line="259" w:lineRule="auto"/>
            </w:pPr>
            <w:r>
              <w:rPr>
                <w:rFonts w:ascii="Calibri" w:hAnsi="Calibri"/>
                <w:b/>
                <w:i w:val="0"/>
                <w:color w:val="212121"/>
                <w:sz w:val="19"/>
              </w:rPr>
              <w:t>Adenotonsillar hypertrophy / mouth breathing</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Airway obstruction from enlarged adenoids/tonsils forces mouth breathing that reshapes the growing face toward a Class II, long-face malocclusion - a shared airway mechanism.</w:t>
            </w:r>
          </w:p>
        </w:tc>
      </w:tr>
      <w:tr>
        <w:trPr>
          <w:cantSplit/>
        </w:trPr>
        <w:tc>
          <w:tcPr>
            <w:tcW w:type="dxa" w:w="2232"/>
            <w:vAlign w:val="top"/>
          </w:tcPr>
          <w:p>
            <w:pPr>
              <w:spacing w:after="40" w:before="0" w:line="259" w:lineRule="auto"/>
            </w:pPr>
            <w:r>
              <w:rPr>
                <w:rFonts w:ascii="Calibri" w:hAnsi="Calibri"/>
                <w:b/>
                <w:i w:val="0"/>
                <w:color w:val="212121"/>
                <w:sz w:val="19"/>
              </w:rPr>
              <w:t>Orofacial clefts (cleft lip / palate)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Clefting is a major congenital cause of severe malocclusion with maxillary hypoplasia, crossbites and missing teeth, requiring coordinated orthodontic-surgical care.</w:t>
            </w:r>
          </w:p>
        </w:tc>
      </w:tr>
      <w:tr>
        <w:trPr>
          <w:cantSplit/>
        </w:trPr>
        <w:tc>
          <w:tcPr>
            <w:tcW w:type="dxa" w:w="2232"/>
            <w:vAlign w:val="top"/>
          </w:tcPr>
          <w:p>
            <w:pPr>
              <w:spacing w:after="40" w:before="0" w:line="259" w:lineRule="auto"/>
            </w:pPr>
            <w:r>
              <w:rPr>
                <w:rFonts w:ascii="Calibri" w:hAnsi="Calibri"/>
                <w:b/>
                <w:i w:val="0"/>
                <w:color w:val="212121"/>
                <w:sz w:val="19"/>
              </w:rPr>
              <w:t>Speech / articulation disorders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Treatment Interaction</w:t>
            </w:r>
          </w:p>
        </w:tc>
        <w:tc>
          <w:tcPr>
            <w:tcW w:type="dxa" w:w="4852"/>
            <w:vAlign w:val="top"/>
          </w:tcPr>
          <w:p>
            <w:pPr>
              <w:spacing w:after="40" w:before="0" w:line="259" w:lineRule="auto"/>
            </w:pPr>
            <w:r>
              <w:rPr>
                <w:rFonts w:ascii="Calibri" w:hAnsi="Calibri"/>
                <w:b w:val="0"/>
                <w:i w:val="0"/>
                <w:color w:val="212121"/>
                <w:sz w:val="19"/>
              </w:rPr>
              <w:t>Anterior open bite, spacing and Class II/III relationships can distort dental and sibilant sounds; correcting the malocclusion alongside myofunctional/speech therapy can help.</w:t>
            </w:r>
          </w:p>
        </w:tc>
      </w:tr>
      <w:tr>
        <w:trPr>
          <w:cantSplit/>
        </w:trPr>
        <w:tc>
          <w:tcPr>
            <w:tcW w:type="dxa" w:w="2232"/>
            <w:vAlign w:val="top"/>
          </w:tcPr>
          <w:p>
            <w:pPr>
              <w:spacing w:after="40" w:before="0" w:line="259" w:lineRule="auto"/>
            </w:pPr>
            <w:r>
              <w:rPr>
                <w:rFonts w:ascii="Calibri" w:hAnsi="Calibri"/>
                <w:b/>
                <w:i w:val="0"/>
                <w:color w:val="212121"/>
                <w:sz w:val="19"/>
              </w:rPr>
              <w:t>Psychological distress / bullying / low self-esteem</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Treatment Interaction</w:t>
            </w:r>
          </w:p>
        </w:tc>
        <w:tc>
          <w:tcPr>
            <w:tcW w:type="dxa" w:w="4852"/>
            <w:vAlign w:val="top"/>
          </w:tcPr>
          <w:p>
            <w:pPr>
              <w:spacing w:after="40" w:before="0" w:line="259" w:lineRule="auto"/>
            </w:pPr>
            <w:r>
              <w:rPr>
                <w:rFonts w:ascii="Calibri" w:hAnsi="Calibri"/>
                <w:b w:val="0"/>
                <w:i w:val="0"/>
                <w:color w:val="212121"/>
                <w:sz w:val="19"/>
              </w:rPr>
              <w:t>Visible malocclusion lowers self-esteem and oral-health-related quality of life and is a recognised trigger for teasing/bullying; orthodontic treatment improves psychosocial wellbeing.</w:t>
            </w:r>
          </w:p>
        </w:tc>
      </w:tr>
      <w:tr>
        <w:trPr>
          <w:cantSplit/>
        </w:trPr>
        <w:tc>
          <w:tcPr>
            <w:tcW w:type="dxa" w:w="2232"/>
            <w:vAlign w:val="top"/>
          </w:tcPr>
          <w:p>
            <w:pPr>
              <w:spacing w:after="40" w:before="0" w:line="259" w:lineRule="auto"/>
            </w:pPr>
            <w:r>
              <w:rPr>
                <w:rFonts w:ascii="Calibri" w:hAnsi="Calibri"/>
                <w:b/>
                <w:i w:val="0"/>
                <w:color w:val="212121"/>
                <w:sz w:val="19"/>
              </w:rPr>
              <w:t>Traumatic dental injury</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An increased overjet with incompetent lips markedly raises the risk of fracture or avulsion of the upper incisors, especially in active children.</w:t>
            </w:r>
          </w:p>
        </w:tc>
      </w:tr>
      <w:tr>
        <w:trPr>
          <w:cantSplit/>
        </w:trPr>
        <w:tc>
          <w:tcPr>
            <w:tcW w:type="dxa" w:w="2232"/>
            <w:vAlign w:val="top"/>
          </w:tcPr>
          <w:p>
            <w:pPr>
              <w:spacing w:after="40" w:before="0" w:line="259" w:lineRule="auto"/>
            </w:pPr>
            <w:r>
              <w:rPr>
                <w:rFonts w:ascii="Calibri" w:hAnsi="Calibri"/>
                <w:b/>
                <w:i w:val="0"/>
                <w:color w:val="212121"/>
                <w:sz w:val="19"/>
              </w:rPr>
              <w:t>Bruxism</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Parafunctional grinding is associated with abnormal tooth wear and may interact with occlusal factors and temporomandibular dysfunction.</w:t>
            </w:r>
          </w:p>
        </w:tc>
      </w:tr>
      <w:tr>
        <w:trPr>
          <w:cantSplit/>
        </w:trPr>
        <w:tc>
          <w:tcPr>
            <w:tcW w:type="dxa" w:w="2232"/>
            <w:vAlign w:val="top"/>
          </w:tcPr>
          <w:p>
            <w:pPr>
              <w:spacing w:after="40" w:before="0" w:line="259" w:lineRule="auto"/>
            </w:pPr>
            <w:r>
              <w:rPr>
                <w:rFonts w:ascii="Calibri" w:hAnsi="Calibri"/>
                <w:b/>
                <w:i w:val="0"/>
                <w:color w:val="212121"/>
                <w:sz w:val="19"/>
              </w:rPr>
              <w:t>Down syndrome / craniofacial syndromes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Syndromic midface hypoplasia, macroglossia and hypodontia produce a high rate of Class III and open-bite malocclusion, complicating management.</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breastfeeding where possible and avoid prolonged bottle and pacifier use, which support normal jaw and orofacial development.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Discourage thumb/finger sucking and help the child stop by about age 3, before the permanent incisors erupt.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the child for a first dental visit by age 1 and an orthodontic screening by about age 7 to catch developing problems early.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nasal obstruction, allergies and enlarged adenoids/tonsils promptly so the child breathes through the nose, not the mouth.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ignore decay in milk teeth - preserve or replace prematurely lost primary teeth (space maintainers) to prevent space loss and crowding.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early signs - increased overjet, open bite, crossbite, crowding, mouth breathing - and seek timely assessment.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 of young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in mixed dentition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Mouth breathers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thumb-sucking habits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early-childhood caries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the orthodontist's plan and wear braces, functional appliances or clear aligners exactly as instructed for the best result.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Wear retainers as advised after active treatment - teeth relapse toward their original position without retention.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interceptive treatment at the right growth stage (habit appliances, arch expansion, functional appliances near the pubertal growth spurt).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Complete habit-breaking / myofunctional therapy and, where needed, speech therapy alongside appliance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scrupulous oral hygiene during appliance therapy to avoid decalcification (white-spot lesions) and gum disease.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under orthodontic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Post-treatment retention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Growing Class II/III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Habit-appliance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Wear a properly fitted mouthguard during contact sports, especially where the upper front teeth protrude, to prevent dental trauma.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general physical health and correct chronic forward-head, open-mouth posture linked to mouth breathing.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nasal breathing during exercise once any airway problem has been treated.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increased overjet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Sports participants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Mouth breathers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Active adolescents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age-appropriate fibrous, firm-textured foods (raw fruit, vegetables, whole grains) to provide the chewing stimulus that normal jaw growth needs.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frequent sugary and sticky snacks and drinks that cause decay and premature loss of primary teeth.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prolonged bottle/sipper and sweetened-milk feeding, particularly at night.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calcium, vitamin D and balanced nutrition for healthy dental and skeletal development.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Young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on soft/processed diets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High-sugar-diet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Bottle-fed infants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During brace/aligner treatment, avoid hard, sticky and sugary foods that break appliances or cause decalcification.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Cut firm foods (apples, carrots, sugarcane) into small pieces and chew on the back teeth to protect the braces.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tooth-friendly, low-free-sugar diet throughout the often multi-year treatment.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wearing fixed braces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Clear-aligner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 in treatment</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Investigate and treat habitual snoring, restless sleep and witnessed pauses in breathing - signs of sleep-disordered breathing that can distort facial growth.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enlarged adenoids/tonsils and nasal allergy to restore nasal breathing during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a lips-together, tongue-to-palate resting posture and manage established mouth breathing.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Snoring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Mouth breathers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adenotonsillar hypertrophy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Retrognathic / long-face children</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smoking during pregnancy - maternal smoking increases the risk of orofacial clefts and the associated severe malocclusion.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children away from second-hand smoke, which contributes to nasal congestion and mouth breathing.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adolescents and adults, avoid tobacco to protect the periodontal support of teeth being aligned.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 who smoke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Adolescent/adult orthodontic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in pregnancy; heavy prenatal exposure can cause craniofacial anomalies (fetal alcohol spectrum) that include malocclusion.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alcohol in adults undergoing orthodontic or periodontal care, as it undermines gum health and healing.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in orthodontic treatment</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restart"/>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children teased or bullied about their teeth; visible malocclusion is a recognised trigger for low self-esteem.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Help break parafunctional habits (thumb sucking, nail/lip biting, bruxism) with positive reinforcement rather than punishment.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stress and anxiety, which drive clenching and grinding.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Bullied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Anxious / stressed adolescents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Habitual nail/lip-biters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Bruxism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orthodontic correction with reassurance and, where needed, counselling to restore confidence and quality of life.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habit-reversal techniques and, if indicated, a night guard for bruxism during and after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Set realistic expectations about treatment duration and outcome to sustain motivation.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 in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low self-esteem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Bruxism patients</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ubmed.ncbi.nlm.nih.gov/33659178/" TargetMode="External"/><Relationship Id="rId10" Type="http://schemas.openxmlformats.org/officeDocument/2006/relationships/hyperlink" Target="https://pubmed.ncbi.nlm.nih.gov/27274156/" TargetMode="External"/><Relationship Id="rId11" Type="http://schemas.openxmlformats.org/officeDocument/2006/relationships/hyperlink" Target="https://pubmed.ncbi.nlm.nih.gov/31397424/" TargetMode="External"/><Relationship Id="rId12" Type="http://schemas.openxmlformats.org/officeDocument/2006/relationships/hyperlink" Target="https://pubmed.ncbi.nlm.nih.gov/22918003/" TargetMode="External"/><Relationship Id="rId13" Type="http://schemas.openxmlformats.org/officeDocument/2006/relationships/hyperlink" Target="https://pubmed.ncbi.nlm.nih.gov/18302463/" TargetMode="External"/><Relationship Id="rId14" Type="http://schemas.openxmlformats.org/officeDocument/2006/relationships/hyperlink" Target="https://pubmed.ncbi.nlm.nih.gov/39640127/" TargetMode="External"/><Relationship Id="rId15" Type="http://schemas.openxmlformats.org/officeDocument/2006/relationships/hyperlink" Target="https://pubmed.ncbi.nlm.nih.gov/16862359/" TargetMode="External"/><Relationship Id="rId16" Type="http://schemas.openxmlformats.org/officeDocument/2006/relationships/hyperlink" Target="https://pubmed.ncbi.nlm.nih.gov/25490975/" TargetMode="External"/><Relationship Id="rId17" Type="http://schemas.openxmlformats.org/officeDocument/2006/relationships/hyperlink" Target="https://www.who.int/news-room/fact-sheets/detail/oral-health" TargetMode="External"/><Relationship Id="rId18" Type="http://schemas.openxmlformats.org/officeDocument/2006/relationships/hyperlink" Target="https://pubmed.ncbi.nlm.nih.gov/22439522/" TargetMode="External"/><Relationship Id="rId19" Type="http://schemas.openxmlformats.org/officeDocument/2006/relationships/hyperlink" Target="https://pubmed.ncbi.nlm.nih.gov/31778604/" TargetMode="External"/><Relationship Id="rId20" Type="http://schemas.openxmlformats.org/officeDocument/2006/relationships/hyperlink" Target="https://pubmed.ncbi.nlm.nih.gov/386269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