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Pulpitis (reversible/irreversible)</w:t>
      </w:r>
    </w:p>
    <w:p>
      <w:pPr>
        <w:spacing w:before="0" w:after="160"/>
      </w:pPr>
      <w:r>
        <w:rPr>
          <w:rFonts w:ascii="Calibri" w:hAnsi="Calibri"/>
          <w:b/>
          <w:i w:val="0"/>
          <w:color w:val="212121"/>
          <w:sz w:val="22"/>
        </w:rPr>
        <w:t xml:space="preserve">AKA </w:t>
      </w:r>
      <w:r>
        <w:rPr>
          <w:rFonts w:ascii="Calibri" w:hAnsi="Calibri"/>
          <w:b w:val="0"/>
          <w:i w:val="0"/>
          <w:color w:val="212121"/>
          <w:sz w:val="22"/>
        </w:rPr>
        <w:t>i.e., Toothache (odontalgia), Dental pulp inflammation, “Tooth nerve” inflammation/infection, Pulpalgia, Pulpal pain; encompasses Reversible pulpitis, Symptomatic irreversible pulpitis, Asymptomatic irreversible pulpitis and Hyperplastic pulpitis (“pulp polyp”)</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Pulpitis is inflammation of the dental pulp — the vascular, richly innervated connective tissue occupying the pulp chamber and root canals of a tooth — most often provoked by bacterial invasion through dental caries, and less commonly by tooth fracture or cracks, dental trauma, advanced tooth wear, or iatrogenic (restorative, thermal or chemical) irritation. Because the pulp is enclosed within rigid dentine walls, inflammatory oedema raises intrapulpal pressure and produces pain. It is classified clinically by the pulp’s capacity to recover: reversible pulpitis is mild, with brief stimulus-evoked pain that settles once the irritant is removed, whereas irreversible pulpitis denotes inflammation from which the pulp cannot heal and which, untreated, progresses to pulp necrosis and periapical (periradicular) disease.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Pulpitis is one of the commonest causes of acute dental pain and emergency dental attendance in India, arising overwhelmingly as a sequela of untreated dental caries. Dental caries — the principal cause of pulpitis — affects roughly 50–60% of Indian adults and about 58% of schoolchildren, and a large share of these lesions remain untreated and progress to pulpal involvement. Its downstream stage, apical periodontitis, is also common: a cone-beam CT study of root-filled molars found apical periodontitis in 54% of treated teeth — reflecting the heavy burden of pulpal–periapical disease and the frequent need for root canal treatment or extraction across the country.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Pulpitis is a clinical diagnosis based on the character of the pain, pulp sensibility (vitality) testing and radiographs; the key tasks are to distinguish reversible from irreversible pulpitis and to exclude pulp necrosis with apical periodontitis. Assessment combines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Pain history — reversible pulpitis: sharp, short-lived pain provoked by cold or sweet that stops within seconds of removing the stimulus, with no spontaneous or lingering pain; irreversible pulpitis: spontaneous, often throbbing pain, pain that lingers for minutes to hours after a thermal stimulus is withdrawn, poor localisation/referral, and pain that is worse on lying down or at night;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cold (thermal) sensibility test with a refrigerant spray (e.g., tetrafluoroethane, ~ −50 °C) or ice: an exaggerated, lingering response (&gt;10–30 s) indicates irreversible pulpitis, a brief normal response suggests reversible pulpitis, and no response suggests necrosis — always compared with a normal control tooth;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electric pulp test (EPT) to gauge pulp vitality: a response indicates vital pulp tissue while no response supports necrosis (with false results in multi-rooted, immature, calcified or recently traumatised teeth);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heat test where the history suggests heat-provoked, cold-relieved pain, which is characteristic of advanced irreversible pulpitis;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percussion and palpation: tenderness to percussion indicates spread of inflammation to the periradicular tissues (apical periodontitis) rather than pulpitis confined to the pulp;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periapical and bitewing radiographs (± CBCT): to show the depth of caries or restoration relative to the pulp and to detect periapical change (widened periodontal-ligament space or periapical radiolucency) that signifies necrosis / apical periodontitis;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adjuncts to localise and identify the cause: bite / ‘tooth-slooth’ test and transillumination for cracked-tooth syndrome, and selective (test) anaesthesia to localise poorly-localised pain.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Pulpitis is classified clinically (following American Association of Endodontists diagnostic terminology) by the pulp’s inflammatory status and its capacity to recover, which in turn determines management:</w:t>
      </w:r>
    </w:p>
    <w:p>
      <w:pPr>
        <w:spacing w:before="0" w:after="80"/>
      </w:pPr>
      <w:r>
        <w:rPr>
          <w:rFonts w:ascii="Calibri" w:hAnsi="Calibri"/>
          <w:b w:val="0"/>
          <w:i w:val="0"/>
          <w:color w:val="212121"/>
          <w:sz w:val="21"/>
        </w:rPr>
        <w:t>(1) Reversible pulpitis — mild pulpal inflammation in which the pulp is expected to return to normal once the irritant (caries, exposed dentine, a defective restoration) is removed; pain is sharp but brief and only on stimulation (cold, sweet, air), with no spontaneous pain and a normal periapical radiograph;</w:t>
      </w:r>
    </w:p>
    <w:p>
      <w:pPr>
        <w:spacing w:before="0" w:after="80"/>
      </w:pPr>
      <w:r>
        <w:rPr>
          <w:rFonts w:ascii="Calibri" w:hAnsi="Calibri"/>
          <w:b w:val="0"/>
          <w:i w:val="0"/>
          <w:color w:val="212121"/>
          <w:sz w:val="21"/>
        </w:rPr>
        <w:t>(2) Symptomatic irreversible pulpitis — an inflamed pulp incapable of healing, characterised by spontaneous and/or lingering pain (often minutes to hours), thermal pain that persists after the stimulus is withdrawn, poorly localised or referred pain, and pain aggravated by recumbency; the pulp is still vital and requires pulpectomy / root canal treatment or extraction;</w:t>
      </w:r>
    </w:p>
    <w:p>
      <w:pPr>
        <w:spacing w:before="0" w:after="80"/>
      </w:pPr>
      <w:r>
        <w:rPr>
          <w:rFonts w:ascii="Calibri" w:hAnsi="Calibri"/>
          <w:b w:val="0"/>
          <w:i w:val="0"/>
          <w:color w:val="212121"/>
          <w:sz w:val="21"/>
        </w:rPr>
        <w:t>(3) Asymptomatic irreversible pulpitis — an inflamed, non-recoverable pulp producing little or no pain, usually found on examination of a deep carious lesion or after trauma; it includes hyperplastic pulpitis (‘pulp polyp’), seen in young patients with large open cavities, and cases associated with internal (root) resorption;</w:t>
      </w:r>
    </w:p>
    <w:p>
      <w:pPr>
        <w:spacing w:before="0" w:after="80"/>
      </w:pPr>
      <w:r>
        <w:rPr>
          <w:rFonts w:ascii="Calibri" w:hAnsi="Calibri"/>
          <w:b w:val="0"/>
          <w:i w:val="0"/>
          <w:color w:val="212121"/>
          <w:sz w:val="21"/>
        </w:rPr>
        <w:t>(4) Sequential stages beyond pulpitis — untreated irreversible pulpitis progresses to pulp necrosis (a non-vital pulp) and then to apical periodontitis, periapical abscess and related periradicular disease; these represent the natural continuum rather than distinct pulpitis subtypes, but are graded (e.g., symptomatic vs asymptomatic apical periodontitis, acute vs chronic apical abscess) to guide treatment.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Dental caries (bacterial): By far the commonest cause — cariogenic bacteria and their acids and toxins penetrate enamel and dentine; as the lesion deepens, bacterial products and eventually bacteria reach the pulp, driving first reversible and then irreversible inflammation. India’s very high untreated-caries burden makes this the dominant pathway.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Dental trauma and cracked / fractured teeth: Crown fracture, luxation, or cracked-tooth / fractured-cusp syndrome exposes dentinal tubules or the pulp directly to oral bacteria; cracks also permit repeated bacterial ingress and hydrodynamic pain.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Iatrogenic / restorative injury: Deep or repeated cavity preparation and restorations, frictional heat without adequate water-cooling, near or actual pulp exposure, microleakage around restorations, and irritant restorative chemicals can inflame the pulp.</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Tooth wear exposing dentine: Attrition, abrasion, erosion and abfraction — often from bruxism, faulty brushing/tooth-powders or acidic and areca-nut habits common in India — remove protective enamel, open dentinal tubules and, when severe, approach the pulp.</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Chemical and thermal irritation: Frequent dietary acids, etchants/bonding agents and thermal extremes can inflame an exposed or thinly-covered pulp.</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Retrograde (periodontal) route and miscellaneous causes: Deep periodontal pockets communicating through lateral/accessory canals or the apex (retrograde pulpitis), and rarely barodontalgia or haematogenous seeding, can inflame the pulp.</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&amp; adolescents</w:t>
            </w:r>
          </w:p>
        </w:tc>
        <w:tc>
          <w:tcPr>
            <w:tcW w:type="dxa" w:w="4276"/>
            <w:vAlign w:val="top"/>
          </w:tcPr>
          <w:p>
            <w:pPr>
              <w:spacing w:after="60" w:line="259" w:lineRule="auto"/>
            </w:pPr>
            <w:r>
              <w:rPr>
                <w:rFonts w:ascii="Calibri" w:hAnsi="Calibri"/>
                <w:b w:val="0"/>
                <w:i w:val="0"/>
                <w:color w:val="212121"/>
                <w:sz w:val="19"/>
              </w:rPr>
              <w:t>Primary and young permanent teeth have large pulp horns, thin enamel and dentine and wide dentinal tubules, so caries reaches the pulp quickly; the very high childhood caries burden in India makes pulpitis and pulp exposure common.</w:t>
            </w:r>
          </w:p>
          <w:p>
            <w:pPr>
              <w:spacing w:after="40" w:before="60" w:line="259" w:lineRule="auto"/>
            </w:pPr>
            <w:r>
              <w:rPr>
                <w:rFonts w:ascii="Calibri" w:hAnsi="Calibri"/>
                <w:b w:val="0"/>
                <w:i w:val="0"/>
                <w:color w:val="212121"/>
                <w:sz w:val="19"/>
              </w:rPr>
              <w:t>Surveys of Indian schoolchildren have shown dental-caries prevalence of approximately 58%, and untreated lesions frequently progress to pulpal involvement.</w:t>
            </w:r>
          </w:p>
          <w:p>
            <w:pPr>
              <w:spacing w:after="40" w:line="252" w:lineRule="auto"/>
            </w:pPr>
            <w:hyperlink r:id="rId9">
              <w:r>
                <w:rPr>
                  <w:rFonts w:ascii="Calibri" w:hAnsi="Calibri" w:cs="Calibri"/>
                  <w:sz w:val="18"/>
                  <w:color w:val="1155CC"/>
                  <w:u w:val="single"/>
                </w:rPr>
                <w:t xml:space="preserve">pubmed.ncbi.nlm.nih.gov/19336869 — caries in Indian schoolchildren</w:t>
              </w:r>
            </w:hyperlink>
          </w:p>
          <w:p>
            <w:pPr>
              <w:spacing w:before="60" w:after="40"/>
            </w:pPr>
            <w:r>
              <w:rPr>
                <w:rFonts w:ascii="Calibri" w:hAnsi="Calibri"/>
                <w:b w:val="0"/>
                <w:i w:val="0"/>
                <w:color w:val="5A5A5A"/>
                <w:sz w:val="18"/>
              </w:rPr>
              <w:t>#pulpitis  #dentalcaries  #pulphorns  #children  #toothache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Cumulative caries, large or repeated restorations, cracked teeth and tooth wear peak in adulthood, so most reversible and irreversible pulpitis and root canal treatment occur in this group.</w:t>
            </w:r>
          </w:p>
          <w:p>
            <w:pPr>
              <w:spacing w:after="40" w:before="60" w:line="259" w:lineRule="auto"/>
            </w:pPr>
            <w:r>
              <w:rPr>
                <w:rFonts w:ascii="Calibri" w:hAnsi="Calibri"/>
                <w:b w:val="0"/>
                <w:i w:val="0"/>
                <w:color w:val="212121"/>
                <w:sz w:val="19"/>
              </w:rPr>
              <w:t>Dental caries — the leading cause of pulpitis — is reported in about 50–60% of Indian adults, a large proportion of which is untreated.</w:t>
            </w:r>
          </w:p>
          <w:p>
            <w:pPr>
              <w:spacing w:after="40" w:line="252" w:lineRule="auto"/>
            </w:pPr>
            <w:hyperlink r:id="rId10">
              <w:r>
                <w:rPr>
                  <w:rFonts w:ascii="Calibri" w:hAnsi="Calibri" w:cs="Calibri"/>
                  <w:sz w:val="18"/>
                  <w:color w:val="1155CC"/>
                  <w:u w:val="single"/>
                </w:rPr>
                <w:t xml:space="preserve">pubmed.ncbi.nlm.nih.gov/18445923 — caries in Indian adults/elderly</w:t>
              </w:r>
            </w:hyperlink>
          </w:p>
          <w:p>
            <w:pPr>
              <w:spacing w:before="60" w:after="40"/>
            </w:pPr>
            <w:r>
              <w:rPr>
                <w:rFonts w:ascii="Calibri" w:hAnsi="Calibri"/>
                <w:b w:val="0"/>
                <w:i w:val="0"/>
                <w:color w:val="5A5A5A"/>
                <w:sz w:val="18"/>
              </w:rPr>
              <w:t>#adults  #caries  #restorations  #rootcanal  #crackedtooth</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Root caries from gingival recession, cracked and heavily-restored teeth predispose older adults to pulpitis; however, progressive pulpal fibrosis, calcification and pulp-chamber recession can blunt symptoms and sensibility-test responses, so pulpitis may present atypically or be diagnosed late.</w:t>
            </w:r>
          </w:p>
          <w:p>
            <w:pPr>
              <w:spacing w:after="40" w:before="60" w:line="259" w:lineRule="auto"/>
            </w:pPr>
            <w:r>
              <w:rPr>
                <w:rFonts w:ascii="Calibri" w:hAnsi="Calibri"/>
                <w:b w:val="0"/>
                <w:i w:val="0"/>
                <w:color w:val="212121"/>
                <w:sz w:val="19"/>
              </w:rPr>
              <w:t>Root-surface caries and heavily restored teeth make pulpal and periapical disease common in older adults, though blunted pulp responses can delay diagnosis (clinical association).</w:t>
            </w:r>
          </w:p>
          <w:p>
            <w:pPr>
              <w:spacing w:before="60" w:after="40"/>
            </w:pPr>
            <w:r>
              <w:rPr>
                <w:rFonts w:ascii="Calibri" w:hAnsi="Calibri"/>
                <w:b w:val="0"/>
                <w:i w:val="0"/>
                <w:color w:val="5A5A5A"/>
                <w:sz w:val="18"/>
              </w:rPr>
              <w:t>#elderly  #rootcaries  #recession  #pulpcalcification  #atypicalpain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Indian surveys often report high caries experience in women, and pregnancy — with reflux/vomiting, dietary change and ‘pregnancy gingivitis’ — can raise caries and erosion risk; women also attend for dental pain more often.</w:t>
            </w:r>
          </w:p>
          <w:p>
            <w:pPr>
              <w:spacing w:after="40" w:before="60" w:line="259" w:lineRule="auto"/>
            </w:pPr>
            <w:r>
              <w:rPr>
                <w:rFonts w:ascii="Calibri" w:hAnsi="Calibri"/>
                <w:b w:val="0"/>
                <w:i w:val="0"/>
                <w:color w:val="212121"/>
                <w:sz w:val="19"/>
              </w:rPr>
              <w:t>Women in Indian populations show substantial caries experience and greater dental attendance for pain, contributing to diagnosed pulpitis (clinical/epidemiological association).</w:t>
            </w:r>
          </w:p>
          <w:p>
            <w:pPr>
              <w:spacing w:before="60" w:after="40"/>
            </w:pPr>
            <w:r>
              <w:rPr>
                <w:rFonts w:ascii="Calibri" w:hAnsi="Calibri"/>
                <w:b w:val="0"/>
                <w:i w:val="0"/>
                <w:color w:val="5A5A5A"/>
                <w:sz w:val="18"/>
              </w:rPr>
              <w:t>#female  #pregnancy  #caries  #erosion  #dentalattendance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 rural populations with limited dental access</w:t>
            </w:r>
          </w:p>
        </w:tc>
        <w:tc>
          <w:tcPr>
            <w:tcW w:type="dxa" w:w="4276"/>
            <w:vAlign w:val="top"/>
          </w:tcPr>
          <w:p>
            <w:pPr>
              <w:spacing w:after="60" w:line="259" w:lineRule="auto"/>
            </w:pPr>
            <w:r>
              <w:rPr>
                <w:rFonts w:ascii="Calibri" w:hAnsi="Calibri"/>
                <w:b w:val="0"/>
                <w:i w:val="0"/>
                <w:color w:val="212121"/>
                <w:sz w:val="19"/>
              </w:rPr>
              <w:t>Where dental care is scarce and costly, caries is left untreated and progresses unchecked to pulpitis; care is often sought only at the acute-pain (irreversible) stage or for extraction rather than for early restoration.</w:t>
            </w:r>
          </w:p>
          <w:p>
            <w:pPr>
              <w:spacing w:after="40" w:before="60" w:line="259" w:lineRule="auto"/>
            </w:pPr>
            <w:r>
              <w:rPr>
                <w:rFonts w:ascii="Calibri" w:hAnsi="Calibri"/>
                <w:b w:val="0"/>
                <w:i w:val="0"/>
                <w:color w:val="212121"/>
                <w:sz w:val="19"/>
              </w:rPr>
              <w:t>Among migrant construction workers in India, poor oral hygiene, deleterious habits and high untreated caries were documented, illustrating how limited access lets caries advance to pulpal disease.</w:t>
            </w:r>
          </w:p>
          <w:p>
            <w:pPr>
              <w:spacing w:after="40" w:line="252" w:lineRule="auto"/>
            </w:pPr>
            <w:hyperlink r:id="rId11">
              <w:r>
                <w:rPr>
                  <w:rFonts w:ascii="Calibri" w:hAnsi="Calibri" w:cs="Calibri"/>
                  <w:sz w:val="18"/>
                  <w:color w:val="1155CC"/>
                  <w:u w:val="single"/>
                </w:rPr>
                <w:t xml:space="preserve">pubmed.ncbi.nlm.nih.gov/38706762 — caries &amp; habits, migrant workers</w:t>
              </w:r>
            </w:hyperlink>
          </w:p>
          <w:p>
            <w:pPr>
              <w:spacing w:before="60" w:after="40"/>
            </w:pPr>
            <w:r>
              <w:rPr>
                <w:rFonts w:ascii="Calibri" w:hAnsi="Calibri"/>
                <w:b w:val="0"/>
                <w:i w:val="0"/>
                <w:color w:val="5A5A5A"/>
                <w:sz w:val="18"/>
              </w:rPr>
              <w:t>#socioeconomic  #accesstocare  #untreatedcaries  #extraction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South Indian high-sugar &amp; high-acid dietary pattern</w:t>
            </w:r>
          </w:p>
        </w:tc>
        <w:tc>
          <w:tcPr>
            <w:tcW w:type="dxa" w:w="4276"/>
            <w:vAlign w:val="top"/>
          </w:tcPr>
          <w:p>
            <w:pPr>
              <w:spacing w:after="60" w:line="259" w:lineRule="auto"/>
            </w:pPr>
            <w:r>
              <w:rPr>
                <w:rFonts w:ascii="Calibri" w:hAnsi="Calibri"/>
                <w:b w:val="0"/>
                <w:i w:val="0"/>
                <w:color w:val="212121"/>
                <w:sz w:val="19"/>
              </w:rPr>
              <w:t>Frequent sweets, sugary tea/coffee and acidic foods (tamarind, lemon, raw mango, amla) in parts of India drive both caries and erosive dentine exposure, the two main routes to pulpitis.</w:t>
            </w:r>
          </w:p>
          <w:p>
            <w:pPr>
              <w:spacing w:after="40" w:before="60" w:line="259" w:lineRule="auto"/>
            </w:pPr>
            <w:r>
              <w:rPr>
                <w:rFonts w:ascii="Calibri" w:hAnsi="Calibri"/>
                <w:b w:val="0"/>
                <w:i w:val="0"/>
                <w:color w:val="212121"/>
                <w:sz w:val="19"/>
              </w:rPr>
              <w:t>Among South Indian schoolchildren, multiple-times-daily lemon intake raised the odds of dental erosion ~13-fold (OR 13.41) and carbonated-drink preference ~3-fold (OR 2.80).</w:t>
            </w:r>
          </w:p>
          <w:p>
            <w:pPr>
              <w:spacing w:after="40" w:line="252" w:lineRule="auto"/>
            </w:pPr>
            <w:hyperlink r:id="rId12">
              <w:r>
                <w:rPr>
                  <w:rFonts w:ascii="Calibri" w:hAnsi="Calibri" w:cs="Calibri"/>
                  <w:sz w:val="18"/>
                  <w:color w:val="1155CC"/>
                  <w:u w:val="single"/>
                </w:rPr>
                <w:t xml:space="preserve">pubmed.ncbi.nlm.nih.gov/24351921 — dietary acids &amp; erosion, South India</w:t>
              </w:r>
            </w:hyperlink>
          </w:p>
          <w:p>
            <w:pPr>
              <w:spacing w:before="60" w:after="40"/>
            </w:pPr>
            <w:r>
              <w:rPr>
                <w:rFonts w:ascii="Calibri" w:hAnsi="Calibri"/>
                <w:b w:val="0"/>
                <w:i w:val="0"/>
                <w:color w:val="5A5A5A"/>
                <w:sz w:val="18"/>
              </w:rPr>
              <w:t>#southindia  #sugar  #tamarind  #lemon  #erosion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(endemic fluorosis)</w:t>
            </w:r>
          </w:p>
        </w:tc>
        <w:tc>
          <w:tcPr>
            <w:tcW w:type="dxa" w:w="2160"/>
            <w:vAlign w:val="top"/>
          </w:tcPr>
          <w:p>
            <w:pPr>
              <w:spacing w:after="40" w:before="0" w:line="259" w:lineRule="auto"/>
            </w:pPr>
            <w:r>
              <w:rPr>
                <w:rFonts w:ascii="Calibri" w:hAnsi="Calibri"/>
                <w:b w:val="0"/>
                <w:i w:val="0"/>
                <w:color w:val="212121"/>
                <w:sz w:val="19"/>
              </w:rPr>
              <w:t>Fluorosis-belt residents (parts of Rajasthan, Andhra/Telangana, Gujarat, etc.)</w:t>
            </w:r>
          </w:p>
        </w:tc>
        <w:tc>
          <w:tcPr>
            <w:tcW w:type="dxa" w:w="4276"/>
            <w:vAlign w:val="top"/>
          </w:tcPr>
          <w:p>
            <w:pPr>
              <w:spacing w:after="60" w:line="259" w:lineRule="auto"/>
            </w:pPr>
            <w:r>
              <w:rPr>
                <w:rFonts w:ascii="Calibri" w:hAnsi="Calibri"/>
                <w:b w:val="0"/>
                <w:i w:val="0"/>
                <w:color w:val="212121"/>
                <w:sz w:val="19"/>
              </w:rPr>
              <w:t>In fluorosis-endemic areas, severe dental fluorosis causes enamel hypomineralisation and pitting; while fluoride is broadly caries-protective, badly pitted, defective enamel can retain plaque and predispose affected teeth to caries and wear.</w:t>
            </w:r>
          </w:p>
          <w:p>
            <w:pPr>
              <w:spacing w:after="40" w:before="60" w:line="259" w:lineRule="auto"/>
            </w:pPr>
            <w:r>
              <w:rPr>
                <w:rFonts w:ascii="Calibri" w:hAnsi="Calibri"/>
                <w:b w:val="0"/>
                <w:i w:val="0"/>
                <w:color w:val="212121"/>
                <w:sz w:val="19"/>
              </w:rPr>
              <w:t>Developmental enamel defects such as severe dental fluorosis can predispose affected teeth to caries and surface loss (clinical association).</w:t>
            </w:r>
          </w:p>
          <w:p>
            <w:pPr>
              <w:spacing w:before="60" w:after="40"/>
            </w:pPr>
            <w:r>
              <w:rPr>
                <w:rFonts w:ascii="Calibri" w:hAnsi="Calibri"/>
                <w:b w:val="0"/>
                <w:i w:val="0"/>
                <w:color w:val="5A5A5A"/>
                <w:sz w:val="18"/>
              </w:rPr>
              <w:t>#fluorosis  #enameldefects  #hypomineralisation  #India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Oral hygiene</w:t>
            </w:r>
          </w:p>
        </w:tc>
        <w:tc>
          <w:tcPr>
            <w:tcW w:type="dxa" w:w="2160"/>
            <w:vAlign w:val="top"/>
          </w:tcPr>
          <w:p>
            <w:pPr>
              <w:spacing w:after="40" w:before="0" w:line="259" w:lineRule="auto"/>
            </w:pPr>
            <w:r>
              <w:rPr>
                <w:rFonts w:ascii="Calibri" w:hAnsi="Calibri"/>
                <w:b w:val="0"/>
                <w:i w:val="0"/>
                <w:color w:val="212121"/>
                <w:sz w:val="19"/>
              </w:rPr>
              <w:t>Individuals with poor plaque control / infrequent dental care</w:t>
            </w:r>
          </w:p>
        </w:tc>
        <w:tc>
          <w:tcPr>
            <w:tcW w:type="dxa" w:w="4276"/>
            <w:vAlign w:val="top"/>
          </w:tcPr>
          <w:p>
            <w:pPr>
              <w:spacing w:after="60" w:line="259" w:lineRule="auto"/>
            </w:pPr>
            <w:r>
              <w:rPr>
                <w:rFonts w:ascii="Calibri" w:hAnsi="Calibri"/>
                <w:b w:val="0"/>
                <w:i w:val="0"/>
                <w:color w:val="212121"/>
                <w:sz w:val="19"/>
              </w:rPr>
              <w:t>Inadequate plaque removal lets cariogenic biofilm demineralise enamel and dentine; combined with infrequent dental visits, caries advances to reversible and then irreversible pulpitis.</w:t>
            </w:r>
          </w:p>
          <w:p>
            <w:pPr>
              <w:spacing w:after="40" w:before="60" w:line="259" w:lineRule="auto"/>
            </w:pPr>
            <w:r>
              <w:rPr>
                <w:rFonts w:ascii="Calibri" w:hAnsi="Calibri"/>
                <w:b w:val="0"/>
                <w:i w:val="0"/>
                <w:color w:val="212121"/>
                <w:sz w:val="19"/>
              </w:rPr>
              <w:t>Poor oral hygiene and infrequent dental attendance are consistently linked to higher untreated-caries burden and its pulpal sequelae (clinical association).</w:t>
            </w:r>
          </w:p>
          <w:p>
            <w:pPr>
              <w:spacing w:before="60" w:after="40"/>
            </w:pPr>
            <w:r>
              <w:rPr>
                <w:rFonts w:ascii="Calibri" w:hAnsi="Calibri"/>
                <w:b w:val="0"/>
                <w:i w:val="0"/>
                <w:color w:val="5A5A5A"/>
                <w:sz w:val="18"/>
              </w:rPr>
              <w:t>#oralhygiene  #plaque  #biofilm  #preventable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Tobacco / areca chewing</w:t>
            </w:r>
          </w:p>
        </w:tc>
        <w:tc>
          <w:tcPr>
            <w:tcW w:type="dxa" w:w="2160"/>
            <w:vAlign w:val="top"/>
          </w:tcPr>
          <w:p>
            <w:pPr>
              <w:spacing w:after="40" w:before="0" w:line="259" w:lineRule="auto"/>
            </w:pPr>
            <w:r>
              <w:rPr>
                <w:rFonts w:ascii="Calibri" w:hAnsi="Calibri"/>
                <w:b w:val="0"/>
                <w:i w:val="0"/>
                <w:color w:val="212121"/>
                <w:sz w:val="19"/>
              </w:rPr>
              <w:t>Smokeless-tobacco, gutka, betel-quid and areca-nut users</w:t>
            </w:r>
          </w:p>
        </w:tc>
        <w:tc>
          <w:tcPr>
            <w:tcW w:type="dxa" w:w="4276"/>
            <w:vAlign w:val="top"/>
          </w:tcPr>
          <w:p>
            <w:pPr>
              <w:spacing w:after="60" w:line="259" w:lineRule="auto"/>
            </w:pPr>
            <w:r>
              <w:rPr>
                <w:rFonts w:ascii="Calibri" w:hAnsi="Calibri"/>
                <w:b w:val="0"/>
                <w:i w:val="0"/>
                <w:color w:val="212121"/>
                <w:sz w:val="19"/>
              </w:rPr>
              <w:t>Smokeless tobacco and areca/betel-quid abrade tooth surfaces and, with tobacco-related gingival recession, expose root dentine and promote root caries while impairing healing — a widespread habit in South Asia.</w:t>
            </w:r>
          </w:p>
          <w:p>
            <w:pPr>
              <w:spacing w:after="40" w:before="60" w:line="259" w:lineRule="auto"/>
            </w:pPr>
            <w:r>
              <w:rPr>
                <w:rFonts w:ascii="Calibri" w:hAnsi="Calibri"/>
                <w:b w:val="0"/>
                <w:i w:val="0"/>
                <w:color w:val="212121"/>
                <w:sz w:val="19"/>
              </w:rPr>
              <w:t>Habitual areca-nut/betel-quid and smokeless-tobacco use causes abrasion, gingival recession and root caries that predispose to pulpal involvement (clinical association).</w:t>
            </w:r>
          </w:p>
          <w:p>
            <w:pPr>
              <w:spacing w:before="60" w:after="40"/>
            </w:pPr>
            <w:r>
              <w:rPr>
                <w:rFonts w:ascii="Calibri" w:hAnsi="Calibri"/>
                <w:b w:val="0"/>
                <w:i w:val="0"/>
                <w:color w:val="5A5A5A"/>
                <w:sz w:val="18"/>
              </w:rPr>
              <w:t>#arecanut  #gutka  #smokelesstobacco  #rootcaries  #recession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Bruxism / parafunction</w:t>
            </w:r>
          </w:p>
        </w:tc>
        <w:tc>
          <w:tcPr>
            <w:tcW w:type="dxa" w:w="2160"/>
            <w:vAlign w:val="top"/>
          </w:tcPr>
          <w:p>
            <w:pPr>
              <w:spacing w:after="40" w:before="0" w:line="259" w:lineRule="auto"/>
            </w:pPr>
            <w:r>
              <w:rPr>
                <w:rFonts w:ascii="Calibri" w:hAnsi="Calibri"/>
                <w:b w:val="0"/>
                <w:i w:val="0"/>
                <w:color w:val="212121"/>
                <w:sz w:val="19"/>
              </w:rPr>
              <w:t>Sleep and awake bruxers, clenchers</w:t>
            </w:r>
          </w:p>
        </w:tc>
        <w:tc>
          <w:tcPr>
            <w:tcW w:type="dxa" w:w="4276"/>
            <w:vAlign w:val="top"/>
          </w:tcPr>
          <w:p>
            <w:pPr>
              <w:spacing w:after="60" w:line="259" w:lineRule="auto"/>
            </w:pPr>
            <w:r>
              <w:rPr>
                <w:rFonts w:ascii="Calibri" w:hAnsi="Calibri"/>
                <w:b w:val="0"/>
                <w:i w:val="0"/>
                <w:color w:val="212121"/>
                <w:sz w:val="19"/>
              </w:rPr>
              <w:t>Repetitive high occlusal forces crack and fracture cusps and accelerate attrition; the resulting cracks and exposed dentine are important, often overlooked causes of pulpitis, particularly in molars.</w:t>
            </w:r>
          </w:p>
          <w:p>
            <w:pPr>
              <w:spacing w:after="40" w:before="60" w:line="259" w:lineRule="auto"/>
            </w:pPr>
            <w:r>
              <w:rPr>
                <w:rFonts w:ascii="Calibri" w:hAnsi="Calibri"/>
                <w:b w:val="0"/>
                <w:i w:val="0"/>
                <w:color w:val="212121"/>
                <w:sz w:val="19"/>
              </w:rPr>
              <w:t>Cracked-tooth and fractured-cusp lesions from bruxism are a recognised cause of otherwise-unexplained pulpitis (clinical association).</w:t>
            </w:r>
          </w:p>
          <w:p>
            <w:pPr>
              <w:spacing w:before="60" w:after="40"/>
            </w:pPr>
            <w:r>
              <w:rPr>
                <w:rFonts w:ascii="Calibri" w:hAnsi="Calibri"/>
                <w:b w:val="0"/>
                <w:i w:val="0"/>
                <w:color w:val="5A5A5A"/>
                <w:sz w:val="18"/>
              </w:rPr>
              <w:t>#bruxism  #crackedtooth  #cuspfracture  #attrition  #clenching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Dental trauma / contact sport</w:t>
            </w:r>
          </w:p>
        </w:tc>
        <w:tc>
          <w:tcPr>
            <w:tcW w:type="dxa" w:w="2160"/>
            <w:vAlign w:val="top"/>
          </w:tcPr>
          <w:p>
            <w:pPr>
              <w:spacing w:after="40" w:before="0" w:line="259" w:lineRule="auto"/>
            </w:pPr>
            <w:r>
              <w:rPr>
                <w:rFonts w:ascii="Calibri" w:hAnsi="Calibri"/>
                <w:b w:val="0"/>
                <w:i w:val="0"/>
                <w:color w:val="212121"/>
                <w:sz w:val="19"/>
              </w:rPr>
              <w:t>Contact-sport players and children with increased overjet</w:t>
            </w:r>
          </w:p>
        </w:tc>
        <w:tc>
          <w:tcPr>
            <w:tcW w:type="dxa" w:w="4276"/>
            <w:vAlign w:val="top"/>
          </w:tcPr>
          <w:p>
            <w:pPr>
              <w:spacing w:after="60" w:line="259" w:lineRule="auto"/>
            </w:pPr>
            <w:r>
              <w:rPr>
                <w:rFonts w:ascii="Calibri" w:hAnsi="Calibri"/>
                <w:b w:val="0"/>
                <w:i w:val="0"/>
                <w:color w:val="212121"/>
                <w:sz w:val="19"/>
              </w:rPr>
              <w:t>Sports, falls and road-traffic injuries fracture or luxate teeth and expose dentinal tubules or the pulp directly; children with prominent, unprotected upper incisors are especially prone.</w:t>
            </w:r>
          </w:p>
          <w:p>
            <w:pPr>
              <w:spacing w:after="40" w:before="60" w:line="259" w:lineRule="auto"/>
            </w:pPr>
            <w:r>
              <w:rPr>
                <w:rFonts w:ascii="Calibri" w:hAnsi="Calibri"/>
                <w:b w:val="0"/>
                <w:i w:val="0"/>
                <w:color w:val="212121"/>
                <w:sz w:val="19"/>
              </w:rPr>
              <w:t>Crown fracture and luxation injuries expose the pulp to bacteria and are a direct, preventable cause of traumatic pulpitis; mouthguards are protective (clinical association).</w:t>
            </w:r>
          </w:p>
          <w:p>
            <w:pPr>
              <w:spacing w:before="60" w:after="40"/>
            </w:pPr>
            <w:r>
              <w:rPr>
                <w:rFonts w:ascii="Calibri" w:hAnsi="Calibri"/>
                <w:b w:val="0"/>
                <w:i w:val="0"/>
                <w:color w:val="5A5A5A"/>
                <w:sz w:val="18"/>
              </w:rPr>
              <w:t>#dentaltrauma  #sportsinjury  #crownfracture  #mouthguard  #overjet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chronic alcohol users</w:t>
            </w:r>
          </w:p>
        </w:tc>
        <w:tc>
          <w:tcPr>
            <w:tcW w:type="dxa" w:w="4276"/>
            <w:vAlign w:val="top"/>
          </w:tcPr>
          <w:p>
            <w:pPr>
              <w:spacing w:after="60" w:line="259" w:lineRule="auto"/>
            </w:pPr>
            <w:r>
              <w:rPr>
                <w:rFonts w:ascii="Calibri" w:hAnsi="Calibri"/>
                <w:b w:val="0"/>
                <w:i w:val="0"/>
                <w:color w:val="212121"/>
                <w:sz w:val="19"/>
              </w:rPr>
              <w:t>Heavy drinking is linked to frequent sugary and acidic beverage intake, reflux and vomiting, reduced salivary flow and dental neglect — a combination that raises caries and erosion risk and thus pulpitis.</w:t>
            </w:r>
          </w:p>
          <w:p>
            <w:pPr>
              <w:spacing w:after="40" w:before="60" w:line="259" w:lineRule="auto"/>
            </w:pPr>
            <w:r>
              <w:rPr>
                <w:rFonts w:ascii="Calibri" w:hAnsi="Calibri"/>
                <w:b w:val="0"/>
                <w:i w:val="0"/>
                <w:color w:val="212121"/>
                <w:sz w:val="19"/>
              </w:rPr>
              <w:t>Chronic heavy alcohol use promotes caries and erosion through sugary/acidic drinks, reflux/vomiting, xerostomia and neglect (clinical association).</w:t>
            </w:r>
          </w:p>
          <w:p>
            <w:pPr>
              <w:spacing w:before="60" w:after="40"/>
            </w:pPr>
            <w:r>
              <w:rPr>
                <w:rFonts w:ascii="Calibri" w:hAnsi="Calibri"/>
                <w:b w:val="0"/>
                <w:i w:val="0"/>
                <w:color w:val="5A5A5A"/>
                <w:sz w:val="18"/>
              </w:rPr>
              <w:t>#alcohol  #xerostomia  #reflux  #neglect  #erosion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Sugar frequency</w:t>
            </w:r>
          </w:p>
        </w:tc>
        <w:tc>
          <w:tcPr>
            <w:tcW w:type="dxa" w:w="2160"/>
            <w:vAlign w:val="top"/>
          </w:tcPr>
          <w:p>
            <w:pPr>
              <w:spacing w:after="40" w:before="0" w:line="259" w:lineRule="auto"/>
            </w:pPr>
            <w:r>
              <w:rPr>
                <w:rFonts w:ascii="Calibri" w:hAnsi="Calibri"/>
                <w:b w:val="0"/>
                <w:i w:val="0"/>
                <w:color w:val="212121"/>
                <w:sz w:val="19"/>
              </w:rPr>
              <w:t>Frequent sweet, sugary-tea and sugar-sweetened-beverage consumers</w:t>
            </w:r>
          </w:p>
        </w:tc>
        <w:tc>
          <w:tcPr>
            <w:tcW w:type="dxa" w:w="4276"/>
            <w:vAlign w:val="top"/>
          </w:tcPr>
          <w:p>
            <w:pPr>
              <w:spacing w:after="60" w:line="259" w:lineRule="auto"/>
            </w:pPr>
            <w:r>
              <w:rPr>
                <w:rFonts w:ascii="Calibri" w:hAnsi="Calibri"/>
                <w:b w:val="0"/>
                <w:i w:val="0"/>
                <w:color w:val="212121"/>
                <w:sz w:val="19"/>
              </w:rPr>
              <w:t>The frequency of sugar exposure — sweets, biscuits, sugary chai and aerated drinks, and constant snacking — rather than the total amount, is the key driver of the caries that leads to most pulpitis, by keeping oral pH below the critical value.</w:t>
            </w:r>
          </w:p>
          <w:p>
            <w:pPr>
              <w:spacing w:after="40" w:before="60" w:line="259" w:lineRule="auto"/>
            </w:pPr>
            <w:r>
              <w:rPr>
                <w:rFonts w:ascii="Calibri" w:hAnsi="Calibri"/>
                <w:b w:val="0"/>
                <w:i w:val="0"/>
                <w:color w:val="212121"/>
                <w:sz w:val="19"/>
              </w:rPr>
              <w:t>Frequent sugar exposure is the principal dietary determinant of dental caries and its progression to pulpitis; caries affects ~50–60% of Indian adults.</w:t>
            </w:r>
          </w:p>
          <w:p>
            <w:pPr>
              <w:spacing w:after="40" w:line="252" w:lineRule="auto"/>
            </w:pPr>
            <w:hyperlink r:id="rId10">
              <w:r>
                <w:rPr>
                  <w:rFonts w:ascii="Calibri" w:hAnsi="Calibri" w:cs="Calibri"/>
                  <w:sz w:val="18"/>
                  <w:color w:val="1155CC"/>
                  <w:u w:val="single"/>
                </w:rPr>
                <w:t xml:space="preserve">pubmed.ncbi.nlm.nih.gov/18445923 — caries prevalence, India</w:t>
              </w:r>
            </w:hyperlink>
          </w:p>
          <w:p>
            <w:pPr>
              <w:spacing w:before="60" w:after="40"/>
            </w:pPr>
            <w:r>
              <w:rPr>
                <w:rFonts w:ascii="Calibri" w:hAnsi="Calibri"/>
                <w:b w:val="0"/>
                <w:i w:val="0"/>
                <w:color w:val="5A5A5A"/>
                <w:sz w:val="18"/>
              </w:rPr>
              <w:t>#sugar  #SSB  #snackingfrequency  #criticalpH  #caries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Acidic foods &amp; drinks</w:t>
            </w:r>
          </w:p>
        </w:tc>
        <w:tc>
          <w:tcPr>
            <w:tcW w:type="dxa" w:w="2160"/>
            <w:vAlign w:val="top"/>
          </w:tcPr>
          <w:p>
            <w:pPr>
              <w:spacing w:after="40" w:before="0" w:line="259" w:lineRule="auto"/>
            </w:pPr>
            <w:r>
              <w:rPr>
                <w:rFonts w:ascii="Calibri" w:hAnsi="Calibri"/>
                <w:b w:val="0"/>
                <w:i w:val="0"/>
                <w:color w:val="212121"/>
                <w:sz w:val="19"/>
              </w:rPr>
              <w:t>Frequent carbonated / energy-drink, citrus, tamarind and amla consumers</w:t>
            </w:r>
          </w:p>
        </w:tc>
        <w:tc>
          <w:tcPr>
            <w:tcW w:type="dxa" w:w="4276"/>
            <w:vAlign w:val="top"/>
          </w:tcPr>
          <w:p>
            <w:pPr>
              <w:spacing w:after="60" w:line="259" w:lineRule="auto"/>
            </w:pPr>
            <w:r>
              <w:rPr>
                <w:rFonts w:ascii="Calibri" w:hAnsi="Calibri"/>
                <w:b w:val="0"/>
                <w:i w:val="0"/>
                <w:color w:val="212121"/>
                <w:sz w:val="19"/>
              </w:rPr>
              <w:t>Low-pH drinks and sour foods dissolve enamel and open dentinal tubules; severe erosion approaches the pulp and, with sensitivity, predisposes to pulpitis.</w:t>
            </w:r>
          </w:p>
          <w:p>
            <w:pPr>
              <w:spacing w:after="40" w:before="60" w:line="259" w:lineRule="auto"/>
            </w:pPr>
            <w:r>
              <w:rPr>
                <w:rFonts w:ascii="Calibri" w:hAnsi="Calibri"/>
                <w:b w:val="0"/>
                <w:i w:val="0"/>
                <w:color w:val="212121"/>
                <w:sz w:val="19"/>
              </w:rPr>
              <w:t>Carbonated-drink preference nearly tripled (OR 2.80) and daily lemon intake raised ~13-fold (OR 13.41) the odds of erosive dentine exposure in South Indian children.</w:t>
            </w:r>
          </w:p>
          <w:p>
            <w:pPr>
              <w:spacing w:after="40" w:line="252" w:lineRule="auto"/>
            </w:pPr>
            <w:hyperlink r:id="rId12">
              <w:r>
                <w:rPr>
                  <w:rFonts w:ascii="Calibri" w:hAnsi="Calibri" w:cs="Calibri"/>
                  <w:sz w:val="18"/>
                  <w:color w:val="1155CC"/>
                  <w:u w:val="single"/>
                </w:rPr>
                <w:t xml:space="preserve">pubmed.ncbi.nlm.nih.gov/24351921 — acidic diet &amp; erosion</w:t>
              </w:r>
            </w:hyperlink>
          </w:p>
          <w:p>
            <w:pPr>
              <w:spacing w:before="60" w:after="40"/>
            </w:pPr>
            <w:r>
              <w:rPr>
                <w:rFonts w:ascii="Calibri" w:hAnsi="Calibri"/>
                <w:b w:val="0"/>
                <w:i w:val="0"/>
                <w:color w:val="5A5A5A"/>
                <w:sz w:val="18"/>
              </w:rPr>
              <w:t>#acidicdrinks  #colas  #citrus  #erosion  #dentineexposure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Developmental hard-tissue defects</w:t>
            </w:r>
          </w:p>
        </w:tc>
        <w:tc>
          <w:tcPr>
            <w:tcW w:type="dxa" w:w="2160"/>
            <w:vAlign w:val="top"/>
          </w:tcPr>
          <w:p>
            <w:pPr>
              <w:spacing w:after="40" w:before="0" w:line="259" w:lineRule="auto"/>
            </w:pPr>
            <w:r>
              <w:rPr>
                <w:rFonts w:ascii="Calibri" w:hAnsi="Calibri"/>
                <w:b w:val="0"/>
                <w:i w:val="0"/>
                <w:color w:val="212121"/>
                <w:sz w:val="19"/>
              </w:rPr>
              <w:t>Amelogenesis / dentinogenesis imperfecta, molar-incisor hypomineralisation, enamel hypoplasia</w:t>
            </w:r>
          </w:p>
        </w:tc>
        <w:tc>
          <w:tcPr>
            <w:tcW w:type="dxa" w:w="4276"/>
            <w:vAlign w:val="top"/>
          </w:tcPr>
          <w:p>
            <w:pPr>
              <w:spacing w:after="60" w:line="259" w:lineRule="auto"/>
            </w:pPr>
            <w:r>
              <w:rPr>
                <w:rFonts w:ascii="Calibri" w:hAnsi="Calibri"/>
                <w:b w:val="0"/>
                <w:i w:val="0"/>
                <w:color w:val="212121"/>
                <w:sz w:val="19"/>
              </w:rPr>
              <w:t>Inherited or developmental defects leave thin, hypomineralised or structurally weak enamel and dentine that decay rapidly and offer little protection over the pulp, so caries and wear reach the pulp early.</w:t>
            </w:r>
          </w:p>
          <w:p>
            <w:pPr>
              <w:spacing w:after="40" w:before="60" w:line="259" w:lineRule="auto"/>
            </w:pPr>
            <w:r>
              <w:rPr>
                <w:rFonts w:ascii="Calibri" w:hAnsi="Calibri"/>
                <w:b w:val="0"/>
                <w:i w:val="0"/>
                <w:color w:val="212121"/>
                <w:sz w:val="19"/>
              </w:rPr>
              <w:t>Developmental enamel/dentine defects predispose to rapid caries progression and early pulpal involvement (clinical/genetic association).</w:t>
            </w:r>
          </w:p>
          <w:p>
            <w:pPr>
              <w:spacing w:before="60" w:after="40"/>
            </w:pPr>
            <w:r>
              <w:rPr>
                <w:rFonts w:ascii="Calibri" w:hAnsi="Calibri"/>
                <w:b w:val="0"/>
                <w:i w:val="0"/>
                <w:color w:val="5A5A5A"/>
                <w:sz w:val="18"/>
              </w:rPr>
              <w:t>#amelogenesisimperfecta  #MIH  #enamelhypoplasia  #thinenamel</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Untreated dental caries</w:t>
            </w:r>
          </w:p>
        </w:tc>
        <w:tc>
          <w:tcPr>
            <w:tcW w:type="dxa" w:w="2160"/>
            <w:vAlign w:val="top"/>
          </w:tcPr>
          <w:p>
            <w:pPr>
              <w:spacing w:after="40" w:before="0" w:line="259" w:lineRule="auto"/>
            </w:pPr>
            <w:r>
              <w:rPr>
                <w:rFonts w:ascii="Calibri" w:hAnsi="Calibri"/>
                <w:b w:val="0"/>
                <w:i w:val="0"/>
                <w:color w:val="212121"/>
                <w:sz w:val="19"/>
              </w:rPr>
              <w:t>Patients with deep / active carious lesions</w:t>
            </w:r>
          </w:p>
        </w:tc>
        <w:tc>
          <w:tcPr>
            <w:tcW w:type="dxa" w:w="4276"/>
            <w:vAlign w:val="top"/>
          </w:tcPr>
          <w:p>
            <w:pPr>
              <w:spacing w:after="60" w:line="259" w:lineRule="auto"/>
            </w:pPr>
            <w:r>
              <w:rPr>
                <w:rFonts w:ascii="Calibri" w:hAnsi="Calibri"/>
                <w:b w:val="0"/>
                <w:i w:val="0"/>
                <w:color w:val="212121"/>
                <w:sz w:val="19"/>
              </w:rPr>
              <w:t>Deep, active caries is the immediate precursor of most pulpitis: bacterial invasion of the deep dentine and pulp triggers reversible and then irreversible inflammation.</w:t>
            </w:r>
          </w:p>
          <w:p>
            <w:pPr>
              <w:spacing w:after="40" w:before="60" w:line="259" w:lineRule="auto"/>
            </w:pPr>
            <w:r>
              <w:rPr>
                <w:rFonts w:ascii="Calibri" w:hAnsi="Calibri"/>
                <w:b w:val="0"/>
                <w:i w:val="0"/>
                <w:color w:val="212121"/>
                <w:sz w:val="19"/>
              </w:rPr>
              <w:t>Dental caries — highly prevalent in India (~50–60% of adults) — is the direct cause of the great majority of pulpitis cases.</w:t>
            </w:r>
          </w:p>
          <w:p>
            <w:pPr>
              <w:spacing w:after="40" w:line="252" w:lineRule="auto"/>
            </w:pPr>
            <w:hyperlink r:id="rId13">
              <w:r>
                <w:rPr>
                  <w:rFonts w:ascii="Calibri" w:hAnsi="Calibri" w:cs="Calibri"/>
                  <w:sz w:val="18"/>
                  <w:color w:val="1155CC"/>
                  <w:u w:val="single"/>
                </w:rPr>
                <w:t xml:space="preserve">pubmed.ncbi.nlm.nih.gov/38882734 — dental-caries prevalence, Tamil Nadu</w:t>
              </w:r>
            </w:hyperlink>
          </w:p>
          <w:p>
            <w:pPr>
              <w:spacing w:before="60" w:after="40"/>
            </w:pPr>
            <w:r>
              <w:rPr>
                <w:rFonts w:ascii="Calibri" w:hAnsi="Calibri"/>
                <w:b w:val="0"/>
                <w:i w:val="0"/>
                <w:color w:val="5A5A5A"/>
                <w:sz w:val="18"/>
              </w:rPr>
              <w:t>#dentalcaries  #deepcaries  #bacterialinvasion  #precursor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type 2 (or poorly-controlled) diabetes</w:t>
            </w:r>
          </w:p>
        </w:tc>
        <w:tc>
          <w:tcPr>
            <w:tcW w:type="dxa" w:w="4276"/>
            <w:vAlign w:val="top"/>
          </w:tcPr>
          <w:p>
            <w:pPr>
              <w:spacing w:after="60" w:line="259" w:lineRule="auto"/>
            </w:pPr>
            <w:r>
              <w:rPr>
                <w:rFonts w:ascii="Calibri" w:hAnsi="Calibri"/>
                <w:b w:val="0"/>
                <w:i w:val="0"/>
                <w:color w:val="212121"/>
                <w:sz w:val="19"/>
              </w:rPr>
              <w:t>Hyperglycaemia impairs pulpal microcirculation, immune defence and healing, so diabetics show more pulp necrosis and poorer pulpal/periapical outcomes, more post-endodontic pain and higher caries risk.</w:t>
            </w:r>
          </w:p>
          <w:p>
            <w:pPr>
              <w:spacing w:after="40" w:before="60" w:line="259" w:lineRule="auto"/>
            </w:pPr>
            <w:r>
              <w:rPr>
                <w:rFonts w:ascii="Calibri" w:hAnsi="Calibri"/>
                <w:b w:val="0"/>
                <w:i w:val="0"/>
                <w:color w:val="212121"/>
                <w:sz w:val="19"/>
              </w:rPr>
              <w:t>An Indian study found pulpal necrosis significantly more prevalent in diabetic patients than in non-diabetic controls, indicating worse pulpal outcomes in diabetes.</w:t>
            </w:r>
          </w:p>
          <w:p>
            <w:pPr>
              <w:spacing w:after="40" w:line="252" w:lineRule="auto"/>
            </w:pPr>
            <w:hyperlink r:id="rId14">
              <w:r>
                <w:rPr>
                  <w:rFonts w:ascii="Calibri" w:hAnsi="Calibri" w:cs="Calibri"/>
                  <w:sz w:val="18"/>
                  <w:color w:val="1155CC"/>
                  <w:u w:val="single"/>
                </w:rPr>
                <w:t xml:space="preserve">pubmed.ncbi.nlm.nih.gov/39262592 — diabetes &amp; pulpal conditions, India</w:t>
              </w:r>
            </w:hyperlink>
          </w:p>
          <w:p>
            <w:pPr>
              <w:spacing w:before="60" w:after="40"/>
            </w:pPr>
            <w:r>
              <w:rPr>
                <w:rFonts w:ascii="Calibri" w:hAnsi="Calibri"/>
                <w:b w:val="0"/>
                <w:i w:val="0"/>
                <w:color w:val="5A5A5A"/>
                <w:sz w:val="18"/>
              </w:rPr>
              <w:t>#diabetes  #pulpnecrosis  #impairedhealing  #hyperglycaemia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GERD / dental erosion</w:t>
            </w:r>
          </w:p>
        </w:tc>
        <w:tc>
          <w:tcPr>
            <w:tcW w:type="dxa" w:w="2160"/>
            <w:vAlign w:val="top"/>
          </w:tcPr>
          <w:p>
            <w:pPr>
              <w:spacing w:after="40" w:before="0" w:line="259" w:lineRule="auto"/>
            </w:pPr>
            <w:r>
              <w:rPr>
                <w:rFonts w:ascii="Calibri" w:hAnsi="Calibri"/>
                <w:b w:val="0"/>
                <w:i w:val="0"/>
                <w:color w:val="212121"/>
                <w:sz w:val="19"/>
              </w:rPr>
              <w:t>Patients with gastro-oesophageal reflux or high acid exposure</w:t>
            </w:r>
          </w:p>
        </w:tc>
        <w:tc>
          <w:tcPr>
            <w:tcW w:type="dxa" w:w="4276"/>
            <w:vAlign w:val="top"/>
          </w:tcPr>
          <w:p>
            <w:pPr>
              <w:spacing w:after="60" w:line="259" w:lineRule="auto"/>
            </w:pPr>
            <w:r>
              <w:rPr>
                <w:rFonts w:ascii="Calibri" w:hAnsi="Calibri"/>
                <w:b w:val="0"/>
                <w:i w:val="0"/>
                <w:color w:val="212121"/>
                <w:sz w:val="19"/>
              </w:rPr>
              <w:t>Repeated intrinsic (gastric) or extrinsic acid exposure erodes enamel and exposes dentine; severe erosion nearing the pulp predisposes to hypersensitivity and pulpitis.</w:t>
            </w:r>
          </w:p>
          <w:p>
            <w:pPr>
              <w:spacing w:after="40" w:before="60" w:line="259" w:lineRule="auto"/>
            </w:pPr>
            <w:r>
              <w:rPr>
                <w:rFonts w:ascii="Calibri" w:hAnsi="Calibri"/>
                <w:b w:val="0"/>
                <w:i w:val="0"/>
                <w:color w:val="212121"/>
                <w:sz w:val="19"/>
              </w:rPr>
              <w:t>Meta-analysis confirms significantly higher dental-erosion prevalence in patients with GERD, a pathway to dentine exposure and pulpal involvement.</w:t>
            </w:r>
          </w:p>
          <w:p>
            <w:pPr>
              <w:spacing w:after="40" w:line="252" w:lineRule="auto"/>
            </w:pPr>
            <w:hyperlink r:id="rId15">
              <w:r>
                <w:rPr>
                  <w:rFonts w:ascii="Calibri" w:hAnsi="Calibri" w:cs="Calibri"/>
                  <w:sz w:val="18"/>
                  <w:color w:val="1155CC"/>
                  <w:u w:val="single"/>
                </w:rPr>
                <w:t xml:space="preserve">pubmed.ncbi.nlm.nih.gov/35877400 — GERD &amp; dental erosion meta-analysis</w:t>
              </w:r>
            </w:hyperlink>
          </w:p>
          <w:p>
            <w:pPr>
              <w:spacing w:before="60" w:after="40"/>
            </w:pPr>
            <w:r>
              <w:rPr>
                <w:rFonts w:ascii="Calibri" w:hAnsi="Calibri"/>
                <w:b w:val="0"/>
                <w:i w:val="0"/>
                <w:color w:val="5A5A5A"/>
                <w:sz w:val="18"/>
              </w:rPr>
              <w:t>#GERD  #erosion  #dentineexposure  #intrinsicacid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Periodontitis / gingival recession</w:t>
            </w:r>
          </w:p>
        </w:tc>
        <w:tc>
          <w:tcPr>
            <w:tcW w:type="dxa" w:w="2160"/>
            <w:vAlign w:val="top"/>
          </w:tcPr>
          <w:p>
            <w:pPr>
              <w:spacing w:after="40" w:before="0" w:line="259" w:lineRule="auto"/>
            </w:pPr>
            <w:r>
              <w:rPr>
                <w:rFonts w:ascii="Calibri" w:hAnsi="Calibri"/>
                <w:b w:val="0"/>
                <w:i w:val="0"/>
                <w:color w:val="212121"/>
                <w:sz w:val="19"/>
              </w:rPr>
              <w:t>Chronic-periodontitis patients with deep pockets and root exposure</w:t>
            </w:r>
          </w:p>
        </w:tc>
        <w:tc>
          <w:tcPr>
            <w:tcW w:type="dxa" w:w="4276"/>
            <w:vAlign w:val="top"/>
          </w:tcPr>
          <w:p>
            <w:pPr>
              <w:spacing w:after="60" w:line="259" w:lineRule="auto"/>
            </w:pPr>
            <w:r>
              <w:rPr>
                <w:rFonts w:ascii="Calibri" w:hAnsi="Calibri"/>
                <w:b w:val="0"/>
                <w:i w:val="0"/>
                <w:color w:val="212121"/>
                <w:sz w:val="19"/>
              </w:rPr>
              <w:t>Deep periodontal pockets and recession expose root dentine (root caries) and can inflame the pulp through lateral and accessory canals or the apex (retrograde pulpitis), producing combined perio-endo lesions.</w:t>
            </w:r>
          </w:p>
          <w:p>
            <w:pPr>
              <w:spacing w:after="40" w:before="60" w:line="259" w:lineRule="auto"/>
            </w:pPr>
            <w:r>
              <w:rPr>
                <w:rFonts w:ascii="Calibri" w:hAnsi="Calibri"/>
                <w:b w:val="0"/>
                <w:i w:val="0"/>
                <w:color w:val="212121"/>
                <w:sz w:val="19"/>
              </w:rPr>
              <w:t>Periodontal attachment loss and recession expose root dentine and can drive retrograde pulpitis via lateral/accessory canals (clinical association).</w:t>
            </w:r>
          </w:p>
          <w:p>
            <w:pPr>
              <w:spacing w:before="60" w:after="40"/>
            </w:pPr>
            <w:r>
              <w:rPr>
                <w:rFonts w:ascii="Calibri" w:hAnsi="Calibri"/>
                <w:b w:val="0"/>
                <w:i w:val="0"/>
                <w:color w:val="5A5A5A"/>
                <w:sz w:val="18"/>
              </w:rPr>
              <w:t>#periodontitis  #recession  #retrogradepulpitis  #perioendolesion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is not a direct cause, but contact-sport and fall-related dental trauma can fracture teeth and expose the pulp (mouthguards are protective), and heavy use of sugary/acidic sports and energy drinks raises caries and erosion risk.</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frequency of dietary sugar is the principal driver of the caries that causes most pulpitis, and acidic foods/drinks erode enamel and expose dentine. In South Indian children, frequent lemon intake raised erosion odds ~13-fold and carbonated drinks ~3-fold.</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Sleep bruxism cracks and wears teeth, exposing dentine and pulp, and the pain of irreversible pulpitis characteristically worsens on lying down at night owing to increased intrapulpal pressure (nocturnal toothache).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and smokeless tobacco/areca-nut/gutka promote root caries and gingival recession, impair pulpal microcirculation and healing, and are highly prevalent in India.</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drinking is linked to sugary/acidic beverage intake, reflux and vomiting, reduced saliva and dental neglect, indirectly raising caries and erosion risk.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Stress and anxiety drive bruxism (cracked teeth), and dental anxiety or neglect delays care so that reversible pulpitis progresses to irreversible pulpitis and necrosis.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Optimally fluoridated water and adequate salivary flow protect against caries; low fluoride, dehydration and xerostomia raise caries and thus pulpitis risk, whereas excess fluoride causes enamel fluorosis.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itself is not causal, but sugary and acidic tea, coffee, colas and energy drinks contribute to caries and erosion.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Effective plaque control with fluoride toothpaste prevents the caries that underlies most pulpitis; poor oral hygiene, and over-abrasive brushing or tooth-powders that expose dentine, increase risk.</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Cold, sweet, hot and biting stimuli provoke the pain that distinguishes pulpitis subtypes; lingering pain to cold, and heat-provoked/cold-relieved pain, indicate irreversible pulpitis.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Recumbency (lying down) increases intrapulpal blood pressure and characteristically worsens the pain of irreversible pulpitis — a classic diagnostic clue — while head-up posture gives partial, temporary relief.</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Sugar exposures per day (frequency)</w:t>
            </w:r>
          </w:p>
        </w:tc>
        <w:tc>
          <w:tcPr>
            <w:tcW w:type="dxa" w:w="1655"/>
            <w:vAlign w:val="top"/>
          </w:tcPr>
          <w:p>
            <w:pPr>
              <w:spacing w:after="40" w:before="0" w:line="259" w:lineRule="auto"/>
            </w:pPr>
            <w:r>
              <w:rPr>
                <w:rFonts w:ascii="Calibri" w:hAnsi="Calibri"/>
                <w:b w:val="0"/>
                <w:i w:val="0"/>
                <w:color w:val="212121"/>
                <w:sz w:val="19"/>
              </w:rPr>
              <w:t>Children, adults, high-snackers</w:t>
            </w:r>
          </w:p>
        </w:tc>
        <w:tc>
          <w:tcPr>
            <w:tcW w:type="dxa" w:w="1512"/>
            <w:vAlign w:val="top"/>
          </w:tcPr>
          <w:p>
            <w:pPr>
              <w:spacing w:after="40" w:before="0" w:line="259" w:lineRule="auto"/>
            </w:pPr>
            <w:r>
              <w:rPr>
                <w:rFonts w:ascii="Calibri" w:hAnsi="Calibri"/>
                <w:b w:val="0"/>
                <w:i w:val="0"/>
                <w:color w:val="212121"/>
                <w:sz w:val="19"/>
              </w:rPr>
              <w:t>≤ 3–4, confined to mealtimes</w:t>
            </w:r>
          </w:p>
        </w:tc>
        <w:tc>
          <w:tcPr>
            <w:tcW w:type="dxa" w:w="1512"/>
            <w:vAlign w:val="top"/>
          </w:tcPr>
          <w:p>
            <w:pPr>
              <w:spacing w:after="40" w:before="0" w:line="259" w:lineRule="auto"/>
            </w:pPr>
            <w:r>
              <w:rPr>
                <w:rFonts w:ascii="Calibri" w:hAnsi="Calibri"/>
                <w:b w:val="0"/>
                <w:i w:val="0"/>
                <w:color w:val="212121"/>
                <w:sz w:val="19"/>
              </w:rPr>
              <w:t>Frequent between-meal sugars / sipping sugary drinks</w:t>
            </w:r>
          </w:p>
        </w:tc>
        <w:tc>
          <w:tcPr>
            <w:tcW w:type="dxa" w:w="1468"/>
            <w:vAlign w:val="top"/>
          </w:tcPr>
          <w:p>
            <w:pPr>
              <w:spacing w:after="40" w:before="0" w:line="259" w:lineRule="auto"/>
            </w:pPr>
            <w:r>
              <w:rPr>
                <w:rFonts w:ascii="Calibri" w:hAnsi="Calibri"/>
                <w:b w:val="0"/>
                <w:i w:val="0"/>
                <w:color w:val="212121"/>
                <w:sz w:val="19"/>
              </w:rPr>
              <w:t>Frequency of sugar, more than quantity, drives cariogenic acid attacks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Beverage/food pH (enamel critical pH ≈ 5.5)</w:t>
            </w:r>
          </w:p>
        </w:tc>
        <w:tc>
          <w:tcPr>
            <w:tcW w:type="dxa" w:w="1655"/>
            <w:vAlign w:val="top"/>
          </w:tcPr>
          <w:p>
            <w:pPr>
              <w:spacing w:after="40" w:before="0" w:line="259" w:lineRule="auto"/>
            </w:pPr>
            <w:r>
              <w:rPr>
                <w:rFonts w:ascii="Calibri" w:hAnsi="Calibri"/>
                <w:b w:val="0"/>
                <w:i w:val="0"/>
                <w:color w:val="212121"/>
                <w:sz w:val="19"/>
              </w:rPr>
              <w:t>Aerated/energy-drink, citrus, tamarind users</w:t>
            </w:r>
          </w:p>
        </w:tc>
        <w:tc>
          <w:tcPr>
            <w:tcW w:type="dxa" w:w="1512"/>
            <w:vAlign w:val="top"/>
          </w:tcPr>
          <w:p>
            <w:pPr>
              <w:spacing w:after="40" w:before="0" w:line="259" w:lineRule="auto"/>
            </w:pPr>
            <w:r>
              <w:rPr>
                <w:rFonts w:ascii="Calibri" w:hAnsi="Calibri"/>
                <w:b w:val="0"/>
                <w:i w:val="0"/>
                <w:color w:val="212121"/>
                <w:sz w:val="19"/>
              </w:rPr>
              <w:t>&gt; 5.5</w:t>
            </w:r>
          </w:p>
        </w:tc>
        <w:tc>
          <w:tcPr>
            <w:tcW w:type="dxa" w:w="1512"/>
            <w:vAlign w:val="top"/>
          </w:tcPr>
          <w:p>
            <w:pPr>
              <w:spacing w:after="40" w:before="0" w:line="259" w:lineRule="auto"/>
            </w:pPr>
            <w:r>
              <w:rPr>
                <w:rFonts w:ascii="Calibri" w:hAnsi="Calibri"/>
                <w:b w:val="0"/>
                <w:i w:val="0"/>
                <w:color w:val="212121"/>
                <w:sz w:val="19"/>
              </w:rPr>
              <w:t>&lt; 5.5 (colas ≈2.5, lemon ≈2.3, energy drinks ≈3)</w:t>
            </w:r>
          </w:p>
        </w:tc>
        <w:tc>
          <w:tcPr>
            <w:tcW w:type="dxa" w:w="1468"/>
            <w:vAlign w:val="top"/>
          </w:tcPr>
          <w:p>
            <w:pPr>
              <w:spacing w:after="40" w:before="0" w:line="259" w:lineRule="auto"/>
            </w:pPr>
            <w:r>
              <w:rPr>
                <w:rFonts w:ascii="Calibri" w:hAnsi="Calibri"/>
                <w:b w:val="0"/>
                <w:i w:val="0"/>
                <w:color w:val="212121"/>
                <w:sz w:val="19"/>
              </w:rPr>
              <w:t>Below the critical pH enamel demineralises and dentine becomes exposed</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Tooth-brushing frequency &amp; fluoride toothpaste</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Twice daily with 1000–1450 ppm fluoride toothpaste</w:t>
            </w:r>
          </w:p>
        </w:tc>
        <w:tc>
          <w:tcPr>
            <w:tcW w:type="dxa" w:w="1512"/>
            <w:vAlign w:val="top"/>
          </w:tcPr>
          <w:p>
            <w:pPr>
              <w:spacing w:after="40" w:before="0" w:line="259" w:lineRule="auto"/>
            </w:pPr>
            <w:r>
              <w:rPr>
                <w:rFonts w:ascii="Calibri" w:hAnsi="Calibri"/>
                <w:b w:val="0"/>
                <w:i w:val="0"/>
                <w:color w:val="212121"/>
                <w:sz w:val="19"/>
              </w:rPr>
              <w:t>&lt; once daily or non-fluoride tooth-powder/charcoal</w:t>
            </w:r>
          </w:p>
        </w:tc>
        <w:tc>
          <w:tcPr>
            <w:tcW w:type="dxa" w:w="1468"/>
            <w:vAlign w:val="top"/>
          </w:tcPr>
          <w:p>
            <w:pPr>
              <w:spacing w:after="40" w:before="0" w:line="259" w:lineRule="auto"/>
            </w:pPr>
            <w:r>
              <w:rPr>
                <w:rFonts w:ascii="Calibri" w:hAnsi="Calibri"/>
                <w:b w:val="0"/>
                <w:i w:val="0"/>
                <w:color w:val="212121"/>
                <w:sz w:val="19"/>
              </w:rPr>
              <w:t>Fluoride and plaque control prevent the caries that causes pulpitis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DMFT and untreated ‘D’ (decayed) component</w:t>
            </w:r>
          </w:p>
        </w:tc>
        <w:tc>
          <w:tcPr>
            <w:tcW w:type="dxa" w:w="1655"/>
            <w:vAlign w:val="top"/>
          </w:tcPr>
          <w:p>
            <w:pPr>
              <w:spacing w:after="40" w:before="0" w:line="259" w:lineRule="auto"/>
            </w:pPr>
            <w:r>
              <w:rPr>
                <w:rFonts w:ascii="Calibri" w:hAnsi="Calibri"/>
                <w:b w:val="0"/>
                <w:i w:val="0"/>
                <w:color w:val="212121"/>
                <w:sz w:val="19"/>
              </w:rPr>
              <w:t>High-caries-risk individuals</w:t>
            </w:r>
          </w:p>
        </w:tc>
        <w:tc>
          <w:tcPr>
            <w:tcW w:type="dxa" w:w="1512"/>
            <w:vAlign w:val="top"/>
          </w:tcPr>
          <w:p>
            <w:pPr>
              <w:spacing w:after="40" w:before="0" w:line="259" w:lineRule="auto"/>
            </w:pPr>
            <w:r>
              <w:rPr>
                <w:rFonts w:ascii="Calibri" w:hAnsi="Calibri"/>
                <w:b w:val="0"/>
                <w:i w:val="0"/>
                <w:color w:val="212121"/>
                <w:sz w:val="19"/>
              </w:rPr>
              <w:t>Low DMFT, D = 0 (no untreated decay)</w:t>
            </w:r>
          </w:p>
        </w:tc>
        <w:tc>
          <w:tcPr>
            <w:tcW w:type="dxa" w:w="1512"/>
            <w:vAlign w:val="top"/>
          </w:tcPr>
          <w:p>
            <w:pPr>
              <w:spacing w:after="40" w:before="0" w:line="259" w:lineRule="auto"/>
            </w:pPr>
            <w:r>
              <w:rPr>
                <w:rFonts w:ascii="Calibri" w:hAnsi="Calibri"/>
                <w:b w:val="0"/>
                <w:i w:val="0"/>
                <w:color w:val="212121"/>
                <w:sz w:val="19"/>
              </w:rPr>
              <w:t>High untreated decayed teeth</w:t>
            </w:r>
          </w:p>
        </w:tc>
        <w:tc>
          <w:tcPr>
            <w:tcW w:type="dxa" w:w="1468"/>
            <w:vAlign w:val="top"/>
          </w:tcPr>
          <w:p>
            <w:pPr>
              <w:spacing w:after="60" w:line="259" w:lineRule="auto"/>
            </w:pPr>
            <w:r>
              <w:rPr>
                <w:rFonts w:ascii="Calibri" w:hAnsi="Calibri"/>
                <w:b w:val="0"/>
                <w:i w:val="0"/>
                <w:color w:val="212121"/>
                <w:sz w:val="19"/>
              </w:rPr>
              <w:t>Untreated decay is the pool from which pulpitis arises</w:t>
            </w:r>
          </w:p>
          <w:p>
            <w:pPr>
              <w:spacing w:after="40" w:line="252" w:lineRule="auto"/>
            </w:pPr>
            <w:hyperlink r:id="rId10">
              <w:r>
                <w:rPr>
                  <w:rFonts w:ascii="Calibri" w:hAnsi="Calibri" w:cs="Calibri"/>
                  <w:sz w:val="18"/>
                  <w:color w:val="1155CC"/>
                  <w:u w:val="single"/>
                </w:rPr>
                <w:t xml:space="preserve">https://pubmed.ncbi.nlm.nih.gov/18445923/</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Cold-test response duration</w:t>
            </w:r>
          </w:p>
        </w:tc>
        <w:tc>
          <w:tcPr>
            <w:tcW w:type="dxa" w:w="1655"/>
            <w:vAlign w:val="top"/>
          </w:tcPr>
          <w:p>
            <w:pPr>
              <w:spacing w:after="40" w:before="0" w:line="259" w:lineRule="auto"/>
            </w:pPr>
            <w:r>
              <w:rPr>
                <w:rFonts w:ascii="Calibri" w:hAnsi="Calibri"/>
                <w:b w:val="0"/>
                <w:i w:val="0"/>
                <w:color w:val="212121"/>
                <w:sz w:val="19"/>
              </w:rPr>
              <w:t>Patients with toothache</w:t>
            </w:r>
          </w:p>
        </w:tc>
        <w:tc>
          <w:tcPr>
            <w:tcW w:type="dxa" w:w="1512"/>
            <w:vAlign w:val="top"/>
          </w:tcPr>
          <w:p>
            <w:pPr>
              <w:spacing w:after="40" w:before="0" w:line="259" w:lineRule="auto"/>
            </w:pPr>
            <w:r>
              <w:rPr>
                <w:rFonts w:ascii="Calibri" w:hAnsi="Calibri"/>
                <w:b w:val="0"/>
                <w:i w:val="0"/>
                <w:color w:val="212121"/>
                <w:sz w:val="19"/>
              </w:rPr>
              <w:t>Brief (&lt; 10 s), settles on stimulus removal</w:t>
            </w:r>
          </w:p>
        </w:tc>
        <w:tc>
          <w:tcPr>
            <w:tcW w:type="dxa" w:w="1512"/>
            <w:vAlign w:val="top"/>
          </w:tcPr>
          <w:p>
            <w:pPr>
              <w:spacing w:after="40" w:before="0" w:line="259" w:lineRule="auto"/>
            </w:pPr>
            <w:r>
              <w:rPr>
                <w:rFonts w:ascii="Calibri" w:hAnsi="Calibri"/>
                <w:b w:val="0"/>
                <w:i w:val="0"/>
                <w:color w:val="212121"/>
                <w:sz w:val="19"/>
              </w:rPr>
              <w:t>Lingering &gt; 30 s / heightened</w:t>
            </w:r>
          </w:p>
        </w:tc>
        <w:tc>
          <w:tcPr>
            <w:tcW w:type="dxa" w:w="1468"/>
            <w:vAlign w:val="top"/>
          </w:tcPr>
          <w:p>
            <w:pPr>
              <w:spacing w:after="40" w:before="0" w:line="259" w:lineRule="auto"/>
            </w:pPr>
            <w:r>
              <w:rPr>
                <w:rFonts w:ascii="Calibri" w:hAnsi="Calibri"/>
                <w:b w:val="0"/>
                <w:i w:val="0"/>
                <w:color w:val="212121"/>
                <w:sz w:val="19"/>
              </w:rPr>
              <w:t>A lingering exaggerated response indicates irreversible pulpitis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Spontaneous / nocturnal pain</w:t>
            </w:r>
          </w:p>
        </w:tc>
        <w:tc>
          <w:tcPr>
            <w:tcW w:type="dxa" w:w="1655"/>
            <w:vAlign w:val="top"/>
          </w:tcPr>
          <w:p>
            <w:pPr>
              <w:spacing w:after="40" w:before="0" w:line="259" w:lineRule="auto"/>
            </w:pPr>
            <w:r>
              <w:rPr>
                <w:rFonts w:ascii="Calibri" w:hAnsi="Calibri"/>
                <w:b w:val="0"/>
                <w:i w:val="0"/>
                <w:color w:val="212121"/>
                <w:sz w:val="19"/>
              </w:rPr>
              <w:t>Patients with toothache</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Present (spontaneous, throbbing, worse lying down)</w:t>
            </w:r>
          </w:p>
        </w:tc>
        <w:tc>
          <w:tcPr>
            <w:tcW w:type="dxa" w:w="1468"/>
            <w:vAlign w:val="top"/>
          </w:tcPr>
          <w:p>
            <w:pPr>
              <w:spacing w:after="40" w:before="0" w:line="259" w:lineRule="auto"/>
            </w:pPr>
            <w:r>
              <w:rPr>
                <w:rFonts w:ascii="Calibri" w:hAnsi="Calibri"/>
                <w:b w:val="0"/>
                <w:i w:val="0"/>
                <w:color w:val="212121"/>
                <w:sz w:val="19"/>
              </w:rPr>
              <w:t>Spontaneous or night pain is a hallmark of irreversible pulpitis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Smokeless tobacco / areca quid per day</w:t>
            </w:r>
          </w:p>
        </w:tc>
        <w:tc>
          <w:tcPr>
            <w:tcW w:type="dxa" w:w="1655"/>
            <w:vAlign w:val="top"/>
          </w:tcPr>
          <w:p>
            <w:pPr>
              <w:spacing w:after="40" w:before="0" w:line="259" w:lineRule="auto"/>
            </w:pPr>
            <w:r>
              <w:rPr>
                <w:rFonts w:ascii="Calibri" w:hAnsi="Calibri"/>
                <w:b w:val="0"/>
                <w:i w:val="0"/>
                <w:color w:val="212121"/>
                <w:sz w:val="19"/>
              </w:rPr>
              <w:t>Chewers</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40" w:before="0" w:line="259" w:lineRule="auto"/>
            </w:pPr>
            <w:r>
              <w:rPr>
                <w:rFonts w:ascii="Calibri" w:hAnsi="Calibri"/>
                <w:b w:val="0"/>
                <w:i w:val="0"/>
                <w:color w:val="212121"/>
                <w:sz w:val="19"/>
              </w:rPr>
              <w:t>Drives root caries and recession, exposing dentine and pulp</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Sleep-bruxism / grinding activity</w:t>
            </w:r>
          </w:p>
        </w:tc>
        <w:tc>
          <w:tcPr>
            <w:tcW w:type="dxa" w:w="1655"/>
            <w:vAlign w:val="top"/>
          </w:tcPr>
          <w:p>
            <w:pPr>
              <w:spacing w:after="40" w:before="0" w:line="259" w:lineRule="auto"/>
            </w:pPr>
            <w:r>
              <w:rPr>
                <w:rFonts w:ascii="Calibri" w:hAnsi="Calibri"/>
                <w:b w:val="0"/>
                <w:i w:val="0"/>
                <w:color w:val="212121"/>
                <w:sz w:val="19"/>
              </w:rPr>
              <w:t>Bruxers</w:t>
            </w:r>
          </w:p>
        </w:tc>
        <w:tc>
          <w:tcPr>
            <w:tcW w:type="dxa" w:w="1512"/>
            <w:vAlign w:val="top"/>
          </w:tcPr>
          <w:p>
            <w:pPr>
              <w:spacing w:after="40" w:before="0" w:line="259" w:lineRule="auto"/>
            </w:pPr>
            <w:r>
              <w:rPr>
                <w:rFonts w:ascii="Calibri" w:hAnsi="Calibri"/>
                <w:b w:val="0"/>
                <w:i w:val="0"/>
                <w:color w:val="212121"/>
                <w:sz w:val="19"/>
              </w:rPr>
              <w:t>None / low</w:t>
            </w:r>
          </w:p>
        </w:tc>
        <w:tc>
          <w:tcPr>
            <w:tcW w:type="dxa" w:w="1512"/>
            <w:vAlign w:val="top"/>
          </w:tcPr>
          <w:p>
            <w:pPr>
              <w:spacing w:after="40" w:before="0" w:line="259" w:lineRule="auto"/>
            </w:pPr>
            <w:r>
              <w:rPr>
                <w:rFonts w:ascii="Calibri" w:hAnsi="Calibri"/>
                <w:b w:val="0"/>
                <w:i w:val="0"/>
                <w:color w:val="212121"/>
                <w:sz w:val="19"/>
              </w:rPr>
              <w:t>Frequent grinding or clenching episodes</w:t>
            </w:r>
          </w:p>
        </w:tc>
        <w:tc>
          <w:tcPr>
            <w:tcW w:type="dxa" w:w="1468"/>
            <w:vAlign w:val="top"/>
          </w:tcPr>
          <w:p>
            <w:pPr>
              <w:spacing w:after="40" w:before="0" w:line="259" w:lineRule="auto"/>
            </w:pPr>
            <w:r>
              <w:rPr>
                <w:rFonts w:ascii="Calibri" w:hAnsi="Calibri"/>
                <w:b w:val="0"/>
                <w:i w:val="0"/>
                <w:color w:val="212121"/>
                <w:sz w:val="19"/>
              </w:rPr>
              <w:t>Bruxism cracks teeth and exposes dentine; indicates need for a night-guard</w:t>
            </w:r>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Fluoride in drinking water</w:t>
            </w:r>
          </w:p>
        </w:tc>
        <w:tc>
          <w:tcPr>
            <w:tcW w:type="dxa" w:w="1655"/>
            <w:vAlign w:val="top"/>
          </w:tcPr>
          <w:p>
            <w:pPr>
              <w:spacing w:after="40" w:before="0" w:line="259" w:lineRule="auto"/>
            </w:pPr>
            <w:r>
              <w:rPr>
                <w:rFonts w:ascii="Calibri" w:hAnsi="Calibri"/>
                <w:b w:val="0"/>
                <w:i w:val="0"/>
                <w:color w:val="212121"/>
                <w:sz w:val="19"/>
              </w:rPr>
              <w:t>Community / children</w:t>
            </w:r>
          </w:p>
        </w:tc>
        <w:tc>
          <w:tcPr>
            <w:tcW w:type="dxa" w:w="1512"/>
            <w:vAlign w:val="top"/>
          </w:tcPr>
          <w:p>
            <w:pPr>
              <w:spacing w:after="40" w:before="0" w:line="259" w:lineRule="auto"/>
            </w:pPr>
            <w:r>
              <w:rPr>
                <w:rFonts w:ascii="Calibri" w:hAnsi="Calibri"/>
                <w:b w:val="0"/>
                <w:i w:val="0"/>
                <w:color w:val="212121"/>
                <w:sz w:val="19"/>
              </w:rPr>
              <w:t>~ 0.5–1.0 mg/L (caries-protective)</w:t>
            </w:r>
          </w:p>
        </w:tc>
        <w:tc>
          <w:tcPr>
            <w:tcW w:type="dxa" w:w="1512"/>
            <w:vAlign w:val="top"/>
          </w:tcPr>
          <w:p>
            <w:pPr>
              <w:spacing w:after="40" w:before="0" w:line="259" w:lineRule="auto"/>
            </w:pPr>
            <w:r>
              <w:rPr>
                <w:rFonts w:ascii="Calibri" w:hAnsi="Calibri"/>
                <w:b w:val="0"/>
                <w:i w:val="0"/>
                <w:color w:val="212121"/>
                <w:sz w:val="19"/>
              </w:rPr>
              <w:t>&lt; 0.5 mg/L (more caries); &gt; 1.5 mg/L (fluorosis)</w:t>
            </w:r>
          </w:p>
        </w:tc>
        <w:tc>
          <w:tcPr>
            <w:tcW w:type="dxa" w:w="1468"/>
            <w:vAlign w:val="top"/>
          </w:tcPr>
          <w:p>
            <w:pPr>
              <w:spacing w:after="40" w:before="0" w:line="259" w:lineRule="auto"/>
            </w:pPr>
            <w:r>
              <w:rPr>
                <w:rFonts w:ascii="Calibri" w:hAnsi="Calibri"/>
                <w:b w:val="0"/>
                <w:i w:val="0"/>
                <w:color w:val="212121"/>
                <w:sz w:val="19"/>
              </w:rPr>
              <w:t>Optimal fluoride reduces caries; excess causes enamel fluorosis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Unstimulated salivary flow rate</w:t>
            </w:r>
          </w:p>
        </w:tc>
        <w:tc>
          <w:tcPr>
            <w:tcW w:type="dxa" w:w="1655"/>
            <w:vAlign w:val="top"/>
          </w:tcPr>
          <w:p>
            <w:pPr>
              <w:spacing w:after="40" w:before="0" w:line="259" w:lineRule="auto"/>
            </w:pPr>
            <w:r>
              <w:rPr>
                <w:rFonts w:ascii="Calibri" w:hAnsi="Calibri"/>
                <w:b w:val="0"/>
                <w:i w:val="0"/>
                <w:color w:val="212121"/>
                <w:sz w:val="19"/>
              </w:rPr>
              <w:t>Xerostomia, elderly, diabetics</w:t>
            </w:r>
          </w:p>
        </w:tc>
        <w:tc>
          <w:tcPr>
            <w:tcW w:type="dxa" w:w="1512"/>
            <w:vAlign w:val="top"/>
          </w:tcPr>
          <w:p>
            <w:pPr>
              <w:spacing w:after="40" w:before="0" w:line="259" w:lineRule="auto"/>
            </w:pPr>
            <w:r>
              <w:rPr>
                <w:rFonts w:ascii="Calibri" w:hAnsi="Calibri"/>
                <w:b w:val="0"/>
                <w:i w:val="0"/>
                <w:color w:val="212121"/>
                <w:sz w:val="19"/>
              </w:rPr>
              <w:t>≥ 0.3 mL/min</w:t>
            </w:r>
          </w:p>
        </w:tc>
        <w:tc>
          <w:tcPr>
            <w:tcW w:type="dxa" w:w="1512"/>
            <w:vAlign w:val="top"/>
          </w:tcPr>
          <w:p>
            <w:pPr>
              <w:spacing w:after="40" w:before="0" w:line="259" w:lineRule="auto"/>
            </w:pPr>
            <w:r>
              <w:rPr>
                <w:rFonts w:ascii="Calibri" w:hAnsi="Calibri"/>
                <w:b w:val="0"/>
                <w:i w:val="0"/>
                <w:color w:val="212121"/>
                <w:sz w:val="19"/>
              </w:rPr>
              <w:t>&lt; 0.1 mL/min (hyposalivation)</w:t>
            </w:r>
          </w:p>
        </w:tc>
        <w:tc>
          <w:tcPr>
            <w:tcW w:type="dxa" w:w="1468"/>
            <w:vAlign w:val="top"/>
          </w:tcPr>
          <w:p>
            <w:pPr>
              <w:spacing w:after="40" w:before="0" w:line="259" w:lineRule="auto"/>
            </w:pPr>
            <w:r>
              <w:rPr>
                <w:rFonts w:ascii="Calibri" w:hAnsi="Calibri"/>
                <w:b w:val="0"/>
                <w:i w:val="0"/>
                <w:color w:val="212121"/>
                <w:sz w:val="19"/>
              </w:rPr>
              <w:t>Saliva buffers acid and remineralises enamel, protecting against caries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Pulp sensibility</w:t>
            </w:r>
          </w:p>
        </w:tc>
        <w:tc>
          <w:tcPr>
            <w:tcW w:type="dxa" w:w="1036"/>
            <w:vAlign w:val="top"/>
          </w:tcPr>
          <w:p>
            <w:pPr>
              <w:spacing w:after="40" w:before="0" w:line="259" w:lineRule="auto"/>
            </w:pPr>
            <w:r>
              <w:rPr>
                <w:rFonts w:ascii="Calibri" w:hAnsi="Calibri"/>
                <w:b w:val="0"/>
                <w:i w:val="0"/>
                <w:color w:val="212121"/>
                <w:sz w:val="16"/>
              </w:rPr>
              <w:t>Cold (thermal) sensibility test</w:t>
            </w:r>
          </w:p>
        </w:tc>
        <w:tc>
          <w:tcPr>
            <w:tcW w:type="dxa" w:w="892"/>
            <w:vAlign w:val="top"/>
          </w:tcPr>
          <w:p>
            <w:pPr>
              <w:spacing w:after="40" w:before="0" w:line="259" w:lineRule="auto"/>
            </w:pPr>
            <w:r>
              <w:rPr>
                <w:rFonts w:ascii="Calibri" w:hAnsi="Calibri"/>
                <w:b w:val="0"/>
                <w:i w:val="0"/>
                <w:color w:val="212121"/>
                <w:sz w:val="16"/>
              </w:rPr>
              <w:t>Refrigerant spray / ice cold test</w:t>
            </w:r>
          </w:p>
        </w:tc>
        <w:tc>
          <w:tcPr>
            <w:tcW w:type="dxa" w:w="950"/>
            <w:vAlign w:val="top"/>
          </w:tcPr>
          <w:p>
            <w:pPr>
              <w:spacing w:after="40" w:before="0" w:line="259" w:lineRule="auto"/>
            </w:pPr>
            <w:r>
              <w:rPr>
                <w:rFonts w:ascii="Calibri" w:hAnsi="Calibri"/>
                <w:b w:val="0"/>
                <w:i w:val="0"/>
                <w:color w:val="212121"/>
                <w:sz w:val="16"/>
              </w:rPr>
              <w:t>Brief response that subsides within seconds</w:t>
            </w:r>
          </w:p>
        </w:tc>
        <w:tc>
          <w:tcPr>
            <w:tcW w:type="dxa" w:w="950"/>
            <w:vAlign w:val="top"/>
          </w:tcPr>
          <w:p>
            <w:pPr>
              <w:spacing w:after="40" w:before="0" w:line="259" w:lineRule="auto"/>
            </w:pPr>
            <w:r>
              <w:rPr>
                <w:rFonts w:ascii="Calibri" w:hAnsi="Calibri"/>
                <w:b w:val="0"/>
                <w:i w:val="0"/>
                <w:color w:val="212121"/>
                <w:sz w:val="16"/>
              </w:rPr>
              <w:t>Lingering response &gt; 10–30 s (irreversible) or no response (necrosis)</w:t>
            </w:r>
          </w:p>
        </w:tc>
        <w:tc>
          <w:tcPr>
            <w:tcW w:type="dxa" w:w="1036"/>
            <w:vAlign w:val="top"/>
          </w:tcPr>
          <w:p>
            <w:pPr>
              <w:spacing w:after="40" w:before="0" w:line="259" w:lineRule="auto"/>
            </w:pPr>
            <w:r>
              <w:rPr>
                <w:rFonts w:ascii="Calibri" w:hAnsi="Calibri"/>
                <w:b w:val="0"/>
                <w:i w:val="0"/>
                <w:color w:val="212121"/>
                <w:sz w:val="16"/>
              </w:rPr>
              <w:t>Distinguishes reversible from irreversible pulpitis and from necrosis</w:t>
            </w:r>
          </w:p>
        </w:tc>
        <w:tc>
          <w:tcPr>
            <w:tcW w:type="dxa" w:w="1036"/>
            <w:vAlign w:val="top"/>
          </w:tcPr>
          <w:p>
            <w:pPr>
              <w:spacing w:after="40" w:before="0" w:line="259" w:lineRule="auto"/>
            </w:pPr>
            <w:r>
              <w:rPr>
                <w:rFonts w:ascii="Calibri" w:hAnsi="Calibri"/>
                <w:b w:val="0"/>
                <w:i w:val="0"/>
                <w:color w:val="212121"/>
                <w:sz w:val="16"/>
              </w:rPr>
              <w:t>Any tooth with pain or deep caries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Primary chairside test</w:t>
            </w:r>
          </w:p>
        </w:tc>
        <w:tc>
          <w:tcPr>
            <w:tcW w:type="dxa" w:w="720"/>
            <w:vAlign w:val="top"/>
          </w:tcPr>
          <w:p>
            <w:pPr>
              <w:spacing w:after="40" w:before="0" w:line="259" w:lineRule="auto"/>
            </w:pPr>
            <w:r>
              <w:rPr>
                <w:rFonts w:ascii="Calibri" w:hAnsi="Calibri"/>
                <w:b w:val="0"/>
                <w:i w:val="0"/>
                <w:color w:val="212121"/>
                <w:sz w:val="16"/>
              </w:rPr>
              <w:t>Always compare with a normal control tooth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Pulp vitality</w:t>
            </w:r>
          </w:p>
        </w:tc>
        <w:tc>
          <w:tcPr>
            <w:tcW w:type="dxa" w:w="1036"/>
            <w:vAlign w:val="top"/>
          </w:tcPr>
          <w:p>
            <w:pPr>
              <w:spacing w:after="40" w:before="0" w:line="259" w:lineRule="auto"/>
            </w:pPr>
            <w:r>
              <w:rPr>
                <w:rFonts w:ascii="Calibri" w:hAnsi="Calibri"/>
                <w:b w:val="0"/>
                <w:i w:val="0"/>
                <w:color w:val="212121"/>
                <w:sz w:val="16"/>
              </w:rPr>
              <w:t>Electric pulp test (EPT)</w:t>
            </w:r>
          </w:p>
        </w:tc>
        <w:tc>
          <w:tcPr>
            <w:tcW w:type="dxa" w:w="892"/>
            <w:vAlign w:val="top"/>
          </w:tcPr>
          <w:p>
            <w:pPr>
              <w:spacing w:after="40" w:before="0" w:line="259" w:lineRule="auto"/>
            </w:pPr>
            <w:r>
              <w:rPr>
                <w:rFonts w:ascii="Calibri" w:hAnsi="Calibri"/>
                <w:b w:val="0"/>
                <w:i w:val="0"/>
                <w:color w:val="212121"/>
                <w:sz w:val="16"/>
              </w:rPr>
              <w:t>Electric pulp tester</w:t>
            </w:r>
          </w:p>
        </w:tc>
        <w:tc>
          <w:tcPr>
            <w:tcW w:type="dxa" w:w="950"/>
            <w:vAlign w:val="top"/>
          </w:tcPr>
          <w:p>
            <w:pPr>
              <w:spacing w:after="40" w:before="0" w:line="259" w:lineRule="auto"/>
            </w:pPr>
            <w:r>
              <w:rPr>
                <w:rFonts w:ascii="Calibri" w:hAnsi="Calibri"/>
                <w:b w:val="0"/>
                <w:i w:val="0"/>
                <w:color w:val="212121"/>
                <w:sz w:val="16"/>
              </w:rPr>
              <w:t>Responds at a level comparable to the control tooth</w:t>
            </w:r>
          </w:p>
        </w:tc>
        <w:tc>
          <w:tcPr>
            <w:tcW w:type="dxa" w:w="950"/>
            <w:vAlign w:val="top"/>
          </w:tcPr>
          <w:p>
            <w:pPr>
              <w:spacing w:after="40" w:before="0" w:line="259" w:lineRule="auto"/>
            </w:pPr>
            <w:r>
              <w:rPr>
                <w:rFonts w:ascii="Calibri" w:hAnsi="Calibri"/>
                <w:b w:val="0"/>
                <w:i w:val="0"/>
                <w:color w:val="212121"/>
                <w:sz w:val="16"/>
              </w:rPr>
              <w:t>No response (supports necrosis) or markedly altered threshold</w:t>
            </w:r>
          </w:p>
        </w:tc>
        <w:tc>
          <w:tcPr>
            <w:tcW w:type="dxa" w:w="1036"/>
            <w:vAlign w:val="top"/>
          </w:tcPr>
          <w:p>
            <w:pPr>
              <w:spacing w:after="40" w:before="0" w:line="259" w:lineRule="auto"/>
            </w:pPr>
            <w:r>
              <w:rPr>
                <w:rFonts w:ascii="Calibri" w:hAnsi="Calibri"/>
                <w:b w:val="0"/>
                <w:i w:val="0"/>
                <w:color w:val="212121"/>
                <w:sz w:val="16"/>
              </w:rPr>
              <w:t>Assesses presence of vital pulpal nerve tissue</w:t>
            </w:r>
          </w:p>
        </w:tc>
        <w:tc>
          <w:tcPr>
            <w:tcW w:type="dxa" w:w="1036"/>
            <w:vAlign w:val="top"/>
          </w:tcPr>
          <w:p>
            <w:pPr>
              <w:spacing w:after="40" w:before="0" w:line="259" w:lineRule="auto"/>
            </w:pPr>
            <w:r>
              <w:rPr>
                <w:rFonts w:ascii="Calibri" w:hAnsi="Calibri"/>
                <w:b w:val="0"/>
                <w:i w:val="0"/>
                <w:color w:val="212121"/>
                <w:sz w:val="16"/>
              </w:rPr>
              <w:t>Suspected necrosis, ambiguous vitality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 vitality test</w:t>
            </w:r>
          </w:p>
        </w:tc>
        <w:tc>
          <w:tcPr>
            <w:tcW w:type="dxa" w:w="720"/>
            <w:vAlign w:val="top"/>
          </w:tcPr>
          <w:p>
            <w:pPr>
              <w:spacing w:after="40" w:before="0" w:line="259" w:lineRule="auto"/>
            </w:pPr>
            <w:r>
              <w:rPr>
                <w:rFonts w:ascii="Calibri" w:hAnsi="Calibri"/>
                <w:b w:val="0"/>
                <w:i w:val="0"/>
                <w:color w:val="212121"/>
                <w:sz w:val="16"/>
              </w:rPr>
              <w:t>False results in multi-rooted, immature, calcified or traumatised teeth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Pulp sensibility</w:t>
            </w:r>
          </w:p>
        </w:tc>
        <w:tc>
          <w:tcPr>
            <w:tcW w:type="dxa" w:w="1036"/>
            <w:vAlign w:val="top"/>
          </w:tcPr>
          <w:p>
            <w:pPr>
              <w:spacing w:after="40" w:before="0" w:line="259" w:lineRule="auto"/>
            </w:pPr>
            <w:r>
              <w:rPr>
                <w:rFonts w:ascii="Calibri" w:hAnsi="Calibri"/>
                <w:b w:val="0"/>
                <w:i w:val="0"/>
                <w:color w:val="212121"/>
                <w:sz w:val="16"/>
              </w:rPr>
              <w:t>Heat test</w:t>
            </w:r>
          </w:p>
        </w:tc>
        <w:tc>
          <w:tcPr>
            <w:tcW w:type="dxa" w:w="892"/>
            <w:vAlign w:val="top"/>
          </w:tcPr>
          <w:p>
            <w:pPr>
              <w:spacing w:after="40" w:before="0" w:line="259" w:lineRule="auto"/>
            </w:pPr>
            <w:r>
              <w:rPr>
                <w:rFonts w:ascii="Calibri" w:hAnsi="Calibri"/>
                <w:b w:val="0"/>
                <w:i w:val="0"/>
                <w:color w:val="212121"/>
                <w:sz w:val="16"/>
              </w:rPr>
              <w:t>Heated gutta-percha / warm water</w:t>
            </w:r>
          </w:p>
        </w:tc>
        <w:tc>
          <w:tcPr>
            <w:tcW w:type="dxa" w:w="950"/>
            <w:vAlign w:val="top"/>
          </w:tcPr>
          <w:p>
            <w:pPr>
              <w:spacing w:after="40" w:before="0" w:line="259" w:lineRule="auto"/>
            </w:pPr>
            <w:r>
              <w:rPr>
                <w:rFonts w:ascii="Calibri" w:hAnsi="Calibri"/>
                <w:b w:val="0"/>
                <w:i w:val="0"/>
                <w:color w:val="212121"/>
                <w:sz w:val="16"/>
              </w:rPr>
              <w:t>No or brief response</w:t>
            </w:r>
          </w:p>
        </w:tc>
        <w:tc>
          <w:tcPr>
            <w:tcW w:type="dxa" w:w="950"/>
            <w:vAlign w:val="top"/>
          </w:tcPr>
          <w:p>
            <w:pPr>
              <w:spacing w:after="40" w:before="0" w:line="259" w:lineRule="auto"/>
            </w:pPr>
            <w:r>
              <w:rPr>
                <w:rFonts w:ascii="Calibri" w:hAnsi="Calibri"/>
                <w:b w:val="0"/>
                <w:i w:val="0"/>
                <w:color w:val="212121"/>
                <w:sz w:val="16"/>
              </w:rPr>
              <w:t>Pain provoked (sometimes relieved by cold)</w:t>
            </w:r>
          </w:p>
        </w:tc>
        <w:tc>
          <w:tcPr>
            <w:tcW w:type="dxa" w:w="1036"/>
            <w:vAlign w:val="top"/>
          </w:tcPr>
          <w:p>
            <w:pPr>
              <w:spacing w:after="40" w:before="0" w:line="259" w:lineRule="auto"/>
            </w:pPr>
            <w:r>
              <w:rPr>
                <w:rFonts w:ascii="Calibri" w:hAnsi="Calibri"/>
                <w:b w:val="0"/>
                <w:i w:val="0"/>
                <w:color w:val="212121"/>
                <w:sz w:val="16"/>
              </w:rPr>
              <w:t>Heat-provoked, cold-relieved pain suggests advanced irreversible pulpitis</w:t>
            </w:r>
          </w:p>
        </w:tc>
        <w:tc>
          <w:tcPr>
            <w:tcW w:type="dxa" w:w="1036"/>
            <w:vAlign w:val="top"/>
          </w:tcPr>
          <w:p>
            <w:pPr>
              <w:spacing w:after="40" w:before="0" w:line="259" w:lineRule="auto"/>
            </w:pPr>
            <w:r>
              <w:rPr>
                <w:rFonts w:ascii="Calibri" w:hAnsi="Calibri"/>
                <w:b w:val="0"/>
                <w:i w:val="0"/>
                <w:color w:val="212121"/>
                <w:sz w:val="16"/>
              </w:rPr>
              <w:t>Patients reporting heat-triggered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 test</w:t>
            </w:r>
          </w:p>
        </w:tc>
        <w:tc>
          <w:tcPr>
            <w:tcW w:type="dxa" w:w="720"/>
            <w:vAlign w:val="top"/>
          </w:tcPr>
          <w:p>
            <w:pPr>
              <w:spacing w:after="40" w:before="0" w:line="259" w:lineRule="auto"/>
            </w:pPr>
            <w:r>
              <w:rPr>
                <w:rFonts w:ascii="Calibri" w:hAnsi="Calibri"/>
                <w:b w:val="0"/>
                <w:i w:val="0"/>
                <w:color w:val="212121"/>
                <w:sz w:val="16"/>
              </w:rPr>
              <w:t>Isolate the tooth; apply with a coolant control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Periradicular</w:t>
            </w:r>
          </w:p>
        </w:tc>
        <w:tc>
          <w:tcPr>
            <w:tcW w:type="dxa" w:w="1036"/>
            <w:vAlign w:val="top"/>
          </w:tcPr>
          <w:p>
            <w:pPr>
              <w:spacing w:after="40" w:before="0" w:line="259" w:lineRule="auto"/>
            </w:pPr>
            <w:r>
              <w:rPr>
                <w:rFonts w:ascii="Calibri" w:hAnsi="Calibri"/>
                <w:b w:val="0"/>
                <w:i w:val="0"/>
                <w:color w:val="212121"/>
                <w:sz w:val="16"/>
              </w:rPr>
              <w:t>Percussion &amp; palpation</w:t>
            </w:r>
          </w:p>
        </w:tc>
        <w:tc>
          <w:tcPr>
            <w:tcW w:type="dxa" w:w="892"/>
            <w:vAlign w:val="top"/>
          </w:tcPr>
          <w:p>
            <w:pPr>
              <w:spacing w:after="40" w:before="0" w:line="259" w:lineRule="auto"/>
            </w:pPr>
            <w:r>
              <w:rPr>
                <w:rFonts w:ascii="Calibri" w:hAnsi="Calibri"/>
                <w:b w:val="0"/>
                <w:i w:val="0"/>
                <w:color w:val="212121"/>
                <w:sz w:val="16"/>
              </w:rPr>
              <w:t>Percussion / palpation test</w:t>
            </w:r>
          </w:p>
        </w:tc>
        <w:tc>
          <w:tcPr>
            <w:tcW w:type="dxa" w:w="950"/>
            <w:vAlign w:val="top"/>
          </w:tcPr>
          <w:p>
            <w:pPr>
              <w:spacing w:after="40" w:before="0" w:line="259" w:lineRule="auto"/>
            </w:pPr>
            <w:r>
              <w:rPr>
                <w:rFonts w:ascii="Calibri" w:hAnsi="Calibri"/>
                <w:b w:val="0"/>
                <w:i w:val="0"/>
                <w:color w:val="212121"/>
                <w:sz w:val="16"/>
              </w:rPr>
              <w:t>Not tender</w:t>
            </w:r>
          </w:p>
        </w:tc>
        <w:tc>
          <w:tcPr>
            <w:tcW w:type="dxa" w:w="950"/>
            <w:vAlign w:val="top"/>
          </w:tcPr>
          <w:p>
            <w:pPr>
              <w:spacing w:after="40" w:before="0" w:line="259" w:lineRule="auto"/>
            </w:pPr>
            <w:r>
              <w:rPr>
                <w:rFonts w:ascii="Calibri" w:hAnsi="Calibri"/>
                <w:b w:val="0"/>
                <w:i w:val="0"/>
                <w:color w:val="212121"/>
                <w:sz w:val="16"/>
              </w:rPr>
              <w:t>Tender to percussion / palpation</w:t>
            </w:r>
          </w:p>
        </w:tc>
        <w:tc>
          <w:tcPr>
            <w:tcW w:type="dxa" w:w="1036"/>
            <w:vAlign w:val="top"/>
          </w:tcPr>
          <w:p>
            <w:pPr>
              <w:spacing w:after="40" w:before="0" w:line="259" w:lineRule="auto"/>
            </w:pPr>
            <w:r>
              <w:rPr>
                <w:rFonts w:ascii="Calibri" w:hAnsi="Calibri"/>
                <w:b w:val="0"/>
                <w:i w:val="0"/>
                <w:color w:val="212121"/>
                <w:sz w:val="16"/>
              </w:rPr>
              <w:t>Tenderness signals spread to periradicular tissues (apical periodontitis)</w:t>
            </w:r>
          </w:p>
        </w:tc>
        <w:tc>
          <w:tcPr>
            <w:tcW w:type="dxa" w:w="1036"/>
            <w:vAlign w:val="top"/>
          </w:tcPr>
          <w:p>
            <w:pPr>
              <w:spacing w:after="40" w:before="0" w:line="259" w:lineRule="auto"/>
            </w:pPr>
            <w:r>
              <w:rPr>
                <w:rFonts w:ascii="Calibri" w:hAnsi="Calibri"/>
                <w:b w:val="0"/>
                <w:i w:val="0"/>
                <w:color w:val="212121"/>
                <w:sz w:val="16"/>
              </w:rPr>
              <w:t>Pulpitis progressing to apical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Localising test</w:t>
            </w:r>
          </w:p>
        </w:tc>
        <w:tc>
          <w:tcPr>
            <w:tcW w:type="dxa" w:w="720"/>
            <w:vAlign w:val="top"/>
          </w:tcPr>
          <w:p>
            <w:pPr>
              <w:spacing w:after="40" w:before="0" w:line="259" w:lineRule="auto"/>
            </w:pPr>
            <w:r>
              <w:rPr>
                <w:rFonts w:ascii="Calibri" w:hAnsi="Calibri"/>
                <w:b w:val="0"/>
                <w:i w:val="0"/>
                <w:color w:val="212121"/>
                <w:sz w:val="16"/>
              </w:rPr>
              <w:t>Helps separate pulpitis from periapical involvement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Periapical radiograph</w:t>
            </w:r>
          </w:p>
        </w:tc>
        <w:tc>
          <w:tcPr>
            <w:tcW w:type="dxa" w:w="892"/>
            <w:vAlign w:val="top"/>
          </w:tcPr>
          <w:p>
            <w:pPr>
              <w:spacing w:after="40" w:before="0" w:line="259" w:lineRule="auto"/>
            </w:pPr>
            <w:r>
              <w:rPr>
                <w:rFonts w:ascii="Calibri" w:hAnsi="Calibri"/>
                <w:b w:val="0"/>
                <w:i w:val="0"/>
                <w:color w:val="212121"/>
                <w:sz w:val="16"/>
              </w:rPr>
              <w:t>Intra-oral periapical (IOPA) film</w:t>
            </w:r>
          </w:p>
        </w:tc>
        <w:tc>
          <w:tcPr>
            <w:tcW w:type="dxa" w:w="950"/>
            <w:vAlign w:val="top"/>
          </w:tcPr>
          <w:p>
            <w:pPr>
              <w:spacing w:after="40" w:before="0" w:line="259" w:lineRule="auto"/>
            </w:pPr>
            <w:r>
              <w:rPr>
                <w:rFonts w:ascii="Calibri" w:hAnsi="Calibri"/>
                <w:b w:val="0"/>
                <w:i w:val="0"/>
                <w:color w:val="212121"/>
                <w:sz w:val="16"/>
              </w:rPr>
              <w:t>Intact lamina dura and periodontal-ligament space</w:t>
            </w:r>
          </w:p>
        </w:tc>
        <w:tc>
          <w:tcPr>
            <w:tcW w:type="dxa" w:w="950"/>
            <w:vAlign w:val="top"/>
          </w:tcPr>
          <w:p>
            <w:pPr>
              <w:spacing w:after="40" w:before="0" w:line="259" w:lineRule="auto"/>
            </w:pPr>
            <w:r>
              <w:rPr>
                <w:rFonts w:ascii="Calibri" w:hAnsi="Calibri"/>
                <w:b w:val="0"/>
                <w:i w:val="0"/>
                <w:color w:val="212121"/>
                <w:sz w:val="16"/>
              </w:rPr>
              <w:t>Deep caries to pulp, widened PDL or periapical radiolucency</w:t>
            </w:r>
          </w:p>
        </w:tc>
        <w:tc>
          <w:tcPr>
            <w:tcW w:type="dxa" w:w="1036"/>
            <w:vAlign w:val="top"/>
          </w:tcPr>
          <w:p>
            <w:pPr>
              <w:spacing w:after="40" w:before="0" w:line="259" w:lineRule="auto"/>
            </w:pPr>
            <w:r>
              <w:rPr>
                <w:rFonts w:ascii="Calibri" w:hAnsi="Calibri"/>
                <w:b w:val="0"/>
                <w:i w:val="0"/>
                <w:color w:val="212121"/>
                <w:sz w:val="16"/>
              </w:rPr>
              <w:t>Shows caries depth and detects necrosis / apical periodontitis</w:t>
            </w:r>
          </w:p>
        </w:tc>
        <w:tc>
          <w:tcPr>
            <w:tcW w:type="dxa" w:w="1036"/>
            <w:vAlign w:val="top"/>
          </w:tcPr>
          <w:p>
            <w:pPr>
              <w:spacing w:after="40" w:before="0" w:line="259" w:lineRule="auto"/>
            </w:pPr>
            <w:r>
              <w:rPr>
                <w:rFonts w:ascii="Calibri" w:hAnsi="Calibri"/>
                <w:b w:val="0"/>
                <w:i w:val="0"/>
                <w:color w:val="212121"/>
                <w:sz w:val="16"/>
              </w:rPr>
              <w:t>All symptomatic teeth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Standard imaging</w:t>
            </w:r>
          </w:p>
        </w:tc>
        <w:tc>
          <w:tcPr>
            <w:tcW w:type="dxa" w:w="720"/>
            <w:vAlign w:val="top"/>
          </w:tcPr>
          <w:p>
            <w:pPr>
              <w:spacing w:after="40" w:before="0" w:line="259" w:lineRule="auto"/>
            </w:pPr>
            <w:r>
              <w:rPr>
                <w:rFonts w:ascii="Calibri" w:hAnsi="Calibri"/>
                <w:b w:val="0"/>
                <w:i w:val="0"/>
                <w:color w:val="212121"/>
                <w:sz w:val="16"/>
              </w:rPr>
              <w:t>A periapical radiolucency indicates necrosis, not simple pulpitis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Bitewing radiograph</w:t>
            </w:r>
          </w:p>
        </w:tc>
        <w:tc>
          <w:tcPr>
            <w:tcW w:type="dxa" w:w="892"/>
            <w:vAlign w:val="top"/>
          </w:tcPr>
          <w:p>
            <w:pPr>
              <w:spacing w:after="40" w:before="0" w:line="259" w:lineRule="auto"/>
            </w:pPr>
            <w:r>
              <w:rPr>
                <w:rFonts w:ascii="Calibri" w:hAnsi="Calibri"/>
                <w:b w:val="0"/>
                <w:i w:val="0"/>
                <w:color w:val="212121"/>
                <w:sz w:val="16"/>
              </w:rPr>
              <w:t>Bitewing film</w:t>
            </w:r>
          </w:p>
        </w:tc>
        <w:tc>
          <w:tcPr>
            <w:tcW w:type="dxa" w:w="950"/>
            <w:vAlign w:val="top"/>
          </w:tcPr>
          <w:p>
            <w:pPr>
              <w:spacing w:after="40" w:before="0" w:line="259" w:lineRule="auto"/>
            </w:pPr>
            <w:r>
              <w:rPr>
                <w:rFonts w:ascii="Calibri" w:hAnsi="Calibri"/>
                <w:b w:val="0"/>
                <w:i w:val="0"/>
                <w:color w:val="212121"/>
                <w:sz w:val="16"/>
              </w:rPr>
              <w:t>No caries approaching the pulp</w:t>
            </w:r>
          </w:p>
        </w:tc>
        <w:tc>
          <w:tcPr>
            <w:tcW w:type="dxa" w:w="950"/>
            <w:vAlign w:val="top"/>
          </w:tcPr>
          <w:p>
            <w:pPr>
              <w:spacing w:after="40" w:before="0" w:line="259" w:lineRule="auto"/>
            </w:pPr>
            <w:r>
              <w:rPr>
                <w:rFonts w:ascii="Calibri" w:hAnsi="Calibri"/>
                <w:b w:val="0"/>
                <w:i w:val="0"/>
                <w:color w:val="212121"/>
                <w:sz w:val="16"/>
              </w:rPr>
              <w:t>Caries extending into deep dentine / to the pulp</w:t>
            </w:r>
          </w:p>
        </w:tc>
        <w:tc>
          <w:tcPr>
            <w:tcW w:type="dxa" w:w="1036"/>
            <w:vAlign w:val="top"/>
          </w:tcPr>
          <w:p>
            <w:pPr>
              <w:spacing w:after="40" w:before="0" w:line="259" w:lineRule="auto"/>
            </w:pPr>
            <w:r>
              <w:rPr>
                <w:rFonts w:ascii="Calibri" w:hAnsi="Calibri"/>
                <w:b w:val="0"/>
                <w:i w:val="0"/>
                <w:color w:val="212121"/>
                <w:sz w:val="16"/>
              </w:rPr>
              <w:t>Assesses proximal caries depth relative to the pulp</w:t>
            </w:r>
          </w:p>
        </w:tc>
        <w:tc>
          <w:tcPr>
            <w:tcW w:type="dxa" w:w="1036"/>
            <w:vAlign w:val="top"/>
          </w:tcPr>
          <w:p>
            <w:pPr>
              <w:spacing w:after="40" w:before="0" w:line="259" w:lineRule="auto"/>
            </w:pPr>
            <w:r>
              <w:rPr>
                <w:rFonts w:ascii="Calibri" w:hAnsi="Calibri"/>
                <w:b w:val="0"/>
                <w:i w:val="0"/>
                <w:color w:val="212121"/>
                <w:sz w:val="16"/>
              </w:rPr>
              <w:t>Proximal / occlusal caries</w:t>
            </w:r>
          </w:p>
        </w:tc>
        <w:tc>
          <w:tcPr>
            <w:tcW w:type="dxa" w:w="720"/>
            <w:vAlign w:val="top"/>
          </w:tcPr>
          <w:p>
            <w:pPr>
              <w:spacing w:after="40" w:before="0" w:line="259" w:lineRule="auto"/>
            </w:pPr>
            <w:r>
              <w:rPr>
                <w:rFonts w:ascii="Calibri" w:hAnsi="Calibri"/>
                <w:b w:val="0"/>
                <w:i w:val="0"/>
                <w:color w:val="212121"/>
                <w:sz w:val="16"/>
              </w:rPr>
              <w:t>Food; Hygiene</w:t>
            </w:r>
          </w:p>
        </w:tc>
        <w:tc>
          <w:tcPr>
            <w:tcW w:type="dxa" w:w="720"/>
            <w:vAlign w:val="top"/>
          </w:tcPr>
          <w:p>
            <w:pPr>
              <w:spacing w:after="40" w:before="0" w:line="259" w:lineRule="auto"/>
            </w:pPr>
            <w:r>
              <w:rPr>
                <w:rFonts w:ascii="Calibri" w:hAnsi="Calibri"/>
                <w:b w:val="0"/>
                <w:i w:val="0"/>
                <w:color w:val="212121"/>
                <w:sz w:val="16"/>
              </w:rPr>
              <w:t>Caries assessment</w:t>
            </w:r>
          </w:p>
        </w:tc>
        <w:tc>
          <w:tcPr>
            <w:tcW w:type="dxa" w:w="720"/>
            <w:vAlign w:val="top"/>
          </w:tcPr>
          <w:p>
            <w:pPr>
              <w:spacing w:after="40" w:before="0" w:line="259" w:lineRule="auto"/>
            </w:pPr>
            <w:r>
              <w:rPr>
                <w:rFonts w:ascii="Calibri" w:hAnsi="Calibri"/>
                <w:b w:val="0"/>
                <w:i w:val="0"/>
                <w:color w:val="212121"/>
                <w:sz w:val="16"/>
              </w:rPr>
              <w:t>Detects interproximal caries missed on inspection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Advanced imaging</w:t>
            </w:r>
          </w:p>
        </w:tc>
        <w:tc>
          <w:tcPr>
            <w:tcW w:type="dxa" w:w="1036"/>
            <w:vAlign w:val="top"/>
          </w:tcPr>
          <w:p>
            <w:pPr>
              <w:spacing w:after="40" w:before="0" w:line="259" w:lineRule="auto"/>
            </w:pPr>
            <w:r>
              <w:rPr>
                <w:rFonts w:ascii="Calibri" w:hAnsi="Calibri"/>
                <w:b w:val="0"/>
                <w:i w:val="0"/>
                <w:color w:val="212121"/>
                <w:sz w:val="16"/>
              </w:rPr>
              <w:t>Cone-beam CT (CBCT)</w:t>
            </w:r>
          </w:p>
        </w:tc>
        <w:tc>
          <w:tcPr>
            <w:tcW w:type="dxa" w:w="892"/>
            <w:vAlign w:val="top"/>
          </w:tcPr>
          <w:p>
            <w:pPr>
              <w:spacing w:after="40" w:before="0" w:line="259" w:lineRule="auto"/>
            </w:pPr>
            <w:r>
              <w:rPr>
                <w:rFonts w:ascii="Calibri" w:hAnsi="Calibri"/>
                <w:b w:val="0"/>
                <w:i w:val="0"/>
                <w:color w:val="212121"/>
                <w:sz w:val="16"/>
              </w:rPr>
              <w:t>CBCT</w:t>
            </w:r>
          </w:p>
        </w:tc>
        <w:tc>
          <w:tcPr>
            <w:tcW w:type="dxa" w:w="950"/>
            <w:vAlign w:val="top"/>
          </w:tcPr>
          <w:p>
            <w:pPr>
              <w:spacing w:after="40" w:before="0" w:line="259" w:lineRule="auto"/>
            </w:pPr>
            <w:r>
              <w:rPr>
                <w:rFonts w:ascii="Calibri" w:hAnsi="Calibri"/>
                <w:b w:val="0"/>
                <w:i w:val="0"/>
                <w:color w:val="212121"/>
                <w:sz w:val="16"/>
              </w:rPr>
              <w:t>No periapical change / caries not reaching pulp</w:t>
            </w:r>
          </w:p>
        </w:tc>
        <w:tc>
          <w:tcPr>
            <w:tcW w:type="dxa" w:w="950"/>
            <w:vAlign w:val="top"/>
          </w:tcPr>
          <w:p>
            <w:pPr>
              <w:spacing w:after="40" w:before="0" w:line="259" w:lineRule="auto"/>
            </w:pPr>
            <w:r>
              <w:rPr>
                <w:rFonts w:ascii="Calibri" w:hAnsi="Calibri"/>
                <w:b w:val="0"/>
                <w:i w:val="0"/>
                <w:color w:val="212121"/>
                <w:sz w:val="16"/>
              </w:rPr>
              <w:t>Caries to pulp, cracks, or periapical bone loss</w:t>
            </w:r>
          </w:p>
        </w:tc>
        <w:tc>
          <w:tcPr>
            <w:tcW w:type="dxa" w:w="1036"/>
            <w:vAlign w:val="top"/>
          </w:tcPr>
          <w:p>
            <w:pPr>
              <w:spacing w:after="40" w:before="0" w:line="259" w:lineRule="auto"/>
            </w:pPr>
            <w:r>
              <w:rPr>
                <w:rFonts w:ascii="Calibri" w:hAnsi="Calibri"/>
                <w:b w:val="0"/>
                <w:i w:val="0"/>
                <w:color w:val="212121"/>
                <w:sz w:val="16"/>
              </w:rPr>
              <w:t>3-D assessment when radiographs are inconclusive or for cracks/periapical disease</w:t>
            </w:r>
          </w:p>
        </w:tc>
        <w:tc>
          <w:tcPr>
            <w:tcW w:type="dxa" w:w="1036"/>
            <w:vAlign w:val="top"/>
          </w:tcPr>
          <w:p>
            <w:pPr>
              <w:spacing w:after="40" w:before="0" w:line="259" w:lineRule="auto"/>
            </w:pPr>
            <w:r>
              <w:rPr>
                <w:rFonts w:ascii="Calibri" w:hAnsi="Calibri"/>
                <w:b w:val="0"/>
                <w:i w:val="0"/>
                <w:color w:val="212121"/>
                <w:sz w:val="16"/>
              </w:rPr>
              <w:t>Complex, cracked or ambiguous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 / confirmatory</w:t>
            </w:r>
          </w:p>
        </w:tc>
        <w:tc>
          <w:tcPr>
            <w:tcW w:type="dxa" w:w="720"/>
            <w:vAlign w:val="top"/>
          </w:tcPr>
          <w:p>
            <w:pPr>
              <w:spacing w:after="40" w:before="0" w:line="259" w:lineRule="auto"/>
            </w:pPr>
            <w:r>
              <w:rPr>
                <w:rFonts w:ascii="Calibri" w:hAnsi="Calibri"/>
                <w:b w:val="0"/>
                <w:i w:val="0"/>
                <w:color w:val="212121"/>
                <w:sz w:val="16"/>
              </w:rPr>
              <w:t>CBCT reveals apical periodontitis missed on 2-D films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 / pain character</w:t>
            </w:r>
          </w:p>
        </w:tc>
        <w:tc>
          <w:tcPr>
            <w:tcW w:type="dxa" w:w="979"/>
            <w:vAlign w:val="top"/>
          </w:tcPr>
          <w:p>
            <w:pPr>
              <w:spacing w:after="40" w:before="0" w:line="259" w:lineRule="auto"/>
            </w:pPr>
            <w:r>
              <w:rPr>
                <w:rFonts w:ascii="Calibri" w:hAnsi="Calibri"/>
                <w:b w:val="0"/>
                <w:i w:val="0"/>
                <w:color w:val="212121"/>
                <w:sz w:val="16"/>
              </w:rPr>
              <w:t>Spontaneous vs provoked, lingering vs brief, throbbing, nocturnal, localisability</w:t>
            </w:r>
          </w:p>
        </w:tc>
        <w:tc>
          <w:tcPr>
            <w:tcW w:type="dxa" w:w="950"/>
            <w:vAlign w:val="top"/>
          </w:tcPr>
          <w:p>
            <w:pPr>
              <w:spacing w:after="40" w:before="0" w:line="259" w:lineRule="auto"/>
            </w:pPr>
            <w:r>
              <w:rPr>
                <w:rFonts w:ascii="Calibri" w:hAnsi="Calibri"/>
                <w:b w:val="0"/>
                <w:i w:val="0"/>
                <w:color w:val="212121"/>
                <w:sz w:val="16"/>
              </w:rPr>
              <w:t>No pain</w:t>
            </w:r>
          </w:p>
        </w:tc>
        <w:tc>
          <w:tcPr>
            <w:tcW w:type="dxa" w:w="950"/>
            <w:vAlign w:val="top"/>
          </w:tcPr>
          <w:p>
            <w:pPr>
              <w:spacing w:after="40" w:before="0" w:line="259" w:lineRule="auto"/>
            </w:pPr>
            <w:r>
              <w:rPr>
                <w:rFonts w:ascii="Calibri" w:hAnsi="Calibri"/>
                <w:b w:val="0"/>
                <w:i w:val="0"/>
                <w:color w:val="212121"/>
                <w:sz w:val="16"/>
              </w:rPr>
              <w:t>Spontaneous, lingering, throbbing or nocturnal pain</w:t>
            </w:r>
          </w:p>
        </w:tc>
        <w:tc>
          <w:tcPr>
            <w:tcW w:type="dxa" w:w="1036"/>
            <w:vAlign w:val="top"/>
          </w:tcPr>
          <w:p>
            <w:pPr>
              <w:spacing w:after="40" w:before="0" w:line="259" w:lineRule="auto"/>
            </w:pPr>
            <w:r>
              <w:rPr>
                <w:rFonts w:ascii="Calibri" w:hAnsi="Calibri"/>
                <w:b w:val="0"/>
                <w:i w:val="0"/>
                <w:color w:val="212121"/>
                <w:sz w:val="16"/>
              </w:rPr>
              <w:t>Distinguishes reversible (brief, provoked) from irreversible (spontaneous, lingering) pulpitis</w:t>
            </w:r>
          </w:p>
        </w:tc>
        <w:tc>
          <w:tcPr>
            <w:tcW w:type="dxa" w:w="1036"/>
            <w:vAlign w:val="top"/>
          </w:tcPr>
          <w:p>
            <w:pPr>
              <w:spacing w:after="40" w:before="0" w:line="259" w:lineRule="auto"/>
            </w:pPr>
            <w:r>
              <w:rPr>
                <w:rFonts w:ascii="Calibri" w:hAnsi="Calibri"/>
                <w:b w:val="0"/>
                <w:i w:val="0"/>
                <w:color w:val="212121"/>
                <w:sz w:val="16"/>
              </w:rPr>
              <w:t>Any patient with toothache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diagnostic</w:t>
            </w:r>
          </w:p>
        </w:tc>
        <w:tc>
          <w:tcPr>
            <w:tcW w:type="dxa" w:w="720"/>
            <w:vAlign w:val="top"/>
          </w:tcPr>
          <w:p>
            <w:pPr>
              <w:spacing w:after="40" w:before="0" w:line="259" w:lineRule="auto"/>
            </w:pPr>
            <w:r>
              <w:rPr>
                <w:rFonts w:ascii="Calibri" w:hAnsi="Calibri"/>
                <w:b w:val="0"/>
                <w:i w:val="0"/>
                <w:color w:val="212121"/>
                <w:sz w:val="16"/>
              </w:rPr>
              <w:t>Poor localisation and night pain point to irreversible pulpitis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Provoking &amp; relieving factors</w:t>
            </w:r>
          </w:p>
        </w:tc>
        <w:tc>
          <w:tcPr>
            <w:tcW w:type="dxa" w:w="979"/>
            <w:vAlign w:val="top"/>
          </w:tcPr>
          <w:p>
            <w:pPr>
              <w:spacing w:after="40" w:before="0" w:line="259" w:lineRule="auto"/>
            </w:pPr>
            <w:r>
              <w:rPr>
                <w:rFonts w:ascii="Calibri" w:hAnsi="Calibri"/>
                <w:b w:val="0"/>
                <w:i w:val="0"/>
                <w:color w:val="212121"/>
                <w:sz w:val="16"/>
              </w:rPr>
              <w:t>Cold, sweet, hot, biting; response to analgesics; posture</w:t>
            </w:r>
          </w:p>
        </w:tc>
        <w:tc>
          <w:tcPr>
            <w:tcW w:type="dxa" w:w="950"/>
            <w:vAlign w:val="top"/>
          </w:tcPr>
          <w:p>
            <w:pPr>
              <w:spacing w:after="40" w:before="0" w:line="259" w:lineRule="auto"/>
            </w:pPr>
            <w:r>
              <w:rPr>
                <w:rFonts w:ascii="Calibri" w:hAnsi="Calibri"/>
                <w:b w:val="0"/>
                <w:i w:val="0"/>
                <w:color w:val="212121"/>
                <w:sz w:val="16"/>
              </w:rPr>
              <w:t>No provoked pain</w:t>
            </w:r>
          </w:p>
        </w:tc>
        <w:tc>
          <w:tcPr>
            <w:tcW w:type="dxa" w:w="950"/>
            <w:vAlign w:val="top"/>
          </w:tcPr>
          <w:p>
            <w:pPr>
              <w:spacing w:after="40" w:before="0" w:line="259" w:lineRule="auto"/>
            </w:pPr>
            <w:r>
              <w:rPr>
                <w:rFonts w:ascii="Calibri" w:hAnsi="Calibri"/>
                <w:b w:val="0"/>
                <w:i w:val="0"/>
                <w:color w:val="212121"/>
                <w:sz w:val="16"/>
              </w:rPr>
              <w:t>Cold/sweet-provoked (reversible) or heat-provoked, cold-relieved (advanced irreversible)</w:t>
            </w:r>
          </w:p>
        </w:tc>
        <w:tc>
          <w:tcPr>
            <w:tcW w:type="dxa" w:w="1036"/>
            <w:vAlign w:val="top"/>
          </w:tcPr>
          <w:p>
            <w:pPr>
              <w:spacing w:after="40" w:before="0" w:line="259" w:lineRule="auto"/>
            </w:pPr>
            <w:r>
              <w:rPr>
                <w:rFonts w:ascii="Calibri" w:hAnsi="Calibri"/>
                <w:b w:val="0"/>
                <w:i w:val="0"/>
                <w:color w:val="212121"/>
                <w:sz w:val="16"/>
              </w:rPr>
              <w:t>Maps the stimulus profile and stage of pulpitis</w:t>
            </w:r>
          </w:p>
        </w:tc>
        <w:tc>
          <w:tcPr>
            <w:tcW w:type="dxa" w:w="1036"/>
            <w:vAlign w:val="top"/>
          </w:tcPr>
          <w:p>
            <w:pPr>
              <w:spacing w:after="40" w:before="0" w:line="259" w:lineRule="auto"/>
            </w:pPr>
            <w:r>
              <w:rPr>
                <w:rFonts w:ascii="Calibri" w:hAnsi="Calibri"/>
                <w:b w:val="0"/>
                <w:i w:val="0"/>
                <w:color w:val="212121"/>
                <w:sz w:val="16"/>
              </w:rPr>
              <w:t>Toothache patients</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Heat-provoked/cold-relieved pain is a red flag for irreversible pulpitis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Dental &amp; habit history</w:t>
            </w:r>
          </w:p>
        </w:tc>
        <w:tc>
          <w:tcPr>
            <w:tcW w:type="dxa" w:w="979"/>
            <w:vAlign w:val="top"/>
          </w:tcPr>
          <w:p>
            <w:pPr>
              <w:spacing w:after="40" w:before="0" w:line="259" w:lineRule="auto"/>
            </w:pPr>
            <w:r>
              <w:rPr>
                <w:rFonts w:ascii="Calibri" w:hAnsi="Calibri"/>
                <w:b w:val="0"/>
                <w:i w:val="0"/>
                <w:color w:val="212121"/>
                <w:sz w:val="16"/>
              </w:rPr>
              <w:t>Caries/restoration history, sugar frequency, tobacco/areca, bruxism, trauma</w:t>
            </w:r>
          </w:p>
        </w:tc>
        <w:tc>
          <w:tcPr>
            <w:tcW w:type="dxa" w:w="950"/>
            <w:vAlign w:val="top"/>
          </w:tcPr>
          <w:p>
            <w:pPr>
              <w:spacing w:after="40" w:before="0" w:line="259" w:lineRule="auto"/>
            </w:pPr>
            <w:r>
              <w:rPr>
                <w:rFonts w:ascii="Calibri" w:hAnsi="Calibri"/>
                <w:b w:val="0"/>
                <w:i w:val="0"/>
                <w:color w:val="212121"/>
                <w:sz w:val="16"/>
              </w:rPr>
              <w:t>Low-risk history</w:t>
            </w:r>
          </w:p>
        </w:tc>
        <w:tc>
          <w:tcPr>
            <w:tcW w:type="dxa" w:w="950"/>
            <w:vAlign w:val="top"/>
          </w:tcPr>
          <w:p>
            <w:pPr>
              <w:spacing w:after="40" w:before="0" w:line="259" w:lineRule="auto"/>
            </w:pPr>
            <w:r>
              <w:rPr>
                <w:rFonts w:ascii="Calibri" w:hAnsi="Calibri"/>
                <w:b w:val="0"/>
                <w:i w:val="0"/>
                <w:color w:val="212121"/>
                <w:sz w:val="16"/>
              </w:rPr>
              <w:t>Deep/repeated restorations, high sugar, parafunction, trauma</w:t>
            </w:r>
          </w:p>
        </w:tc>
        <w:tc>
          <w:tcPr>
            <w:tcW w:type="dxa" w:w="1036"/>
            <w:vAlign w:val="top"/>
          </w:tcPr>
          <w:p>
            <w:pPr>
              <w:spacing w:after="40" w:before="0" w:line="259" w:lineRule="auto"/>
            </w:pPr>
            <w:r>
              <w:rPr>
                <w:rFonts w:ascii="Calibri" w:hAnsi="Calibri"/>
                <w:b w:val="0"/>
                <w:i w:val="0"/>
                <w:color w:val="212121"/>
                <w:sz w:val="16"/>
              </w:rPr>
              <w:t>Identifies the causative pathway (caries, iatrogenic, crack, trauma, wear)</w:t>
            </w:r>
          </w:p>
        </w:tc>
        <w:tc>
          <w:tcPr>
            <w:tcW w:type="dxa" w:w="1036"/>
            <w:vAlign w:val="top"/>
          </w:tcPr>
          <w:p>
            <w:pPr>
              <w:spacing w:after="40" w:before="0" w:line="259" w:lineRule="auto"/>
            </w:pPr>
            <w:r>
              <w:rPr>
                <w:rFonts w:ascii="Calibri" w:hAnsi="Calibri"/>
                <w:b w:val="0"/>
                <w:i w:val="0"/>
                <w:color w:val="212121"/>
                <w:sz w:val="16"/>
              </w:rPr>
              <w:t>High-caries-risk, bruxers, chewers, trauma</w:t>
            </w:r>
          </w:p>
        </w:tc>
        <w:tc>
          <w:tcPr>
            <w:tcW w:type="dxa" w:w="720"/>
            <w:vAlign w:val="top"/>
          </w:tcPr>
          <w:p>
            <w:pPr>
              <w:spacing w:after="40" w:before="0" w:line="259" w:lineRule="auto"/>
            </w:pPr>
            <w:r>
              <w:rPr>
                <w:rFonts w:ascii="Calibri" w:hAnsi="Calibri"/>
                <w:b w:val="0"/>
                <w:i w:val="0"/>
                <w:color w:val="212121"/>
                <w:sz w:val="16"/>
              </w:rPr>
              <w:t>Food; Hygiene; Smoking; Sleep</w:t>
            </w:r>
          </w:p>
        </w:tc>
        <w:tc>
          <w:tcPr>
            <w:tcW w:type="dxa" w:w="720"/>
            <w:vAlign w:val="top"/>
          </w:tcPr>
          <w:p>
            <w:pPr>
              <w:spacing w:after="40" w:before="0" w:line="259" w:lineRule="auto"/>
            </w:pPr>
            <w:r>
              <w:rPr>
                <w:rFonts w:ascii="Calibri" w:hAnsi="Calibri"/>
                <w:b w:val="0"/>
                <w:i w:val="0"/>
                <w:color w:val="212121"/>
                <w:sz w:val="16"/>
              </w:rPr>
              <w:t>Causal</w:t>
            </w:r>
          </w:p>
        </w:tc>
        <w:tc>
          <w:tcPr>
            <w:tcW w:type="dxa" w:w="720"/>
            <w:vAlign w:val="top"/>
          </w:tcPr>
          <w:p>
            <w:pPr>
              <w:spacing w:after="40" w:before="0" w:line="259" w:lineRule="auto"/>
            </w:pPr>
            <w:r>
              <w:rPr>
                <w:rFonts w:ascii="Calibri" w:hAnsi="Calibri"/>
                <w:b w:val="0"/>
                <w:i w:val="0"/>
                <w:color w:val="212121"/>
                <w:sz w:val="16"/>
              </w:rPr>
              <w:t>Recent deep restoration suggests iatrogenic pulpitis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Visual / tactile inspection</w:t>
            </w:r>
          </w:p>
        </w:tc>
        <w:tc>
          <w:tcPr>
            <w:tcW w:type="dxa" w:w="979"/>
            <w:vAlign w:val="top"/>
          </w:tcPr>
          <w:p>
            <w:pPr>
              <w:spacing w:after="40" w:before="0" w:line="259" w:lineRule="auto"/>
            </w:pPr>
            <w:r>
              <w:rPr>
                <w:rFonts w:ascii="Calibri" w:hAnsi="Calibri"/>
                <w:b w:val="0"/>
                <w:i w:val="0"/>
                <w:color w:val="212121"/>
                <w:sz w:val="16"/>
              </w:rPr>
              <w:t>Deep caries, defective restorations, fractures, pulp polyp</w:t>
            </w:r>
          </w:p>
        </w:tc>
        <w:tc>
          <w:tcPr>
            <w:tcW w:type="dxa" w:w="950"/>
            <w:vAlign w:val="top"/>
          </w:tcPr>
          <w:p>
            <w:pPr>
              <w:spacing w:after="40" w:before="0" w:line="259" w:lineRule="auto"/>
            </w:pPr>
            <w:r>
              <w:rPr>
                <w:rFonts w:ascii="Calibri" w:hAnsi="Calibri"/>
                <w:b w:val="0"/>
                <w:i w:val="0"/>
                <w:color w:val="212121"/>
                <w:sz w:val="16"/>
              </w:rPr>
              <w:t>Intact tooth, no deep caries</w:t>
            </w:r>
          </w:p>
        </w:tc>
        <w:tc>
          <w:tcPr>
            <w:tcW w:type="dxa" w:w="950"/>
            <w:vAlign w:val="top"/>
          </w:tcPr>
          <w:p>
            <w:pPr>
              <w:spacing w:after="40" w:before="0" w:line="259" w:lineRule="auto"/>
            </w:pPr>
            <w:r>
              <w:rPr>
                <w:rFonts w:ascii="Calibri" w:hAnsi="Calibri"/>
                <w:b w:val="0"/>
                <w:i w:val="0"/>
                <w:color w:val="212121"/>
                <w:sz w:val="16"/>
              </w:rPr>
              <w:t>Cavitated caries, cracked cusp, exposed/hyperplastic pulp</w:t>
            </w:r>
          </w:p>
        </w:tc>
        <w:tc>
          <w:tcPr>
            <w:tcW w:type="dxa" w:w="1036"/>
            <w:vAlign w:val="top"/>
          </w:tcPr>
          <w:p>
            <w:pPr>
              <w:spacing w:after="40" w:before="0" w:line="259" w:lineRule="auto"/>
            </w:pPr>
            <w:r>
              <w:rPr>
                <w:rFonts w:ascii="Calibri" w:hAnsi="Calibri"/>
                <w:b w:val="0"/>
                <w:i w:val="0"/>
                <w:color w:val="212121"/>
                <w:sz w:val="16"/>
              </w:rPr>
              <w:t>Identifies the local cause and any pulp exposure</w:t>
            </w:r>
          </w:p>
        </w:tc>
        <w:tc>
          <w:tcPr>
            <w:tcW w:type="dxa" w:w="1036"/>
            <w:vAlign w:val="top"/>
          </w:tcPr>
          <w:p>
            <w:pPr>
              <w:spacing w:after="40" w:before="0" w:line="259" w:lineRule="auto"/>
            </w:pPr>
            <w:r>
              <w:rPr>
                <w:rFonts w:ascii="Calibri" w:hAnsi="Calibri"/>
                <w:b w:val="0"/>
                <w:i w:val="0"/>
                <w:color w:val="212121"/>
                <w:sz w:val="16"/>
              </w:rPr>
              <w:t>All symptomatic teeth</w:t>
            </w:r>
          </w:p>
        </w:tc>
        <w:tc>
          <w:tcPr>
            <w:tcW w:type="dxa" w:w="720"/>
            <w:vAlign w:val="top"/>
          </w:tcPr>
          <w:p>
            <w:pPr>
              <w:spacing w:after="40" w:before="0" w:line="259" w:lineRule="auto"/>
            </w:pPr>
            <w:r>
              <w:rPr>
                <w:rFonts w:ascii="Calibri" w:hAnsi="Calibri"/>
                <w:b w:val="0"/>
                <w:i w:val="0"/>
                <w:color w:val="212121"/>
                <w:sz w:val="16"/>
              </w:rPr>
              <w:t>Hygiene; 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red, fleshy mass in a large cavity is a pulp polyp (hyperplastic pulpitis)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Special tests</w:t>
            </w:r>
          </w:p>
        </w:tc>
        <w:tc>
          <w:tcPr>
            <w:tcW w:type="dxa" w:w="950"/>
            <w:vAlign w:val="top"/>
          </w:tcPr>
          <w:p>
            <w:pPr>
              <w:spacing w:after="40" w:before="0" w:line="259" w:lineRule="auto"/>
            </w:pPr>
            <w:r>
              <w:rPr>
                <w:rFonts w:ascii="Calibri" w:hAnsi="Calibri"/>
                <w:b w:val="0"/>
                <w:i w:val="0"/>
                <w:color w:val="212121"/>
                <w:sz w:val="16"/>
              </w:rPr>
              <w:t>Crack detection</w:t>
            </w:r>
          </w:p>
        </w:tc>
        <w:tc>
          <w:tcPr>
            <w:tcW w:type="dxa" w:w="979"/>
            <w:vAlign w:val="top"/>
          </w:tcPr>
          <w:p>
            <w:pPr>
              <w:spacing w:after="40" w:before="0" w:line="259" w:lineRule="auto"/>
            </w:pPr>
            <w:r>
              <w:rPr>
                <w:rFonts w:ascii="Calibri" w:hAnsi="Calibri"/>
                <w:b w:val="0"/>
                <w:i w:val="0"/>
                <w:color w:val="212121"/>
                <w:sz w:val="16"/>
              </w:rPr>
              <w:t>Bite / tooth-slooth test, transillumination, dye staining</w:t>
            </w:r>
          </w:p>
        </w:tc>
        <w:tc>
          <w:tcPr>
            <w:tcW w:type="dxa" w:w="950"/>
            <w:vAlign w:val="top"/>
          </w:tcPr>
          <w:p>
            <w:pPr>
              <w:spacing w:after="40" w:before="0" w:line="259" w:lineRule="auto"/>
            </w:pPr>
            <w:r>
              <w:rPr>
                <w:rFonts w:ascii="Calibri" w:hAnsi="Calibri"/>
                <w:b w:val="0"/>
                <w:i w:val="0"/>
                <w:color w:val="212121"/>
                <w:sz w:val="16"/>
              </w:rPr>
              <w:t>No crack; no pain on release of biting</w:t>
            </w:r>
          </w:p>
        </w:tc>
        <w:tc>
          <w:tcPr>
            <w:tcW w:type="dxa" w:w="950"/>
            <w:vAlign w:val="top"/>
          </w:tcPr>
          <w:p>
            <w:pPr>
              <w:spacing w:after="40" w:before="0" w:line="259" w:lineRule="auto"/>
            </w:pPr>
            <w:r>
              <w:rPr>
                <w:rFonts w:ascii="Calibri" w:hAnsi="Calibri"/>
                <w:b w:val="0"/>
                <w:i w:val="0"/>
                <w:color w:val="212121"/>
                <w:sz w:val="16"/>
              </w:rPr>
              <w:t>Sharp pain on release / visible crack</w:t>
            </w:r>
          </w:p>
        </w:tc>
        <w:tc>
          <w:tcPr>
            <w:tcW w:type="dxa" w:w="1036"/>
            <w:vAlign w:val="top"/>
          </w:tcPr>
          <w:p>
            <w:pPr>
              <w:spacing w:after="40" w:before="0" w:line="259" w:lineRule="auto"/>
            </w:pPr>
            <w:r>
              <w:rPr>
                <w:rFonts w:ascii="Calibri" w:hAnsi="Calibri"/>
                <w:b w:val="0"/>
                <w:i w:val="0"/>
                <w:color w:val="212121"/>
                <w:sz w:val="16"/>
              </w:rPr>
              <w:t>Identifies cracked-tooth syndrome as a cause of pulpitis</w:t>
            </w:r>
          </w:p>
        </w:tc>
        <w:tc>
          <w:tcPr>
            <w:tcW w:type="dxa" w:w="1036"/>
            <w:vAlign w:val="top"/>
          </w:tcPr>
          <w:p>
            <w:pPr>
              <w:spacing w:after="40" w:before="0" w:line="259" w:lineRule="auto"/>
            </w:pPr>
            <w:r>
              <w:rPr>
                <w:rFonts w:ascii="Calibri" w:hAnsi="Calibri"/>
                <w:b w:val="0"/>
                <w:i w:val="0"/>
                <w:color w:val="212121"/>
                <w:sz w:val="16"/>
              </w:rPr>
              <w:t>Unexplained pulpitis, bruxers</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Pain on release of biting pressure is typical of a cracked tooth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Soft-tissue &amp; periapical assessment</w:t>
            </w:r>
          </w:p>
        </w:tc>
        <w:tc>
          <w:tcPr>
            <w:tcW w:type="dxa" w:w="979"/>
            <w:vAlign w:val="top"/>
          </w:tcPr>
          <w:p>
            <w:pPr>
              <w:spacing w:after="40" w:before="0" w:line="259" w:lineRule="auto"/>
            </w:pPr>
            <w:r>
              <w:rPr>
                <w:rFonts w:ascii="Calibri" w:hAnsi="Calibri"/>
                <w:b w:val="0"/>
                <w:i w:val="0"/>
                <w:color w:val="212121"/>
                <w:sz w:val="16"/>
              </w:rPr>
              <w:t>Swelling, sinus tract, lymph nodes, tenderness</w:t>
            </w:r>
          </w:p>
        </w:tc>
        <w:tc>
          <w:tcPr>
            <w:tcW w:type="dxa" w:w="950"/>
            <w:vAlign w:val="top"/>
          </w:tcPr>
          <w:p>
            <w:pPr>
              <w:spacing w:after="40" w:before="0" w:line="259" w:lineRule="auto"/>
            </w:pPr>
            <w:r>
              <w:rPr>
                <w:rFonts w:ascii="Calibri" w:hAnsi="Calibri"/>
                <w:b w:val="0"/>
                <w:i w:val="0"/>
                <w:color w:val="212121"/>
                <w:sz w:val="16"/>
              </w:rPr>
              <w:t>No swelling or sinus</w:t>
            </w:r>
          </w:p>
        </w:tc>
        <w:tc>
          <w:tcPr>
            <w:tcW w:type="dxa" w:w="950"/>
            <w:vAlign w:val="top"/>
          </w:tcPr>
          <w:p>
            <w:pPr>
              <w:spacing w:after="40" w:before="0" w:line="259" w:lineRule="auto"/>
            </w:pPr>
            <w:r>
              <w:rPr>
                <w:rFonts w:ascii="Calibri" w:hAnsi="Calibri"/>
                <w:b w:val="0"/>
                <w:i w:val="0"/>
                <w:color w:val="212121"/>
                <w:sz w:val="16"/>
              </w:rPr>
              <w:t>Localised swelling, sinus tract or tender node</w:t>
            </w:r>
          </w:p>
        </w:tc>
        <w:tc>
          <w:tcPr>
            <w:tcW w:type="dxa" w:w="1036"/>
            <w:vAlign w:val="top"/>
          </w:tcPr>
          <w:p>
            <w:pPr>
              <w:spacing w:after="40" w:before="0" w:line="259" w:lineRule="auto"/>
            </w:pPr>
            <w:r>
              <w:rPr>
                <w:rFonts w:ascii="Calibri" w:hAnsi="Calibri"/>
                <w:b w:val="0"/>
                <w:i w:val="0"/>
                <w:color w:val="212121"/>
                <w:sz w:val="16"/>
              </w:rPr>
              <w:t>Signals progression to necrosis, apical abscess or spreading infection</w:t>
            </w:r>
          </w:p>
        </w:tc>
        <w:tc>
          <w:tcPr>
            <w:tcW w:type="dxa" w:w="1036"/>
            <w:vAlign w:val="top"/>
          </w:tcPr>
          <w:p>
            <w:pPr>
              <w:spacing w:after="40" w:before="0" w:line="259" w:lineRule="auto"/>
            </w:pPr>
            <w:r>
              <w:rPr>
                <w:rFonts w:ascii="Calibri" w:hAnsi="Calibri"/>
                <w:b w:val="0"/>
                <w:i w:val="0"/>
                <w:color w:val="212121"/>
                <w:sz w:val="16"/>
              </w:rPr>
              <w:t>Advanced/neglected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Safety / staging</w:t>
            </w:r>
          </w:p>
        </w:tc>
        <w:tc>
          <w:tcPr>
            <w:tcW w:type="dxa" w:w="720"/>
            <w:vAlign w:val="top"/>
          </w:tcPr>
          <w:p>
            <w:pPr>
              <w:spacing w:after="40" w:before="0" w:line="259" w:lineRule="auto"/>
            </w:pPr>
            <w:r>
              <w:rPr>
                <w:rFonts w:ascii="Calibri" w:hAnsi="Calibri"/>
                <w:b w:val="0"/>
                <w:i w:val="0"/>
                <w:color w:val="212121"/>
                <w:sz w:val="16"/>
              </w:rPr>
              <w:t>A sinus tract or swelling means necrosis/abscess, not simple pulpitis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Toothache (spontaneous or provoked)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cardinal symptom; provoked and brief in reversible pulpitis, spontaneous and persistent in irreversible.</w:t>
            </w:r>
          </w:p>
        </w:tc>
      </w:tr>
      <w:tr>
        <w:trPr>
          <w:cantSplit/>
        </w:trPr>
        <w:tc>
          <w:tcPr>
            <w:tcW w:type="dxa" w:w="2304"/>
            <w:vAlign w:val="top"/>
          </w:tcPr>
          <w:p>
            <w:pPr>
              <w:spacing w:after="40" w:before="0" w:line="259" w:lineRule="auto"/>
            </w:pPr>
            <w:r>
              <w:rPr>
                <w:rFonts w:ascii="Calibri" w:hAnsi="Calibri"/>
                <w:b/>
                <w:i w:val="0"/>
                <w:color w:val="212121"/>
                <w:sz w:val="19"/>
              </w:rPr>
              <w:t>Sharp, brief pain to cold or sweet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Hallmark of reversible pulpitis — pain stops within seconds of removing the stimulus.</w:t>
            </w:r>
          </w:p>
        </w:tc>
      </w:tr>
      <w:tr>
        <w:trPr>
          <w:cantSplit/>
        </w:trPr>
        <w:tc>
          <w:tcPr>
            <w:tcW w:type="dxa" w:w="2304"/>
            <w:vAlign w:val="top"/>
          </w:tcPr>
          <w:p>
            <w:pPr>
              <w:spacing w:after="40" w:before="0" w:line="259" w:lineRule="auto"/>
            </w:pPr>
            <w:r>
              <w:rPr>
                <w:rFonts w:ascii="Calibri" w:hAnsi="Calibri"/>
                <w:b/>
                <w:i w:val="0"/>
                <w:color w:val="212121"/>
                <w:sz w:val="19"/>
              </w:rPr>
              <w:t>Lingering pain after cold or hot is removed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persisting for minutes after the stimulus is withdrawn indicates irreversible pulpitis.</w:t>
            </w:r>
          </w:p>
        </w:tc>
      </w:tr>
      <w:tr>
        <w:trPr>
          <w:cantSplit/>
        </w:trPr>
        <w:tc>
          <w:tcPr>
            <w:tcW w:type="dxa" w:w="2304"/>
            <w:vAlign w:val="top"/>
          </w:tcPr>
          <w:p>
            <w:pPr>
              <w:spacing w:after="40" w:before="0" w:line="259" w:lineRule="auto"/>
            </w:pPr>
            <w:r>
              <w:rPr>
                <w:rFonts w:ascii="Calibri" w:hAnsi="Calibri"/>
                <w:b/>
                <w:i w:val="0"/>
                <w:color w:val="212121"/>
                <w:sz w:val="19"/>
              </w:rPr>
              <w:t>Spontaneous, unprovoked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arising without any trigger is characteristic of irreversible pulpitis.</w:t>
            </w:r>
          </w:p>
        </w:tc>
      </w:tr>
      <w:tr>
        <w:trPr>
          <w:cantSplit/>
        </w:trPr>
        <w:tc>
          <w:tcPr>
            <w:tcW w:type="dxa" w:w="2304"/>
            <w:vAlign w:val="top"/>
          </w:tcPr>
          <w:p>
            <w:pPr>
              <w:spacing w:after="40" w:before="0" w:line="259" w:lineRule="auto"/>
            </w:pPr>
            <w:r>
              <w:rPr>
                <w:rFonts w:ascii="Calibri" w:hAnsi="Calibri"/>
                <w:b/>
                <w:i w:val="0"/>
                <w:color w:val="212121"/>
                <w:sz w:val="19"/>
              </w:rPr>
              <w:t>Throbbing / pulsating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raised intrapulpal pressure in irreversible pulpitis.</w:t>
            </w:r>
          </w:p>
        </w:tc>
      </w:tr>
      <w:tr>
        <w:trPr>
          <w:cantSplit/>
        </w:trPr>
        <w:tc>
          <w:tcPr>
            <w:tcW w:type="dxa" w:w="2304"/>
            <w:vAlign w:val="top"/>
          </w:tcPr>
          <w:p>
            <w:pPr>
              <w:spacing w:after="40" w:before="0" w:line="259" w:lineRule="auto"/>
            </w:pPr>
            <w:r>
              <w:rPr>
                <w:rFonts w:ascii="Calibri" w:hAnsi="Calibri"/>
                <w:b/>
                <w:i w:val="0"/>
                <w:color w:val="212121"/>
                <w:sz w:val="19"/>
              </w:rPr>
              <w:t>Pain worse on lying down or at night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Recumbency increases intrapulpal blood pressure; nocturnal toothache is a classic irreversible-pulpitis clue.</w:t>
            </w:r>
          </w:p>
        </w:tc>
      </w:tr>
      <w:tr>
        <w:trPr>
          <w:cantSplit/>
        </w:trPr>
        <w:tc>
          <w:tcPr>
            <w:tcW w:type="dxa" w:w="2304"/>
            <w:vAlign w:val="top"/>
          </w:tcPr>
          <w:p>
            <w:pPr>
              <w:spacing w:after="40" w:before="0" w:line="259" w:lineRule="auto"/>
            </w:pPr>
            <w:r>
              <w:rPr>
                <w:rFonts w:ascii="Calibri" w:hAnsi="Calibri"/>
                <w:b/>
                <w:i w:val="0"/>
                <w:color w:val="212121"/>
                <w:sz w:val="19"/>
              </w:rPr>
              <w:t>Poorly localised or referred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Pulpal pain is often diffuse and referred to the ear, jaw, temple or adjacent/opposing teeth.</w:t>
            </w:r>
          </w:p>
        </w:tc>
      </w:tr>
      <w:tr>
        <w:trPr>
          <w:cantSplit/>
        </w:trPr>
        <w:tc>
          <w:tcPr>
            <w:tcW w:type="dxa" w:w="2304"/>
            <w:vAlign w:val="top"/>
          </w:tcPr>
          <w:p>
            <w:pPr>
              <w:spacing w:after="40" w:before="0" w:line="259" w:lineRule="auto"/>
            </w:pPr>
            <w:r>
              <w:rPr>
                <w:rFonts w:ascii="Calibri" w:hAnsi="Calibri"/>
                <w:b/>
                <w:i w:val="0"/>
                <w:color w:val="212121"/>
                <w:sz w:val="19"/>
              </w:rPr>
              <w:t>Pain aggravated by hot, relieved by cold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Seen in advanced irreversible pulpitis; patients may hold cold water in the mouth for relief.</w:t>
            </w:r>
          </w:p>
        </w:tc>
      </w:tr>
      <w:tr>
        <w:trPr>
          <w:cantSplit/>
        </w:trPr>
        <w:tc>
          <w:tcPr>
            <w:tcW w:type="dxa" w:w="2304"/>
            <w:vAlign w:val="top"/>
          </w:tcPr>
          <w:p>
            <w:pPr>
              <w:spacing w:after="40" w:before="0" w:line="259" w:lineRule="auto"/>
            </w:pPr>
            <w:r>
              <w:rPr>
                <w:rFonts w:ascii="Calibri" w:hAnsi="Calibri"/>
                <w:b/>
                <w:i w:val="0"/>
                <w:color w:val="212121"/>
                <w:sz w:val="19"/>
              </w:rPr>
              <w:t>Pain on biting or chewing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a cracked tooth or spread of inflammation to the periapical tissues.</w:t>
            </w:r>
          </w:p>
        </w:tc>
      </w:tr>
      <w:tr>
        <w:trPr>
          <w:cantSplit/>
        </w:trPr>
        <w:tc>
          <w:tcPr>
            <w:tcW w:type="dxa" w:w="2304"/>
            <w:vAlign w:val="top"/>
          </w:tcPr>
          <w:p>
            <w:pPr>
              <w:spacing w:after="40" w:before="0" w:line="259" w:lineRule="auto"/>
            </w:pPr>
            <w:r>
              <w:rPr>
                <w:rFonts w:ascii="Calibri" w:hAnsi="Calibri"/>
                <w:b/>
                <w:i w:val="0"/>
                <w:color w:val="212121"/>
                <w:sz w:val="19"/>
              </w:rPr>
              <w:t>Disturbed sleep and difficulty eating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Severe irreversible-pulpitis pain interferes with sleep, eating and daily function.</w:t>
            </w:r>
          </w:p>
        </w:tc>
      </w:tr>
      <w:tr>
        <w:trPr>
          <w:cantSplit/>
        </w:trPr>
        <w:tc>
          <w:tcPr>
            <w:tcW w:type="dxa" w:w="2304"/>
            <w:vAlign w:val="top"/>
          </w:tcPr>
          <w:p>
            <w:pPr>
              <w:spacing w:after="40" w:before="0" w:line="259" w:lineRule="auto"/>
            </w:pPr>
            <w:r>
              <w:rPr>
                <w:rFonts w:ascii="Calibri" w:hAnsi="Calibri"/>
                <w:b/>
                <w:i w:val="0"/>
                <w:color w:val="212121"/>
                <w:sz w:val="19"/>
              </w:rPr>
              <w:t>Pulp polyp (painless red tissue in a large cavity)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Hyperplastic pulpitis in children/young adults with large open cavities; usually painless.</w:t>
            </w:r>
          </w:p>
        </w:tc>
      </w:tr>
      <w:tr>
        <w:trPr>
          <w:cantSplit/>
        </w:trPr>
        <w:tc>
          <w:tcPr>
            <w:tcW w:type="dxa" w:w="2304"/>
            <w:vAlign w:val="top"/>
          </w:tcPr>
          <w:p>
            <w:pPr>
              <w:spacing w:after="40" w:before="0" w:line="259" w:lineRule="auto"/>
            </w:pPr>
            <w:r>
              <w:rPr>
                <w:rFonts w:ascii="Calibri" w:hAnsi="Calibri"/>
                <w:b/>
                <w:i w:val="0"/>
                <w:color w:val="212121"/>
                <w:sz w:val="19"/>
              </w:rPr>
              <w:t>Facial pain mimicking earache, sinusitis or headache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Referred pulpal pain can be mistaken for non-dental orofacial pain.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Deep carious cavity or large / defective restoration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on inspection and radiograph; the usual local cause of pulpitis.</w:t>
            </w:r>
          </w:p>
        </w:tc>
      </w:tr>
      <w:tr>
        <w:trPr>
          <w:cantSplit/>
        </w:trPr>
        <w:tc>
          <w:tcPr>
            <w:tcW w:type="dxa" w:w="3456"/>
            <w:vAlign w:val="top"/>
          </w:tcPr>
          <w:p>
            <w:pPr>
              <w:spacing w:after="40" w:before="0" w:line="259" w:lineRule="auto"/>
            </w:pPr>
            <w:r>
              <w:rPr>
                <w:rFonts w:ascii="Calibri" w:hAnsi="Calibri"/>
                <w:b/>
                <w:i w:val="0"/>
                <w:color w:val="212121"/>
                <w:sz w:val="19"/>
              </w:rPr>
              <w:t>Exaggerated, lingering response to cold sensibility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heightened response that outlasts the stimulus indicates irreversible pulpitis.</w:t>
            </w:r>
          </w:p>
        </w:tc>
      </w:tr>
      <w:tr>
        <w:trPr>
          <w:cantSplit/>
        </w:trPr>
        <w:tc>
          <w:tcPr>
            <w:tcW w:type="dxa" w:w="3456"/>
            <w:vAlign w:val="top"/>
          </w:tcPr>
          <w:p>
            <w:pPr>
              <w:spacing w:after="40" w:before="0" w:line="259" w:lineRule="auto"/>
            </w:pPr>
            <w:r>
              <w:rPr>
                <w:rFonts w:ascii="Calibri" w:hAnsi="Calibri"/>
                <w:b/>
                <w:i w:val="0"/>
                <w:color w:val="212121"/>
                <w:sz w:val="19"/>
              </w:rPr>
              <w:t>Reproduction of the patient’s pain on thermal testing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Confirms the offending tooth and the pulpal origin of pain.</w:t>
            </w:r>
          </w:p>
        </w:tc>
      </w:tr>
      <w:tr>
        <w:trPr>
          <w:cantSplit/>
        </w:trPr>
        <w:tc>
          <w:tcPr>
            <w:tcW w:type="dxa" w:w="3456"/>
            <w:vAlign w:val="top"/>
          </w:tcPr>
          <w:p>
            <w:pPr>
              <w:spacing w:after="40" w:before="0" w:line="259" w:lineRule="auto"/>
            </w:pPr>
            <w:r>
              <w:rPr>
                <w:rFonts w:ascii="Calibri" w:hAnsi="Calibri"/>
                <w:b/>
                <w:i w:val="0"/>
                <w:color w:val="212121"/>
                <w:sz w:val="19"/>
              </w:rPr>
              <w:t>Altered / heightened electric pulp test response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pulp is vital but inflamed; loss of response later signals necrosis.</w:t>
            </w:r>
          </w:p>
        </w:tc>
      </w:tr>
      <w:tr>
        <w:trPr>
          <w:cantSplit/>
        </w:trPr>
        <w:tc>
          <w:tcPr>
            <w:tcW w:type="dxa" w:w="3456"/>
            <w:vAlign w:val="top"/>
          </w:tcPr>
          <w:p>
            <w:pPr>
              <w:spacing w:after="40" w:before="0" w:line="259" w:lineRule="auto"/>
            </w:pPr>
            <w:r>
              <w:rPr>
                <w:rFonts w:ascii="Calibri" w:hAnsi="Calibri"/>
                <w:b/>
                <w:i w:val="0"/>
                <w:color w:val="212121"/>
                <w:sz w:val="19"/>
              </w:rPr>
              <w:t>Absence of periapical radiolucency (early/reversible)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Normal periapical bone distinguishes pulpitis from necrosis with apical periodontitis.</w:t>
            </w:r>
          </w:p>
        </w:tc>
      </w:tr>
      <w:tr>
        <w:trPr>
          <w:cantSplit/>
        </w:trPr>
        <w:tc>
          <w:tcPr>
            <w:tcW w:type="dxa" w:w="3456"/>
            <w:vAlign w:val="top"/>
          </w:tcPr>
          <w:p>
            <w:pPr>
              <w:spacing w:after="40" w:before="0" w:line="259" w:lineRule="auto"/>
            </w:pPr>
            <w:r>
              <w:rPr>
                <w:rFonts w:ascii="Calibri" w:hAnsi="Calibri"/>
                <w:b/>
                <w:i w:val="0"/>
                <w:color w:val="212121"/>
                <w:sz w:val="19"/>
              </w:rPr>
              <w:t>Tenderness to percussion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early spread of inflammation to the periradicular tissues.</w:t>
            </w:r>
          </w:p>
        </w:tc>
      </w:tr>
      <w:tr>
        <w:trPr>
          <w:cantSplit/>
        </w:trPr>
        <w:tc>
          <w:tcPr>
            <w:tcW w:type="dxa" w:w="3456"/>
            <w:vAlign w:val="top"/>
          </w:tcPr>
          <w:p>
            <w:pPr>
              <w:spacing w:after="40" w:before="0" w:line="259" w:lineRule="auto"/>
            </w:pPr>
            <w:r>
              <w:rPr>
                <w:rFonts w:ascii="Calibri" w:hAnsi="Calibri"/>
                <w:b/>
                <w:i w:val="0"/>
                <w:color w:val="212121"/>
                <w:sz w:val="19"/>
              </w:rPr>
              <w:t>Cracked tooth on transillumination / positive bite test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crack that reproduces pain on biting release identifies cracked-tooth syndrome.</w:t>
            </w:r>
          </w:p>
        </w:tc>
      </w:tr>
      <w:tr>
        <w:trPr>
          <w:cantSplit/>
        </w:trPr>
        <w:tc>
          <w:tcPr>
            <w:tcW w:type="dxa" w:w="3456"/>
            <w:vAlign w:val="top"/>
          </w:tcPr>
          <w:p>
            <w:pPr>
              <w:spacing w:after="40" w:before="0" w:line="259" w:lineRule="auto"/>
            </w:pPr>
            <w:r>
              <w:rPr>
                <w:rFonts w:ascii="Calibri" w:hAnsi="Calibri"/>
                <w:b/>
                <w:i w:val="0"/>
                <w:color w:val="212121"/>
                <w:sz w:val="19"/>
              </w:rPr>
              <w:t>Radiographic caries or restoration approximating/exposing the pulp</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Confirms the depth of the lesion relative to the pulp chamber.</w:t>
            </w:r>
          </w:p>
        </w:tc>
      </w:tr>
      <w:tr>
        <w:trPr>
          <w:cantSplit/>
        </w:trPr>
        <w:tc>
          <w:tcPr>
            <w:tcW w:type="dxa" w:w="3456"/>
            <w:vAlign w:val="top"/>
          </w:tcPr>
          <w:p>
            <w:pPr>
              <w:spacing w:after="40" w:before="0" w:line="259" w:lineRule="auto"/>
            </w:pPr>
            <w:r>
              <w:rPr>
                <w:rFonts w:ascii="Calibri" w:hAnsi="Calibri"/>
                <w:b/>
                <w:i w:val="0"/>
                <w:color w:val="212121"/>
                <w:sz w:val="19"/>
              </w:rPr>
              <w:t>Pulp polyp (hyperplastic tissue filling a cavity)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Proliferative pulp tissue in a large open cavity in a young, well-vascularised tooth.</w:t>
            </w:r>
          </w:p>
        </w:tc>
      </w:tr>
      <w:tr>
        <w:trPr>
          <w:cantSplit/>
        </w:trPr>
        <w:tc>
          <w:tcPr>
            <w:tcW w:type="dxa" w:w="3456"/>
            <w:vAlign w:val="top"/>
          </w:tcPr>
          <w:p>
            <w:pPr>
              <w:spacing w:after="40" w:before="0" w:line="259" w:lineRule="auto"/>
            </w:pPr>
            <w:r>
              <w:rPr>
                <w:rFonts w:ascii="Calibri" w:hAnsi="Calibri"/>
                <w:b/>
                <w:i w:val="0"/>
                <w:color w:val="212121"/>
                <w:sz w:val="19"/>
              </w:rPr>
              <w:t>Internal (root) resorption on radiograph</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radiolucent enlargement of the canal indicating chronic (asymptomatic) irreversible pulpitis.</w:t>
            </w:r>
          </w:p>
        </w:tc>
      </w:tr>
      <w:tr>
        <w:trPr>
          <w:cantSplit/>
        </w:trPr>
        <w:tc>
          <w:tcPr>
            <w:tcW w:type="dxa" w:w="3456"/>
            <w:vAlign w:val="top"/>
          </w:tcPr>
          <w:p>
            <w:pPr>
              <w:spacing w:after="40" w:before="0" w:line="259" w:lineRule="auto"/>
            </w:pPr>
            <w:r>
              <w:rPr>
                <w:rFonts w:ascii="Calibri" w:hAnsi="Calibri"/>
                <w:b/>
                <w:i w:val="0"/>
                <w:color w:val="212121"/>
                <w:sz w:val="19"/>
              </w:rPr>
              <w:t>Localised swelling or sinus tract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Signifies progression beyond pulpitis to pulp necrosis with periapical abscess.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from reversible to irreversible pulpitis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Pulp necrosis (loss of pulp vitality)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persistent pulpal pain interfering with sleep, eating and function</w:t>
            </w:r>
          </w:p>
        </w:tc>
        <w:tc>
          <w:tcPr>
            <w:tcW w:type="dxa" w:w="2980"/>
            <w:vAlign w:val="top"/>
          </w:tcPr>
          <w:p>
            <w:pPr>
              <w:spacing w:after="40" w:before="0" w:line="259" w:lineRule="auto"/>
            </w:pPr>
            <w:r>
              <w:rPr>
                <w:rFonts w:ascii="Calibri" w:hAnsi="Calibri"/>
                <w:b w:val="0"/>
                <w:i w:val="0"/>
                <w:color w:val="212121"/>
                <w:sz w:val="19"/>
              </w:rPr>
              <w:t>Direct consequences of ongoing, untreated pulpal inflammation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and asymptomatic apical periodontitis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apical (periapical)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apical abscess with sinus tract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Periapical granuloma and radicular (periapical) cyst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Localised cellulitis of adjacent soft tissues</w:t>
            </w:r>
          </w:p>
        </w:tc>
        <w:tc>
          <w:tcPr>
            <w:tcW w:type="dxa" w:w="2980"/>
            <w:vAlign w:val="top"/>
          </w:tcPr>
          <w:p>
            <w:pPr>
              <w:spacing w:after="40" w:before="0" w:line="259" w:lineRule="auto"/>
            </w:pPr>
            <w:r>
              <w:rPr>
                <w:rFonts w:ascii="Calibri" w:hAnsi="Calibri"/>
                <w:b w:val="0"/>
                <w:i w:val="0"/>
                <w:color w:val="212121"/>
                <w:sz w:val="19"/>
              </w:rPr>
              <w:t>Periradicular disease arising once necrotic pulp infection spreads beyond the apex</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Fascial-space odontogenic infections (e.g., Ludwig’s angina)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Osteomyelitis of the jaw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Odontogenic maxillary sinusitis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Cervicofacial cellulitis with airway compromise, and (rarely) cavernous sinus thrombosis or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Tooth loss / edentulism with functional, aesthetic and financial burden</w:t>
            </w:r>
          </w:p>
        </w:tc>
        <w:tc>
          <w:tcPr>
            <w:tcW w:type="dxa" w:w="2980"/>
            <w:vAlign w:val="top"/>
          </w:tcPr>
          <w:p>
            <w:pPr>
              <w:spacing w:after="40" w:before="0" w:line="259" w:lineRule="auto"/>
            </w:pPr>
            <w:r>
              <w:rPr>
                <w:rFonts w:ascii="Calibri" w:hAnsi="Calibri"/>
                <w:b w:val="0"/>
                <w:i w:val="0"/>
                <w:color w:val="212121"/>
                <w:sz w:val="19"/>
              </w:rPr>
              <w:t>Serious, potentially life-threatening or disabling outcomes of neglected pulpal-periapical infection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Dental caries (deep / untreated)</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Deep active caries is the direct precursor of most pulpitis, and both share the bacterial demineralisation process; caries affects ~50–60% of Indian adults.</w:t>
            </w:r>
          </w:p>
        </w:tc>
      </w:tr>
      <w:tr>
        <w:trPr>
          <w:cantSplit/>
        </w:trPr>
        <w:tc>
          <w:tcPr>
            <w:tcW w:type="dxa" w:w="2232"/>
            <w:vAlign w:val="top"/>
          </w:tcPr>
          <w:p>
            <w:pPr>
              <w:spacing w:after="40" w:before="0" w:line="259" w:lineRule="auto"/>
            </w:pPr>
            <w:r>
              <w:rPr>
                <w:rFonts w:ascii="Calibri" w:hAnsi="Calibri"/>
                <w:b/>
                <w:i w:val="0"/>
                <w:color w:val="212121"/>
                <w:sz w:val="19"/>
              </w:rPr>
              <w:t>Apical periodontitis / periapical abscess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Develops as a consequence of untreated irreversible pulpitis and pulp necrosis; a CBCT study of root-filled molars found apical periodontitis in 54% of treated teeth.</w:t>
            </w:r>
          </w:p>
          <w:p>
            <w:pPr>
              <w:spacing w:after="40" w:before="0" w:line="259" w:lineRule="auto"/>
            </w:pPr>
            <w:r>
              <w:rPr>
                <w:rFonts w:ascii="Calibri" w:hAnsi="Calibri"/>
                <w:b/>
                <w:i w:val="0"/>
                <w:color w:val="212121"/>
                <w:sz w:val="19"/>
              </w:rPr>
              <w:t>Up to 54%</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impairs pulpal microcirculation, immunity and healing; diabetics show more pulp necrosis, poorer periapical healing and more post-endodontic pain, and treatment may be modified (e.g., visit protocol, glycaemic control).</w:t>
            </w:r>
          </w:p>
        </w:tc>
      </w:tr>
      <w:tr>
        <w:trPr>
          <w:cantSplit/>
        </w:trPr>
        <w:tc>
          <w:tcPr>
            <w:tcW w:type="dxa" w:w="2232"/>
            <w:vAlign w:val="top"/>
          </w:tcPr>
          <w:p>
            <w:pPr>
              <w:spacing w:after="40" w:before="0" w:line="259" w:lineRule="auto"/>
            </w:pPr>
            <w:r>
              <w:rPr>
                <w:rFonts w:ascii="Calibri" w:hAnsi="Calibri"/>
                <w:b/>
                <w:i w:val="0"/>
                <w:color w:val="212121"/>
                <w:sz w:val="19"/>
              </w:rPr>
              <w:t>Periodontal disease (periodontitis)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a bacterial-biofilm aetiology; deep pockets can inflame the pulp via lateral/accessory canals (retrograde pulpitis) and produce combined perio-endo lesions that alter prognosis and treatment.</w:t>
            </w:r>
          </w:p>
        </w:tc>
      </w:tr>
      <w:tr>
        <w:trPr>
          <w:cantSplit/>
        </w:trPr>
        <w:tc>
          <w:tcPr>
            <w:tcW w:type="dxa" w:w="2232"/>
            <w:vAlign w:val="top"/>
          </w:tcPr>
          <w:p>
            <w:pPr>
              <w:spacing w:after="40" w:before="0" w:line="259" w:lineRule="auto"/>
            </w:pPr>
            <w:r>
              <w:rPr>
                <w:rFonts w:ascii="Calibri" w:hAnsi="Calibri"/>
                <w:b/>
                <w:i w:val="0"/>
                <w:color w:val="212121"/>
                <w:sz w:val="19"/>
              </w:rPr>
              <w:t>GERD / dental erosion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Intrinsic and extrinsic acid exposure erodes enamel and exposes dentine; severe erosion approaching the pulp predisposes to hypersensitivity and pulpitis.</w:t>
            </w:r>
          </w:p>
        </w:tc>
      </w:tr>
      <w:tr>
        <w:trPr>
          <w:cantSplit/>
        </w:trPr>
        <w:tc>
          <w:tcPr>
            <w:tcW w:type="dxa" w:w="2232"/>
            <w:vAlign w:val="top"/>
          </w:tcPr>
          <w:p>
            <w:pPr>
              <w:spacing w:after="40" w:before="0" w:line="259" w:lineRule="auto"/>
            </w:pPr>
            <w:r>
              <w:rPr>
                <w:rFonts w:ascii="Calibri" w:hAnsi="Calibri"/>
                <w:b/>
                <w:i w:val="0"/>
                <w:color w:val="212121"/>
                <w:sz w:val="19"/>
              </w:rPr>
              <w:t>Dentine hypersensitivity / tooth wear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Exposed dentine and open tubules cause sensitivity and, when wear is severe, pulpitis; the two must be differentiated because hypersensitivity pain is brief whereas pulpitis pain lingers or is spontaneous.</w:t>
            </w:r>
          </w:p>
        </w:tc>
      </w:tr>
      <w:tr>
        <w:trPr>
          <w:cantSplit/>
        </w:trPr>
        <w:tc>
          <w:tcPr>
            <w:tcW w:type="dxa" w:w="2232"/>
            <w:vAlign w:val="top"/>
          </w:tcPr>
          <w:p>
            <w:pPr>
              <w:spacing w:after="40" w:before="0" w:line="259" w:lineRule="auto"/>
            </w:pPr>
            <w:r>
              <w:rPr>
                <w:rFonts w:ascii="Calibri" w:hAnsi="Calibri"/>
                <w:b/>
                <w:i w:val="0"/>
                <w:color w:val="212121"/>
                <w:sz w:val="19"/>
              </w:rPr>
              <w:t>Cracked-tooth syndrome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Cracks transmit bacteria and flex under load, inflaming the pulp; a common cause of otherwise-unexplained pulpitis that requires specific bite/transillumination testing.</w:t>
            </w:r>
          </w:p>
        </w:tc>
      </w:tr>
      <w:tr>
        <w:trPr>
          <w:cantSplit/>
        </w:trPr>
        <w:tc>
          <w:tcPr>
            <w:tcW w:type="dxa" w:w="2232"/>
            <w:vAlign w:val="top"/>
          </w:tcPr>
          <w:p>
            <w:pPr>
              <w:spacing w:after="40" w:before="0" w:line="259" w:lineRule="auto"/>
            </w:pPr>
            <w:r>
              <w:rPr>
                <w:rFonts w:ascii="Calibri" w:hAnsi="Calibri"/>
                <w:b/>
                <w:i w:val="0"/>
                <w:color w:val="212121"/>
                <w:sz w:val="19"/>
              </w:rPr>
              <w:t>Cardiovascular disease / infective-endocarditis risk</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Endodontic infection and its treatment carry systemic-inflammation and bacteraemia implications; antibiotic-prophylaxis and treatment-timing considerations apply in at-risk cardiac patients.</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Apical periodontitis — the sequela of pulpitis — is associated with advancing CKD stage, and renal impairment/immunosuppression influences endodontic management and healing.</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most toothache/pulpitis begins as untreated dental caries — seek dental care early for sensitivity or a cavity, before pain becomes spontaneous or lingering.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warning shift to irreversible pulpitis: pain that lingers after cold/heat, arises spontaneously, throbs, or wakes you at night needs prompt endodontic assessment (root canal or extraction), not just painkillers.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the frequency of sugary foods and drinks (sweets, sugary chai/coffee, biscuits, aerated drinks), not only the quantity — every sugar exposure lowers oral pH.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Brush twice daily with a fluoride toothpaste (1000–1450 ppm), clean between the teeth, and avoid abrasive tooth-powders/charcoal that expose dentine.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self-medicate with antibiotics for toothache; antibiotics do not cure pulpitis — definitive treatment (caries removal, pulp treatment/root canal or extraction) is required.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routine dental check-ups (at least yearly) for early caries detection, and wear a mouthguard for contact sports.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parents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High-sugar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dental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Contact-sport players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a well-fitting mouthguard during contact or impact sports to prevent tooth fracture and pulp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acidic sports and energy drinks with plain water during exercise to limit erosion and caries.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prompt dental assessment after any dental trauma even if the tooth is not visibly broken, because the pulp may still be injured.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Contact-sport players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the frequency of sugary and sticky foods and sugar-sweetened/aerated drinks; confine sweets to mealtimes.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the frequency and contact time of acidic foods and drinks (lemon, tamarind, raw mango, amla, pickles, colas, energy drinks) that erode enamel and expose dentine.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Finish meals with neutralising foods (milk, cheese, plain water) and avoid sugary or acidic snacks and drinks at bedtime.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brush immediately after acidic intake or vomiting; rinse with water and wait 30–60 minutes.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High-sugar / SSB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Acidic-diet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GERD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diagnosed reversible pulpitis, have the causative caries removed and the tooth restored promptly so the pulp can recover.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fluoride toothpaste/varnish and calcium-phosphate (CPP-ACP) products to remineralise early lesions and reduce dentine sensitivity.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Chew sugar-free gum after meals to stimulate protective saliva and acid clearance.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low-cariogenic diet during and after endodontic treatment to protect the treated and remaining teeth.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Reversible-pulpitis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High-caries-risk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Xerostomia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night-time toothache, elevate the head while awaiting dental care — recumbency raises intrapulpal pressure — but arrange definitive treatment, as posture only gives temporary relief.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an occlusal splint / night-guard for sleep bruxism to prevent tooth cracks and dentine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associated reflux (avoid late meals, elevate the head of the bed) to reduce nocturnal acid erosion.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caffeine and alcohol close to bedtime, which can worsen bruxism and reflux.</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Irreversible-pulpitis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bruxers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GERD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smokeless tobacco/areca-nut/gutka/betel-quid, which promote root caries, gingival recession, dentine exposure and impaired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tobacco-cessation counselling and nicotine-replacement or quitline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meticulous plaque control and regular dental review to limit recession-related root caries and its pulpal sequelae.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 / areca-nut chewers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Gutka users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heavy and binge drinking, which is linked to sugary/acidic drink intake, reflux, vomiting, dry mouth and dental neglect.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holding acidic alcoholic drinks in the mouth; alternate with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alcohol dependence and manage the associated dry mouth to protect against caries and erosion.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 dependent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alcohol-related reflux or vomiting</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dental anxiety or phobia that delays care, so reversible pulpitis is treated before it becomes irreversible; use behavioural techniques and, where needed, sedation.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stress-management and relaxation techniques and, if needed, an occlusal guard to reduce bruxism-related tooth cracking.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underlying anxiety and depression that drive dental neglect and parafunction.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behavioural support with timely restorative/endodontic care rather than repeated courses of analgesics.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dental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adults / bruxers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Anxiety/depression with dental neglect</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19336869/" TargetMode="External"/><Relationship Id="rId10" Type="http://schemas.openxmlformats.org/officeDocument/2006/relationships/hyperlink" Target="https://pubmed.ncbi.nlm.nih.gov/18445923/" TargetMode="External"/><Relationship Id="rId11" Type="http://schemas.openxmlformats.org/officeDocument/2006/relationships/hyperlink" Target="https://pubmed.ncbi.nlm.nih.gov/38706762/" TargetMode="External"/><Relationship Id="rId12" Type="http://schemas.openxmlformats.org/officeDocument/2006/relationships/hyperlink" Target="https://pubmed.ncbi.nlm.nih.gov/24351921/" TargetMode="External"/><Relationship Id="rId13" Type="http://schemas.openxmlformats.org/officeDocument/2006/relationships/hyperlink" Target="https://pubmed.ncbi.nlm.nih.gov/38882734/" TargetMode="External"/><Relationship Id="rId14" Type="http://schemas.openxmlformats.org/officeDocument/2006/relationships/hyperlink" Target="https://pubmed.ncbi.nlm.nih.gov/39262592/" TargetMode="External"/><Relationship Id="rId15" Type="http://schemas.openxmlformats.org/officeDocument/2006/relationships/hyperlink" Target="https://pubmed.ncbi.nlm.nih.gov/358774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