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Periapical / Dental Abscess</w:t>
      </w:r>
    </w:p>
    <w:p>
      <w:pPr>
        <w:spacing w:before="0" w:after="160"/>
      </w:pPr>
      <w:r>
        <w:rPr>
          <w:rFonts w:ascii="Calibri" w:hAnsi="Calibri"/>
          <w:b/>
          <w:i w:val="0"/>
          <w:color w:val="212121"/>
          <w:sz w:val="22"/>
        </w:rPr>
        <w:t xml:space="preserve">AKA </w:t>
      </w:r>
      <w:r>
        <w:rPr>
          <w:rFonts w:ascii="Calibri" w:hAnsi="Calibri"/>
          <w:b w:val="0"/>
          <w:i w:val="0"/>
          <w:color w:val="212121"/>
          <w:sz w:val="22"/>
        </w:rPr>
        <w:t>i.e., Dentoalveolar abscess, Apical abscess, Tooth abscess, Odontogenic abscess, 'Gum boil' (parulis); classified as acute (symptomatic) or chronic (asymptomatic) apical abscess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periapical (dental) abscess is a localized, walled-off collection of pus at the apex of a tooth root, produced by bacterial infection of a necrotic dental pulp. It is usually the end-stage of untreated dental caries, in which oral bacteria breach enamel and dentine, infect the pulp (pulpitis), cause pulp necrosis, and spread through the apical foramen into the periapical bone. It presents with severe, throbbing toothache, tenderness on biting, gum or facial swelling and sometimes fever; if pus tracks along fascial planes it can progress to life-threatening deep-neck-space infection (Ludwig's angina), cavernous sinus thrombosis or sepsis. It is one of the commonest dental emergencies and reasons for urgent or after-hours dental and emergency-department attendance.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Periapical abscess is driven by dental caries, which is extremely common in India: national and regional oral-health surveys have reported caries prevalence rising with age from roughly half of children to about 80-85% of older adults, and a large share of this decay goes untreated because of limited and urban-concentrated access to dental and endodontic care. Globally, untreated dental caries in permanent teeth is the single most common health condition (Global Burden of Disease 2021), and oral diseases overall affect an estimated 3.5-3.7 billion people. Because caries so often progresses without timely restorative or root-canal treatment, pulp necrosis and periapical abscess are frequent; dental abscess is a leading dental emergency - for example it accounts for about 47% of paediatric emergency-department dental visits and roughly 1 in 2,600 hospital admissions in US data, a pattern amplified in India by the sheer untreated-caries burden.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Periapical abscess is a clinical and radiographic diagnosis made by dental examination; there is no confirmatory blood test. It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history of severe, spontaneous, throbbing toothache, typically localized to one tooth and worsened by biting, chewing, heat and lying down;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non-vital (necrotic) tooth - no or abnormal response to thermal and electric pulp (vitality) testing - usually with deep caries, a fracture, or a large/defective restoration;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 tenderness of the tooth to percussion and to biting, often with the tooth feeling 'raised', extruded or mobile;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localized, fluctuant swelling of the adjacent gum, vestibule or face, sometimes with a draining sinus tract and a gum-boil (parulis) discharging pus;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periapical (intra-oral, IOPA) radiograph showing widening of the periodontal ligament space and loss of the lamina dura progressing to a well-defined periapical radiolucency;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for spread - facial cellulitis, trismus, dysphagia, floor-of-mouth elevation, fever and cervical lymphadenopathy - which signals fascial-space involvement;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CBCT or contrast CT of the head and neck to map the extent of a periapical lesion or deep-space infection, with FBC/CRP (and pus or blood cultures) when there is systemic or spreading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Odontogenic (dental) abscesses are classified by the tissue of origin and by their acuity; the periapical abscess is the classic 'tooth abscess' but must be distinguished from periodontal and pericoronal infections:</w:t>
      </w:r>
    </w:p>
    <w:p>
      <w:pPr>
        <w:spacing w:before="0" w:after="80"/>
      </w:pPr>
      <w:r>
        <w:rPr>
          <w:rFonts w:ascii="Calibri" w:hAnsi="Calibri"/>
          <w:b w:val="0"/>
          <w:i w:val="0"/>
          <w:color w:val="212121"/>
          <w:sz w:val="21"/>
        </w:rPr>
        <w:t>(1) Periapical (dentoalveolar / apical) abscess - a purulent infection at the root apex arising from a necrotic pulp, the direct sequel of caries, trauma or a failed root canal. It is subdivided into an acute (symptomatic) apical abscess with rapid onset, severe pain and swelling, and a chronic (asymptomatic) apical abscess that drains through a sinus tract with little pain.</w:t>
      </w:r>
    </w:p>
    <w:p>
      <w:pPr>
        <w:spacing w:before="0" w:after="80"/>
      </w:pPr>
      <w:r>
        <w:rPr>
          <w:rFonts w:ascii="Calibri" w:hAnsi="Calibri"/>
          <w:b w:val="0"/>
          <w:i w:val="0"/>
          <w:color w:val="212121"/>
          <w:sz w:val="21"/>
        </w:rPr>
        <w:t>(2) Periodontal abscess - a localized collection of pus within an existing periodontal pocket, lateral to a usually vital tooth and associated with periodontitis rather than pulp death; it can coexist with a periapical lesion as a combined 'perio-endo' lesion.</w:t>
      </w:r>
    </w:p>
    <w:p>
      <w:pPr>
        <w:spacing w:before="0" w:after="80"/>
      </w:pPr>
      <w:r>
        <w:rPr>
          <w:rFonts w:ascii="Calibri" w:hAnsi="Calibri"/>
          <w:b w:val="0"/>
          <w:i w:val="0"/>
          <w:color w:val="212121"/>
          <w:sz w:val="21"/>
        </w:rPr>
        <w:t>(3) Gingival abscess - confined to the marginal or interdental gingiva, commonly caused by impaction of a foreign body (e.g. a food particle or bristle) in previously healthy tissue, without pocket or pulp involvement.</w:t>
      </w:r>
    </w:p>
    <w:p>
      <w:pPr>
        <w:spacing w:before="0" w:after="80"/>
      </w:pPr>
      <w:r>
        <w:rPr>
          <w:rFonts w:ascii="Calibri" w:hAnsi="Calibri"/>
          <w:b w:val="0"/>
          <w:i w:val="0"/>
          <w:color w:val="212121"/>
          <w:sz w:val="21"/>
        </w:rPr>
        <w:t>(4) Pericoronal abscess (pericoronitis) - infection of the soft-tissue flap (operculum) overlying a partially erupted tooth, classically a lower third molar (wisdom tooth) in young adults; and, by spread, the fascial-space and deep-neck infections (culminating in Ludwig's angina) that any of these can progress to.</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Dental caries (untreated): The dominant cause - progressive decay lets cariogenic and anaerobic bacteria penetrate enamel and dentine, infect and kill the pulp, and seed the periapical tissues.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Dental trauma: A fracture, crack or luxation injury can devitalize the pulp (even without caries), allowing subsequent bacterial ingress and periapical infection - relevant in sport and road-traffic injuries.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Failed or inadequate endodontic / restorative treatment: Persistent or re-introduced infection after an inadequate root canal, microleakage under a deep restoration, or a cracked restored tooth.</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Periodontal disease and cracked teeth: Deep pockets can seed the pulp retrogradely (perio-endo lesion), and cracks from bruxism, attrition or areca-nut/betel chewing provide a bacterial route to the pulp.</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Microbiology: Odontogenic abscesses are polymicrobial, dominated by anaerobes (Prevotella, Porphyromonas, Fusobacterium) and viridans / anginosus-group streptococci from dental plaque.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and immune factors: Diabetes, smoking, immunosuppression, HIV/AIDS, chemotherapy and dry mouth impair local defence and healing, increasing the risk, severity and spread of infection.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Cumulative, often untreated caries and heavily restored teeth mean working-age adults are the group most likely to develop pulp necrosis and a periapical abscess, and they commonly present acutely with pain and swelling.</w:t>
            </w:r>
          </w:p>
          <w:p>
            <w:pPr>
              <w:spacing w:after="40" w:before="60" w:line="259" w:lineRule="auto"/>
            </w:pPr>
            <w:r>
              <w:rPr>
                <w:rFonts w:ascii="Calibri" w:hAnsi="Calibri"/>
                <w:b w:val="0"/>
                <w:i w:val="0"/>
                <w:color w:val="212121"/>
                <w:sz w:val="19"/>
              </w:rPr>
              <w:t>Untreated dental caries in permanent teeth is the single most common health condition worldwide (Global Burden of Disease 2021), the direct precursor of periapical abscess.</w:t>
            </w:r>
          </w:p>
          <w:p>
            <w:pPr>
              <w:spacing w:after="40" w:line="252" w:lineRule="auto"/>
            </w:pPr>
            <w:hyperlink r:id="rId9">
              <w:r>
                <w:rPr>
                  <w:rFonts w:ascii="Calibri" w:hAnsi="Calibri" w:cs="Calibri"/>
                  <w:sz w:val="18"/>
                  <w:color w:val="1155CC"/>
                  <w:u w:val="single"/>
                </w:rPr>
                <w:t xml:space="preserve">who.int - oral health fact sheet</w:t>
              </w:r>
            </w:hyperlink>
          </w:p>
          <w:p>
            <w:pPr>
              <w:spacing w:before="60" w:after="40"/>
            </w:pPr>
            <w:r>
              <w:rPr>
                <w:rFonts w:ascii="Calibri" w:hAnsi="Calibri"/>
                <w:b w:val="0"/>
                <w:i w:val="0"/>
                <w:color w:val="5A5A5A"/>
                <w:sz w:val="18"/>
              </w:rPr>
              <w:t>#caries  #pulpnecrosis  #toothache  #untreateddecay  #dentalemergency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(primary dentition)</w:t>
            </w:r>
          </w:p>
        </w:tc>
        <w:tc>
          <w:tcPr>
            <w:tcW w:type="dxa" w:w="4276"/>
            <w:vAlign w:val="top"/>
          </w:tcPr>
          <w:p>
            <w:pPr>
              <w:spacing w:after="60" w:line="259" w:lineRule="auto"/>
            </w:pPr>
            <w:r>
              <w:rPr>
                <w:rFonts w:ascii="Calibri" w:hAnsi="Calibri"/>
                <w:b w:val="0"/>
                <w:i w:val="0"/>
                <w:color w:val="212121"/>
                <w:sz w:val="19"/>
              </w:rPr>
              <w:t>Early-childhood caries and dental trauma readily reach the pulp of primary teeth, which have relatively large pulp chambers and thin dentine, so young children develop acute abscesses and facial swelling and are frequent dental-emergency attenders.</w:t>
            </w:r>
          </w:p>
          <w:p>
            <w:pPr>
              <w:spacing w:after="40" w:before="60" w:line="259" w:lineRule="auto"/>
            </w:pPr>
            <w:r>
              <w:rPr>
                <w:rFonts w:ascii="Calibri" w:hAnsi="Calibri"/>
                <w:b w:val="0"/>
                <w:i w:val="0"/>
                <w:color w:val="212121"/>
                <w:sz w:val="19"/>
              </w:rPr>
              <w:t>Dental abscesses account for about 47% of paediatric emergency-department visits that are dental in nature.</w:t>
            </w:r>
          </w:p>
          <w:p>
            <w:pPr>
              <w:spacing w:after="40" w:line="252" w:lineRule="auto"/>
            </w:pPr>
            <w:hyperlink r:id="rId10">
              <w:r>
                <w:rPr>
                  <w:rFonts w:ascii="Calibri" w:hAnsi="Calibri" w:cs="Calibri"/>
                  <w:sz w:val="18"/>
                  <w:color w:val="1155CC"/>
                  <w:u w:val="single"/>
                </w:rPr>
                <w:t xml:space="preserve">ncbi.nlm.nih.gov - StatPearls, Dental Abscess</w:t>
              </w:r>
            </w:hyperlink>
          </w:p>
          <w:p>
            <w:pPr>
              <w:spacing w:before="60" w:after="40"/>
            </w:pPr>
            <w:r>
              <w:rPr>
                <w:rFonts w:ascii="Calibri" w:hAnsi="Calibri"/>
                <w:b w:val="0"/>
                <w:i w:val="0"/>
                <w:color w:val="5A5A5A"/>
                <w:sz w:val="18"/>
              </w:rPr>
              <w:t>#earlychildhoodcaries  #primaryteeth  #paediatric  #facialswelling  #gumboil</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Root-surface caries, drug- and disease-related dry mouth, and decades-old restorations put remaining teeth in older adults at high risk, while blunted symptoms and comorbidity (e.g. diabetes) allow infections to advance before help is sought.</w:t>
            </w:r>
          </w:p>
          <w:p>
            <w:pPr>
              <w:spacing w:after="40" w:before="60" w:line="259" w:lineRule="auto"/>
            </w:pPr>
            <w:r>
              <w:rPr>
                <w:rFonts w:ascii="Calibri" w:hAnsi="Calibri"/>
                <w:b w:val="0"/>
                <w:i w:val="0"/>
                <w:color w:val="212121"/>
                <w:sz w:val="19"/>
              </w:rPr>
              <w:t>Total tooth loss is estimated at about 23% in people aged 60 years and older, reflecting a lifetime of caries and its sequelae, including periapical infection.</w:t>
            </w:r>
          </w:p>
          <w:p>
            <w:pPr>
              <w:spacing w:after="40" w:line="252" w:lineRule="auto"/>
            </w:pPr>
            <w:hyperlink r:id="rId9">
              <w:r>
                <w:rPr>
                  <w:rFonts w:ascii="Calibri" w:hAnsi="Calibri" w:cs="Calibri"/>
                  <w:sz w:val="18"/>
                  <w:color w:val="1155CC"/>
                  <w:u w:val="single"/>
                </w:rPr>
                <w:t xml:space="preserve">who.int - oral health fact sheet (edentulism in 60+)</w:t>
              </w:r>
            </w:hyperlink>
          </w:p>
          <w:p>
            <w:pPr>
              <w:spacing w:before="60" w:after="40"/>
            </w:pPr>
            <w:r>
              <w:rPr>
                <w:rFonts w:ascii="Calibri" w:hAnsi="Calibri"/>
                <w:b w:val="0"/>
                <w:i w:val="0"/>
                <w:color w:val="5A5A5A"/>
                <w:sz w:val="18"/>
              </w:rPr>
              <w:t>#rootcaries  #xerostomia  #polypharmacy  #elderly  #atypicalpresentation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in India carry a higher burden of smoking, smokeless tobacco and areca-nut/betel use and tend to attend the dentist later and only in pain, so they more often present with established, spreading odontogenic abscesses.</w:t>
            </w:r>
          </w:p>
          <w:p>
            <w:pPr>
              <w:spacing w:after="40" w:before="60" w:line="259" w:lineRule="auto"/>
            </w:pPr>
            <w:r>
              <w:rPr>
                <w:rFonts w:ascii="Calibri" w:hAnsi="Calibri"/>
                <w:b w:val="0"/>
                <w:i w:val="0"/>
                <w:color w:val="212121"/>
                <w:sz w:val="19"/>
              </w:rPr>
              <w:t>Higher tobacco and areca-nut use and later, pain-driven dental attendance in men are associated with more advanced odontogenic infection at presentation.</w:t>
            </w:r>
          </w:p>
          <w:p>
            <w:pPr>
              <w:spacing w:before="60" w:after="40"/>
            </w:pPr>
            <w:r>
              <w:rPr>
                <w:rFonts w:ascii="Calibri" w:hAnsi="Calibri"/>
                <w:b w:val="0"/>
                <w:i w:val="0"/>
                <w:color w:val="5A5A5A"/>
                <w:sz w:val="18"/>
              </w:rPr>
              <w:t>#tobacco  #arecanut  #latepresentation  #malehealth  #spreadinginfection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rural populations</w:t>
            </w:r>
          </w:p>
        </w:tc>
        <w:tc>
          <w:tcPr>
            <w:tcW w:type="dxa" w:w="4276"/>
            <w:vAlign w:val="top"/>
          </w:tcPr>
          <w:p>
            <w:pPr>
              <w:spacing w:after="60" w:line="259" w:lineRule="auto"/>
            </w:pPr>
            <w:r>
              <w:rPr>
                <w:rFonts w:ascii="Calibri" w:hAnsi="Calibri"/>
                <w:b w:val="0"/>
                <w:i w:val="0"/>
                <w:color w:val="212121"/>
                <w:sz w:val="19"/>
              </w:rPr>
              <w:t>Lower-income and rural groups have more untreated caries and far less access to timely restorative and root-canal care, so decay is more likely to progress to abscess and to present late as an emergency or with facial-space spread.</w:t>
            </w:r>
          </w:p>
          <w:p>
            <w:pPr>
              <w:spacing w:after="40" w:before="60" w:line="259" w:lineRule="auto"/>
            </w:pPr>
            <w:r>
              <w:rPr>
                <w:rFonts w:ascii="Calibri" w:hAnsi="Calibri"/>
                <w:b w:val="0"/>
                <w:i w:val="0"/>
                <w:color w:val="212121"/>
                <w:sz w:val="19"/>
              </w:rPr>
              <w:t>Untreated caries and unmet dental treatment need cluster in lower-socioeconomic and rural Indian populations with limited access to endodontic care.</w:t>
            </w:r>
          </w:p>
          <w:p>
            <w:pPr>
              <w:spacing w:before="60" w:after="40"/>
            </w:pPr>
            <w:r>
              <w:rPr>
                <w:rFonts w:ascii="Calibri" w:hAnsi="Calibri"/>
                <w:b w:val="0"/>
                <w:i w:val="0"/>
                <w:color w:val="5A5A5A"/>
                <w:sz w:val="18"/>
              </w:rPr>
              <w:t>#healthinequity  #accesstocare  #untreatedcaries  #ruralhealth  #unmetneed</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access</w:t>
            </w:r>
          </w:p>
        </w:tc>
        <w:tc>
          <w:tcPr>
            <w:tcW w:type="dxa" w:w="2160"/>
            <w:vAlign w:val="top"/>
          </w:tcPr>
          <w:p>
            <w:pPr>
              <w:spacing w:after="40" w:before="0" w:line="259" w:lineRule="auto"/>
            </w:pPr>
            <w:r>
              <w:rPr>
                <w:rFonts w:ascii="Calibri" w:hAnsi="Calibri"/>
                <w:b w:val="0"/>
                <w:i w:val="0"/>
                <w:color w:val="212121"/>
                <w:sz w:val="19"/>
              </w:rPr>
              <w:t>Rural India (dentist-scarce areas)</w:t>
            </w:r>
          </w:p>
        </w:tc>
        <w:tc>
          <w:tcPr>
            <w:tcW w:type="dxa" w:w="4276"/>
            <w:vAlign w:val="top"/>
          </w:tcPr>
          <w:p>
            <w:pPr>
              <w:spacing w:after="60" w:line="259" w:lineRule="auto"/>
            </w:pPr>
            <w:r>
              <w:rPr>
                <w:rFonts w:ascii="Calibri" w:hAnsi="Calibri"/>
                <w:b w:val="0"/>
                <w:i w:val="0"/>
                <w:color w:val="212121"/>
                <w:sz w:val="19"/>
              </w:rPr>
              <w:t>Dentists in India are heavily concentrated in cities, so rural patients often reach care only once decay has caused pulp death and an acute abscess, converting a preventable cavity into an emergency.</w:t>
            </w:r>
          </w:p>
          <w:p>
            <w:pPr>
              <w:spacing w:after="40" w:before="60" w:line="259" w:lineRule="auto"/>
            </w:pPr>
            <w:r>
              <w:rPr>
                <w:rFonts w:ascii="Calibri" w:hAnsi="Calibri"/>
                <w:b w:val="0"/>
                <w:i w:val="0"/>
                <w:color w:val="212121"/>
                <w:sz w:val="19"/>
              </w:rPr>
              <w:t>An urban-concentrated dental workforce leaves large rural populations without timely access to restorative or endodontic treatment for progressing caries.</w:t>
            </w:r>
          </w:p>
          <w:p>
            <w:pPr>
              <w:spacing w:before="60" w:after="40"/>
            </w:pPr>
            <w:r>
              <w:rPr>
                <w:rFonts w:ascii="Calibri" w:hAnsi="Calibri"/>
                <w:b w:val="0"/>
                <w:i w:val="0"/>
                <w:color w:val="5A5A5A"/>
                <w:sz w:val="18"/>
              </w:rPr>
              <w:t>#ruralindia  #dentistdensity  #accessgap  #emergencydental  #delayedcare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fluoride</w:t>
            </w:r>
          </w:p>
        </w:tc>
        <w:tc>
          <w:tcPr>
            <w:tcW w:type="dxa" w:w="2160"/>
            <w:vAlign w:val="top"/>
          </w:tcPr>
          <w:p>
            <w:pPr>
              <w:spacing w:after="40" w:before="0" w:line="259" w:lineRule="auto"/>
            </w:pPr>
            <w:r>
              <w:rPr>
                <w:rFonts w:ascii="Calibri" w:hAnsi="Calibri"/>
                <w:b w:val="0"/>
                <w:i w:val="0"/>
                <w:color w:val="212121"/>
                <w:sz w:val="19"/>
              </w:rPr>
              <w:t>Populations in low-fluoride / high-caries areas</w:t>
            </w:r>
          </w:p>
        </w:tc>
        <w:tc>
          <w:tcPr>
            <w:tcW w:type="dxa" w:w="4276"/>
            <w:vAlign w:val="top"/>
          </w:tcPr>
          <w:p>
            <w:pPr>
              <w:spacing w:after="60" w:line="259" w:lineRule="auto"/>
            </w:pPr>
            <w:r>
              <w:rPr>
                <w:rFonts w:ascii="Calibri" w:hAnsi="Calibri"/>
                <w:b w:val="0"/>
                <w:i w:val="0"/>
                <w:color w:val="212121"/>
                <w:sz w:val="19"/>
              </w:rPr>
              <w:t>Sub-optimal fluoride exposure raises community caries rates and therefore the pool of teeth that can progress to pulp necrosis and abscess; paradoxically, many other Indian districts have excess fluoride causing fluorosis rather than protection.</w:t>
            </w:r>
          </w:p>
          <w:p>
            <w:pPr>
              <w:spacing w:after="40" w:before="60" w:line="259" w:lineRule="auto"/>
            </w:pPr>
            <w:r>
              <w:rPr>
                <w:rFonts w:ascii="Calibri" w:hAnsi="Calibri"/>
                <w:b w:val="0"/>
                <w:i w:val="0"/>
                <w:color w:val="212121"/>
                <w:sz w:val="19"/>
              </w:rPr>
              <w:t>Communities with sub-optimal drinking-water fluoride have higher dental-caries experience, the precursor of periapical abscess.</w:t>
            </w:r>
          </w:p>
          <w:p>
            <w:pPr>
              <w:spacing w:before="60" w:after="40"/>
            </w:pPr>
            <w:r>
              <w:rPr>
                <w:rFonts w:ascii="Calibri" w:hAnsi="Calibri"/>
                <w:b w:val="0"/>
                <w:i w:val="0"/>
                <w:color w:val="5A5A5A"/>
                <w:sz w:val="18"/>
              </w:rPr>
              <w:t>#fluoride  #caries  #watermineral  #prevention  #communityhealth</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Oral hygiene</w:t>
            </w:r>
          </w:p>
        </w:tc>
        <w:tc>
          <w:tcPr>
            <w:tcW w:type="dxa" w:w="2160"/>
            <w:vAlign w:val="top"/>
          </w:tcPr>
          <w:p>
            <w:pPr>
              <w:spacing w:after="40" w:before="0" w:line="259" w:lineRule="auto"/>
            </w:pPr>
            <w:r>
              <w:rPr>
                <w:rFonts w:ascii="Calibri" w:hAnsi="Calibri"/>
                <w:b w:val="0"/>
                <w:i w:val="0"/>
                <w:color w:val="212121"/>
                <w:sz w:val="19"/>
              </w:rPr>
              <w:t>People with poor plaque control / no fluoride toothpaste</w:t>
            </w:r>
          </w:p>
        </w:tc>
        <w:tc>
          <w:tcPr>
            <w:tcW w:type="dxa" w:w="4276"/>
            <w:vAlign w:val="top"/>
          </w:tcPr>
          <w:p>
            <w:pPr>
              <w:spacing w:after="60" w:line="259" w:lineRule="auto"/>
            </w:pPr>
            <w:r>
              <w:rPr>
                <w:rFonts w:ascii="Calibri" w:hAnsi="Calibri"/>
                <w:b w:val="0"/>
                <w:i w:val="0"/>
                <w:color w:val="212121"/>
                <w:sz w:val="19"/>
              </w:rPr>
              <w:t>Infrequent brushing, no interdental cleaning and not using fluoride toothpaste allow cariogenic plaque to demineralize enamel and cavitate teeth, the first step toward pulp infection and periapical abscess.</w:t>
            </w:r>
          </w:p>
          <w:p>
            <w:pPr>
              <w:spacing w:after="40" w:before="60" w:line="259" w:lineRule="auto"/>
            </w:pPr>
            <w:r>
              <w:rPr>
                <w:rFonts w:ascii="Calibri" w:hAnsi="Calibri"/>
                <w:b w:val="0"/>
                <w:i w:val="0"/>
                <w:color w:val="212121"/>
                <w:sz w:val="19"/>
              </w:rPr>
              <w:t>Poor oral hygiene is the principal modifiable driver of the dental caries that precedes periapical abscess.</w:t>
            </w:r>
          </w:p>
          <w:p>
            <w:pPr>
              <w:spacing w:after="40" w:line="252" w:lineRule="auto"/>
            </w:pPr>
            <w:hyperlink r:id="rId10">
              <w:r>
                <w:rPr>
                  <w:rFonts w:ascii="Calibri" w:hAnsi="Calibri" w:cs="Calibri"/>
                  <w:sz w:val="18"/>
                  <w:color w:val="1155CC"/>
                  <w:u w:val="single"/>
                </w:rPr>
                <w:t xml:space="preserve">ncbi.nlm.nih.gov - StatPearls, Dental Abscess (risk factors)</w:t>
              </w:r>
            </w:hyperlink>
          </w:p>
          <w:p>
            <w:pPr>
              <w:spacing w:before="60" w:after="40"/>
            </w:pPr>
            <w:r>
              <w:rPr>
                <w:rFonts w:ascii="Calibri" w:hAnsi="Calibri"/>
                <w:b w:val="0"/>
                <w:i w:val="0"/>
                <w:color w:val="5A5A5A"/>
                <w:sz w:val="18"/>
              </w:rPr>
              <w:t>#oralhygiene  #plaque  #fluoridetoothpaste  #brushing  #cariesrisk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 bidi smokers</w:t>
            </w:r>
          </w:p>
        </w:tc>
        <w:tc>
          <w:tcPr>
            <w:tcW w:type="dxa" w:w="4276"/>
            <w:vAlign w:val="top"/>
          </w:tcPr>
          <w:p>
            <w:pPr>
              <w:spacing w:after="60" w:line="259" w:lineRule="auto"/>
            </w:pPr>
            <w:r>
              <w:rPr>
                <w:rFonts w:ascii="Calibri" w:hAnsi="Calibri"/>
                <w:b w:val="0"/>
                <w:i w:val="0"/>
                <w:color w:val="212121"/>
                <w:sz w:val="19"/>
              </w:rPr>
              <w:t>Smoking increases caries and periodontal disease, impairs neutrophil function and wound healing, and is associated with more severe, spreading odontogenic infections and poorer response to treatment.</w:t>
            </w:r>
          </w:p>
          <w:p>
            <w:pPr>
              <w:spacing w:after="40" w:before="60" w:line="259" w:lineRule="auto"/>
            </w:pPr>
            <w:r>
              <w:rPr>
                <w:rFonts w:ascii="Calibri" w:hAnsi="Calibri"/>
                <w:b w:val="0"/>
                <w:i w:val="0"/>
                <w:color w:val="212121"/>
                <w:sz w:val="19"/>
              </w:rPr>
              <w:t>Smoking is a recognized risk factor for dental abscess and for more severe odontogenic infection.</w:t>
            </w:r>
          </w:p>
          <w:p>
            <w:pPr>
              <w:spacing w:after="40" w:line="252" w:lineRule="auto"/>
            </w:pPr>
            <w:hyperlink r:id="rId10">
              <w:r>
                <w:rPr>
                  <w:rFonts w:ascii="Calibri" w:hAnsi="Calibri" w:cs="Calibri"/>
                  <w:sz w:val="18"/>
                  <w:color w:val="1155CC"/>
                  <w:u w:val="single"/>
                </w:rPr>
                <w:t xml:space="preserve">ncbi.nlm.nih.gov - StatPearls, Dental Abscess (risk factors)</w:t>
              </w:r>
            </w:hyperlink>
          </w:p>
          <w:p>
            <w:pPr>
              <w:spacing w:before="60" w:after="40"/>
            </w:pPr>
            <w:r>
              <w:rPr>
                <w:rFonts w:ascii="Calibri" w:hAnsi="Calibri"/>
                <w:b w:val="0"/>
                <w:i w:val="0"/>
                <w:color w:val="5A5A5A"/>
                <w:sz w:val="18"/>
              </w:rPr>
              <w:t>#smoking  #bidi  #impairedhealing  #periodontal  #spreadinginfection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Smokeless tobacco / areca chewing</w:t>
            </w:r>
          </w:p>
        </w:tc>
        <w:tc>
          <w:tcPr>
            <w:tcW w:type="dxa" w:w="2160"/>
            <w:vAlign w:val="top"/>
          </w:tcPr>
          <w:p>
            <w:pPr>
              <w:spacing w:after="40" w:before="0" w:line="259" w:lineRule="auto"/>
            </w:pPr>
            <w:r>
              <w:rPr>
                <w:rFonts w:ascii="Calibri" w:hAnsi="Calibri"/>
                <w:b w:val="0"/>
                <w:i w:val="0"/>
                <w:color w:val="212121"/>
                <w:sz w:val="19"/>
              </w:rPr>
              <w:t>Betel-quid, gutka and areca-nut chewers</w:t>
            </w:r>
          </w:p>
        </w:tc>
        <w:tc>
          <w:tcPr>
            <w:tcW w:type="dxa" w:w="4276"/>
            <w:vAlign w:val="top"/>
          </w:tcPr>
          <w:p>
            <w:pPr>
              <w:spacing w:after="60" w:line="259" w:lineRule="auto"/>
            </w:pPr>
            <w:r>
              <w:rPr>
                <w:rFonts w:ascii="Calibri" w:hAnsi="Calibri"/>
                <w:b w:val="0"/>
                <w:i w:val="0"/>
                <w:color w:val="212121"/>
                <w:sz w:val="19"/>
              </w:rPr>
              <w:t>Smokeless tobacco and areca-nut/betel-quid chewing - very common in India - promote cervical and root caries, periodontal breakdown, tooth wear and cracked teeth, all of which open routes for pulp infection and abscess.</w:t>
            </w:r>
          </w:p>
          <w:p>
            <w:pPr>
              <w:spacing w:after="40" w:before="60" w:line="259" w:lineRule="auto"/>
            </w:pPr>
            <w:r>
              <w:rPr>
                <w:rFonts w:ascii="Calibri" w:hAnsi="Calibri"/>
                <w:b w:val="0"/>
                <w:i w:val="0"/>
                <w:color w:val="212121"/>
                <w:sz w:val="19"/>
              </w:rPr>
              <w:t>Areca-nut and smokeless-tobacco chewing, highly prevalent in South-East Asia, damage the dentition and periodontium and predispose to odontogenic infection.</w:t>
            </w:r>
          </w:p>
          <w:p>
            <w:pPr>
              <w:spacing w:after="40" w:line="252" w:lineRule="auto"/>
            </w:pPr>
            <w:hyperlink r:id="rId11">
              <w:r>
                <w:rPr>
                  <w:rFonts w:ascii="Calibri" w:hAnsi="Calibri" w:cs="Calibri"/>
                  <w:sz w:val="18"/>
                  <w:color w:val="1155CC"/>
                  <w:u w:val="single"/>
                </w:rPr>
                <w:t xml:space="preserve">who.int (SEARO) - oral health</w:t>
              </w:r>
            </w:hyperlink>
          </w:p>
          <w:p>
            <w:pPr>
              <w:spacing w:before="60" w:after="40"/>
            </w:pPr>
            <w:r>
              <w:rPr>
                <w:rFonts w:ascii="Calibri" w:hAnsi="Calibri"/>
                <w:b w:val="0"/>
                <w:i w:val="0"/>
                <w:color w:val="5A5A5A"/>
                <w:sz w:val="18"/>
              </w:rPr>
              <w:t>#smokelesstobacco  #arecanut  #betelquid  #gutka  #crackedtooth</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Sugar intake</w:t>
            </w:r>
          </w:p>
        </w:tc>
        <w:tc>
          <w:tcPr>
            <w:tcW w:type="dxa" w:w="2160"/>
            <w:vAlign w:val="top"/>
          </w:tcPr>
          <w:p>
            <w:pPr>
              <w:spacing w:after="40" w:before="0" w:line="259" w:lineRule="auto"/>
            </w:pPr>
            <w:r>
              <w:rPr>
                <w:rFonts w:ascii="Calibri" w:hAnsi="Calibri"/>
                <w:b w:val="0"/>
                <w:i w:val="0"/>
                <w:color w:val="212121"/>
                <w:sz w:val="19"/>
              </w:rPr>
              <w:t>High free-sugar / sweetened-beverage consumers</w:t>
            </w:r>
          </w:p>
        </w:tc>
        <w:tc>
          <w:tcPr>
            <w:tcW w:type="dxa" w:w="4276"/>
            <w:vAlign w:val="top"/>
          </w:tcPr>
          <w:p>
            <w:pPr>
              <w:spacing w:after="60" w:line="259" w:lineRule="auto"/>
            </w:pPr>
            <w:r>
              <w:rPr>
                <w:rFonts w:ascii="Calibri" w:hAnsi="Calibri"/>
                <w:b w:val="0"/>
                <w:i w:val="0"/>
                <w:color w:val="212121"/>
                <w:sz w:val="19"/>
              </w:rPr>
              <w:t>Frequent free sugars from sweets, bakery items and sugar-sweetened drinks feed acid-producing plaque bacteria, the essential dietary cause of the caries that progresses to pulp necrosis and abscess.</w:t>
            </w:r>
          </w:p>
          <w:p>
            <w:pPr>
              <w:spacing w:after="40" w:before="60" w:line="259" w:lineRule="auto"/>
            </w:pPr>
            <w:r>
              <w:rPr>
                <w:rFonts w:ascii="Calibri" w:hAnsi="Calibri"/>
                <w:b w:val="0"/>
                <w:i w:val="0"/>
                <w:color w:val="212121"/>
                <w:sz w:val="19"/>
              </w:rPr>
              <w:t>Free sugars are the essential dietary factor in the development of dental caries, per WHO.</w:t>
            </w:r>
          </w:p>
          <w:p>
            <w:pPr>
              <w:spacing w:after="40" w:line="252" w:lineRule="auto"/>
            </w:pPr>
            <w:hyperlink r:id="rId9">
              <w:r>
                <w:rPr>
                  <w:rFonts w:ascii="Calibri" w:hAnsi="Calibri" w:cs="Calibri"/>
                  <w:sz w:val="18"/>
                  <w:color w:val="1155CC"/>
                  <w:u w:val="single"/>
                </w:rPr>
                <w:t xml:space="preserve">who.int - oral health fact sheet (sugars &amp; caries)</w:t>
              </w:r>
            </w:hyperlink>
          </w:p>
          <w:p>
            <w:pPr>
              <w:spacing w:before="60" w:after="40"/>
            </w:pPr>
            <w:r>
              <w:rPr>
                <w:rFonts w:ascii="Calibri" w:hAnsi="Calibri"/>
                <w:b w:val="0"/>
                <w:i w:val="0"/>
                <w:color w:val="5A5A5A"/>
                <w:sz w:val="18"/>
              </w:rPr>
              <w:t>#freesugars  #sugarybeverages  #caries  #diet  #acidattack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Snacking pattern</w:t>
            </w:r>
          </w:p>
        </w:tc>
        <w:tc>
          <w:tcPr>
            <w:tcW w:type="dxa" w:w="2160"/>
            <w:vAlign w:val="top"/>
          </w:tcPr>
          <w:p>
            <w:pPr>
              <w:spacing w:after="40" w:before="0" w:line="259" w:lineRule="auto"/>
            </w:pPr>
            <w:r>
              <w:rPr>
                <w:rFonts w:ascii="Calibri" w:hAnsi="Calibri"/>
                <w:b w:val="0"/>
                <w:i w:val="0"/>
                <w:color w:val="212121"/>
                <w:sz w:val="19"/>
              </w:rPr>
              <w:t>Frequent between-meal snackers on sticky refined carbohydrates</w:t>
            </w:r>
          </w:p>
        </w:tc>
        <w:tc>
          <w:tcPr>
            <w:tcW w:type="dxa" w:w="4276"/>
            <w:vAlign w:val="top"/>
          </w:tcPr>
          <w:p>
            <w:pPr>
              <w:spacing w:after="60" w:line="259" w:lineRule="auto"/>
            </w:pPr>
            <w:r>
              <w:rPr>
                <w:rFonts w:ascii="Calibri" w:hAnsi="Calibri"/>
                <w:b w:val="0"/>
                <w:i w:val="0"/>
                <w:color w:val="212121"/>
                <w:sz w:val="19"/>
              </w:rPr>
              <w:t>It is the frequency, not just the amount, of sugar and sticky refined-carbohydrate exposure that matters; repeated snacking keeps the mouth acidic, accelerating cavitation and pulp involvement.</w:t>
            </w:r>
          </w:p>
          <w:p>
            <w:pPr>
              <w:spacing w:after="40" w:before="60" w:line="259" w:lineRule="auto"/>
            </w:pPr>
            <w:r>
              <w:rPr>
                <w:rFonts w:ascii="Calibri" w:hAnsi="Calibri"/>
                <w:b w:val="0"/>
                <w:i w:val="0"/>
                <w:color w:val="212121"/>
                <w:sz w:val="19"/>
              </w:rPr>
              <w:t>Frequent sugar exposure and sticky refined carbohydrates increase caries progression toward pulpal and periapical infection.</w:t>
            </w:r>
          </w:p>
          <w:p>
            <w:pPr>
              <w:spacing w:before="60" w:after="40"/>
            </w:pPr>
            <w:r>
              <w:rPr>
                <w:rFonts w:ascii="Calibri" w:hAnsi="Calibri"/>
                <w:b w:val="0"/>
                <w:i w:val="0"/>
                <w:color w:val="5A5A5A"/>
                <w:sz w:val="18"/>
              </w:rPr>
              <w:t>#snacking  #refinedcarbs  #sugarfrequency  #stickyfoods  #cariesprogression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enamel defects</w:t>
            </w:r>
          </w:p>
        </w:tc>
        <w:tc>
          <w:tcPr>
            <w:tcW w:type="dxa" w:w="2160"/>
            <w:vAlign w:val="top"/>
          </w:tcPr>
          <w:p>
            <w:pPr>
              <w:spacing w:after="40" w:before="0" w:line="259" w:lineRule="auto"/>
            </w:pPr>
            <w:r>
              <w:rPr>
                <w:rFonts w:ascii="Calibri" w:hAnsi="Calibri"/>
                <w:b w:val="0"/>
                <w:i w:val="0"/>
                <w:color w:val="212121"/>
                <w:sz w:val="19"/>
              </w:rPr>
              <w:t>High caries-susceptibility / amelogenesis imperfecta</w:t>
            </w:r>
          </w:p>
        </w:tc>
        <w:tc>
          <w:tcPr>
            <w:tcW w:type="dxa" w:w="4276"/>
            <w:vAlign w:val="top"/>
          </w:tcPr>
          <w:p>
            <w:pPr>
              <w:spacing w:after="60" w:line="259" w:lineRule="auto"/>
            </w:pPr>
            <w:r>
              <w:rPr>
                <w:rFonts w:ascii="Calibri" w:hAnsi="Calibri"/>
                <w:b w:val="0"/>
                <w:i w:val="0"/>
                <w:color w:val="212121"/>
                <w:sz w:val="19"/>
              </w:rPr>
              <w:t>Inherited enamel defects such as amelogenesis imperfecta, and heritable differences in enamel quality, tooth morphology and salivary flow, increase caries susceptibility and thus the likelihood of pulp necrosis and abscess.</w:t>
            </w:r>
          </w:p>
          <w:p>
            <w:pPr>
              <w:spacing w:after="40" w:before="60" w:line="259" w:lineRule="auto"/>
            </w:pPr>
            <w:r>
              <w:rPr>
                <w:rFonts w:ascii="Calibri" w:hAnsi="Calibri"/>
                <w:b w:val="0"/>
                <w:i w:val="0"/>
                <w:color w:val="212121"/>
                <w:sz w:val="19"/>
              </w:rPr>
              <w:t>Genetic conditions affecting enamel (imperfect amelogenesis) are recognized risk factors for dental abscess.</w:t>
            </w:r>
          </w:p>
          <w:p>
            <w:pPr>
              <w:spacing w:after="40" w:line="252" w:lineRule="auto"/>
            </w:pPr>
            <w:hyperlink r:id="rId10">
              <w:r>
                <w:rPr>
                  <w:rFonts w:ascii="Calibri" w:hAnsi="Calibri" w:cs="Calibri"/>
                  <w:sz w:val="18"/>
                  <w:color w:val="1155CC"/>
                  <w:u w:val="single"/>
                </w:rPr>
                <w:t xml:space="preserve">ncbi.nlm.nih.gov - StatPearls, Dental Abscess (genetic factors)</w:t>
              </w:r>
            </w:hyperlink>
          </w:p>
          <w:p>
            <w:pPr>
              <w:spacing w:before="60" w:after="40"/>
            </w:pPr>
            <w:r>
              <w:rPr>
                <w:rFonts w:ascii="Calibri" w:hAnsi="Calibri"/>
                <w:b w:val="0"/>
                <w:i w:val="0"/>
                <w:color w:val="5A5A5A"/>
                <w:sz w:val="18"/>
              </w:rPr>
              <w:t>#amelogenesisimperfecta  #enameldefect  #cariessusceptibility  #heredity  #saliva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(especially uncontrolled) diabetes</w:t>
            </w:r>
          </w:p>
        </w:tc>
        <w:tc>
          <w:tcPr>
            <w:tcW w:type="dxa" w:w="4276"/>
            <w:vAlign w:val="top"/>
          </w:tcPr>
          <w:p>
            <w:pPr>
              <w:spacing w:after="60" w:line="259" w:lineRule="auto"/>
            </w:pPr>
            <w:r>
              <w:rPr>
                <w:rFonts w:ascii="Calibri" w:hAnsi="Calibri"/>
                <w:b w:val="0"/>
                <w:i w:val="0"/>
                <w:color w:val="212121"/>
                <w:sz w:val="19"/>
              </w:rPr>
              <w:t>Hyperglycaemia impairs neutrophil function, microvascular perfusion and healing, so diabetics develop more severe, rapidly spreading odontogenic abscesses; the infection in turn worsens glycaemic control, a bidirectional loop.</w:t>
            </w:r>
          </w:p>
          <w:p>
            <w:pPr>
              <w:spacing w:after="40" w:before="60" w:line="259" w:lineRule="auto"/>
            </w:pPr>
            <w:r>
              <w:rPr>
                <w:rFonts w:ascii="Calibri" w:hAnsi="Calibri"/>
                <w:b w:val="0"/>
                <w:i w:val="0"/>
                <w:color w:val="212121"/>
                <w:sz w:val="19"/>
              </w:rPr>
              <w:t>Immunocompromising conditions, including diabetes, predispose to more severe and spreading dental infection.</w:t>
            </w:r>
          </w:p>
          <w:p>
            <w:pPr>
              <w:spacing w:after="40" w:line="252" w:lineRule="auto"/>
            </w:pPr>
            <w:hyperlink r:id="rId10">
              <w:r>
                <w:rPr>
                  <w:rFonts w:ascii="Calibri" w:hAnsi="Calibri" w:cs="Calibri"/>
                  <w:sz w:val="18"/>
                  <w:color w:val="1155CC"/>
                  <w:u w:val="single"/>
                </w:rPr>
                <w:t xml:space="preserve">ncbi.nlm.nih.gov - StatPearls, Dental Abscess (immunosuppression)</w:t>
              </w:r>
            </w:hyperlink>
          </w:p>
          <w:p>
            <w:pPr>
              <w:spacing w:before="60" w:after="40"/>
            </w:pPr>
            <w:r>
              <w:rPr>
                <w:rFonts w:ascii="Calibri" w:hAnsi="Calibri"/>
                <w:b w:val="0"/>
                <w:i w:val="0"/>
                <w:color w:val="5A5A5A"/>
                <w:sz w:val="18"/>
              </w:rPr>
              <w:t>#diabetes  #hyperglycaemia  #impairedimmunity  #spreadinginfection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HIV/AIDS, chemotherapy, immunosuppressive therapy</w:t>
            </w:r>
          </w:p>
        </w:tc>
        <w:tc>
          <w:tcPr>
            <w:tcW w:type="dxa" w:w="4276"/>
            <w:vAlign w:val="top"/>
          </w:tcPr>
          <w:p>
            <w:pPr>
              <w:spacing w:after="60" w:line="259" w:lineRule="auto"/>
            </w:pPr>
            <w:r>
              <w:rPr>
                <w:rFonts w:ascii="Calibri" w:hAnsi="Calibri"/>
                <w:b w:val="0"/>
                <w:i w:val="0"/>
                <w:color w:val="212121"/>
                <w:sz w:val="19"/>
              </w:rPr>
              <w:t>Blunted immune defence lets odontogenic infection progress faster and further, with a higher risk of fascial-space spread, sepsis and atypical presentation, and a lower threshold for aggressive treatment and admission.</w:t>
            </w:r>
          </w:p>
          <w:p>
            <w:pPr>
              <w:spacing w:after="40" w:before="60" w:line="259" w:lineRule="auto"/>
            </w:pPr>
            <w:r>
              <w:rPr>
                <w:rFonts w:ascii="Calibri" w:hAnsi="Calibri"/>
                <w:b w:val="0"/>
                <w:i w:val="0"/>
                <w:color w:val="212121"/>
                <w:sz w:val="19"/>
              </w:rPr>
              <w:t>HIV/AIDS, chemotherapy and other immunosuppression are recognized risk factors for dental abscess and severe odontogenic infection.</w:t>
            </w:r>
          </w:p>
          <w:p>
            <w:pPr>
              <w:spacing w:after="40" w:line="252" w:lineRule="auto"/>
            </w:pPr>
            <w:hyperlink r:id="rId10">
              <w:r>
                <w:rPr>
                  <w:rFonts w:ascii="Calibri" w:hAnsi="Calibri" w:cs="Calibri"/>
                  <w:sz w:val="18"/>
                  <w:color w:val="1155CC"/>
                  <w:u w:val="single"/>
                </w:rPr>
                <w:t xml:space="preserve">ncbi.nlm.nih.gov - StatPearls, Dental Abscess (HIV, chemotherapy)</w:t>
              </w:r>
            </w:hyperlink>
          </w:p>
          <w:p>
            <w:pPr>
              <w:spacing w:before="60" w:after="40"/>
            </w:pPr>
            <w:r>
              <w:rPr>
                <w:rFonts w:ascii="Calibri" w:hAnsi="Calibri"/>
                <w:b w:val="0"/>
                <w:i w:val="0"/>
                <w:color w:val="5A5A5A"/>
                <w:sz w:val="18"/>
              </w:rPr>
              <w:t>#immunosuppression  #HIV  #chemotherapy  #neutropenia  #severeinfection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Xerostomia (dry mouth)</w:t>
            </w:r>
          </w:p>
        </w:tc>
        <w:tc>
          <w:tcPr>
            <w:tcW w:type="dxa" w:w="2160"/>
            <w:vAlign w:val="top"/>
          </w:tcPr>
          <w:p>
            <w:pPr>
              <w:spacing w:after="40" w:before="0" w:line="259" w:lineRule="auto"/>
            </w:pPr>
            <w:r>
              <w:rPr>
                <w:rFonts w:ascii="Calibri" w:hAnsi="Calibri"/>
                <w:b w:val="0"/>
                <w:i w:val="0"/>
                <w:color w:val="212121"/>
                <w:sz w:val="19"/>
              </w:rPr>
              <w:t>Sjogren syndrome, head-and-neck radiotherapy, xerogenic drugs</w:t>
            </w:r>
          </w:p>
        </w:tc>
        <w:tc>
          <w:tcPr>
            <w:tcW w:type="dxa" w:w="4276"/>
            <w:vAlign w:val="top"/>
          </w:tcPr>
          <w:p>
            <w:pPr>
              <w:spacing w:after="60" w:line="259" w:lineRule="auto"/>
            </w:pPr>
            <w:r>
              <w:rPr>
                <w:rFonts w:ascii="Calibri" w:hAnsi="Calibri"/>
                <w:b w:val="0"/>
                <w:i w:val="0"/>
                <w:color w:val="212121"/>
                <w:sz w:val="19"/>
              </w:rPr>
              <w:t>Reduced salivary flow removes buffering and antibacterial protection, causing rampant cervical and root caries that quickly reach the pulp and produce multiple abscesses.</w:t>
            </w:r>
          </w:p>
          <w:p>
            <w:pPr>
              <w:spacing w:after="40" w:before="60" w:line="259" w:lineRule="auto"/>
            </w:pPr>
            <w:r>
              <w:rPr>
                <w:rFonts w:ascii="Calibri" w:hAnsi="Calibri"/>
                <w:b w:val="0"/>
                <w:i w:val="0"/>
                <w:color w:val="212121"/>
                <w:sz w:val="19"/>
              </w:rPr>
              <w:t>Salivary hypofunction (e.g. Sjogren syndrome) is a recognized risk factor for the caries that leads to dental abscess.</w:t>
            </w:r>
          </w:p>
          <w:p>
            <w:pPr>
              <w:spacing w:after="40" w:line="252" w:lineRule="auto"/>
            </w:pPr>
            <w:hyperlink r:id="rId10">
              <w:r>
                <w:rPr>
                  <w:rFonts w:ascii="Calibri" w:hAnsi="Calibri" w:cs="Calibri"/>
                  <w:sz w:val="18"/>
                  <w:color w:val="1155CC"/>
                  <w:u w:val="single"/>
                </w:rPr>
                <w:t xml:space="preserve">ncbi.nlm.nih.gov - StatPearls, Dental Abscess (Sjogren)</w:t>
              </w:r>
            </w:hyperlink>
          </w:p>
          <w:p>
            <w:pPr>
              <w:spacing w:before="60" w:after="40"/>
            </w:pPr>
            <w:r>
              <w:rPr>
                <w:rFonts w:ascii="Calibri" w:hAnsi="Calibri"/>
                <w:b w:val="0"/>
                <w:i w:val="0"/>
                <w:color w:val="5A5A5A"/>
                <w:sz w:val="18"/>
              </w:rPr>
              <w:t>#xerostomia  #drymouth  #sjogren  #radiotherapy  #rampantcaries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Failed / previous root canal</w:t>
            </w:r>
          </w:p>
        </w:tc>
        <w:tc>
          <w:tcPr>
            <w:tcW w:type="dxa" w:w="2160"/>
            <w:vAlign w:val="top"/>
          </w:tcPr>
          <w:p>
            <w:pPr>
              <w:spacing w:after="40" w:before="0" w:line="259" w:lineRule="auto"/>
            </w:pPr>
            <w:r>
              <w:rPr>
                <w:rFonts w:ascii="Calibri" w:hAnsi="Calibri"/>
                <w:b w:val="0"/>
                <w:i w:val="0"/>
                <w:color w:val="212121"/>
                <w:sz w:val="19"/>
              </w:rPr>
              <w:t>Heavily restored teeth and inadequate endodontic treatment</w:t>
            </w:r>
          </w:p>
        </w:tc>
        <w:tc>
          <w:tcPr>
            <w:tcW w:type="dxa" w:w="4276"/>
            <w:vAlign w:val="top"/>
          </w:tcPr>
          <w:p>
            <w:pPr>
              <w:spacing w:after="60" w:line="259" w:lineRule="auto"/>
            </w:pPr>
            <w:r>
              <w:rPr>
                <w:rFonts w:ascii="Calibri" w:hAnsi="Calibri"/>
                <w:b w:val="0"/>
                <w:i w:val="0"/>
                <w:color w:val="212121"/>
                <w:sz w:val="19"/>
              </w:rPr>
              <w:t>Persistent or re-introduced infection after an inadequate root canal, or microleakage beneath deep restorations, sustains apical infection and produces recurrent or chronic periapical abscesses.</w:t>
            </w:r>
          </w:p>
          <w:p>
            <w:pPr>
              <w:spacing w:after="40" w:before="60" w:line="259" w:lineRule="auto"/>
            </w:pPr>
            <w:r>
              <w:rPr>
                <w:rFonts w:ascii="Calibri" w:hAnsi="Calibri"/>
                <w:b w:val="0"/>
                <w:i w:val="0"/>
                <w:color w:val="212121"/>
                <w:sz w:val="19"/>
              </w:rPr>
              <w:t>Failed root canal treatment is a recognized cause of dental (periapical) abscess.</w:t>
            </w:r>
          </w:p>
          <w:p>
            <w:pPr>
              <w:spacing w:after="40" w:line="252" w:lineRule="auto"/>
            </w:pPr>
            <w:hyperlink r:id="rId10">
              <w:r>
                <w:rPr>
                  <w:rFonts w:ascii="Calibri" w:hAnsi="Calibri" w:cs="Calibri"/>
                  <w:sz w:val="18"/>
                  <w:color w:val="1155CC"/>
                  <w:u w:val="single"/>
                </w:rPr>
                <w:t xml:space="preserve">ncbi.nlm.nih.gov - StatPearls, Dental Abscess (failed RCT)</w:t>
              </w:r>
            </w:hyperlink>
          </w:p>
          <w:p>
            <w:pPr>
              <w:spacing w:before="60" w:after="40"/>
            </w:pPr>
            <w:r>
              <w:rPr>
                <w:rFonts w:ascii="Calibri" w:hAnsi="Calibri"/>
                <w:b w:val="0"/>
                <w:i w:val="0"/>
                <w:color w:val="5A5A5A"/>
                <w:sz w:val="18"/>
              </w:rPr>
              <w:t>#failedrootcanal  #endodontics  #microleakage  #recurrentabscess  #restoreddentition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Exercise has no direct effect on periapical infection; the relevant link is indirect - contact and collision sports (and falls) can fracture or luxate a tooth and devitalize the pulp, later leading to a periapical abscess, a risk reduced by wearing a mouthguard.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central: frequent free sugars and sticky refined carbohydrates feed acidogenic plaque and drive the dental caries that progresses to pulp necrosis and periapical abscess; free sugars are the essential dietary cause of caries.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The relationship is largely bidirectional - nocturnal bruxism can crack teeth and expose the pulp, while an acute abscess causes severe throbbing pain that is classically worse on lying down and disrupts sleep.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(and smokeless tobacco/areca use) increases caries and periodontal disease, impairs neutrophil function and healing, and is associated with more severe, spreading odontogenic infections and poorer treatment outcomes.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in pulp infection; heavy use is associated with poor oral hygiene, a dry mouth, cariogenic drink choices and dental neglect, indirectly raising caries and abscess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Stress and anxiety promote bruxism and dental neglect, and dental phobia delays care so caries reaches the pulp; conversely, severe abscess pain impairs mood, concentration and sleep.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Optimal water/toothpaste fluoride markedly reduces the caries that precedes abscess; in India both sub-optimal fluoride (more caries) and excess fluoride (fluorosis, pitted enamel that traps plaque) are relevant.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itself has no meaningful role; the harm comes from the sugar and acidity of many caffeinated soft drinks and sweetened tea/coffee, which are cariogenic and erosive.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 hygiene is the key modifiable factor - effective twice-daily brushing with fluoride toothpaste plus interdental cleaning prevents the caries and periodontal breakdown that lead to periapical and periodontal abscess.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Direct provokers are untreated deep caries, dental trauma, cracked teeth, failed root-canal or leaking restorations, and food/foreign-body impaction - all of which cause pulp necrosis or seed infection and precipitate an abscess.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does not cause the abscess, but a recumbent (lying-down) position raises intrapulpal and periapical pressure, so the throbbing pain characteristically worsens on lying flat and at night.</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Toothbrushing frequency (with fluoride toothpaste)</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Twice daily with fluoride toothpaste</w:t>
            </w:r>
          </w:p>
        </w:tc>
        <w:tc>
          <w:tcPr>
            <w:tcW w:type="dxa" w:w="1512"/>
            <w:vAlign w:val="top"/>
          </w:tcPr>
          <w:p>
            <w:pPr>
              <w:spacing w:after="40" w:before="0" w:line="259" w:lineRule="auto"/>
            </w:pPr>
            <w:r>
              <w:rPr>
                <w:rFonts w:ascii="Calibri" w:hAnsi="Calibri"/>
                <w:b w:val="0"/>
                <w:i w:val="0"/>
                <w:color w:val="212121"/>
                <w:sz w:val="19"/>
              </w:rPr>
              <w:t>Once daily or less / no fluoride</w:t>
            </w:r>
          </w:p>
        </w:tc>
        <w:tc>
          <w:tcPr>
            <w:tcW w:type="dxa" w:w="1468"/>
            <w:vAlign w:val="top"/>
          </w:tcPr>
          <w:p>
            <w:pPr>
              <w:spacing w:after="60" w:line="259" w:lineRule="auto"/>
            </w:pPr>
            <w:r>
              <w:rPr>
                <w:rFonts w:ascii="Calibri" w:hAnsi="Calibri"/>
                <w:b w:val="0"/>
                <w:i w:val="0"/>
                <w:color w:val="212121"/>
                <w:sz w:val="19"/>
              </w:rPr>
              <w:t>Effective fluoride brushing prevents the caries that precedes abscess</w:t>
            </w:r>
          </w:p>
          <w:p>
            <w:pPr>
              <w:spacing w:after="40" w:line="252" w:lineRule="auto"/>
            </w:pPr>
            <w:hyperlink r:id="rId9">
              <w:r>
                <w:rPr>
                  <w:rFonts w:ascii="Calibri" w:hAnsi="Calibri" w:cs="Calibri"/>
                  <w:sz w:val="18"/>
                  <w:color w:val="1155CC"/>
                  <w:u w:val="single"/>
                </w:rPr>
                <w:t xml:space="preserve">https://www.who.int/news-room/fact-sheets/detail/oral-health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Interdental cleaning</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Daily (floss/interdental brush)</w:t>
            </w:r>
          </w:p>
        </w:tc>
        <w:tc>
          <w:tcPr>
            <w:tcW w:type="dxa" w:w="1512"/>
            <w:vAlign w:val="top"/>
          </w:tcPr>
          <w:p>
            <w:pPr>
              <w:spacing w:after="40" w:before="0" w:line="259" w:lineRule="auto"/>
            </w:pPr>
            <w:r>
              <w:rPr>
                <w:rFonts w:ascii="Calibri" w:hAnsi="Calibri"/>
                <w:b w:val="0"/>
                <w:i w:val="0"/>
                <w:color w:val="212121"/>
                <w:sz w:val="19"/>
              </w:rPr>
              <w:t>Never</w:t>
            </w:r>
          </w:p>
        </w:tc>
        <w:tc>
          <w:tcPr>
            <w:tcW w:type="dxa" w:w="1468"/>
            <w:vAlign w:val="top"/>
          </w:tcPr>
          <w:p>
            <w:pPr>
              <w:spacing w:after="40" w:before="0" w:line="259" w:lineRule="auto"/>
            </w:pPr>
            <w:r>
              <w:rPr>
                <w:rFonts w:ascii="Calibri" w:hAnsi="Calibri"/>
                <w:b w:val="0"/>
                <w:i w:val="0"/>
                <w:color w:val="212121"/>
                <w:sz w:val="19"/>
              </w:rPr>
              <w:t>Cleans the interproximal sites where caries and periodontal abscess often start</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Free-sugar intake (% of energy)</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&lt; 10% (ideally &lt; 5%) of energy</w:t>
            </w:r>
          </w:p>
        </w:tc>
        <w:tc>
          <w:tcPr>
            <w:tcW w:type="dxa" w:w="1512"/>
            <w:vAlign w:val="top"/>
          </w:tcPr>
          <w:p>
            <w:pPr>
              <w:spacing w:after="40" w:before="0" w:line="259" w:lineRule="auto"/>
            </w:pPr>
            <w:r>
              <w:rPr>
                <w:rFonts w:ascii="Calibri" w:hAnsi="Calibri"/>
                <w:b w:val="0"/>
                <w:i w:val="0"/>
                <w:color w:val="212121"/>
                <w:sz w:val="19"/>
              </w:rPr>
              <w:t>High / frequent free sugars</w:t>
            </w:r>
          </w:p>
        </w:tc>
        <w:tc>
          <w:tcPr>
            <w:tcW w:type="dxa" w:w="1468"/>
            <w:vAlign w:val="top"/>
          </w:tcPr>
          <w:p>
            <w:pPr>
              <w:spacing w:after="60" w:line="259" w:lineRule="auto"/>
            </w:pPr>
            <w:r>
              <w:rPr>
                <w:rFonts w:ascii="Calibri" w:hAnsi="Calibri"/>
                <w:b w:val="0"/>
                <w:i w:val="0"/>
                <w:color w:val="212121"/>
                <w:sz w:val="19"/>
              </w:rPr>
              <w:t>Free sugars are the essential dietary cause of dental caries</w:t>
            </w:r>
          </w:p>
          <w:p>
            <w:pPr>
              <w:spacing w:after="40" w:line="252" w:lineRule="auto"/>
            </w:pPr>
            <w:hyperlink r:id="rId9">
              <w:r>
                <w:rPr>
                  <w:rFonts w:ascii="Calibri" w:hAnsi="Calibri" w:cs="Calibri"/>
                  <w:sz w:val="18"/>
                  <w:color w:val="1155CC"/>
                  <w:u w:val="single"/>
                </w:rPr>
                <w:t xml:space="preserve">https://www.who.int/news-room/fact-sheets/detail/oral-health</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Frequency of sugary snacks/drinks per day</w:t>
            </w:r>
          </w:p>
        </w:tc>
        <w:tc>
          <w:tcPr>
            <w:tcW w:type="dxa" w:w="1655"/>
            <w:vAlign w:val="top"/>
          </w:tcPr>
          <w:p>
            <w:pPr>
              <w:spacing w:after="40" w:before="0" w:line="259" w:lineRule="auto"/>
            </w:pPr>
            <w:r>
              <w:rPr>
                <w:rFonts w:ascii="Calibri" w:hAnsi="Calibri"/>
                <w:b w:val="0"/>
                <w:i w:val="0"/>
                <w:color w:val="212121"/>
                <w:sz w:val="19"/>
              </w:rPr>
              <w:t>Children, adults</w:t>
            </w:r>
          </w:p>
        </w:tc>
        <w:tc>
          <w:tcPr>
            <w:tcW w:type="dxa" w:w="1512"/>
            <w:vAlign w:val="top"/>
          </w:tcPr>
          <w:p>
            <w:pPr>
              <w:spacing w:after="40" w:before="0" w:line="259" w:lineRule="auto"/>
            </w:pPr>
            <w:r>
              <w:rPr>
                <w:rFonts w:ascii="Calibri" w:hAnsi="Calibri"/>
                <w:b w:val="0"/>
                <w:i w:val="0"/>
                <w:color w:val="212121"/>
                <w:sz w:val="19"/>
              </w:rPr>
              <w:t>Kept to mealtimes; minimal between meals</w:t>
            </w:r>
          </w:p>
        </w:tc>
        <w:tc>
          <w:tcPr>
            <w:tcW w:type="dxa" w:w="1512"/>
            <w:vAlign w:val="top"/>
          </w:tcPr>
          <w:p>
            <w:pPr>
              <w:spacing w:after="40" w:before="0" w:line="259" w:lineRule="auto"/>
            </w:pPr>
            <w:r>
              <w:rPr>
                <w:rFonts w:ascii="Calibri" w:hAnsi="Calibri"/>
                <w:b w:val="0"/>
                <w:i w:val="0"/>
                <w:color w:val="212121"/>
                <w:sz w:val="19"/>
              </w:rPr>
              <w:t>Frequent between-meal snacking</w:t>
            </w:r>
          </w:p>
        </w:tc>
        <w:tc>
          <w:tcPr>
            <w:tcW w:type="dxa" w:w="1468"/>
            <w:vAlign w:val="top"/>
          </w:tcPr>
          <w:p>
            <w:pPr>
              <w:spacing w:after="40" w:before="0" w:line="259" w:lineRule="auto"/>
            </w:pPr>
            <w:r>
              <w:rPr>
                <w:rFonts w:ascii="Calibri" w:hAnsi="Calibri"/>
                <w:b w:val="0"/>
                <w:i w:val="0"/>
                <w:color w:val="212121"/>
                <w:sz w:val="19"/>
              </w:rPr>
              <w:t>Exposure frequency drives acid attacks and cavitation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Untreated decayed teeth (DT component of DMFT)</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0</w:t>
            </w:r>
          </w:p>
        </w:tc>
        <w:tc>
          <w:tcPr>
            <w:tcW w:type="dxa" w:w="1512"/>
            <w:vAlign w:val="top"/>
          </w:tcPr>
          <w:p>
            <w:pPr>
              <w:spacing w:after="40" w:before="0" w:line="259" w:lineRule="auto"/>
            </w:pPr>
            <w:r>
              <w:rPr>
                <w:rFonts w:ascii="Calibri" w:hAnsi="Calibri"/>
                <w:b w:val="0"/>
                <w:i w:val="0"/>
                <w:color w:val="212121"/>
                <w:sz w:val="19"/>
              </w:rPr>
              <w:t>&gt;= 1 cavitated lesion into dentine</w:t>
            </w:r>
          </w:p>
        </w:tc>
        <w:tc>
          <w:tcPr>
            <w:tcW w:type="dxa" w:w="1468"/>
            <w:vAlign w:val="top"/>
          </w:tcPr>
          <w:p>
            <w:pPr>
              <w:spacing w:after="40" w:before="0" w:line="259" w:lineRule="auto"/>
            </w:pPr>
            <w:r>
              <w:rPr>
                <w:rFonts w:ascii="Calibri" w:hAnsi="Calibri"/>
                <w:b w:val="0"/>
                <w:i w:val="0"/>
                <w:color w:val="212121"/>
                <w:sz w:val="19"/>
              </w:rPr>
              <w:t>Deep dentinal caries is the direct route to pulp necrosis and abscess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Interval since last dental check-up</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&lt;= 6-12 months</w:t>
            </w:r>
          </w:p>
        </w:tc>
        <w:tc>
          <w:tcPr>
            <w:tcW w:type="dxa" w:w="1512"/>
            <w:vAlign w:val="top"/>
          </w:tcPr>
          <w:p>
            <w:pPr>
              <w:spacing w:after="40" w:before="0" w:line="259" w:lineRule="auto"/>
            </w:pPr>
            <w:r>
              <w:rPr>
                <w:rFonts w:ascii="Calibri" w:hAnsi="Calibri"/>
                <w:b w:val="0"/>
                <w:i w:val="0"/>
                <w:color w:val="212121"/>
                <w:sz w:val="19"/>
              </w:rPr>
              <w:t>&gt; 2 years / only when in pain</w:t>
            </w:r>
          </w:p>
        </w:tc>
        <w:tc>
          <w:tcPr>
            <w:tcW w:type="dxa" w:w="1468"/>
            <w:vAlign w:val="top"/>
          </w:tcPr>
          <w:p>
            <w:pPr>
              <w:spacing w:after="40" w:before="0" w:line="259" w:lineRule="auto"/>
            </w:pPr>
            <w:r>
              <w:rPr>
                <w:rFonts w:ascii="Calibri" w:hAnsi="Calibri"/>
                <w:b w:val="0"/>
                <w:i w:val="0"/>
                <w:color w:val="212121"/>
                <w:sz w:val="19"/>
              </w:rPr>
              <w:t>Regular review catches caries before pulp involvement</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fluoride</w:t>
            </w:r>
          </w:p>
        </w:tc>
        <w:tc>
          <w:tcPr>
            <w:tcW w:type="dxa" w:w="1655"/>
            <w:vAlign w:val="top"/>
          </w:tcPr>
          <w:p>
            <w:pPr>
              <w:spacing w:after="40" w:before="0" w:line="259" w:lineRule="auto"/>
            </w:pPr>
            <w:r>
              <w:rPr>
                <w:rFonts w:ascii="Calibri" w:hAnsi="Calibri"/>
                <w:b w:val="0"/>
                <w:i w:val="0"/>
                <w:color w:val="212121"/>
                <w:sz w:val="19"/>
              </w:rPr>
              <w:t>Community</w:t>
            </w:r>
          </w:p>
        </w:tc>
        <w:tc>
          <w:tcPr>
            <w:tcW w:type="dxa" w:w="1512"/>
            <w:vAlign w:val="top"/>
          </w:tcPr>
          <w:p>
            <w:pPr>
              <w:spacing w:after="40" w:before="0" w:line="259" w:lineRule="auto"/>
            </w:pPr>
            <w:r>
              <w:rPr>
                <w:rFonts w:ascii="Calibri" w:hAnsi="Calibri"/>
                <w:b w:val="0"/>
                <w:i w:val="0"/>
                <w:color w:val="212121"/>
                <w:sz w:val="19"/>
              </w:rPr>
              <w:t>~0.5-1.0 mg/L (optimal ~0.7)</w:t>
            </w:r>
          </w:p>
        </w:tc>
        <w:tc>
          <w:tcPr>
            <w:tcW w:type="dxa" w:w="1512"/>
            <w:vAlign w:val="top"/>
          </w:tcPr>
          <w:p>
            <w:pPr>
              <w:spacing w:after="40" w:before="0" w:line="259" w:lineRule="auto"/>
            </w:pPr>
            <w:r>
              <w:rPr>
                <w:rFonts w:ascii="Calibri" w:hAnsi="Calibri"/>
                <w:b w:val="0"/>
                <w:i w:val="0"/>
                <w:color w:val="212121"/>
                <w:sz w:val="19"/>
              </w:rPr>
              <w:t>&lt; 0.5 mg/L (more caries) or &gt; 1.5 mg/L (fluorosis)</w:t>
            </w:r>
          </w:p>
        </w:tc>
        <w:tc>
          <w:tcPr>
            <w:tcW w:type="dxa" w:w="1468"/>
            <w:vAlign w:val="top"/>
          </w:tcPr>
          <w:p>
            <w:pPr>
              <w:spacing w:after="40" w:before="0" w:line="259" w:lineRule="auto"/>
            </w:pPr>
            <w:r>
              <w:rPr>
                <w:rFonts w:ascii="Calibri" w:hAnsi="Calibri"/>
                <w:b w:val="0"/>
                <w:i w:val="0"/>
                <w:color w:val="212121"/>
                <w:sz w:val="19"/>
              </w:rPr>
              <w:t>Both extremes are common across Indian districts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(smoked or smokeless)</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cigarette/bidi or betel-quid/gutka use</w:t>
            </w:r>
          </w:p>
        </w:tc>
        <w:tc>
          <w:tcPr>
            <w:tcW w:type="dxa" w:w="1468"/>
            <w:vAlign w:val="top"/>
          </w:tcPr>
          <w:p>
            <w:pPr>
              <w:spacing w:after="60" w:line="259" w:lineRule="auto"/>
            </w:pPr>
            <w:r>
              <w:rPr>
                <w:rFonts w:ascii="Calibri" w:hAnsi="Calibri"/>
                <w:b w:val="0"/>
                <w:i w:val="0"/>
                <w:color w:val="212121"/>
                <w:sz w:val="19"/>
              </w:rPr>
              <w:t>Tobacco/areca use worsens caries, periodontal disease, healing and infection spread</w:t>
            </w:r>
          </w:p>
          <w:p>
            <w:pPr>
              <w:spacing w:after="40" w:line="252" w:lineRule="auto"/>
            </w:pPr>
            <w:hyperlink r:id="rId10">
              <w:r>
                <w:rPr>
                  <w:rFonts w:ascii="Calibri" w:hAnsi="Calibri" w:cs="Calibri"/>
                  <w:sz w:val="18"/>
                  <w:color w:val="1155CC"/>
                  <w:u w:val="single"/>
                </w:rPr>
                <w:t xml:space="preserve">https://www.ncbi.nlm.nih.gov/books/NBK493149/</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Bruxism / cracked-tooth signs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Nocturnal grinding, wear facets, cracked cusp</w:t>
            </w:r>
          </w:p>
        </w:tc>
        <w:tc>
          <w:tcPr>
            <w:tcW w:type="dxa" w:w="1468"/>
            <w:vAlign w:val="top"/>
          </w:tcPr>
          <w:p>
            <w:pPr>
              <w:spacing w:after="40" w:before="0" w:line="259" w:lineRule="auto"/>
            </w:pPr>
            <w:r>
              <w:rPr>
                <w:rFonts w:ascii="Calibri" w:hAnsi="Calibri"/>
                <w:b w:val="0"/>
                <w:i w:val="0"/>
                <w:color w:val="212121"/>
                <w:sz w:val="19"/>
              </w:rPr>
              <w:t>Cracks give bacteria a route to the pulp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Red-flag signs of spread</w:t>
            </w:r>
          </w:p>
        </w:tc>
        <w:tc>
          <w:tcPr>
            <w:tcW w:type="dxa" w:w="1655"/>
            <w:vAlign w:val="top"/>
          </w:tcPr>
          <w:p>
            <w:pPr>
              <w:spacing w:after="40" w:before="0" w:line="259" w:lineRule="auto"/>
            </w:pPr>
            <w:r>
              <w:rPr>
                <w:rFonts w:ascii="Calibri" w:hAnsi="Calibri"/>
                <w:b w:val="0"/>
                <w:i w:val="0"/>
                <w:color w:val="212121"/>
                <w:sz w:val="19"/>
              </w:rPr>
              <w:t>Any patient with a dental abscess</w:t>
            </w:r>
          </w:p>
        </w:tc>
        <w:tc>
          <w:tcPr>
            <w:tcW w:type="dxa" w:w="1512"/>
            <w:vAlign w:val="top"/>
          </w:tcPr>
          <w:p>
            <w:pPr>
              <w:spacing w:after="40" w:before="0" w:line="259" w:lineRule="auto"/>
            </w:pPr>
            <w:r>
              <w:rPr>
                <w:rFonts w:ascii="Calibri" w:hAnsi="Calibri"/>
                <w:b w:val="0"/>
                <w:i w:val="0"/>
                <w:color w:val="212121"/>
                <w:sz w:val="19"/>
              </w:rPr>
              <w:t>Absent</w:t>
            </w:r>
          </w:p>
        </w:tc>
        <w:tc>
          <w:tcPr>
            <w:tcW w:type="dxa" w:w="1512"/>
            <w:vAlign w:val="top"/>
          </w:tcPr>
          <w:p>
            <w:pPr>
              <w:spacing w:after="40" w:before="0" w:line="259" w:lineRule="auto"/>
            </w:pPr>
            <w:r>
              <w:rPr>
                <w:rFonts w:ascii="Calibri" w:hAnsi="Calibri"/>
                <w:b w:val="0"/>
                <w:i w:val="0"/>
                <w:color w:val="212121"/>
                <w:sz w:val="19"/>
              </w:rPr>
              <w:t>Trismus, dysphagia, floor-of-mouth swelling, fever, breathing difficulty</w:t>
            </w:r>
          </w:p>
        </w:tc>
        <w:tc>
          <w:tcPr>
            <w:tcW w:type="dxa" w:w="1468"/>
            <w:vAlign w:val="top"/>
          </w:tcPr>
          <w:p>
            <w:pPr>
              <w:spacing w:after="60" w:line="259" w:lineRule="auto"/>
            </w:pPr>
            <w:r>
              <w:rPr>
                <w:rFonts w:ascii="Calibri" w:hAnsi="Calibri"/>
                <w:b w:val="0"/>
                <w:i w:val="0"/>
                <w:color w:val="212121"/>
                <w:sz w:val="19"/>
              </w:rPr>
              <w:t>Any red flag is a medical emergency (airway / deep-neck infection)</w:t>
            </w:r>
          </w:p>
          <w:p>
            <w:pPr>
              <w:spacing w:after="40" w:line="252" w:lineRule="auto"/>
            </w:pPr>
            <w:hyperlink r:id="rId12">
              <w:r>
                <w:rPr>
                  <w:rFonts w:ascii="Calibri" w:hAnsi="Calibri" w:cs="Calibri"/>
                  <w:sz w:val="18"/>
                  <w:color w:val="1155CC"/>
                  <w:u w:val="single"/>
                </w:rPr>
                <w:t xml:space="preserve">https://www.nhs.uk/conditions/dental-abscess/</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Periapical radiolucency / lamina dura</w:t>
            </w:r>
          </w:p>
        </w:tc>
        <w:tc>
          <w:tcPr>
            <w:tcW w:type="dxa" w:w="892"/>
            <w:vAlign w:val="top"/>
          </w:tcPr>
          <w:p>
            <w:pPr>
              <w:spacing w:after="40" w:before="0" w:line="259" w:lineRule="auto"/>
            </w:pPr>
            <w:r>
              <w:rPr>
                <w:rFonts w:ascii="Calibri" w:hAnsi="Calibri"/>
                <w:b w:val="0"/>
                <w:i w:val="0"/>
                <w:color w:val="212121"/>
                <w:sz w:val="16"/>
              </w:rPr>
              <w:t>Intra-oral periapical (IOPA) radiograph</w:t>
            </w:r>
          </w:p>
        </w:tc>
        <w:tc>
          <w:tcPr>
            <w:tcW w:type="dxa" w:w="950"/>
            <w:vAlign w:val="top"/>
          </w:tcPr>
          <w:p>
            <w:pPr>
              <w:spacing w:after="40" w:before="0" w:line="259" w:lineRule="auto"/>
            </w:pPr>
            <w:r>
              <w:rPr>
                <w:rFonts w:ascii="Calibri" w:hAnsi="Calibri"/>
                <w:b w:val="0"/>
                <w:i w:val="0"/>
                <w:color w:val="212121"/>
                <w:sz w:val="16"/>
              </w:rPr>
              <w:t>Intact lamina dura, normal PDL space</w:t>
            </w:r>
          </w:p>
        </w:tc>
        <w:tc>
          <w:tcPr>
            <w:tcW w:type="dxa" w:w="950"/>
            <w:vAlign w:val="top"/>
          </w:tcPr>
          <w:p>
            <w:pPr>
              <w:spacing w:after="40" w:before="0" w:line="259" w:lineRule="auto"/>
            </w:pPr>
            <w:r>
              <w:rPr>
                <w:rFonts w:ascii="Calibri" w:hAnsi="Calibri"/>
                <w:b w:val="0"/>
                <w:i w:val="0"/>
                <w:color w:val="212121"/>
                <w:sz w:val="16"/>
              </w:rPr>
              <w:t>Widened PDL space and periapical radiolucency</w:t>
            </w:r>
          </w:p>
        </w:tc>
        <w:tc>
          <w:tcPr>
            <w:tcW w:type="dxa" w:w="1036"/>
            <w:vAlign w:val="top"/>
          </w:tcPr>
          <w:p>
            <w:pPr>
              <w:spacing w:after="40" w:before="0" w:line="259" w:lineRule="auto"/>
            </w:pPr>
            <w:r>
              <w:rPr>
                <w:rFonts w:ascii="Calibri" w:hAnsi="Calibri"/>
                <w:b w:val="0"/>
                <w:i w:val="0"/>
                <w:color w:val="212121"/>
                <w:sz w:val="16"/>
              </w:rPr>
              <w:t>Confirms periapical infection and localizes the offending tooth</w:t>
            </w:r>
          </w:p>
        </w:tc>
        <w:tc>
          <w:tcPr>
            <w:tcW w:type="dxa" w:w="1036"/>
            <w:vAlign w:val="top"/>
          </w:tcPr>
          <w:p>
            <w:pPr>
              <w:spacing w:after="40" w:before="0" w:line="259" w:lineRule="auto"/>
            </w:pPr>
            <w:r>
              <w:rPr>
                <w:rFonts w:ascii="Calibri" w:hAnsi="Calibri"/>
                <w:b w:val="0"/>
                <w:i w:val="0"/>
                <w:color w:val="212121"/>
                <w:sz w:val="16"/>
              </w:rPr>
              <w:t>All patients with suspected periapical abscess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imaging</w:t>
            </w:r>
          </w:p>
        </w:tc>
        <w:tc>
          <w:tcPr>
            <w:tcW w:type="dxa" w:w="720"/>
            <w:vAlign w:val="top"/>
          </w:tcPr>
          <w:p>
            <w:pPr>
              <w:spacing w:after="40" w:before="0" w:line="259" w:lineRule="auto"/>
            </w:pPr>
            <w:r>
              <w:rPr>
                <w:rFonts w:ascii="Calibri" w:hAnsi="Calibri"/>
                <w:b w:val="0"/>
                <w:i w:val="0"/>
                <w:color w:val="212121"/>
                <w:sz w:val="16"/>
              </w:rPr>
              <w:t>Acute abscess may show only PDL widening early; chronic shows a defined lucency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 electrical</w:t>
            </w:r>
          </w:p>
        </w:tc>
        <w:tc>
          <w:tcPr>
            <w:tcW w:type="dxa" w:w="1036"/>
            <w:vAlign w:val="top"/>
          </w:tcPr>
          <w:p>
            <w:pPr>
              <w:spacing w:after="40" w:before="0" w:line="259" w:lineRule="auto"/>
            </w:pPr>
            <w:r>
              <w:rPr>
                <w:rFonts w:ascii="Calibri" w:hAnsi="Calibri"/>
                <w:b w:val="0"/>
                <w:i w:val="0"/>
                <w:color w:val="212121"/>
                <w:sz w:val="16"/>
              </w:rPr>
              <w:t>Pulp vitality (thermal / electric pulp test)</w:t>
            </w:r>
          </w:p>
        </w:tc>
        <w:tc>
          <w:tcPr>
            <w:tcW w:type="dxa" w:w="892"/>
            <w:vAlign w:val="top"/>
          </w:tcPr>
          <w:p>
            <w:pPr>
              <w:spacing w:after="40" w:before="0" w:line="259" w:lineRule="auto"/>
            </w:pPr>
            <w:r>
              <w:rPr>
                <w:rFonts w:ascii="Calibri" w:hAnsi="Calibri"/>
                <w:b w:val="0"/>
                <w:i w:val="0"/>
                <w:color w:val="212121"/>
                <w:sz w:val="16"/>
              </w:rPr>
              <w:t>Pulp sensibility testing</w:t>
            </w:r>
          </w:p>
        </w:tc>
        <w:tc>
          <w:tcPr>
            <w:tcW w:type="dxa" w:w="950"/>
            <w:vAlign w:val="top"/>
          </w:tcPr>
          <w:p>
            <w:pPr>
              <w:spacing w:after="40" w:before="0" w:line="259" w:lineRule="auto"/>
            </w:pPr>
            <w:r>
              <w:rPr>
                <w:rFonts w:ascii="Calibri" w:hAnsi="Calibri"/>
                <w:b w:val="0"/>
                <w:i w:val="0"/>
                <w:color w:val="212121"/>
                <w:sz w:val="16"/>
              </w:rPr>
              <w:t>Responds (vital pulp)</w:t>
            </w:r>
          </w:p>
        </w:tc>
        <w:tc>
          <w:tcPr>
            <w:tcW w:type="dxa" w:w="950"/>
            <w:vAlign w:val="top"/>
          </w:tcPr>
          <w:p>
            <w:pPr>
              <w:spacing w:after="40" w:before="0" w:line="259" w:lineRule="auto"/>
            </w:pPr>
            <w:r>
              <w:rPr>
                <w:rFonts w:ascii="Calibri" w:hAnsi="Calibri"/>
                <w:b w:val="0"/>
                <w:i w:val="0"/>
                <w:color w:val="212121"/>
                <w:sz w:val="16"/>
              </w:rPr>
              <w:t>No response (necrotic pulp)</w:t>
            </w:r>
          </w:p>
        </w:tc>
        <w:tc>
          <w:tcPr>
            <w:tcW w:type="dxa" w:w="1036"/>
            <w:vAlign w:val="top"/>
          </w:tcPr>
          <w:p>
            <w:pPr>
              <w:spacing w:after="40" w:before="0" w:line="259" w:lineRule="auto"/>
            </w:pPr>
            <w:r>
              <w:rPr>
                <w:rFonts w:ascii="Calibri" w:hAnsi="Calibri"/>
                <w:b w:val="0"/>
                <w:i w:val="0"/>
                <w:color w:val="212121"/>
                <w:sz w:val="16"/>
              </w:rPr>
              <w:t>A non-vital tooth identifies the pulpal source of a periapical abscess</w:t>
            </w:r>
          </w:p>
        </w:tc>
        <w:tc>
          <w:tcPr>
            <w:tcW w:type="dxa" w:w="1036"/>
            <w:vAlign w:val="top"/>
          </w:tcPr>
          <w:p>
            <w:pPr>
              <w:spacing w:after="40" w:before="0" w:line="259" w:lineRule="auto"/>
            </w:pPr>
            <w:r>
              <w:rPr>
                <w:rFonts w:ascii="Calibri" w:hAnsi="Calibri"/>
                <w:b w:val="0"/>
                <w:i w:val="0"/>
                <w:color w:val="212121"/>
                <w:sz w:val="16"/>
              </w:rPr>
              <w:t>Teeth with deep caries, trauma or prior restoration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Compare with adjacent/contralateral control teeth; unreliable in recently traumatized teeth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Extent of lesion / fascial-space spread</w:t>
            </w:r>
          </w:p>
        </w:tc>
        <w:tc>
          <w:tcPr>
            <w:tcW w:type="dxa" w:w="892"/>
            <w:vAlign w:val="top"/>
          </w:tcPr>
          <w:p>
            <w:pPr>
              <w:spacing w:after="40" w:before="0" w:line="259" w:lineRule="auto"/>
            </w:pPr>
            <w:r>
              <w:rPr>
                <w:rFonts w:ascii="Calibri" w:hAnsi="Calibri"/>
                <w:b w:val="0"/>
                <w:i w:val="0"/>
                <w:color w:val="212121"/>
                <w:sz w:val="16"/>
              </w:rPr>
              <w:t>CBCT or contrast CT head and neck</w:t>
            </w:r>
          </w:p>
        </w:tc>
        <w:tc>
          <w:tcPr>
            <w:tcW w:type="dxa" w:w="950"/>
            <w:vAlign w:val="top"/>
          </w:tcPr>
          <w:p>
            <w:pPr>
              <w:spacing w:after="40" w:before="0" w:line="259" w:lineRule="auto"/>
            </w:pPr>
            <w:r>
              <w:rPr>
                <w:rFonts w:ascii="Calibri" w:hAnsi="Calibri"/>
                <w:b w:val="0"/>
                <w:i w:val="0"/>
                <w:color w:val="212121"/>
                <w:sz w:val="16"/>
              </w:rPr>
              <w:t>No bony lesion or space collection</w:t>
            </w:r>
          </w:p>
        </w:tc>
        <w:tc>
          <w:tcPr>
            <w:tcW w:type="dxa" w:w="950"/>
            <w:vAlign w:val="top"/>
          </w:tcPr>
          <w:p>
            <w:pPr>
              <w:spacing w:after="40" w:before="0" w:line="259" w:lineRule="auto"/>
            </w:pPr>
            <w:r>
              <w:rPr>
                <w:rFonts w:ascii="Calibri" w:hAnsi="Calibri"/>
                <w:b w:val="0"/>
                <w:i w:val="0"/>
                <w:color w:val="212121"/>
                <w:sz w:val="16"/>
              </w:rPr>
              <w:t>Periapical bone loss, abscess cavity, fascial-space collection</w:t>
            </w:r>
          </w:p>
        </w:tc>
        <w:tc>
          <w:tcPr>
            <w:tcW w:type="dxa" w:w="1036"/>
            <w:vAlign w:val="top"/>
          </w:tcPr>
          <w:p>
            <w:pPr>
              <w:spacing w:after="40" w:before="0" w:line="259" w:lineRule="auto"/>
            </w:pPr>
            <w:r>
              <w:rPr>
                <w:rFonts w:ascii="Calibri" w:hAnsi="Calibri"/>
                <w:b w:val="0"/>
                <w:i w:val="0"/>
                <w:color w:val="212121"/>
                <w:sz w:val="16"/>
              </w:rPr>
              <w:t>Maps extent and deep-neck spread to plan drainage and airway care</w:t>
            </w:r>
          </w:p>
        </w:tc>
        <w:tc>
          <w:tcPr>
            <w:tcW w:type="dxa" w:w="1036"/>
            <w:vAlign w:val="top"/>
          </w:tcPr>
          <w:p>
            <w:pPr>
              <w:spacing w:after="40" w:before="0" w:line="259" w:lineRule="auto"/>
            </w:pPr>
            <w:r>
              <w:rPr>
                <w:rFonts w:ascii="Calibri" w:hAnsi="Calibri"/>
                <w:b w:val="0"/>
                <w:i w:val="0"/>
                <w:color w:val="212121"/>
                <w:sz w:val="16"/>
              </w:rPr>
              <w:t>Spreading infection, deep-neck involvement, surgical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Definitive for spread</w:t>
            </w:r>
          </w:p>
        </w:tc>
        <w:tc>
          <w:tcPr>
            <w:tcW w:type="dxa" w:w="720"/>
            <w:vAlign w:val="top"/>
          </w:tcPr>
          <w:p>
            <w:pPr>
              <w:spacing w:after="40" w:before="0" w:line="259" w:lineRule="auto"/>
            </w:pPr>
            <w:r>
              <w:rPr>
                <w:rFonts w:ascii="Calibri" w:hAnsi="Calibri"/>
                <w:b w:val="0"/>
                <w:i w:val="0"/>
                <w:color w:val="212121"/>
                <w:sz w:val="16"/>
              </w:rPr>
              <w:t>CBCT for the tooth/periapex; contrast CT for deep-neck spaces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White cell / neutrophil count</w:t>
            </w:r>
          </w:p>
        </w:tc>
        <w:tc>
          <w:tcPr>
            <w:tcW w:type="dxa" w:w="892"/>
            <w:vAlign w:val="top"/>
          </w:tcPr>
          <w:p>
            <w:pPr>
              <w:spacing w:after="40" w:before="0" w:line="259" w:lineRule="auto"/>
            </w:pPr>
            <w:r>
              <w:rPr>
                <w:rFonts w:ascii="Calibri" w:hAnsi="Calibri"/>
                <w:b w:val="0"/>
                <w:i w:val="0"/>
                <w:color w:val="212121"/>
                <w:sz w:val="16"/>
              </w:rPr>
              <w:t>Full blood count (FBC)</w:t>
            </w:r>
          </w:p>
        </w:tc>
        <w:tc>
          <w:tcPr>
            <w:tcW w:type="dxa" w:w="950"/>
            <w:vAlign w:val="top"/>
          </w:tcPr>
          <w:p>
            <w:pPr>
              <w:spacing w:after="40" w:before="0" w:line="259" w:lineRule="auto"/>
            </w:pPr>
            <w:r>
              <w:rPr>
                <w:rFonts w:ascii="Calibri" w:hAnsi="Calibri"/>
                <w:b w:val="0"/>
                <w:i w:val="0"/>
                <w:color w:val="212121"/>
                <w:sz w:val="16"/>
              </w:rPr>
              <w:t>WBC ~4-11 x10^9/L</w:t>
            </w:r>
          </w:p>
        </w:tc>
        <w:tc>
          <w:tcPr>
            <w:tcW w:type="dxa" w:w="950"/>
            <w:vAlign w:val="top"/>
          </w:tcPr>
          <w:p>
            <w:pPr>
              <w:spacing w:after="40" w:before="0" w:line="259" w:lineRule="auto"/>
            </w:pPr>
            <w:r>
              <w:rPr>
                <w:rFonts w:ascii="Calibri" w:hAnsi="Calibri"/>
                <w:b w:val="0"/>
                <w:i w:val="0"/>
                <w:color w:val="212121"/>
                <w:sz w:val="16"/>
              </w:rPr>
              <w:t>Neutrophil leucocytosis</w:t>
            </w:r>
          </w:p>
        </w:tc>
        <w:tc>
          <w:tcPr>
            <w:tcW w:type="dxa" w:w="1036"/>
            <w:vAlign w:val="top"/>
          </w:tcPr>
          <w:p>
            <w:pPr>
              <w:spacing w:after="40" w:before="0" w:line="259" w:lineRule="auto"/>
            </w:pPr>
            <w:r>
              <w:rPr>
                <w:rFonts w:ascii="Calibri" w:hAnsi="Calibri"/>
                <w:b w:val="0"/>
                <w:i w:val="0"/>
                <w:color w:val="212121"/>
                <w:sz w:val="16"/>
              </w:rPr>
              <w:t>Raised counts indicate a significant or spreading infection</w:t>
            </w:r>
          </w:p>
        </w:tc>
        <w:tc>
          <w:tcPr>
            <w:tcW w:type="dxa" w:w="1036"/>
            <w:vAlign w:val="top"/>
          </w:tcPr>
          <w:p>
            <w:pPr>
              <w:spacing w:after="40" w:before="0" w:line="259" w:lineRule="auto"/>
            </w:pPr>
            <w:r>
              <w:rPr>
                <w:rFonts w:ascii="Calibri" w:hAnsi="Calibri"/>
                <w:b w:val="0"/>
                <w:i w:val="0"/>
                <w:color w:val="212121"/>
                <w:sz w:val="16"/>
              </w:rPr>
              <w:t>Systemic or spreading infection, immunocompromised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May be blunted in the immunocompromised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 ESR</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CRP &lt; 5 mg/L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Gauges severity and tracks response to drainage and antibiotics</w:t>
            </w:r>
          </w:p>
        </w:tc>
        <w:tc>
          <w:tcPr>
            <w:tcW w:type="dxa" w:w="1036"/>
            <w:vAlign w:val="top"/>
          </w:tcPr>
          <w:p>
            <w:pPr>
              <w:spacing w:after="40" w:before="0" w:line="259" w:lineRule="auto"/>
            </w:pPr>
            <w:r>
              <w:rPr>
                <w:rFonts w:ascii="Calibri" w:hAnsi="Calibri"/>
                <w:b w:val="0"/>
                <w:i w:val="0"/>
                <w:color w:val="212121"/>
                <w:sz w:val="16"/>
              </w:rPr>
              <w:t>Cellulitis, systemic upset, admitted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trend over time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 / HbA1c</w:t>
            </w:r>
          </w:p>
        </w:tc>
        <w:tc>
          <w:tcPr>
            <w:tcW w:type="dxa" w:w="892"/>
            <w:vAlign w:val="top"/>
          </w:tcPr>
          <w:p>
            <w:pPr>
              <w:spacing w:after="40" w:before="0" w:line="259" w:lineRule="auto"/>
            </w:pPr>
            <w:r>
              <w:rPr>
                <w:rFonts w:ascii="Calibri" w:hAnsi="Calibri"/>
                <w:b w:val="0"/>
                <w:i w:val="0"/>
                <w:color w:val="212121"/>
                <w:sz w:val="16"/>
              </w:rPr>
              <w:t>Glycaemic screen</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Impaired or diabetic range</w:t>
            </w:r>
          </w:p>
        </w:tc>
        <w:tc>
          <w:tcPr>
            <w:tcW w:type="dxa" w:w="1036"/>
            <w:vAlign w:val="top"/>
          </w:tcPr>
          <w:p>
            <w:pPr>
              <w:spacing w:after="40" w:before="0" w:line="259" w:lineRule="auto"/>
            </w:pPr>
            <w:r>
              <w:rPr>
                <w:rFonts w:ascii="Calibri" w:hAnsi="Calibri"/>
                <w:b w:val="0"/>
                <w:i w:val="0"/>
                <w:color w:val="212121"/>
                <w:sz w:val="16"/>
              </w:rPr>
              <w:t>Uncontrolled diabetes predisposes to severe, spreading odontogenic infection</w:t>
            </w:r>
          </w:p>
        </w:tc>
        <w:tc>
          <w:tcPr>
            <w:tcW w:type="dxa" w:w="1036"/>
            <w:vAlign w:val="top"/>
          </w:tcPr>
          <w:p>
            <w:pPr>
              <w:spacing w:after="40" w:before="0" w:line="259" w:lineRule="auto"/>
            </w:pPr>
            <w:r>
              <w:rPr>
                <w:rFonts w:ascii="Calibri" w:hAnsi="Calibri"/>
                <w:b w:val="0"/>
                <w:i w:val="0"/>
                <w:color w:val="212121"/>
                <w:sz w:val="16"/>
              </w:rPr>
              <w:t>Recurrent, severe or spreading abscess; known/undiagnosed diabetics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Optimize glycaemia to aid resolution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Pus culture and sensitivity</w:t>
            </w:r>
          </w:p>
        </w:tc>
        <w:tc>
          <w:tcPr>
            <w:tcW w:type="dxa" w:w="892"/>
            <w:vAlign w:val="top"/>
          </w:tcPr>
          <w:p>
            <w:pPr>
              <w:spacing w:after="40" w:before="0" w:line="259" w:lineRule="auto"/>
            </w:pPr>
            <w:r>
              <w:rPr>
                <w:rFonts w:ascii="Calibri" w:hAnsi="Calibri"/>
                <w:b w:val="0"/>
                <w:i w:val="0"/>
                <w:color w:val="212121"/>
                <w:sz w:val="16"/>
              </w:rPr>
              <w:t>Aspirate / drainage culture (aerobic + anaerobic)</w:t>
            </w:r>
          </w:p>
        </w:tc>
        <w:tc>
          <w:tcPr>
            <w:tcW w:type="dxa" w:w="950"/>
            <w:vAlign w:val="top"/>
          </w:tcPr>
          <w:p>
            <w:pPr>
              <w:spacing w:after="40" w:before="0" w:line="259" w:lineRule="auto"/>
            </w:pPr>
            <w:r>
              <w:rPr>
                <w:rFonts w:ascii="Calibri" w:hAnsi="Calibri"/>
                <w:b w:val="0"/>
                <w:i w:val="0"/>
                <w:color w:val="212121"/>
                <w:sz w:val="16"/>
              </w:rPr>
              <w:t>Not applicable</w:t>
            </w:r>
          </w:p>
        </w:tc>
        <w:tc>
          <w:tcPr>
            <w:tcW w:type="dxa" w:w="950"/>
            <w:vAlign w:val="top"/>
          </w:tcPr>
          <w:p>
            <w:pPr>
              <w:spacing w:after="40" w:before="0" w:line="259" w:lineRule="auto"/>
            </w:pPr>
            <w:r>
              <w:rPr>
                <w:rFonts w:ascii="Calibri" w:hAnsi="Calibri"/>
                <w:b w:val="0"/>
                <w:i w:val="0"/>
                <w:color w:val="212121"/>
                <w:sz w:val="16"/>
              </w:rPr>
              <w:t>Polymicrobial anaerobes and streptococci</w:t>
            </w:r>
          </w:p>
        </w:tc>
        <w:tc>
          <w:tcPr>
            <w:tcW w:type="dxa" w:w="1036"/>
            <w:vAlign w:val="top"/>
          </w:tcPr>
          <w:p>
            <w:pPr>
              <w:spacing w:after="40" w:before="0" w:line="259" w:lineRule="auto"/>
            </w:pPr>
            <w:r>
              <w:rPr>
                <w:rFonts w:ascii="Calibri" w:hAnsi="Calibri"/>
                <w:b w:val="0"/>
                <w:i w:val="0"/>
                <w:color w:val="212121"/>
                <w:sz w:val="16"/>
              </w:rPr>
              <w:t>Guides antibiotics when severe, non-responding or immunocompromised</w:t>
            </w:r>
          </w:p>
        </w:tc>
        <w:tc>
          <w:tcPr>
            <w:tcW w:type="dxa" w:w="1036"/>
            <w:vAlign w:val="top"/>
          </w:tcPr>
          <w:p>
            <w:pPr>
              <w:spacing w:after="40" w:before="0" w:line="259" w:lineRule="auto"/>
            </w:pPr>
            <w:r>
              <w:rPr>
                <w:rFonts w:ascii="Calibri" w:hAnsi="Calibri"/>
                <w:b w:val="0"/>
                <w:i w:val="0"/>
                <w:color w:val="212121"/>
                <w:sz w:val="16"/>
              </w:rPr>
              <w:t>Severe/spreading, failed first-line therapy, immunocompromised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Targeted therapy</w:t>
            </w:r>
          </w:p>
        </w:tc>
        <w:tc>
          <w:tcPr>
            <w:tcW w:type="dxa" w:w="720"/>
            <w:vAlign w:val="top"/>
          </w:tcPr>
          <w:p>
            <w:pPr>
              <w:spacing w:after="40" w:before="0" w:line="259" w:lineRule="auto"/>
            </w:pPr>
            <w:r>
              <w:rPr>
                <w:rFonts w:ascii="Calibri" w:hAnsi="Calibri"/>
                <w:b w:val="0"/>
                <w:i w:val="0"/>
                <w:color w:val="212121"/>
                <w:sz w:val="16"/>
              </w:rPr>
              <w:t>Take before or at drainage; empirical cover meanwhile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Blood cultures</w:t>
            </w:r>
          </w:p>
        </w:tc>
        <w:tc>
          <w:tcPr>
            <w:tcW w:type="dxa" w:w="892"/>
            <w:vAlign w:val="top"/>
          </w:tcPr>
          <w:p>
            <w:pPr>
              <w:spacing w:after="40" w:before="0" w:line="259" w:lineRule="auto"/>
            </w:pPr>
            <w:r>
              <w:rPr>
                <w:rFonts w:ascii="Calibri" w:hAnsi="Calibri"/>
                <w:b w:val="0"/>
                <w:i w:val="0"/>
                <w:color w:val="212121"/>
                <w:sz w:val="16"/>
              </w:rPr>
              <w:t>Blood culture (if septic)</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Bacteraemia</w:t>
            </w:r>
          </w:p>
        </w:tc>
        <w:tc>
          <w:tcPr>
            <w:tcW w:type="dxa" w:w="1036"/>
            <w:vAlign w:val="top"/>
          </w:tcPr>
          <w:p>
            <w:pPr>
              <w:spacing w:after="40" w:before="0" w:line="259" w:lineRule="auto"/>
            </w:pPr>
            <w:r>
              <w:rPr>
                <w:rFonts w:ascii="Calibri" w:hAnsi="Calibri"/>
                <w:b w:val="0"/>
                <w:i w:val="0"/>
                <w:color w:val="212121"/>
                <w:sz w:val="16"/>
              </w:rPr>
              <w:t>Detects systemic spread/sepsis requiring IV antibiotics and admission</w:t>
            </w:r>
          </w:p>
        </w:tc>
        <w:tc>
          <w:tcPr>
            <w:tcW w:type="dxa" w:w="1036"/>
            <w:vAlign w:val="top"/>
          </w:tcPr>
          <w:p>
            <w:pPr>
              <w:spacing w:after="40" w:before="0" w:line="259" w:lineRule="auto"/>
            </w:pPr>
            <w:r>
              <w:rPr>
                <w:rFonts w:ascii="Calibri" w:hAnsi="Calibri"/>
                <w:b w:val="0"/>
                <w:i w:val="0"/>
                <w:color w:val="212121"/>
                <w:sz w:val="16"/>
              </w:rPr>
              <w:t>Febrile, toxic or haemodynamically unstable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if septic</w:t>
            </w:r>
          </w:p>
        </w:tc>
        <w:tc>
          <w:tcPr>
            <w:tcW w:type="dxa" w:w="720"/>
            <w:vAlign w:val="top"/>
          </w:tcPr>
          <w:p>
            <w:pPr>
              <w:spacing w:after="40" w:before="0" w:line="259" w:lineRule="auto"/>
            </w:pPr>
            <w:r>
              <w:rPr>
                <w:rFonts w:ascii="Calibri" w:hAnsi="Calibri"/>
                <w:b w:val="0"/>
                <w:i w:val="0"/>
                <w:color w:val="212121"/>
                <w:sz w:val="16"/>
              </w:rPr>
              <w:t>Draw before IV antibiotics where feasible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Severe throbbing toothache, worse on biting and lying down, with swelling</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Classic symptom pattern of an acute apical abscess</w:t>
            </w:r>
          </w:p>
        </w:tc>
        <w:tc>
          <w:tcPr>
            <w:tcW w:type="dxa" w:w="1036"/>
            <w:vAlign w:val="top"/>
          </w:tcPr>
          <w:p>
            <w:pPr>
              <w:spacing w:after="40" w:before="0" w:line="259" w:lineRule="auto"/>
            </w:pPr>
            <w:r>
              <w:rPr>
                <w:rFonts w:ascii="Calibri" w:hAnsi="Calibri"/>
                <w:b w:val="0"/>
                <w:i w:val="0"/>
                <w:color w:val="212121"/>
                <w:sz w:val="16"/>
              </w:rPr>
              <w:t>Adults and children with acute tooth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Localize the tooth; ask about fever and swelling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Dental history</w:t>
            </w:r>
          </w:p>
        </w:tc>
        <w:tc>
          <w:tcPr>
            <w:tcW w:type="dxa" w:w="979"/>
            <w:vAlign w:val="top"/>
          </w:tcPr>
          <w:p>
            <w:pPr>
              <w:spacing w:after="40" w:before="0" w:line="259" w:lineRule="auto"/>
            </w:pPr>
            <w:r>
              <w:rPr>
                <w:rFonts w:ascii="Calibri" w:hAnsi="Calibri"/>
                <w:b w:val="0"/>
                <w:i w:val="0"/>
                <w:color w:val="212121"/>
                <w:sz w:val="16"/>
              </w:rPr>
              <w:t>Caries, trauma, previous root canal or restorations, prior episodes</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Deep caries / failed RCT / trauma</w:t>
            </w:r>
          </w:p>
        </w:tc>
        <w:tc>
          <w:tcPr>
            <w:tcW w:type="dxa" w:w="1036"/>
            <w:vAlign w:val="top"/>
          </w:tcPr>
          <w:p>
            <w:pPr>
              <w:spacing w:after="40" w:before="0" w:line="259" w:lineRule="auto"/>
            </w:pPr>
            <w:r>
              <w:rPr>
                <w:rFonts w:ascii="Calibri" w:hAnsi="Calibri"/>
                <w:b w:val="0"/>
                <w:i w:val="0"/>
                <w:color w:val="212121"/>
                <w:sz w:val="16"/>
              </w:rPr>
              <w:t>Identifies the likely pulpal source and recurrence risk</w:t>
            </w:r>
          </w:p>
        </w:tc>
        <w:tc>
          <w:tcPr>
            <w:tcW w:type="dxa" w:w="1036"/>
            <w:vAlign w:val="top"/>
          </w:tcPr>
          <w:p>
            <w:pPr>
              <w:spacing w:after="40" w:before="0" w:line="259" w:lineRule="auto"/>
            </w:pPr>
            <w:r>
              <w:rPr>
                <w:rFonts w:ascii="Calibri" w:hAnsi="Calibri"/>
                <w:b w:val="0"/>
                <w:i w:val="0"/>
                <w:color w:val="212121"/>
                <w:sz w:val="16"/>
              </w:rPr>
              <w:t>Heavily restored or traumatized dentition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Recurrent abscess suggests inadequate prior endodontics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Medical &amp; social history</w:t>
            </w:r>
          </w:p>
        </w:tc>
        <w:tc>
          <w:tcPr>
            <w:tcW w:type="dxa" w:w="979"/>
            <w:vAlign w:val="top"/>
          </w:tcPr>
          <w:p>
            <w:pPr>
              <w:spacing w:after="40" w:before="0" w:line="259" w:lineRule="auto"/>
            </w:pPr>
            <w:r>
              <w:rPr>
                <w:rFonts w:ascii="Calibri" w:hAnsi="Calibri"/>
                <w:b w:val="0"/>
                <w:i w:val="0"/>
                <w:color w:val="212121"/>
                <w:sz w:val="16"/>
              </w:rPr>
              <w:t>Diabetes, immunosuppression, tobacco/areca use, drug allergy, cardiac risk</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Diabetes / immunosuppression / tobacco / at-risk heart</w:t>
            </w:r>
          </w:p>
        </w:tc>
        <w:tc>
          <w:tcPr>
            <w:tcW w:type="dxa" w:w="1036"/>
            <w:vAlign w:val="top"/>
          </w:tcPr>
          <w:p>
            <w:pPr>
              <w:spacing w:after="40" w:before="0" w:line="259" w:lineRule="auto"/>
            </w:pPr>
            <w:r>
              <w:rPr>
                <w:rFonts w:ascii="Calibri" w:hAnsi="Calibri"/>
                <w:b w:val="0"/>
                <w:i w:val="0"/>
                <w:color w:val="212121"/>
                <w:sz w:val="16"/>
              </w:rPr>
              <w:t>Flags patients at risk of severe spread and those needing endocarditis prophylaxis</w:t>
            </w:r>
          </w:p>
        </w:tc>
        <w:tc>
          <w:tcPr>
            <w:tcW w:type="dxa" w:w="1036"/>
            <w:vAlign w:val="top"/>
          </w:tcPr>
          <w:p>
            <w:pPr>
              <w:spacing w:after="40" w:before="0" w:line="259" w:lineRule="auto"/>
            </w:pPr>
            <w:r>
              <w:rPr>
                <w:rFonts w:ascii="Calibri" w:hAnsi="Calibri"/>
                <w:b w:val="0"/>
                <w:i w:val="0"/>
                <w:color w:val="212121"/>
                <w:sz w:val="16"/>
              </w:rPr>
              <w:t>Diabetics, immunocompromised, cardiac-risk patients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Allergy history guides antibiotic choice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Percussion / bite test</w:t>
            </w:r>
          </w:p>
        </w:tc>
        <w:tc>
          <w:tcPr>
            <w:tcW w:type="dxa" w:w="950"/>
            <w:vAlign w:val="top"/>
          </w:tcPr>
          <w:p>
            <w:pPr>
              <w:spacing w:after="40" w:before="0" w:line="259" w:lineRule="auto"/>
            </w:pPr>
            <w:r>
              <w:rPr>
                <w:rFonts w:ascii="Calibri" w:hAnsi="Calibri"/>
                <w:b w:val="0"/>
                <w:i w:val="0"/>
                <w:color w:val="212121"/>
                <w:sz w:val="16"/>
              </w:rPr>
              <w:t>Percussion and bite testing</w:t>
            </w:r>
          </w:p>
        </w:tc>
        <w:tc>
          <w:tcPr>
            <w:tcW w:type="dxa" w:w="979"/>
            <w:vAlign w:val="top"/>
          </w:tcPr>
          <w:p>
            <w:pPr>
              <w:spacing w:after="40" w:before="0" w:line="259" w:lineRule="auto"/>
            </w:pPr>
            <w:r>
              <w:rPr>
                <w:rFonts w:ascii="Calibri" w:hAnsi="Calibri"/>
                <w:b w:val="0"/>
                <w:i w:val="0"/>
                <w:color w:val="212121"/>
                <w:sz w:val="16"/>
              </w:rPr>
              <w:t>Tenderness to percussion and on biting</w:t>
            </w:r>
          </w:p>
        </w:tc>
        <w:tc>
          <w:tcPr>
            <w:tcW w:type="dxa" w:w="950"/>
            <w:vAlign w:val="top"/>
          </w:tcPr>
          <w:p>
            <w:pPr>
              <w:spacing w:after="40" w:before="0" w:line="259" w:lineRule="auto"/>
            </w:pPr>
            <w:r>
              <w:rPr>
                <w:rFonts w:ascii="Calibri" w:hAnsi="Calibri"/>
                <w:b w:val="0"/>
                <w:i w:val="0"/>
                <w:color w:val="212121"/>
                <w:sz w:val="16"/>
              </w:rPr>
              <w:t>Not tender</w:t>
            </w:r>
          </w:p>
        </w:tc>
        <w:tc>
          <w:tcPr>
            <w:tcW w:type="dxa" w:w="950"/>
            <w:vAlign w:val="top"/>
          </w:tcPr>
          <w:p>
            <w:pPr>
              <w:spacing w:after="40" w:before="0" w:line="259" w:lineRule="auto"/>
            </w:pPr>
            <w:r>
              <w:rPr>
                <w:rFonts w:ascii="Calibri" w:hAnsi="Calibri"/>
                <w:b w:val="0"/>
                <w:i w:val="0"/>
                <w:color w:val="212121"/>
                <w:sz w:val="16"/>
              </w:rPr>
              <w:t>Markedly tender / pain on release</w:t>
            </w:r>
          </w:p>
        </w:tc>
        <w:tc>
          <w:tcPr>
            <w:tcW w:type="dxa" w:w="1036"/>
            <w:vAlign w:val="top"/>
          </w:tcPr>
          <w:p>
            <w:pPr>
              <w:spacing w:after="40" w:before="0" w:line="259" w:lineRule="auto"/>
            </w:pPr>
            <w:r>
              <w:rPr>
                <w:rFonts w:ascii="Calibri" w:hAnsi="Calibri"/>
                <w:b w:val="0"/>
                <w:i w:val="0"/>
                <w:color w:val="212121"/>
                <w:sz w:val="16"/>
              </w:rPr>
              <w:t>Indicates apical periodontitis / periapical abscess</w:t>
            </w:r>
          </w:p>
        </w:tc>
        <w:tc>
          <w:tcPr>
            <w:tcW w:type="dxa" w:w="1036"/>
            <w:vAlign w:val="top"/>
          </w:tcPr>
          <w:p>
            <w:pPr>
              <w:spacing w:after="40" w:before="0" w:line="259" w:lineRule="auto"/>
            </w:pPr>
            <w:r>
              <w:rPr>
                <w:rFonts w:ascii="Calibri" w:hAnsi="Calibri"/>
                <w:b w:val="0"/>
                <w:i w:val="0"/>
                <w:color w:val="212121"/>
                <w:sz w:val="16"/>
              </w:rPr>
              <w:t>Localized tooth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Localizes the offending tooth</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 / inspection</w:t>
            </w:r>
          </w:p>
        </w:tc>
        <w:tc>
          <w:tcPr>
            <w:tcW w:type="dxa" w:w="950"/>
            <w:vAlign w:val="top"/>
          </w:tcPr>
          <w:p>
            <w:pPr>
              <w:spacing w:after="40" w:before="0" w:line="259" w:lineRule="auto"/>
            </w:pPr>
            <w:r>
              <w:rPr>
                <w:rFonts w:ascii="Calibri" w:hAnsi="Calibri"/>
                <w:b w:val="0"/>
                <w:i w:val="0"/>
                <w:color w:val="212121"/>
                <w:sz w:val="16"/>
              </w:rPr>
              <w:t>Intra-oral swelling &amp; sinus tract</w:t>
            </w:r>
          </w:p>
        </w:tc>
        <w:tc>
          <w:tcPr>
            <w:tcW w:type="dxa" w:w="979"/>
            <w:vAlign w:val="top"/>
          </w:tcPr>
          <w:p>
            <w:pPr>
              <w:spacing w:after="40" w:before="0" w:line="259" w:lineRule="auto"/>
            </w:pPr>
            <w:r>
              <w:rPr>
                <w:rFonts w:ascii="Calibri" w:hAnsi="Calibri"/>
                <w:b w:val="0"/>
                <w:i w:val="0"/>
                <w:color w:val="212121"/>
                <w:sz w:val="16"/>
              </w:rPr>
              <w:t>Fluctuant vestibular/gingival swelling, parulis, pus on drainage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Fluctuant swelling / draining sinus</w:t>
            </w:r>
          </w:p>
        </w:tc>
        <w:tc>
          <w:tcPr>
            <w:tcW w:type="dxa" w:w="1036"/>
            <w:vAlign w:val="top"/>
          </w:tcPr>
          <w:p>
            <w:pPr>
              <w:spacing w:after="40" w:before="0" w:line="259" w:lineRule="auto"/>
            </w:pPr>
            <w:r>
              <w:rPr>
                <w:rFonts w:ascii="Calibri" w:hAnsi="Calibri"/>
                <w:b w:val="0"/>
                <w:i w:val="0"/>
                <w:color w:val="212121"/>
                <w:sz w:val="16"/>
              </w:rPr>
              <w:t>Confirms a collection of pus and its drainage point</w:t>
            </w:r>
          </w:p>
        </w:tc>
        <w:tc>
          <w:tcPr>
            <w:tcW w:type="dxa" w:w="1036"/>
            <w:vAlign w:val="top"/>
          </w:tcPr>
          <w:p>
            <w:pPr>
              <w:spacing w:after="40" w:before="0" w:line="259" w:lineRule="auto"/>
            </w:pPr>
            <w:r>
              <w:rPr>
                <w:rFonts w:ascii="Calibri" w:hAnsi="Calibri"/>
                <w:b w:val="0"/>
                <w:i w:val="0"/>
                <w:color w:val="212121"/>
                <w:sz w:val="16"/>
              </w:rPr>
              <w:t>Chronic abscess with gum boil, acute swelling</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sinus tract signals a chronic apical abscess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 / mobility</w:t>
            </w:r>
          </w:p>
        </w:tc>
        <w:tc>
          <w:tcPr>
            <w:tcW w:type="dxa" w:w="950"/>
            <w:vAlign w:val="top"/>
          </w:tcPr>
          <w:p>
            <w:pPr>
              <w:spacing w:after="40" w:before="0" w:line="259" w:lineRule="auto"/>
            </w:pPr>
            <w:r>
              <w:rPr>
                <w:rFonts w:ascii="Calibri" w:hAnsi="Calibri"/>
                <w:b w:val="0"/>
                <w:i w:val="0"/>
                <w:color w:val="212121"/>
                <w:sz w:val="16"/>
              </w:rPr>
              <w:t>Tooth mobility &amp; extrusion</w:t>
            </w:r>
          </w:p>
        </w:tc>
        <w:tc>
          <w:tcPr>
            <w:tcW w:type="dxa" w:w="979"/>
            <w:vAlign w:val="top"/>
          </w:tcPr>
          <w:p>
            <w:pPr>
              <w:spacing w:after="40" w:before="0" w:line="259" w:lineRule="auto"/>
            </w:pPr>
            <w:r>
              <w:rPr>
                <w:rFonts w:ascii="Calibri" w:hAnsi="Calibri"/>
                <w:b w:val="0"/>
                <w:i w:val="0"/>
                <w:color w:val="212121"/>
                <w:sz w:val="16"/>
              </w:rPr>
              <w:t>Mobile or extruded tooth that feels 'high'</w:t>
            </w:r>
          </w:p>
        </w:tc>
        <w:tc>
          <w:tcPr>
            <w:tcW w:type="dxa" w:w="950"/>
            <w:vAlign w:val="top"/>
          </w:tcPr>
          <w:p>
            <w:pPr>
              <w:spacing w:after="40" w:before="0" w:line="259" w:lineRule="auto"/>
            </w:pPr>
            <w:r>
              <w:rPr>
                <w:rFonts w:ascii="Calibri" w:hAnsi="Calibri"/>
                <w:b w:val="0"/>
                <w:i w:val="0"/>
                <w:color w:val="212121"/>
                <w:sz w:val="16"/>
              </w:rPr>
              <w:t>Firm, in occlusion</w:t>
            </w:r>
          </w:p>
        </w:tc>
        <w:tc>
          <w:tcPr>
            <w:tcW w:type="dxa" w:w="950"/>
            <w:vAlign w:val="top"/>
          </w:tcPr>
          <w:p>
            <w:pPr>
              <w:spacing w:after="40" w:before="0" w:line="259" w:lineRule="auto"/>
            </w:pPr>
            <w:r>
              <w:rPr>
                <w:rFonts w:ascii="Calibri" w:hAnsi="Calibri"/>
                <w:b w:val="0"/>
                <w:i w:val="0"/>
                <w:color w:val="212121"/>
                <w:sz w:val="16"/>
              </w:rPr>
              <w:t>Mobile / extruded</w:t>
            </w:r>
          </w:p>
        </w:tc>
        <w:tc>
          <w:tcPr>
            <w:tcW w:type="dxa" w:w="1036"/>
            <w:vAlign w:val="top"/>
          </w:tcPr>
          <w:p>
            <w:pPr>
              <w:spacing w:after="40" w:before="0" w:line="259" w:lineRule="auto"/>
            </w:pPr>
            <w:r>
              <w:rPr>
                <w:rFonts w:ascii="Calibri" w:hAnsi="Calibri"/>
                <w:b w:val="0"/>
                <w:i w:val="0"/>
                <w:color w:val="212121"/>
                <w:sz w:val="16"/>
              </w:rPr>
              <w:t>Reflects periapical pressure and support loss</w:t>
            </w:r>
          </w:p>
        </w:tc>
        <w:tc>
          <w:tcPr>
            <w:tcW w:type="dxa" w:w="1036"/>
            <w:vAlign w:val="top"/>
          </w:tcPr>
          <w:p>
            <w:pPr>
              <w:spacing w:after="40" w:before="0" w:line="259" w:lineRule="auto"/>
            </w:pPr>
            <w:r>
              <w:rPr>
                <w:rFonts w:ascii="Calibri" w:hAnsi="Calibri"/>
                <w:b w:val="0"/>
                <w:i w:val="0"/>
                <w:color w:val="212121"/>
                <w:sz w:val="16"/>
              </w:rPr>
              <w:t>Acute apical abscess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Reduces after drainage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Extra-oral / red-flag assessment</w:t>
            </w:r>
          </w:p>
        </w:tc>
        <w:tc>
          <w:tcPr>
            <w:tcW w:type="dxa" w:w="950"/>
            <w:vAlign w:val="top"/>
          </w:tcPr>
          <w:p>
            <w:pPr>
              <w:spacing w:after="40" w:before="0" w:line="259" w:lineRule="auto"/>
            </w:pPr>
            <w:r>
              <w:rPr>
                <w:rFonts w:ascii="Calibri" w:hAnsi="Calibri"/>
                <w:b w:val="0"/>
                <w:i w:val="0"/>
                <w:color w:val="212121"/>
                <w:sz w:val="16"/>
              </w:rPr>
              <w:t>Airway &amp; deep-space evaluation</w:t>
            </w:r>
          </w:p>
        </w:tc>
        <w:tc>
          <w:tcPr>
            <w:tcW w:type="dxa" w:w="979"/>
            <w:vAlign w:val="top"/>
          </w:tcPr>
          <w:p>
            <w:pPr>
              <w:spacing w:after="40" w:before="0" w:line="259" w:lineRule="auto"/>
            </w:pPr>
            <w:r>
              <w:rPr>
                <w:rFonts w:ascii="Calibri" w:hAnsi="Calibri"/>
                <w:b w:val="0"/>
                <w:i w:val="0"/>
                <w:color w:val="212121"/>
                <w:sz w:val="16"/>
              </w:rPr>
              <w:t>Facial swelling, trismus, dysphagia, floor-of-mouth elevation, fever, lymphadenopathy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red flag</w:t>
            </w:r>
          </w:p>
        </w:tc>
        <w:tc>
          <w:tcPr>
            <w:tcW w:type="dxa" w:w="1036"/>
            <w:vAlign w:val="top"/>
          </w:tcPr>
          <w:p>
            <w:pPr>
              <w:spacing w:after="40" w:before="0" w:line="259" w:lineRule="auto"/>
            </w:pPr>
            <w:r>
              <w:rPr>
                <w:rFonts w:ascii="Calibri" w:hAnsi="Calibri"/>
                <w:b w:val="0"/>
                <w:i w:val="0"/>
                <w:color w:val="212121"/>
                <w:sz w:val="16"/>
              </w:rPr>
              <w:t>Signals fascial-space spread / Ludwig's angina - a medical emergency</w:t>
            </w:r>
          </w:p>
        </w:tc>
        <w:tc>
          <w:tcPr>
            <w:tcW w:type="dxa" w:w="1036"/>
            <w:vAlign w:val="top"/>
          </w:tcPr>
          <w:p>
            <w:pPr>
              <w:spacing w:after="40" w:before="0" w:line="259" w:lineRule="auto"/>
            </w:pPr>
            <w:r>
              <w:rPr>
                <w:rFonts w:ascii="Calibri" w:hAnsi="Calibri"/>
                <w:b w:val="0"/>
                <w:i w:val="0"/>
                <w:color w:val="212121"/>
                <w:sz w:val="16"/>
              </w:rPr>
              <w:t>Spreading infection, systemically unwell</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Prioritize airway; urgent surgical drainage and IV antibiotics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Severe, continuous throbbing toothache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Localized, gnawing or throbbing pain is the hallmark of an acute apical abscess.</w:t>
            </w:r>
          </w:p>
        </w:tc>
      </w:tr>
      <w:tr>
        <w:trPr>
          <w:cantSplit/>
        </w:trPr>
        <w:tc>
          <w:tcPr>
            <w:tcW w:type="dxa" w:w="2304"/>
            <w:vAlign w:val="top"/>
          </w:tcPr>
          <w:p>
            <w:pPr>
              <w:spacing w:after="40" w:before="0" w:line="259" w:lineRule="auto"/>
            </w:pPr>
            <w:r>
              <w:rPr>
                <w:rFonts w:ascii="Calibri" w:hAnsi="Calibri"/>
                <w:b/>
                <w:i w:val="0"/>
                <w:color w:val="212121"/>
                <w:sz w:val="19"/>
              </w:rPr>
              <w:t>Pain worse on biting, chewing or touching the tooth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Pressure on the inflamed periapical tissues intensifies the pain.</w:t>
            </w:r>
          </w:p>
        </w:tc>
      </w:tr>
      <w:tr>
        <w:trPr>
          <w:cantSplit/>
        </w:trPr>
        <w:tc>
          <w:tcPr>
            <w:tcW w:type="dxa" w:w="2304"/>
            <w:vAlign w:val="top"/>
          </w:tcPr>
          <w:p>
            <w:pPr>
              <w:spacing w:after="40" w:before="0" w:line="259" w:lineRule="auto"/>
            </w:pPr>
            <w:r>
              <w:rPr>
                <w:rFonts w:ascii="Calibri" w:hAnsi="Calibri"/>
                <w:b/>
                <w:i w:val="0"/>
                <w:color w:val="212121"/>
                <w:sz w:val="19"/>
              </w:rPr>
              <w:t>Pain worse on lying down / at night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Recumbency raises periapical pressure, classically disturbing sleep.</w:t>
            </w:r>
          </w:p>
        </w:tc>
      </w:tr>
      <w:tr>
        <w:trPr>
          <w:cantSplit/>
        </w:trPr>
        <w:tc>
          <w:tcPr>
            <w:tcW w:type="dxa" w:w="2304"/>
            <w:vAlign w:val="top"/>
          </w:tcPr>
          <w:p>
            <w:pPr>
              <w:spacing w:after="40" w:before="0" w:line="259" w:lineRule="auto"/>
            </w:pPr>
            <w:r>
              <w:rPr>
                <w:rFonts w:ascii="Calibri" w:hAnsi="Calibri"/>
                <w:b/>
                <w:i w:val="0"/>
                <w:color w:val="212121"/>
                <w:sz w:val="19"/>
              </w:rPr>
              <w:t>Sensitivity to hot and cold (then a 'dead' tooth)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 thermal sensitivity during pulpitis, lost once the pulp becomes necrotic.</w:t>
            </w:r>
          </w:p>
        </w:tc>
      </w:tr>
      <w:tr>
        <w:trPr>
          <w:cantSplit/>
        </w:trPr>
        <w:tc>
          <w:tcPr>
            <w:tcW w:type="dxa" w:w="2304"/>
            <w:vAlign w:val="top"/>
          </w:tcPr>
          <w:p>
            <w:pPr>
              <w:spacing w:after="40" w:before="0" w:line="259" w:lineRule="auto"/>
            </w:pPr>
            <w:r>
              <w:rPr>
                <w:rFonts w:ascii="Calibri" w:hAnsi="Calibri"/>
                <w:b/>
                <w:i w:val="0"/>
                <w:color w:val="212121"/>
                <w:sz w:val="19"/>
              </w:rPr>
              <w:t>Swelling of the gum, cheek, jaw or face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Pus tracking into the soft tissues; facial or jaw swelling is a serious sign.</w:t>
            </w:r>
          </w:p>
        </w:tc>
      </w:tr>
      <w:tr>
        <w:trPr>
          <w:cantSplit/>
        </w:trPr>
        <w:tc>
          <w:tcPr>
            <w:tcW w:type="dxa" w:w="2304"/>
            <w:vAlign w:val="top"/>
          </w:tcPr>
          <w:p>
            <w:pPr>
              <w:spacing w:after="40" w:before="0" w:line="259" w:lineRule="auto"/>
            </w:pPr>
            <w:r>
              <w:rPr>
                <w:rFonts w:ascii="Calibri" w:hAnsi="Calibri"/>
                <w:b/>
                <w:i w:val="0"/>
                <w:color w:val="212121"/>
                <w:sz w:val="19"/>
              </w:rPr>
              <w:t>Bad taste / foul discharge in the mouth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Occurs when the abscess drains through a sinus tract (gum boil).</w:t>
            </w:r>
          </w:p>
        </w:tc>
      </w:tr>
      <w:tr>
        <w:trPr>
          <w:cantSplit/>
        </w:trPr>
        <w:tc>
          <w:tcPr>
            <w:tcW w:type="dxa" w:w="2304"/>
            <w:vAlign w:val="top"/>
          </w:tcPr>
          <w:p>
            <w:pPr>
              <w:spacing w:after="40" w:before="0" w:line="259" w:lineRule="auto"/>
            </w:pPr>
            <w:r>
              <w:rPr>
                <w:rFonts w:ascii="Calibri" w:hAnsi="Calibri"/>
                <w:b/>
                <w:i w:val="0"/>
                <w:color w:val="212121"/>
                <w:sz w:val="19"/>
              </w:rPr>
              <w:t>Bad breath (halitosis)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pus, necrotic tissue and associated poor oral hygiene.</w:t>
            </w:r>
          </w:p>
        </w:tc>
      </w:tr>
      <w:tr>
        <w:trPr>
          <w:cantSplit/>
        </w:trPr>
        <w:tc>
          <w:tcPr>
            <w:tcW w:type="dxa" w:w="2304"/>
            <w:vAlign w:val="top"/>
          </w:tcPr>
          <w:p>
            <w:pPr>
              <w:spacing w:after="40" w:before="0" w:line="259" w:lineRule="auto"/>
            </w:pPr>
            <w:r>
              <w:rPr>
                <w:rFonts w:ascii="Calibri" w:hAnsi="Calibri"/>
                <w:b/>
                <w:i w:val="0"/>
                <w:color w:val="212121"/>
                <w:sz w:val="19"/>
              </w:rPr>
              <w:t>Fever and feeling generally unwell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Indicates a systemic inflammatory response to the infection.</w:t>
            </w:r>
          </w:p>
        </w:tc>
      </w:tr>
      <w:tr>
        <w:trPr>
          <w:cantSplit/>
        </w:trPr>
        <w:tc>
          <w:tcPr>
            <w:tcW w:type="dxa" w:w="2304"/>
            <w:vAlign w:val="top"/>
          </w:tcPr>
          <w:p>
            <w:pPr>
              <w:spacing w:after="40" w:before="0" w:line="259" w:lineRule="auto"/>
            </w:pPr>
            <w:r>
              <w:rPr>
                <w:rFonts w:ascii="Calibri" w:hAnsi="Calibri"/>
                <w:b/>
                <w:i w:val="0"/>
                <w:color w:val="212121"/>
                <w:sz w:val="19"/>
              </w:rPr>
              <w:t>Tender, swollen glands in the neck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Regional lymphadenopathy draining the infected area.</w:t>
            </w:r>
          </w:p>
        </w:tc>
      </w:tr>
      <w:tr>
        <w:trPr>
          <w:cantSplit/>
        </w:trPr>
        <w:tc>
          <w:tcPr>
            <w:tcW w:type="dxa" w:w="2304"/>
            <w:vAlign w:val="top"/>
          </w:tcPr>
          <w:p>
            <w:pPr>
              <w:spacing w:after="40" w:before="0" w:line="259" w:lineRule="auto"/>
            </w:pPr>
            <w:r>
              <w:rPr>
                <w:rFonts w:ascii="Calibri" w:hAnsi="Calibri"/>
                <w:b/>
                <w:i w:val="0"/>
                <w:color w:val="212121"/>
                <w:sz w:val="19"/>
              </w:rPr>
              <w:t>Feeling the tooth is loose or 'raised'</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Periapical pressure extrudes the tooth so it hits first on biting.</w:t>
            </w:r>
          </w:p>
        </w:tc>
      </w:tr>
      <w:tr>
        <w:trPr>
          <w:cantSplit/>
        </w:trPr>
        <w:tc>
          <w:tcPr>
            <w:tcW w:type="dxa" w:w="2304"/>
            <w:vAlign w:val="top"/>
          </w:tcPr>
          <w:p>
            <w:pPr>
              <w:spacing w:after="40" w:before="0" w:line="259" w:lineRule="auto"/>
            </w:pPr>
            <w:r>
              <w:rPr>
                <w:rFonts w:ascii="Calibri" w:hAnsi="Calibri"/>
                <w:b/>
                <w:i w:val="0"/>
                <w:color w:val="212121"/>
                <w:sz w:val="19"/>
              </w:rPr>
              <w:t>Difficulty opening the mouth (trismus)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spread toward the masticator/submandibular spaces.</w:t>
            </w:r>
          </w:p>
        </w:tc>
      </w:tr>
      <w:tr>
        <w:trPr>
          <w:cantSplit/>
        </w:trPr>
        <w:tc>
          <w:tcPr>
            <w:tcW w:type="dxa" w:w="2304"/>
            <w:vAlign w:val="top"/>
          </w:tcPr>
          <w:p>
            <w:pPr>
              <w:spacing w:after="40" w:before="0" w:line="259" w:lineRule="auto"/>
            </w:pPr>
            <w:r>
              <w:rPr>
                <w:rFonts w:ascii="Calibri" w:hAnsi="Calibri"/>
                <w:b/>
                <w:i w:val="0"/>
                <w:color w:val="212121"/>
                <w:sz w:val="19"/>
              </w:rPr>
              <w:t>Difficulty swallowing or breathing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 emergency indicating deep-neck-space spread / airway threat.</w:t>
            </w:r>
          </w:p>
        </w:tc>
      </w:tr>
      <w:tr>
        <w:trPr>
          <w:cantSplit/>
        </w:trPr>
        <w:tc>
          <w:tcPr>
            <w:tcW w:type="dxa" w:w="2304"/>
            <w:vAlign w:val="top"/>
          </w:tcPr>
          <w:p>
            <w:pPr>
              <w:spacing w:after="40" w:before="0" w:line="259" w:lineRule="auto"/>
            </w:pPr>
            <w:r>
              <w:rPr>
                <w:rFonts w:ascii="Calibri" w:hAnsi="Calibri"/>
                <w:b/>
                <w:i w:val="0"/>
                <w:color w:val="212121"/>
                <w:sz w:val="19"/>
              </w:rPr>
              <w:t>Rapidly spreading facial-neck swelling with toxicity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Points to Ludwig's angina or sepsis - immediate hospital care.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Tooth tender to percussion / positive bite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Reproducible tenderness localizes the offending tooth (apical periodontitis).</w:t>
            </w:r>
          </w:p>
        </w:tc>
      </w:tr>
      <w:tr>
        <w:trPr>
          <w:cantSplit/>
        </w:trPr>
        <w:tc>
          <w:tcPr>
            <w:tcW w:type="dxa" w:w="3456"/>
            <w:vAlign w:val="top"/>
          </w:tcPr>
          <w:p>
            <w:pPr>
              <w:spacing w:after="40" w:before="0" w:line="259" w:lineRule="auto"/>
            </w:pPr>
            <w:r>
              <w:rPr>
                <w:rFonts w:ascii="Calibri" w:hAnsi="Calibri"/>
                <w:b/>
                <w:i w:val="0"/>
                <w:color w:val="212121"/>
                <w:sz w:val="19"/>
              </w:rPr>
              <w:t>Non-vital tooth on pulp testing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 response to thermal or electric pulp testing - a necrotic pulp.</w:t>
            </w:r>
          </w:p>
        </w:tc>
      </w:tr>
      <w:tr>
        <w:trPr>
          <w:cantSplit/>
        </w:trPr>
        <w:tc>
          <w:tcPr>
            <w:tcW w:type="dxa" w:w="3456"/>
            <w:vAlign w:val="top"/>
          </w:tcPr>
          <w:p>
            <w:pPr>
              <w:spacing w:after="40" w:before="0" w:line="259" w:lineRule="auto"/>
            </w:pPr>
            <w:r>
              <w:rPr>
                <w:rFonts w:ascii="Calibri" w:hAnsi="Calibri"/>
                <w:b/>
                <w:i w:val="0"/>
                <w:color w:val="212121"/>
                <w:sz w:val="19"/>
              </w:rPr>
              <w:t>Deep caries or large/defective restoration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on the culprit tooth as the portal of pulp infection.</w:t>
            </w:r>
          </w:p>
        </w:tc>
      </w:tr>
      <w:tr>
        <w:trPr>
          <w:cantSplit/>
        </w:trPr>
        <w:tc>
          <w:tcPr>
            <w:tcW w:type="dxa" w:w="3456"/>
            <w:vAlign w:val="top"/>
          </w:tcPr>
          <w:p>
            <w:pPr>
              <w:spacing w:after="40" w:before="0" w:line="259" w:lineRule="auto"/>
            </w:pPr>
            <w:r>
              <w:rPr>
                <w:rFonts w:ascii="Calibri" w:hAnsi="Calibri"/>
                <w:b/>
                <w:i w:val="0"/>
                <w:color w:val="212121"/>
                <w:sz w:val="19"/>
              </w:rPr>
              <w:t>Localized fluctuant gingival / vestibular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palpable, tender pus collection adjacent to the tooth.</w:t>
            </w:r>
          </w:p>
        </w:tc>
      </w:tr>
      <w:tr>
        <w:trPr>
          <w:cantSplit/>
        </w:trPr>
        <w:tc>
          <w:tcPr>
            <w:tcW w:type="dxa" w:w="3456"/>
            <w:vAlign w:val="top"/>
          </w:tcPr>
          <w:p>
            <w:pPr>
              <w:spacing w:after="40" w:before="0" w:line="259" w:lineRule="auto"/>
            </w:pPr>
            <w:r>
              <w:rPr>
                <w:rFonts w:ascii="Calibri" w:hAnsi="Calibri"/>
                <w:b/>
                <w:i w:val="0"/>
                <w:color w:val="212121"/>
                <w:sz w:val="19"/>
              </w:rPr>
              <w:t>Sinus tract with a parulis (gum boil)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draining opening indicates a chronic apical abscess; may express pus.</w:t>
            </w:r>
          </w:p>
        </w:tc>
      </w:tr>
      <w:tr>
        <w:trPr>
          <w:cantSplit/>
        </w:trPr>
        <w:tc>
          <w:tcPr>
            <w:tcW w:type="dxa" w:w="3456"/>
            <w:vAlign w:val="top"/>
          </w:tcPr>
          <w:p>
            <w:pPr>
              <w:spacing w:after="40" w:before="0" w:line="259" w:lineRule="auto"/>
            </w:pPr>
            <w:r>
              <w:rPr>
                <w:rFonts w:ascii="Calibri" w:hAnsi="Calibri"/>
                <w:b/>
                <w:i w:val="0"/>
                <w:color w:val="212121"/>
                <w:sz w:val="19"/>
              </w:rPr>
              <w:t>Periapical radiolucency on IOPA radiograph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Loss of lamina dura and a periapical lucency at the root apex.</w:t>
            </w:r>
          </w:p>
        </w:tc>
      </w:tr>
      <w:tr>
        <w:trPr>
          <w:cantSplit/>
        </w:trPr>
        <w:tc>
          <w:tcPr>
            <w:tcW w:type="dxa" w:w="3456"/>
            <w:vAlign w:val="top"/>
          </w:tcPr>
          <w:p>
            <w:pPr>
              <w:spacing w:after="40" w:before="0" w:line="259" w:lineRule="auto"/>
            </w:pPr>
            <w:r>
              <w:rPr>
                <w:rFonts w:ascii="Calibri" w:hAnsi="Calibri"/>
                <w:b/>
                <w:i w:val="0"/>
                <w:color w:val="212121"/>
                <w:sz w:val="19"/>
              </w:rPr>
              <w:t>Tooth mobility or extrusion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tooth feels loose or high owing to periapical pressure.</w:t>
            </w:r>
          </w:p>
        </w:tc>
      </w:tr>
      <w:tr>
        <w:trPr>
          <w:cantSplit/>
        </w:trPr>
        <w:tc>
          <w:tcPr>
            <w:tcW w:type="dxa" w:w="3456"/>
            <w:vAlign w:val="top"/>
          </w:tcPr>
          <w:p>
            <w:pPr>
              <w:spacing w:after="40" w:before="0" w:line="259" w:lineRule="auto"/>
            </w:pPr>
            <w:r>
              <w:rPr>
                <w:rFonts w:ascii="Calibri" w:hAnsi="Calibri"/>
                <w:b/>
                <w:i w:val="0"/>
                <w:color w:val="212121"/>
                <w:sz w:val="19"/>
              </w:rPr>
              <w:t>Facial cellulitis (erythema, warmth,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Diffuse soft-tissue spread beyond a localized abscess.</w:t>
            </w:r>
          </w:p>
        </w:tc>
      </w:tr>
      <w:tr>
        <w:trPr>
          <w:cantSplit/>
        </w:trPr>
        <w:tc>
          <w:tcPr>
            <w:tcW w:type="dxa" w:w="3456"/>
            <w:vAlign w:val="top"/>
          </w:tcPr>
          <w:p>
            <w:pPr>
              <w:spacing w:after="40" w:before="0" w:line="259" w:lineRule="auto"/>
            </w:pPr>
            <w:r>
              <w:rPr>
                <w:rFonts w:ascii="Calibri" w:hAnsi="Calibri"/>
                <w:b/>
                <w:i w:val="0"/>
                <w:color w:val="212121"/>
                <w:sz w:val="19"/>
              </w:rPr>
              <w:t>Regional lymphadenopathy and fever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Systemic and regional response to a significant infection.</w:t>
            </w:r>
          </w:p>
        </w:tc>
      </w:tr>
      <w:tr>
        <w:trPr>
          <w:cantSplit/>
        </w:trPr>
        <w:tc>
          <w:tcPr>
            <w:tcW w:type="dxa" w:w="3456"/>
            <w:vAlign w:val="top"/>
          </w:tcPr>
          <w:p>
            <w:pPr>
              <w:spacing w:after="40" w:before="0" w:line="259" w:lineRule="auto"/>
            </w:pPr>
            <w:r>
              <w:rPr>
                <w:rFonts w:ascii="Calibri" w:hAnsi="Calibri"/>
                <w:b/>
                <w:i w:val="0"/>
                <w:color w:val="212121"/>
                <w:sz w:val="19"/>
              </w:rPr>
              <w:t>Trismus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mouth opening from masticator/submandibular space involvement.</w:t>
            </w:r>
          </w:p>
        </w:tc>
      </w:tr>
      <w:tr>
        <w:trPr>
          <w:cantSplit/>
        </w:trPr>
        <w:tc>
          <w:tcPr>
            <w:tcW w:type="dxa" w:w="3456"/>
            <w:vAlign w:val="top"/>
          </w:tcPr>
          <w:p>
            <w:pPr>
              <w:spacing w:after="40" w:before="0" w:line="259" w:lineRule="auto"/>
            </w:pPr>
            <w:r>
              <w:rPr>
                <w:rFonts w:ascii="Calibri" w:hAnsi="Calibri"/>
                <w:b/>
                <w:i w:val="0"/>
                <w:color w:val="212121"/>
                <w:sz w:val="19"/>
              </w:rPr>
              <w:t>Floor-of-mouth elevation / tongue displacement (Ludwig's)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Bilateral submandibular-sublingual cellulitis threatening the airway.</w:t>
            </w:r>
          </w:p>
        </w:tc>
      </w:tr>
      <w:tr>
        <w:trPr>
          <w:cantSplit/>
        </w:trPr>
        <w:tc>
          <w:tcPr>
            <w:tcW w:type="dxa" w:w="3456"/>
            <w:vAlign w:val="top"/>
          </w:tcPr>
          <w:p>
            <w:pPr>
              <w:spacing w:after="40" w:before="0" w:line="259" w:lineRule="auto"/>
            </w:pPr>
            <w:r>
              <w:rPr>
                <w:rFonts w:ascii="Calibri" w:hAnsi="Calibri"/>
                <w:b/>
                <w:i w:val="0"/>
                <w:color w:val="212121"/>
                <w:sz w:val="19"/>
              </w:rPr>
              <w:t>Periorbital swelling / ophthalmoplegia (cavernous sinus thrombosis)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Ominous intracranial spread of an upper-tooth infection.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apical abscess with severe pain and localized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apical abscess with a draining sinus tract (parulis)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Periapical granuloma or radicular (periapical) cyst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the affected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Local osteitis / early osteomyelitis of the alveolar bone</w:t>
            </w:r>
          </w:p>
        </w:tc>
        <w:tc>
          <w:tcPr>
            <w:tcW w:type="dxa" w:w="2980"/>
            <w:vAlign w:val="top"/>
          </w:tcPr>
          <w:p>
            <w:pPr>
              <w:spacing w:after="40" w:before="0" w:line="259" w:lineRule="auto"/>
            </w:pPr>
            <w:r>
              <w:rPr>
                <w:rFonts w:ascii="Calibri" w:hAnsi="Calibri"/>
                <w:b w:val="0"/>
                <w:i w:val="0"/>
                <w:color w:val="212121"/>
                <w:sz w:val="19"/>
              </w:rPr>
              <w:t>Direct local consequences of pulp necrosis and periapical infection.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Facial cellulitis and fascial-space infection (buccal, canine, submandibular, sublingual, submental, masticator spaces)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Ludwig's angina - bilateral submandibular/sublingual/submental cellulitis with airway threat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Trismus and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Odontogenic maxillary sinusitis (from upper posterior teeth)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lymphadenitis and osteomyelitis of the jaw</w:t>
            </w:r>
          </w:p>
        </w:tc>
        <w:tc>
          <w:tcPr>
            <w:tcW w:type="dxa" w:w="2980"/>
            <w:vAlign w:val="top"/>
          </w:tcPr>
          <w:p>
            <w:pPr>
              <w:spacing w:after="40" w:before="0" w:line="259" w:lineRule="auto"/>
            </w:pPr>
            <w:r>
              <w:rPr>
                <w:rFonts w:ascii="Calibri" w:hAnsi="Calibri"/>
                <w:b w:val="0"/>
                <w:i w:val="0"/>
                <w:color w:val="212121"/>
                <w:sz w:val="19"/>
              </w:rPr>
              <w:t>Regional spread of infection along fascial planes and adjacent structures.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Descending necrotizing mediastinitis (high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Cavernous sinus thrombosis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Brain abscess / intracranial spread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Sepsis and bacteraemia; infective endocarditis in at-risk hearts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Airway obstruction and death</w:t>
            </w:r>
          </w:p>
        </w:tc>
        <w:tc>
          <w:tcPr>
            <w:tcW w:type="dxa" w:w="2980"/>
            <w:vAlign w:val="top"/>
          </w:tcPr>
          <w:p>
            <w:pPr>
              <w:spacing w:after="40" w:before="0" w:line="259" w:lineRule="auto"/>
            </w:pPr>
            <w:r>
              <w:rPr>
                <w:rFonts w:ascii="Calibri" w:hAnsi="Calibri"/>
                <w:b w:val="0"/>
                <w:i w:val="0"/>
                <w:color w:val="212121"/>
                <w:sz w:val="19"/>
              </w:rPr>
              <w:t>Rare but life-threatening systemic and distant spread of untreated odontogenic infection.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Dental caries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Untreated caries is the dominant cause - bacteria reach and kill the pulp, then seed the periapical tissues; controlling caries prevents most abscesses.</w:t>
            </w:r>
          </w:p>
        </w:tc>
      </w:tr>
      <w:tr>
        <w:trPr>
          <w:cantSplit/>
        </w:trPr>
        <w:tc>
          <w:tcPr>
            <w:tcW w:type="dxa" w:w="2232"/>
            <w:vAlign w:val="top"/>
          </w:tcPr>
          <w:p>
            <w:pPr>
              <w:spacing w:after="40" w:before="0" w:line="259" w:lineRule="auto"/>
            </w:pPr>
            <w:r>
              <w:rPr>
                <w:rFonts w:ascii="Calibri" w:hAnsi="Calibri"/>
                <w:b/>
                <w:i w:val="0"/>
                <w:color w:val="212121"/>
                <w:sz w:val="19"/>
              </w:rPr>
              <w:t>Apical periodontitis / periapical granuloma / radicular cyst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These chronic periapical lesions share the same necrotic-pulp mechanism and convert to, or arise from, an abscess along a continuum.</w:t>
            </w:r>
          </w:p>
        </w:tc>
      </w:tr>
      <w:tr>
        <w:trPr>
          <w:cantSplit/>
        </w:trPr>
        <w:tc>
          <w:tcPr>
            <w:tcW w:type="dxa" w:w="2232"/>
            <w:vAlign w:val="top"/>
          </w:tcPr>
          <w:p>
            <w:pPr>
              <w:spacing w:after="40" w:before="0" w:line="259" w:lineRule="auto"/>
            </w:pPr>
            <w:r>
              <w:rPr>
                <w:rFonts w:ascii="Calibri" w:hAnsi="Calibri"/>
                <w:b/>
                <w:i w:val="0"/>
                <w:color w:val="212121"/>
                <w:sz w:val="19"/>
              </w:rPr>
              <w:t>Periodontal (gum)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Deep pockets can seed the pulp retrogradely and produce periodontal abscesses and combined perio-endo lesions that share plaque-driven pathophysiology.</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immunity and healing make odontogenic abscesses more severe and spreading, while the infection worsens glycaemic control - a bidirectional loop.</w:t>
            </w:r>
          </w:p>
        </w:tc>
      </w:tr>
      <w:tr>
        <w:trPr>
          <w:cantSplit/>
        </w:trPr>
        <w:tc>
          <w:tcPr>
            <w:tcW w:type="dxa" w:w="2232"/>
            <w:vAlign w:val="top"/>
          </w:tcPr>
          <w:p>
            <w:pPr>
              <w:spacing w:after="40" w:before="0" w:line="259" w:lineRule="auto"/>
            </w:pPr>
            <w:r>
              <w:rPr>
                <w:rFonts w:ascii="Calibri" w:hAnsi="Calibri"/>
                <w:b/>
                <w:i w:val="0"/>
                <w:color w:val="212121"/>
                <w:sz w:val="19"/>
              </w:rPr>
              <w:t>Ludwig's angina / deep-neck-space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dreaded complication; about 90% of Ludwig's angina originates from lower (mandibular) molar periapical infection, with airway compromise the leading cause of death.</w:t>
            </w:r>
          </w:p>
          <w:p>
            <w:pPr>
              <w:spacing w:after="40" w:before="0" w:line="259" w:lineRule="auto"/>
            </w:pPr>
            <w:r>
              <w:rPr>
                <w:rFonts w:ascii="Calibri" w:hAnsi="Calibri"/>
                <w:b/>
                <w:i w:val="0"/>
                <w:color w:val="212121"/>
                <w:sz w:val="19"/>
              </w:rPr>
              <w:t>~90% odontogenic</w:t>
            </w:r>
          </w:p>
        </w:tc>
      </w:tr>
      <w:tr>
        <w:trPr>
          <w:cantSplit/>
        </w:trPr>
        <w:tc>
          <w:tcPr>
            <w:tcW w:type="dxa" w:w="2232"/>
            <w:vAlign w:val="top"/>
          </w:tcPr>
          <w:p>
            <w:pPr>
              <w:spacing w:after="40" w:before="0" w:line="259" w:lineRule="auto"/>
            </w:pPr>
            <w:r>
              <w:rPr>
                <w:rFonts w:ascii="Calibri" w:hAnsi="Calibri"/>
                <w:b/>
                <w:i w:val="0"/>
                <w:color w:val="212121"/>
                <w:sz w:val="19"/>
              </w:rPr>
              <w:t>Odontogenic maxillary sinusitis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Periapical infection of upper posterior teeth can breach the sinus floor and cause a unilateral bacterial maxillary sinusitis.</w:t>
            </w:r>
          </w:p>
        </w:tc>
      </w:tr>
      <w:tr>
        <w:trPr>
          <w:cantSplit/>
        </w:trPr>
        <w:tc>
          <w:tcPr>
            <w:tcW w:type="dxa" w:w="2232"/>
            <w:vAlign w:val="top"/>
          </w:tcPr>
          <w:p>
            <w:pPr>
              <w:spacing w:after="40" w:before="0" w:line="259" w:lineRule="auto"/>
            </w:pPr>
            <w:r>
              <w:rPr>
                <w:rFonts w:ascii="Calibri" w:hAnsi="Calibri"/>
                <w:b/>
                <w:i w:val="0"/>
                <w:color w:val="212121"/>
                <w:sz w:val="19"/>
              </w:rPr>
              <w:t>Infective endocarditis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Odontogenic bacteraemia can seed damaged or prosthetic heart valves, so at-risk patients may need antibiotic prophylaxis around drainage/extraction.</w:t>
            </w:r>
          </w:p>
        </w:tc>
      </w:tr>
      <w:tr>
        <w:trPr>
          <w:cantSplit/>
        </w:trPr>
        <w:tc>
          <w:tcPr>
            <w:tcW w:type="dxa" w:w="2232"/>
            <w:vAlign w:val="top"/>
          </w:tcPr>
          <w:p>
            <w:pPr>
              <w:spacing w:after="40" w:before="0" w:line="259" w:lineRule="auto"/>
            </w:pPr>
            <w:r>
              <w:rPr>
                <w:rFonts w:ascii="Calibri" w:hAnsi="Calibri"/>
                <w:b/>
                <w:i w:val="0"/>
                <w:color w:val="212121"/>
                <w:sz w:val="19"/>
              </w:rPr>
              <w:t>Osteomyelitis of the jaw</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Spread of periapical infection into the alveolar and basal bone can cause acute or chronic osteomyelitis, especially in diabetics and the immunocompromised.</w:t>
            </w:r>
          </w:p>
        </w:tc>
      </w:tr>
      <w:tr>
        <w:trPr>
          <w:cantSplit/>
        </w:trPr>
        <w:tc>
          <w:tcPr>
            <w:tcW w:type="dxa" w:w="2232"/>
            <w:vAlign w:val="top"/>
          </w:tcPr>
          <w:p>
            <w:pPr>
              <w:spacing w:after="40" w:before="0" w:line="259" w:lineRule="auto"/>
            </w:pPr>
            <w:r>
              <w:rPr>
                <w:rFonts w:ascii="Calibri" w:hAnsi="Calibri"/>
                <w:b/>
                <w:i w:val="0"/>
                <w:color w:val="212121"/>
                <w:sz w:val="19"/>
              </w:rPr>
              <w:t>Immunosuppression (HIV/AIDS, chemotherapy)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Blunted defences allow faster, atypical and more extensive spread, lowering the threshold for aggressive drainage, IV antibiotics and admission.</w:t>
            </w:r>
          </w:p>
        </w:tc>
      </w:tr>
      <w:tr>
        <w:trPr>
          <w:cantSplit/>
        </w:trPr>
        <w:tc>
          <w:tcPr>
            <w:tcW w:type="dxa" w:w="2232"/>
            <w:vAlign w:val="top"/>
          </w:tcPr>
          <w:p>
            <w:pPr>
              <w:spacing w:after="40" w:before="0" w:line="259" w:lineRule="auto"/>
            </w:pPr>
            <w:r>
              <w:rPr>
                <w:rFonts w:ascii="Calibri" w:hAnsi="Calibri"/>
                <w:b/>
                <w:i w:val="0"/>
                <w:color w:val="212121"/>
                <w:sz w:val="19"/>
              </w:rPr>
              <w:t>Xerostomia (Sjogren syndrome / post-radiotherapy)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Loss of protective saliva causes rampant cervical and root caries that rapidly produces multiple periapical abscesses.</w:t>
            </w:r>
          </w:p>
        </w:tc>
      </w:tr>
      <w:tr>
        <w:trPr>
          <w:cantSplit/>
        </w:trPr>
        <w:tc>
          <w:tcPr>
            <w:tcW w:type="dxa" w:w="2232"/>
            <w:vAlign w:val="top"/>
          </w:tcPr>
          <w:p>
            <w:pPr>
              <w:spacing w:after="40" w:before="0" w:line="259" w:lineRule="auto"/>
            </w:pPr>
            <w:r>
              <w:rPr>
                <w:rFonts w:ascii="Calibri" w:hAnsi="Calibri"/>
                <w:b/>
                <w:i w:val="0"/>
                <w:color w:val="212121"/>
                <w:sz w:val="19"/>
              </w:rPr>
              <w:t>Sepsis / bacteraemia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Uncontrolled odontogenic infection can progress to systemic sepsis, mediastinitis or intracranial spread, dominating acute management.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Brush twice daily with fluoride toothpaste and clean between the teeth daily to prevent the caries that leads to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ignore a small cavity or tooth sensitivity - have decay filled early, before it reaches the pulp.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dental check-ups (every 6-12 months) rather than only when in pain, so caries is caught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foods and drinks and, especially, how often they are taken between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mouthguard for contact sports to prevent tooth-fracturing injuries that can kill the pulp.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care for facial or jaw swelling, fever, difficulty swallowing or breathing - these are emergency warning signs.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and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High-caries-risk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Sports participants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Rural/underserved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dental abscess will not resolve on its own and needs a dentist to drain the pus and treat the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definitive treatment (root canal or extraction) - antibiotics alone do not cure the source.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antibiotics and analgesics exactly as directed and finish the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warm salt-water rinses for symptom relief but do not rely on them instead of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Return immediately if swelling spreads, the eye is involved, or swallowing/breathing becomes difficult.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 acute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antibiotics awaiting definitive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Recurrent-abscess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a well-fitted mouthguard during contact and collision sports to prevent dental trauma that can devitalize a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Have any tooth fracture, chip or knock promptly assessed, even if pain-free, as the pulp may die silently and abscess later.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glycaemic/immune health, which support resistance to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 in sport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prior dental trauma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down on free sugars from sweets, bakery items and sugar-sweetened beverages, the main dietary cause of caries.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the frequency of sugary or sticky snacks between meals, not just the total amount.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water or unsweetened drinks; avoid sipping sweet or acidic drinks throughout the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fluoride exposure (fluoride toothpaste; optimally fluoridated water where available).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High-sugar-diet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snackers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High-caries-risk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an acute abscess, eat a soft diet and chew on the opposite side to avoid loading the painful tooth.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hot, cold, sweet or hard foods that trigger or worsen the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hydrated and maintain nutrition to support recovery and immune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toothache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Post-drainage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Post-extraction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grind or clench your teeth at night (bruxism), use a night guard to prevent the cracks that let bacteria reach the pulp.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stress and poor sleep hygiene that drive nocturnal grinding.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toothache promptly - untreated abscess pain is typically worse lying down and wrecks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Bruxism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cracked teeth</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using bidis - smoking worsens caries and gum disease and impairs healing and infection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smokeless tobacco, gutka and areca-nut/betel-quid chewing, which damage teeth and gums and predispose to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(counselling, quitlines, nicotine replacement) to sustain quitting.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dental infection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alcohol intake; heavy drinking is linked to poor oral hygiene, dry mouth and dental neglect.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sugary and acidic alcoholic mixers that add to caries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alcohol to self-medicate toothache - seek dental care instead.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poor oral hygiene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let dental anxiety or phobia delay care - early treatment of small cavities prevents painful abscesses.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stress, which drives clenching and grinding and neglect of oral hygiene.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sedation or a supportive dental team if fear is a barrier to attending.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Dental-phobic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Anxious/stressed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Care-avoidant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simple pain-coping strategies and prescribed analgesia while awaiting definitive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that delayed care so future problems are treated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bruxism-related cracked teeth, combine a night guard with stress-reduction techniques.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acute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Dental-phobic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Bruxism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oral-health" TargetMode="External"/><Relationship Id="rId10" Type="http://schemas.openxmlformats.org/officeDocument/2006/relationships/hyperlink" Target="https://www.ncbi.nlm.nih.gov/books/NBK493149/" TargetMode="External"/><Relationship Id="rId11" Type="http://schemas.openxmlformats.org/officeDocument/2006/relationships/hyperlink" Target="https://www.who.int/southeastasia/health-topics/oral-health" TargetMode="External"/><Relationship Id="rId12" Type="http://schemas.openxmlformats.org/officeDocument/2006/relationships/hyperlink" Target="https://www.nhs.uk/conditions/dental-abs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