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Pericoronitis</w:t>
      </w:r>
    </w:p>
    <w:p>
      <w:pPr>
        <w:spacing w:before="0" w:after="160"/>
      </w:pPr>
      <w:r>
        <w:rPr>
          <w:rFonts w:ascii="Calibri" w:hAnsi="Calibri"/>
          <w:b/>
          <w:i w:val="0"/>
          <w:color w:val="212121"/>
          <w:sz w:val="22"/>
        </w:rPr>
        <w:t xml:space="preserve">AKA </w:t>
      </w:r>
      <w:r>
        <w:rPr>
          <w:rFonts w:ascii="Calibri" w:hAnsi="Calibri"/>
          <w:b w:val="0"/>
          <w:i w:val="0"/>
          <w:color w:val="212121"/>
          <w:sz w:val="22"/>
        </w:rPr>
        <w:t>i.e., Operculitis, Wisdom-tooth gum infection, Third-molar gum flap infection, Pericoronal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Pericoronitis is an acute or chronic inflammation of the soft tissue (the operculum or gum flap) surrounding the crown of a partially erupted or impacted tooth, most commonly the mandibular third molar (lower wisdom tooth). Bacterial plaque, food debris and mechanical trauma accumulate in the stagnant pocket between the operculum and the crown, provoking a localized polymicrobial infection. It ranges from mild, self-limiting gum soreness to a spreading fascial-space infection that can compromise the airway.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No single national figure exists for India, but pericoronitis is one of the most common oral infections and a leading reason for third-molar extraction. Its substrate, the impacted mandibular third molar, is highly prevalent: an institution-based study of the Delhi-National Capital Region reported impacted mandibular third molars in about 26% of patients investigated, with reported impaction rates ranging from 9.5% to 68% across populations, and young adults in the third decade (mean age ~27.6 years) most affected. Population surveys of young adults place third-molar-related pericoronitis at roughly 5% at any one time, overwhelmingly clustered between 20 and 29 years of age.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Pericoronitis is primarily a clinical diagnosis based on the following, supported by radiography and, when infection spreads, by basic laboratory workup: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partially erupted or impacted tooth (usually a mandibular third molar) with a red, swollen, tender operculum overlying the crown;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localized pain, bad taste/halitosis, and pus or serous discharge expressible from beneath the gum flap on gentle pressure;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one or more recurrent episodes, often precipitated by an upper respiratory infection, stress/fatigue, or trauma from an over-erupted opposing (maxillary) third molar;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severity: trismus (reduced mouth opening), tender regional lymphadenopathy, fever, and any spreading facial or floor-of-mouth swelling;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panoramic radiograph (OPG) to confirm the angulation and depth of impaction, exclude a pericoronal cyst or adjacent caries, and plan management;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periodontal abscess, pulpitis/caries of the second or third molar, and an infected dentigerous cyst.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Pericoronitis is classified by clinical course and by the extent of infective spread:</w:t>
      </w:r>
    </w:p>
    <w:p>
      <w:pPr>
        <w:spacing w:before="0" w:after="80"/>
      </w:pPr>
      <w:r>
        <w:rPr>
          <w:rFonts w:ascii="Calibri" w:hAnsi="Calibri"/>
          <w:b w:val="0"/>
          <w:i w:val="0"/>
          <w:color w:val="212121"/>
          <w:sz w:val="21"/>
        </w:rPr>
        <w:t>(1) Acute pericoronitis, a sudden-onset episode with severe localized pain, marked operculum swelling, trismus, and variable systemic features (fever, malaise, lymphadenopathy);</w:t>
      </w:r>
    </w:p>
    <w:p>
      <w:pPr>
        <w:spacing w:before="0" w:after="80"/>
      </w:pPr>
      <w:r>
        <w:rPr>
          <w:rFonts w:ascii="Calibri" w:hAnsi="Calibri"/>
          <w:b w:val="0"/>
          <w:i w:val="0"/>
          <w:color w:val="212121"/>
          <w:sz w:val="21"/>
        </w:rPr>
        <w:t>(2) Subacute / chronic (recurrent) pericoronitis, characterized by a persistent dull ache, mild tenderness, intermittent bad taste and low-grade discharge with long symptom-free remissions, punctuated by acute flares;</w:t>
      </w:r>
    </w:p>
    <w:p>
      <w:pPr>
        <w:spacing w:before="0" w:after="80"/>
      </w:pPr>
      <w:r>
        <w:rPr>
          <w:rFonts w:ascii="Calibri" w:hAnsi="Calibri"/>
          <w:b w:val="0"/>
          <w:i w:val="0"/>
          <w:color w:val="212121"/>
          <w:sz w:val="21"/>
        </w:rPr>
        <w:t>(3) Localized pericoronitis, in which inflammation and any abscess remain confined to the tissues immediately around the operculum; and</w:t>
      </w:r>
    </w:p>
    <w:p>
      <w:pPr>
        <w:spacing w:before="0" w:after="80"/>
      </w:pPr>
      <w:r>
        <w:rPr>
          <w:rFonts w:ascii="Calibri" w:hAnsi="Calibri"/>
          <w:b w:val="0"/>
          <w:i w:val="0"/>
          <w:color w:val="212121"/>
          <w:sz w:val="21"/>
        </w:rPr>
        <w:t>(4) Spreading pericoronitis, in which infection extends into adjacent fascial spaces (submandibular, submasseteric, pterygomandibular, buccal, parapharyngeal), producing cellulitis, worsening trismus, dysphagia and, in severe cases, Ludwig's angina with airway risk.</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Partially erupted / impacted third molar: A tooth that only partly pierces the gum creates an operculum and a deep, un-cleansable pocket that traps plaque and food, the essential setting for pericoronitis.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Plaque bacterial overgrowth: A polymicrobial biofilm dominated by anaerobes (Prevotella, Fusobacterium, Porphyromonas, spirochaetes) and streptococci proliferates beneath the operculum and drives the inflammatory response.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Mechanical trauma: An over-erupted opposing maxillary third molar repeatedly bites and ulcerates the operculum, perpetuating swelling and inflammation.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Food and debris impaction: Retention of food particles under the flap sustains bacterial growth and mechanical irritation.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Poor oral hygiene: Inadequate plaque removal in the difficult-to-reach posterior region allows biofilm to mature and inflammation to establish.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Impaired host defence / precipitants: Fatigue, stress, upper respiratory infection, pregnancy and immunosuppression (e.g., poorly controlled diabetes) lower resistance and precipitate acute flares.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Inadequate arch space: A jaw too small to accommodate the third molar leaves it chronically partially erupted, maintaining the operculum indefinitely.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(18-29 yrs)</w:t>
            </w:r>
          </w:p>
        </w:tc>
        <w:tc>
          <w:tcPr>
            <w:tcW w:type="dxa" w:w="4276"/>
            <w:vAlign w:val="top"/>
          </w:tcPr>
          <w:p>
            <w:pPr>
              <w:spacing w:after="60" w:line="259" w:lineRule="auto"/>
            </w:pPr>
            <w:r>
              <w:rPr>
                <w:rFonts w:ascii="Calibri" w:hAnsi="Calibri"/>
                <w:b w:val="0"/>
                <w:i w:val="0"/>
                <w:color w:val="212121"/>
                <w:sz w:val="19"/>
              </w:rPr>
              <w:t>Peak incidence coincides with third-molar eruption in late adolescence and the third decade, when wisdom teeth are most often partially erupted and an operculum is present.</w:t>
            </w:r>
          </w:p>
          <w:p>
            <w:pPr>
              <w:spacing w:after="40" w:before="60" w:line="259" w:lineRule="auto"/>
            </w:pPr>
            <w:r>
              <w:rPr>
                <w:rFonts w:ascii="Calibri" w:hAnsi="Calibri"/>
                <w:b w:val="0"/>
                <w:i w:val="0"/>
                <w:color w:val="212121"/>
                <w:sz w:val="19"/>
              </w:rPr>
              <w:t>In a large young-adult cohort, 72.4% of all pericoronitis cases occurred in those aged 20-25 years; Indian impaction series report a mean age of ~27.6 years.</w:t>
            </w:r>
          </w:p>
          <w:p>
            <w:pPr>
              <w:spacing w:after="40" w:line="252" w:lineRule="auto"/>
            </w:pPr>
            <w:hyperlink r:id="rId9">
              <w:r>
                <w:rPr>
                  <w:rFonts w:ascii="Calibri" w:hAnsi="Calibri" w:cs="Calibri"/>
                  <w:sz w:val="18"/>
                  <w:color w:val="1155CC"/>
                  <w:u w:val="single"/>
                </w:rPr>
                <w:t xml:space="preserve">pubmed.ncbi.nlm.nih.gov/30805117 — Greek recruits epidemiology</w:t>
              </w:r>
            </w:hyperlink>
          </w:p>
          <w:p>
            <w:pPr>
              <w:spacing w:before="60" w:after="40"/>
            </w:pPr>
            <w:r>
              <w:rPr>
                <w:rFonts w:ascii="Calibri" w:hAnsi="Calibri"/>
                <w:b w:val="0"/>
                <w:i w:val="0"/>
                <w:color w:val="5A5A5A"/>
                <w:sz w:val="18"/>
              </w:rPr>
              <w:t>#wisdomtooth  #thirddecade  #eruption  #operculum  #youngadults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Pericoronitis itself is uncommon in the elderly because third molars are usually fully erupted or lost, but when a partially erupted molar is retained, extraction carries a higher risk of postoperative complications, pain and delayed healing.</w:t>
            </w:r>
          </w:p>
          <w:p>
            <w:pPr>
              <w:spacing w:after="40" w:before="60" w:line="259" w:lineRule="auto"/>
            </w:pPr>
            <w:r>
              <w:rPr>
                <w:rFonts w:ascii="Calibri" w:hAnsi="Calibri"/>
                <w:b w:val="0"/>
                <w:i w:val="0"/>
                <w:color w:val="212121"/>
                <w:sz w:val="19"/>
              </w:rPr>
              <w:t>Cochrane review notes surgical removal of impacted wisdom teeth in older people carries increased postoperative complications, pain and discomfort.</w:t>
            </w:r>
          </w:p>
          <w:p>
            <w:pPr>
              <w:spacing w:after="40" w:line="252" w:lineRule="auto"/>
            </w:pPr>
            <w:hyperlink r:id="rId10">
              <w:r>
                <w:rPr>
                  <w:rFonts w:ascii="Calibri" w:hAnsi="Calibri" w:cs="Calibri"/>
                  <w:sz w:val="18"/>
                  <w:color w:val="1155CC"/>
                  <w:u w:val="single"/>
                </w:rPr>
                <w:t xml:space="preserve">pmc.ncbi.nlm.nih.gov/PMC7199383 — Cochrane review</w:t>
              </w:r>
            </w:hyperlink>
          </w:p>
          <w:p>
            <w:pPr>
              <w:spacing w:before="60" w:after="40"/>
            </w:pPr>
            <w:r>
              <w:rPr>
                <w:rFonts w:ascii="Calibri" w:hAnsi="Calibri"/>
                <w:b w:val="0"/>
                <w:i w:val="0"/>
                <w:color w:val="5A5A5A"/>
                <w:sz w:val="18"/>
              </w:rPr>
              <w:t>#elderly  #delayedhealing  #surgicalrisk  #retainedmolar</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Several series report a higher prevalence of pericoronitis symptoms in women, attributed partly to hormonal modulation of the gingival inflammatory response and health-seeking patterns.</w:t>
            </w:r>
          </w:p>
          <w:p>
            <w:pPr>
              <w:spacing w:after="40" w:before="60" w:line="259" w:lineRule="auto"/>
            </w:pPr>
            <w:r>
              <w:rPr>
                <w:rFonts w:ascii="Calibri" w:hAnsi="Calibri"/>
                <w:b w:val="0"/>
                <w:i w:val="0"/>
                <w:color w:val="212121"/>
                <w:sz w:val="19"/>
              </w:rPr>
              <w:t>In a clinical study the prevalence of pericoronitis symptoms was significantly higher in women than men (P&lt;0.001).</w:t>
            </w:r>
          </w:p>
          <w:p>
            <w:pPr>
              <w:spacing w:after="40" w:line="252" w:lineRule="auto"/>
            </w:pPr>
            <w:hyperlink r:id="rId11">
              <w:r>
                <w:rPr>
                  <w:rFonts w:ascii="Calibri" w:hAnsi="Calibri" w:cs="Calibri"/>
                  <w:sz w:val="18"/>
                  <w:color w:val="1155CC"/>
                  <w:u w:val="single"/>
                </w:rPr>
                <w:t xml:space="preserve">pubmed.ncbi.nlm.nih.gov/38130387 — impaction type &amp; pericoronitis</w:t>
              </w:r>
            </w:hyperlink>
          </w:p>
          <w:p>
            <w:pPr>
              <w:spacing w:before="60" w:after="40"/>
            </w:pPr>
            <w:r>
              <w:rPr>
                <w:rFonts w:ascii="Calibri" w:hAnsi="Calibri"/>
                <w:b w:val="0"/>
                <w:i w:val="0"/>
                <w:color w:val="5A5A5A"/>
                <w:sz w:val="18"/>
              </w:rPr>
              <w:t>#female  #hormonal  #gingivalresponse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Impacted mandibular third molars, the substrate for pericoronitis, are reported more frequently in men in Indian radiographic series, giving males more anatomical opportunity for operculitis.</w:t>
            </w:r>
          </w:p>
          <w:p>
            <w:pPr>
              <w:spacing w:after="40" w:before="60" w:line="259" w:lineRule="auto"/>
            </w:pPr>
            <w:r>
              <w:rPr>
                <w:rFonts w:ascii="Calibri" w:hAnsi="Calibri"/>
                <w:b w:val="0"/>
                <w:i w:val="0"/>
                <w:color w:val="212121"/>
                <w:sz w:val="19"/>
              </w:rPr>
              <w:t>In a Delhi-NCR study, 60.8% of patients with impacted mandibular third molars were male versus 39.2% female.</w:t>
            </w:r>
          </w:p>
          <w:p>
            <w:pPr>
              <w:spacing w:after="40" w:line="252" w:lineRule="auto"/>
            </w:pPr>
            <w:hyperlink r:id="rId12">
              <w:r>
                <w:rPr>
                  <w:rFonts w:ascii="Calibri" w:hAnsi="Calibri" w:cs="Calibri"/>
                  <w:sz w:val="18"/>
                  <w:color w:val="1155CC"/>
                  <w:u w:val="single"/>
                </w:rPr>
                <w:t xml:space="preserve">pubmed.ncbi.nlm.nih.gov/31205390 — Delhi-NCR impaction</w:t>
              </w:r>
            </w:hyperlink>
          </w:p>
          <w:p>
            <w:pPr>
              <w:spacing w:before="60" w:after="40"/>
            </w:pPr>
            <w:r>
              <w:rPr>
                <w:rFonts w:ascii="Calibri" w:hAnsi="Calibri"/>
                <w:b w:val="0"/>
                <w:i w:val="0"/>
                <w:color w:val="5A5A5A"/>
                <w:sz w:val="18"/>
              </w:rPr>
              <w:t>#male  #impaction  #thirdmolar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limited dental access</w:t>
            </w:r>
          </w:p>
        </w:tc>
        <w:tc>
          <w:tcPr>
            <w:tcW w:type="dxa" w:w="4276"/>
            <w:vAlign w:val="top"/>
          </w:tcPr>
          <w:p>
            <w:pPr>
              <w:spacing w:after="60" w:line="259" w:lineRule="auto"/>
            </w:pPr>
            <w:r>
              <w:rPr>
                <w:rFonts w:ascii="Calibri" w:hAnsi="Calibri"/>
                <w:b w:val="0"/>
                <w:i w:val="0"/>
                <w:color w:val="212121"/>
                <w:sz w:val="19"/>
              </w:rPr>
              <w:t>Restricted access to preventive and timely dental care means partially erupted molars and early operculitis go untreated until acute flares or spreading infection occur.</w:t>
            </w:r>
          </w:p>
          <w:p>
            <w:pPr>
              <w:spacing w:after="40" w:before="60" w:line="259" w:lineRule="auto"/>
            </w:pPr>
            <w:r>
              <w:rPr>
                <w:rFonts w:ascii="Calibri" w:hAnsi="Calibri"/>
                <w:b w:val="0"/>
                <w:i w:val="0"/>
                <w:color w:val="212121"/>
                <w:sz w:val="19"/>
              </w:rPr>
              <w:t>In an Indian dental outpatient study of 6,732 patients, toothache prevalence was 58% and significantly associated with lower socioeconomic status and poor oral-hygiene habits.</w:t>
            </w:r>
          </w:p>
          <w:p>
            <w:pPr>
              <w:spacing w:after="40" w:line="252" w:lineRule="auto"/>
            </w:pPr>
            <w:hyperlink r:id="rId13">
              <w:r>
                <w:rPr>
                  <w:rFonts w:ascii="Calibri" w:hAnsi="Calibri" w:cs="Calibri"/>
                  <w:sz w:val="18"/>
                  <w:color w:val="1155CC"/>
                  <w:u w:val="single"/>
                </w:rPr>
                <w:t xml:space="preserve">pmc.ncbi.nlm.nih.gov/PMC12312815 — India toothache OPD</w:t>
              </w:r>
            </w:hyperlink>
          </w:p>
          <w:p>
            <w:pPr>
              <w:spacing w:before="60" w:after="40"/>
            </w:pPr>
            <w:r>
              <w:rPr>
                <w:rFonts w:ascii="Calibri" w:hAnsi="Calibri"/>
                <w:b w:val="0"/>
                <w:i w:val="0"/>
                <w:color w:val="5A5A5A"/>
                <w:sz w:val="18"/>
              </w:rPr>
              <w:t>#access  #untreated  #SES  #delayedcare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populations</w:t>
            </w:r>
          </w:p>
        </w:tc>
        <w:tc>
          <w:tcPr>
            <w:tcW w:type="dxa" w:w="4276"/>
            <w:vAlign w:val="top"/>
          </w:tcPr>
          <w:p>
            <w:pPr>
              <w:spacing w:after="60" w:line="259" w:lineRule="auto"/>
            </w:pPr>
            <w:r>
              <w:rPr>
                <w:rFonts w:ascii="Calibri" w:hAnsi="Calibri"/>
                <w:b w:val="0"/>
                <w:i w:val="0"/>
                <w:color w:val="212121"/>
                <w:sz w:val="19"/>
              </w:rPr>
              <w:t>Indian populations show a high burden of mandibular third-molar impaction, providing a large at-risk substrate for pericoronitis, with mesioangular impaction, the pattern most linked to operculitis, predominating.</w:t>
            </w:r>
          </w:p>
          <w:p>
            <w:pPr>
              <w:spacing w:after="40" w:before="60" w:line="259" w:lineRule="auto"/>
            </w:pPr>
            <w:r>
              <w:rPr>
                <w:rFonts w:ascii="Calibri" w:hAnsi="Calibri"/>
                <w:b w:val="0"/>
                <w:i w:val="0"/>
                <w:color w:val="212121"/>
                <w:sz w:val="19"/>
              </w:rPr>
              <w:t>Impacted mandibular third molars affected ~26% of investigated patients in Delhi-NCR, with mesioangular impaction the most common type (49.2%).</w:t>
            </w:r>
          </w:p>
          <w:p>
            <w:pPr>
              <w:spacing w:after="40" w:line="252" w:lineRule="auto"/>
            </w:pPr>
            <w:hyperlink r:id="rId12">
              <w:r>
                <w:rPr>
                  <w:rFonts w:ascii="Calibri" w:hAnsi="Calibri" w:cs="Calibri"/>
                  <w:sz w:val="18"/>
                  <w:color w:val="1155CC"/>
                  <w:u w:val="single"/>
                </w:rPr>
                <w:t xml:space="preserve">pubmed.ncbi.nlm.nih.gov/31205390 — Delhi-NCR impaction</w:t>
              </w:r>
            </w:hyperlink>
          </w:p>
          <w:p>
            <w:pPr>
              <w:spacing w:before="60" w:after="40"/>
            </w:pPr>
            <w:r>
              <w:rPr>
                <w:rFonts w:ascii="Calibri" w:hAnsi="Calibri"/>
                <w:b w:val="0"/>
                <w:i w:val="0"/>
                <w:color w:val="5A5A5A"/>
                <w:sz w:val="18"/>
              </w:rPr>
              <w:t>#India  #mesioangular  #impaction  #highburden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 underserved communities</w:t>
            </w:r>
          </w:p>
        </w:tc>
        <w:tc>
          <w:tcPr>
            <w:tcW w:type="dxa" w:w="4276"/>
            <w:vAlign w:val="top"/>
          </w:tcPr>
          <w:p>
            <w:pPr>
              <w:spacing w:after="60" w:line="259" w:lineRule="auto"/>
            </w:pPr>
            <w:r>
              <w:rPr>
                <w:rFonts w:ascii="Calibri" w:hAnsi="Calibri"/>
                <w:b w:val="0"/>
                <w:i w:val="0"/>
                <w:color w:val="212121"/>
                <w:sz w:val="19"/>
              </w:rPr>
              <w:t>Poor oral-hygiene practices and scarce dental services in rural and institutional settings allow plaque-driven operculitis to develop and recur unchecked.</w:t>
            </w:r>
          </w:p>
          <w:p>
            <w:pPr>
              <w:spacing w:after="40" w:before="60" w:line="259" w:lineRule="auto"/>
            </w:pPr>
            <w:r>
              <w:rPr>
                <w:rFonts w:ascii="Calibri" w:hAnsi="Calibri"/>
                <w:b w:val="0"/>
                <w:i w:val="0"/>
                <w:color w:val="212121"/>
                <w:sz w:val="19"/>
              </w:rPr>
              <w:t>Among NCC cadets in Uttar Pradesh (aged 13-18), overall oral-hygiene practice was rated poor with a significantly high debris index.</w:t>
            </w:r>
          </w:p>
          <w:p>
            <w:pPr>
              <w:spacing w:after="40" w:line="252" w:lineRule="auto"/>
            </w:pPr>
            <w:hyperlink r:id="rId14">
              <w:r>
                <w:rPr>
                  <w:rFonts w:ascii="Calibri" w:hAnsi="Calibri" w:cs="Calibri"/>
                  <w:sz w:val="18"/>
                  <w:color w:val="1155CC"/>
                  <w:u w:val="single"/>
                </w:rPr>
                <w:t xml:space="preserve">pmc.ncbi.nlm.nih.gov/PMC13150223 — India NCC cadets oral health</w:t>
              </w:r>
            </w:hyperlink>
          </w:p>
          <w:p>
            <w:pPr>
              <w:spacing w:before="60" w:after="40"/>
            </w:pPr>
            <w:r>
              <w:rPr>
                <w:rFonts w:ascii="Calibri" w:hAnsi="Calibri"/>
                <w:b w:val="0"/>
                <w:i w:val="0"/>
                <w:color w:val="5A5A5A"/>
                <w:sz w:val="18"/>
              </w:rPr>
              <w:t>#rural  #oralhygiene  #underserved  #debrisindex</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hygiene (poor)</w:t>
            </w:r>
          </w:p>
        </w:tc>
        <w:tc>
          <w:tcPr>
            <w:tcW w:type="dxa" w:w="2160"/>
            <w:vAlign w:val="top"/>
          </w:tcPr>
          <w:p>
            <w:pPr>
              <w:spacing w:after="40" w:before="0" w:line="259" w:lineRule="auto"/>
            </w:pPr>
            <w:r>
              <w:rPr>
                <w:rFonts w:ascii="Calibri" w:hAnsi="Calibri"/>
                <w:b w:val="0"/>
                <w:i w:val="0"/>
                <w:color w:val="212121"/>
                <w:sz w:val="19"/>
              </w:rPr>
              <w:t>Students, young adults, busy workers</w:t>
            </w:r>
          </w:p>
        </w:tc>
        <w:tc>
          <w:tcPr>
            <w:tcW w:type="dxa" w:w="4276"/>
            <w:vAlign w:val="top"/>
          </w:tcPr>
          <w:p>
            <w:pPr>
              <w:spacing w:after="60" w:line="259" w:lineRule="auto"/>
            </w:pPr>
            <w:r>
              <w:rPr>
                <w:rFonts w:ascii="Calibri" w:hAnsi="Calibri"/>
                <w:b w:val="0"/>
                <w:i w:val="0"/>
                <w:color w:val="212121"/>
                <w:sz w:val="19"/>
              </w:rPr>
              <w:t>Inadequate brushing and rinsing of the posterior mouth lets a mature plaque biofilm accumulate under the operculum, the direct trigger of pericoronal inflammation.</w:t>
            </w:r>
          </w:p>
          <w:p>
            <w:pPr>
              <w:spacing w:after="40" w:before="60" w:line="259" w:lineRule="auto"/>
            </w:pPr>
            <w:r>
              <w:rPr>
                <w:rFonts w:ascii="Calibri" w:hAnsi="Calibri"/>
                <w:b w:val="0"/>
                <w:i w:val="0"/>
                <w:color w:val="212121"/>
                <w:sz w:val="19"/>
              </w:rPr>
              <w:t>Adequate tooth-brushing frequency together with mouthwash use was associated with a statistically significant decrease in pericoronitis.</w:t>
            </w:r>
          </w:p>
          <w:p>
            <w:pPr>
              <w:spacing w:after="40" w:line="252" w:lineRule="auto"/>
            </w:pPr>
            <w:hyperlink r:id="rId9">
              <w:r>
                <w:rPr>
                  <w:rFonts w:ascii="Calibri" w:hAnsi="Calibri" w:cs="Calibri"/>
                  <w:sz w:val="18"/>
                  <w:color w:val="1155CC"/>
                  <w:u w:val="single"/>
                </w:rPr>
                <w:t xml:space="preserve">pubmed.ncbi.nlm.nih.gov/30805117 — Greek recruits epidemiology</w:t>
              </w:r>
            </w:hyperlink>
          </w:p>
          <w:p>
            <w:pPr>
              <w:spacing w:before="60" w:after="40"/>
            </w:pPr>
            <w:r>
              <w:rPr>
                <w:rFonts w:ascii="Calibri" w:hAnsi="Calibri"/>
                <w:b w:val="0"/>
                <w:i w:val="0"/>
                <w:color w:val="5A5A5A"/>
                <w:sz w:val="18"/>
              </w:rPr>
              <w:t>#plaque  #oralhygiene  #biofilm  #brushing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and tobacco/gutka users</w:t>
            </w:r>
          </w:p>
        </w:tc>
        <w:tc>
          <w:tcPr>
            <w:tcW w:type="dxa" w:w="4276"/>
            <w:vAlign w:val="top"/>
          </w:tcPr>
          <w:p>
            <w:pPr>
              <w:spacing w:after="60" w:line="259" w:lineRule="auto"/>
            </w:pPr>
            <w:r>
              <w:rPr>
                <w:rFonts w:ascii="Calibri" w:hAnsi="Calibri"/>
                <w:b w:val="0"/>
                <w:i w:val="0"/>
                <w:color w:val="212121"/>
                <w:sz w:val="19"/>
              </w:rPr>
              <w:t>Tobacco impairs gingival blood flow, neutrophil function and wound healing and promotes anaerobic overgrowth, increasing susceptibility to and severity of pericoronitis.</w:t>
            </w:r>
          </w:p>
          <w:p>
            <w:pPr>
              <w:spacing w:after="40" w:before="60" w:line="259" w:lineRule="auto"/>
            </w:pPr>
            <w:r>
              <w:rPr>
                <w:rFonts w:ascii="Calibri" w:hAnsi="Calibri"/>
                <w:b w:val="0"/>
                <w:i w:val="0"/>
                <w:color w:val="212121"/>
                <w:sz w:val="19"/>
              </w:rPr>
              <w:t>Pericoronitis symptoms were substantially correlated with smoking (P&lt;0.001).</w:t>
            </w:r>
          </w:p>
          <w:p>
            <w:pPr>
              <w:spacing w:after="40" w:line="252" w:lineRule="auto"/>
            </w:pPr>
            <w:hyperlink r:id="rId11">
              <w:r>
                <w:rPr>
                  <w:rFonts w:ascii="Calibri" w:hAnsi="Calibri" w:cs="Calibri"/>
                  <w:sz w:val="18"/>
                  <w:color w:val="1155CC"/>
                  <w:u w:val="single"/>
                </w:rPr>
                <w:t xml:space="preserve">pubmed.ncbi.nlm.nih.gov/38130387 — impaction type &amp; pericoronitis</w:t>
              </w:r>
            </w:hyperlink>
          </w:p>
          <w:p>
            <w:pPr>
              <w:spacing w:before="60" w:after="40"/>
            </w:pPr>
            <w:r>
              <w:rPr>
                <w:rFonts w:ascii="Calibri" w:hAnsi="Calibri"/>
                <w:b w:val="0"/>
                <w:i w:val="0"/>
                <w:color w:val="5A5A5A"/>
                <w:sz w:val="18"/>
              </w:rPr>
              <w:t>#smoking  #tobacco  #gutka  #impairedhealing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Heavy alcohol use is linked to neglected oral hygiene, dehydration and reduced immune competence, indirectly favouring pericoronal infection and its recurrence.</w:t>
            </w:r>
          </w:p>
          <w:p>
            <w:pPr>
              <w:spacing w:after="40" w:before="60" w:line="259" w:lineRule="auto"/>
            </w:pPr>
            <w:r>
              <w:rPr>
                <w:rFonts w:ascii="Calibri" w:hAnsi="Calibri"/>
                <w:b w:val="0"/>
                <w:i w:val="0"/>
                <w:color w:val="212121"/>
                <w:sz w:val="19"/>
              </w:rPr>
              <w:t>Lifestyle behaviours including alcohol and tobacco use were among factors significantly associated with dental pain in Indian outpatients.</w:t>
            </w:r>
          </w:p>
          <w:p>
            <w:pPr>
              <w:spacing w:after="40" w:line="252" w:lineRule="auto"/>
            </w:pPr>
            <w:hyperlink r:id="rId13">
              <w:r>
                <w:rPr>
                  <w:rFonts w:ascii="Calibri" w:hAnsi="Calibri" w:cs="Calibri"/>
                  <w:sz w:val="18"/>
                  <w:color w:val="1155CC"/>
                  <w:u w:val="single"/>
                </w:rPr>
                <w:t xml:space="preserve">pmc.ncbi.nlm.nih.gov/PMC12312815 — India toothache OPD</w:t>
              </w:r>
            </w:hyperlink>
          </w:p>
          <w:p>
            <w:pPr>
              <w:spacing w:before="60" w:after="40"/>
            </w:pPr>
            <w:r>
              <w:rPr>
                <w:rFonts w:ascii="Calibri" w:hAnsi="Calibri"/>
                <w:b w:val="0"/>
                <w:i w:val="0"/>
                <w:color w:val="5A5A5A"/>
                <w:sz w:val="18"/>
              </w:rPr>
              <w:t>#alcohol  #neglect  #immunity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Refined / soft diet</w:t>
            </w:r>
          </w:p>
        </w:tc>
        <w:tc>
          <w:tcPr>
            <w:tcW w:type="dxa" w:w="2160"/>
            <w:vAlign w:val="top"/>
          </w:tcPr>
          <w:p>
            <w:pPr>
              <w:spacing w:after="40" w:before="0" w:line="259" w:lineRule="auto"/>
            </w:pPr>
            <w:r>
              <w:rPr>
                <w:rFonts w:ascii="Calibri" w:hAnsi="Calibri"/>
                <w:b w:val="0"/>
                <w:i w:val="0"/>
                <w:color w:val="212121"/>
                <w:sz w:val="19"/>
              </w:rPr>
              <w:t>Urban populations on modern soft diets</w:t>
            </w:r>
          </w:p>
        </w:tc>
        <w:tc>
          <w:tcPr>
            <w:tcW w:type="dxa" w:w="4276"/>
            <w:vAlign w:val="top"/>
          </w:tcPr>
          <w:p>
            <w:pPr>
              <w:spacing w:after="60" w:line="259" w:lineRule="auto"/>
            </w:pPr>
            <w:r>
              <w:rPr>
                <w:rFonts w:ascii="Calibri" w:hAnsi="Calibri"/>
                <w:b w:val="0"/>
                <w:i w:val="0"/>
                <w:color w:val="212121"/>
                <w:sz w:val="19"/>
              </w:rPr>
              <w:t>Soft, highly processed diets reduce masticatory load and are associated with smaller jaws and inadequate arch space, leaving third molars chronically partially erupted and prone to operculitis.</w:t>
            </w:r>
          </w:p>
          <w:p>
            <w:pPr>
              <w:spacing w:after="40" w:before="60" w:line="259" w:lineRule="auto"/>
            </w:pPr>
            <w:r>
              <w:rPr>
                <w:rFonts w:ascii="Calibri" w:hAnsi="Calibri"/>
                <w:b w:val="0"/>
                <w:i w:val="0"/>
                <w:color w:val="212121"/>
                <w:sz w:val="19"/>
              </w:rPr>
              <w:t>General clinical observation; reduced masticatory stress is linked to under-development of the dental arch and higher impaction rates.</w:t>
            </w:r>
          </w:p>
          <w:p>
            <w:pPr>
              <w:spacing w:before="60" w:after="40"/>
            </w:pPr>
            <w:r>
              <w:rPr>
                <w:rFonts w:ascii="Calibri" w:hAnsi="Calibri"/>
                <w:b w:val="0"/>
                <w:i w:val="0"/>
                <w:color w:val="5A5A5A"/>
                <w:sz w:val="18"/>
              </w:rPr>
              <w:t>#softdiet  #archspace  #impaction  #urbandiet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Sugary / sticky foods</w:t>
            </w:r>
          </w:p>
        </w:tc>
        <w:tc>
          <w:tcPr>
            <w:tcW w:type="dxa" w:w="2160"/>
            <w:vAlign w:val="top"/>
          </w:tcPr>
          <w:p>
            <w:pPr>
              <w:spacing w:after="40" w:before="0" w:line="259" w:lineRule="auto"/>
            </w:pPr>
            <w:r>
              <w:rPr>
                <w:rFonts w:ascii="Calibri" w:hAnsi="Calibri"/>
                <w:b w:val="0"/>
                <w:i w:val="0"/>
                <w:color w:val="212121"/>
                <w:sz w:val="19"/>
              </w:rPr>
              <w:t>Frequent snackers on sweets and sticky carbs</w:t>
            </w:r>
          </w:p>
        </w:tc>
        <w:tc>
          <w:tcPr>
            <w:tcW w:type="dxa" w:w="4276"/>
            <w:vAlign w:val="top"/>
          </w:tcPr>
          <w:p>
            <w:pPr>
              <w:spacing w:after="60" w:line="259" w:lineRule="auto"/>
            </w:pPr>
            <w:r>
              <w:rPr>
                <w:rFonts w:ascii="Calibri" w:hAnsi="Calibri"/>
                <w:b w:val="0"/>
                <w:i w:val="0"/>
                <w:color w:val="212121"/>
                <w:sz w:val="19"/>
              </w:rPr>
              <w:t>Fermentable, sticky carbohydrates feed the sub-opercular biofilm, drive adjacent second-molar caries and worsen the plaque load that sustains pericoronal inflammation.</w:t>
            </w:r>
          </w:p>
          <w:p>
            <w:pPr>
              <w:spacing w:after="40" w:before="60" w:line="259" w:lineRule="auto"/>
            </w:pPr>
            <w:r>
              <w:rPr>
                <w:rFonts w:ascii="Calibri" w:hAnsi="Calibri"/>
                <w:b w:val="0"/>
                <w:i w:val="0"/>
                <w:color w:val="212121"/>
                <w:sz w:val="19"/>
              </w:rPr>
              <w:t>Sticky and sugary food impaction beneath the operculum sustains bacterial growth and mechanical irritation (mechanistic).</w:t>
            </w:r>
          </w:p>
          <w:p>
            <w:pPr>
              <w:spacing w:after="40" w:line="252" w:lineRule="auto"/>
            </w:pPr>
            <w:hyperlink r:id="rId15">
              <w:r>
                <w:rPr>
                  <w:rFonts w:ascii="Calibri" w:hAnsi="Calibri" w:cs="Calibri"/>
                  <w:sz w:val="18"/>
                  <w:color w:val="1155CC"/>
                  <w:u w:val="single"/>
                </w:rPr>
                <w:t xml:space="preserve">ncbi.nlm.nih.gov/books/NBK430685 — StatPearls: Pericoronitis</w:t>
              </w:r>
            </w:hyperlink>
          </w:p>
          <w:p>
            <w:pPr>
              <w:spacing w:before="60" w:after="40"/>
            </w:pPr>
            <w:r>
              <w:rPr>
                <w:rFonts w:ascii="Calibri" w:hAnsi="Calibri"/>
                <w:b w:val="0"/>
                <w:i w:val="0"/>
                <w:color w:val="5A5A5A"/>
                <w:sz w:val="18"/>
              </w:rPr>
              <w:t>#sugar  #stickyfood  #caries  #plaqueload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tooth-jaw size discrepancy</w:t>
            </w:r>
          </w:p>
        </w:tc>
        <w:tc>
          <w:tcPr>
            <w:tcW w:type="dxa" w:w="4276"/>
            <w:vAlign w:val="top"/>
          </w:tcPr>
          <w:p>
            <w:pPr>
              <w:spacing w:after="60" w:line="259" w:lineRule="auto"/>
            </w:pPr>
            <w:r>
              <w:rPr>
                <w:rFonts w:ascii="Calibri" w:hAnsi="Calibri"/>
                <w:b w:val="0"/>
                <w:i w:val="0"/>
                <w:color w:val="212121"/>
                <w:sz w:val="19"/>
              </w:rPr>
              <w:t>Arch length and tooth size are strongly heritable; a familial pattern of small jaws relative to tooth size predisposes to third-molar impaction and thus to pericoronitis.</w:t>
            </w:r>
          </w:p>
          <w:p>
            <w:pPr>
              <w:spacing w:after="40" w:before="60" w:line="259" w:lineRule="auto"/>
            </w:pPr>
            <w:r>
              <w:rPr>
                <w:rFonts w:ascii="Calibri" w:hAnsi="Calibri"/>
                <w:b w:val="0"/>
                <w:i w:val="0"/>
                <w:color w:val="212121"/>
                <w:sz w:val="19"/>
              </w:rPr>
              <w:t>General clinical statement; heritable jaw-tooth size mismatch underlies most third-molar impaction.</w:t>
            </w:r>
          </w:p>
          <w:p>
            <w:pPr>
              <w:spacing w:before="60" w:after="40"/>
            </w:pPr>
            <w:r>
              <w:rPr>
                <w:rFonts w:ascii="Calibri" w:hAnsi="Calibri"/>
                <w:b w:val="0"/>
                <w:i w:val="0"/>
                <w:color w:val="5A5A5A"/>
                <w:sz w:val="18"/>
              </w:rPr>
              <w:t>#heritable  #archlength  #jawsize  #impaction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Craniofacial pattern</w:t>
            </w:r>
          </w:p>
        </w:tc>
        <w:tc>
          <w:tcPr>
            <w:tcW w:type="dxa" w:w="2160"/>
            <w:vAlign w:val="top"/>
          </w:tcPr>
          <w:p>
            <w:pPr>
              <w:spacing w:after="40" w:before="0" w:line="259" w:lineRule="auto"/>
            </w:pPr>
            <w:r>
              <w:rPr>
                <w:rFonts w:ascii="Calibri" w:hAnsi="Calibri"/>
                <w:b w:val="0"/>
                <w:i w:val="0"/>
                <w:color w:val="212121"/>
                <w:sz w:val="19"/>
              </w:rPr>
              <w:t>Brachyfacial / small-arch morphology</w:t>
            </w:r>
          </w:p>
        </w:tc>
        <w:tc>
          <w:tcPr>
            <w:tcW w:type="dxa" w:w="4276"/>
            <w:vAlign w:val="top"/>
          </w:tcPr>
          <w:p>
            <w:pPr>
              <w:spacing w:after="60" w:line="259" w:lineRule="auto"/>
            </w:pPr>
            <w:r>
              <w:rPr>
                <w:rFonts w:ascii="Calibri" w:hAnsi="Calibri"/>
                <w:b w:val="0"/>
                <w:i w:val="0"/>
                <w:color w:val="212121"/>
                <w:sz w:val="19"/>
              </w:rPr>
              <w:t>Inherited craniofacial morphology with reduced retromolar space limits third-molar eruption, favouring the partial eruption that produces an operculum.</w:t>
            </w:r>
          </w:p>
          <w:p>
            <w:pPr>
              <w:spacing w:after="40" w:before="60" w:line="259" w:lineRule="auto"/>
            </w:pPr>
            <w:r>
              <w:rPr>
                <w:rFonts w:ascii="Calibri" w:hAnsi="Calibri"/>
                <w:b w:val="0"/>
                <w:i w:val="0"/>
                <w:color w:val="212121"/>
                <w:sz w:val="19"/>
              </w:rPr>
              <w:t>Impaction angulation and available space determine pericoronitis risk; mesioangular and vertical partial impactions are most implicated.</w:t>
            </w:r>
          </w:p>
          <w:p>
            <w:pPr>
              <w:spacing w:after="40" w:line="252" w:lineRule="auto"/>
            </w:pPr>
            <w:hyperlink r:id="rId16">
              <w:r>
                <w:rPr>
                  <w:rFonts w:ascii="Calibri" w:hAnsi="Calibri" w:cs="Calibri"/>
                  <w:sz w:val="18"/>
                  <w:color w:val="1155CC"/>
                  <w:u w:val="single"/>
                </w:rPr>
                <w:t xml:space="preserve">pubmed.ncbi.nlm.nih.gov/25737922 — Bhopal impaction study</w:t>
              </w:r>
            </w:hyperlink>
          </w:p>
          <w:p>
            <w:pPr>
              <w:spacing w:before="60" w:after="40"/>
            </w:pPr>
            <w:r>
              <w:rPr>
                <w:rFonts w:ascii="Calibri" w:hAnsi="Calibri"/>
                <w:b w:val="0"/>
                <w:i w:val="0"/>
                <w:color w:val="5A5A5A"/>
                <w:sz w:val="18"/>
              </w:rPr>
              <w:t>#craniofacial  #retromolarspace  #morphology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Hyperglycaemia impairs neutrophil function, microcirculation and healing, so pericoronal infection is more frequent, more severe and slower to resolve; recurrent oral infection in turn worsens glycaemic control.</w:t>
            </w:r>
          </w:p>
          <w:p>
            <w:pPr>
              <w:spacing w:after="40" w:before="60" w:line="259" w:lineRule="auto"/>
            </w:pPr>
            <w:r>
              <w:rPr>
                <w:rFonts w:ascii="Calibri" w:hAnsi="Calibri"/>
                <w:b w:val="0"/>
                <w:i w:val="0"/>
                <w:color w:val="212121"/>
                <w:sz w:val="19"/>
              </w:rPr>
              <w:t>Screening blood glucose/HbA1c is advised in recurrent or severe pericoronitis given the bidirectional infection-glycaemia relationship (clinical guidance).</w:t>
            </w:r>
          </w:p>
          <w:p>
            <w:pPr>
              <w:spacing w:before="60" w:after="40"/>
            </w:pPr>
            <w:r>
              <w:rPr>
                <w:rFonts w:ascii="Calibri" w:hAnsi="Calibri"/>
                <w:b w:val="0"/>
                <w:i w:val="0"/>
                <w:color w:val="5A5A5A"/>
                <w:sz w:val="18"/>
              </w:rPr>
              <w:t>#diabetes  #immunity  #delayedhealing  #glycaemia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Raised progesterone and oestrogen exaggerate the gingival inflammatory response to plaque, so a marginally erupted third molar is more likely to flare into pericoronitis during pregnancy, when surgical and drug options are also constrained.</w:t>
            </w:r>
          </w:p>
          <w:p>
            <w:pPr>
              <w:spacing w:after="40" w:before="60" w:line="259" w:lineRule="auto"/>
            </w:pPr>
            <w:r>
              <w:rPr>
                <w:rFonts w:ascii="Calibri" w:hAnsi="Calibri"/>
                <w:b w:val="0"/>
                <w:i w:val="0"/>
                <w:color w:val="212121"/>
                <w:sz w:val="19"/>
              </w:rPr>
              <w:t>Pregnancy-related hormonal gingival hyper-responsiveness increases susceptibility to and management complexity of pericoronal inflammation (clinical statement).</w:t>
            </w:r>
          </w:p>
          <w:p>
            <w:pPr>
              <w:spacing w:before="60" w:after="40"/>
            </w:pPr>
            <w:r>
              <w:rPr>
                <w:rFonts w:ascii="Calibri" w:hAnsi="Calibri"/>
                <w:b w:val="0"/>
                <w:i w:val="0"/>
                <w:color w:val="5A5A5A"/>
                <w:sz w:val="18"/>
              </w:rPr>
              <w:t>#pregnancy  #hormonal  #gingivitis  #management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chemotherapy, chronic steroid users</w:t>
            </w:r>
          </w:p>
        </w:tc>
        <w:tc>
          <w:tcPr>
            <w:tcW w:type="dxa" w:w="4276"/>
            <w:vAlign w:val="top"/>
          </w:tcPr>
          <w:p>
            <w:pPr>
              <w:spacing w:after="60" w:line="259" w:lineRule="auto"/>
            </w:pPr>
            <w:r>
              <w:rPr>
                <w:rFonts w:ascii="Calibri" w:hAnsi="Calibri"/>
                <w:b w:val="0"/>
                <w:i w:val="0"/>
                <w:color w:val="212121"/>
                <w:sz w:val="19"/>
              </w:rPr>
              <w:t>Depressed cell-mediated and neutrophil immunity converts a localized operculitis into a rapidly spreading fascial-space infection with a real risk of sepsis.</w:t>
            </w:r>
          </w:p>
          <w:p>
            <w:pPr>
              <w:spacing w:after="40" w:before="60" w:line="259" w:lineRule="auto"/>
            </w:pPr>
            <w:r>
              <w:rPr>
                <w:rFonts w:ascii="Calibri" w:hAnsi="Calibri"/>
                <w:b w:val="0"/>
                <w:i w:val="0"/>
                <w:color w:val="212121"/>
                <w:sz w:val="19"/>
              </w:rPr>
              <w:t>In immunocompromised individuals pericoronitis can progress to life-threatening sepsis.</w:t>
            </w:r>
          </w:p>
          <w:p>
            <w:pPr>
              <w:spacing w:after="40" w:line="252" w:lineRule="auto"/>
            </w:pPr>
            <w:hyperlink r:id="rId17">
              <w:r>
                <w:rPr>
                  <w:rFonts w:ascii="Calibri" w:hAnsi="Calibri" w:cs="Calibri"/>
                  <w:sz w:val="18"/>
                  <w:color w:val="1155CC"/>
                  <w:u w:val="single"/>
                </w:rPr>
                <w:t xml:space="preserve">en.wikipedia.org — Pericoronitis (complications)</w:t>
              </w:r>
            </w:hyperlink>
          </w:p>
          <w:p>
            <w:pPr>
              <w:spacing w:before="60" w:after="40"/>
            </w:pPr>
            <w:r>
              <w:rPr>
                <w:rFonts w:ascii="Calibri" w:hAnsi="Calibri"/>
                <w:b w:val="0"/>
                <w:i w:val="0"/>
                <w:color w:val="5A5A5A"/>
                <w:sz w:val="18"/>
              </w:rPr>
              <w:t>#immunosuppression  #sepsis  #spreadinginfection  #HIV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Malocclusion / crowding</w:t>
            </w:r>
          </w:p>
        </w:tc>
        <w:tc>
          <w:tcPr>
            <w:tcW w:type="dxa" w:w="2160"/>
            <w:vAlign w:val="top"/>
          </w:tcPr>
          <w:p>
            <w:pPr>
              <w:spacing w:after="40" w:before="0" w:line="259" w:lineRule="auto"/>
            </w:pPr>
            <w:r>
              <w:rPr>
                <w:rFonts w:ascii="Calibri" w:hAnsi="Calibri"/>
                <w:b w:val="0"/>
                <w:i w:val="0"/>
                <w:color w:val="212121"/>
                <w:sz w:val="19"/>
              </w:rPr>
              <w:t>Orthodontic crowding, inadequate arch length</w:t>
            </w:r>
          </w:p>
        </w:tc>
        <w:tc>
          <w:tcPr>
            <w:tcW w:type="dxa" w:w="4276"/>
            <w:vAlign w:val="top"/>
          </w:tcPr>
          <w:p>
            <w:pPr>
              <w:spacing w:after="60" w:line="259" w:lineRule="auto"/>
            </w:pPr>
            <w:r>
              <w:rPr>
                <w:rFonts w:ascii="Calibri" w:hAnsi="Calibri"/>
                <w:b w:val="0"/>
                <w:i w:val="0"/>
                <w:color w:val="212121"/>
                <w:sz w:val="19"/>
              </w:rPr>
              <w:t>Dental crowding and insufficient posterior space prevent full third-molar eruption, maintaining the partially covered crown that defines the pericoronitis-prone tooth.</w:t>
            </w:r>
          </w:p>
          <w:p>
            <w:pPr>
              <w:spacing w:after="40" w:before="60" w:line="259" w:lineRule="auto"/>
            </w:pPr>
            <w:r>
              <w:rPr>
                <w:rFonts w:ascii="Calibri" w:hAnsi="Calibri"/>
                <w:b w:val="0"/>
                <w:i w:val="0"/>
                <w:color w:val="212121"/>
                <w:sz w:val="19"/>
              </w:rPr>
              <w:t>Mesioangular, vertical and Class II/Class B partial impactions are the patterns most strongly linked with pericoronitis.</w:t>
            </w:r>
          </w:p>
          <w:p>
            <w:pPr>
              <w:spacing w:after="40" w:line="252" w:lineRule="auto"/>
            </w:pPr>
            <w:hyperlink r:id="rId11">
              <w:r>
                <w:rPr>
                  <w:rFonts w:ascii="Calibri" w:hAnsi="Calibri" w:cs="Calibri"/>
                  <w:sz w:val="18"/>
                  <w:color w:val="1155CC"/>
                  <w:u w:val="single"/>
                </w:rPr>
                <w:t xml:space="preserve">pubmed.ncbi.nlm.nih.gov/38130387 — impaction type &amp; pericoronitis</w:t>
              </w:r>
            </w:hyperlink>
          </w:p>
          <w:p>
            <w:pPr>
              <w:spacing w:before="60" w:after="40"/>
            </w:pPr>
            <w:r>
              <w:rPr>
                <w:rFonts w:ascii="Calibri" w:hAnsi="Calibri"/>
                <w:b w:val="0"/>
                <w:i w:val="0"/>
                <w:color w:val="5A5A5A"/>
                <w:sz w:val="18"/>
              </w:rPr>
              <w:t>#malocclusion  #crowding  #partialeruption  #archlength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regular activity supports general immune competence and healing, which may modestly reduce the severity of infective flares.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Sticky, fermentable and sugary foods pack under the operculum and feed the biofilm, while lifelong soft/refined diets are associated with smaller arches and more third-molar impaction, the substrate for pericoronitis.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Fatigue and sleep deprivation are recognized precipitants of acute pericoronitis, lowering host resistance and allowing the resident biofilm to provoke a flare.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significantly correlated with pericoronitis symptoms; tobacco impairs gingival perfusion, neutrophil function and healing and promotes anaerobes.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indirectly raises risk through neglected oral hygiene, dehydration and reduced immune competence rather than any direct effect on the operculum.</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can precipitate acute flares and is linked with poorer oral-hygiene self-care, indirectly increasing pericoronitis frequency.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salivary flow, plus warm saline rinsing, help mechanically clear debris from the pocket; benefit is supportive rather than preventive.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independent association with pericoronitis; any effect is confined to sugary caffeinated drinks contributing to the general plaque load.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hygiene is the dominant modifiable factor: adequate tooth-brushing frequency combined with mouthwash use is associated with a statistically significant decrease in pericoronitis by controlling the sub-opercular biofilm.</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Trauma from an over-erupted opposing maxillary third molar biting the operculum, food impaction, upper respiratory infection, fatigue and pregnancy are well-recognized precipitants of acute pericoronal inflammation.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Simplified Oral Hygiene Index (OHI-S)</w:t>
            </w:r>
          </w:p>
        </w:tc>
        <w:tc>
          <w:tcPr>
            <w:tcW w:type="dxa" w:w="1655"/>
            <w:vAlign w:val="top"/>
          </w:tcPr>
          <w:p>
            <w:pPr>
              <w:spacing w:after="40" w:before="0" w:line="259" w:lineRule="auto"/>
            </w:pPr>
            <w:r>
              <w:rPr>
                <w:rFonts w:ascii="Calibri" w:hAnsi="Calibri"/>
                <w:b w:val="0"/>
                <w:i w:val="0"/>
                <w:color w:val="212121"/>
                <w:sz w:val="19"/>
              </w:rPr>
              <w:t>Young adults, students</w:t>
            </w:r>
          </w:p>
        </w:tc>
        <w:tc>
          <w:tcPr>
            <w:tcW w:type="dxa" w:w="1512"/>
            <w:vAlign w:val="top"/>
          </w:tcPr>
          <w:p>
            <w:pPr>
              <w:spacing w:after="40" w:before="0" w:line="259" w:lineRule="auto"/>
            </w:pPr>
            <w:r>
              <w:rPr>
                <w:rFonts w:ascii="Calibri" w:hAnsi="Calibri"/>
                <w:b w:val="0"/>
                <w:i w:val="0"/>
                <w:color w:val="212121"/>
                <w:sz w:val="19"/>
              </w:rPr>
              <w:t>Good (0.0-1.2)</w:t>
            </w:r>
          </w:p>
        </w:tc>
        <w:tc>
          <w:tcPr>
            <w:tcW w:type="dxa" w:w="1512"/>
            <w:vAlign w:val="top"/>
          </w:tcPr>
          <w:p>
            <w:pPr>
              <w:spacing w:after="40" w:before="0" w:line="259" w:lineRule="auto"/>
            </w:pPr>
            <w:r>
              <w:rPr>
                <w:rFonts w:ascii="Calibri" w:hAnsi="Calibri"/>
                <w:b w:val="0"/>
                <w:i w:val="0"/>
                <w:color w:val="212121"/>
                <w:sz w:val="19"/>
              </w:rPr>
              <w:t>Poor (&gt;3.0)</w:t>
            </w:r>
          </w:p>
        </w:tc>
        <w:tc>
          <w:tcPr>
            <w:tcW w:type="dxa" w:w="1468"/>
            <w:vAlign w:val="top"/>
          </w:tcPr>
          <w:p>
            <w:pPr>
              <w:spacing w:after="40" w:before="0" w:line="259" w:lineRule="auto"/>
            </w:pPr>
            <w:r>
              <w:rPr>
                <w:rFonts w:ascii="Calibri" w:hAnsi="Calibri"/>
                <w:b w:val="0"/>
                <w:i w:val="0"/>
                <w:color w:val="212121"/>
                <w:sz w:val="19"/>
              </w:rPr>
              <w:t>High plaque/debris under the operculum drives operculitis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Tooth-brushing frequency</w:t>
            </w:r>
          </w:p>
        </w:tc>
        <w:tc>
          <w:tcPr>
            <w:tcW w:type="dxa" w:w="1655"/>
            <w:vAlign w:val="top"/>
          </w:tcPr>
          <w:p>
            <w:pPr>
              <w:spacing w:after="40" w:before="0" w:line="259" w:lineRule="auto"/>
            </w:pPr>
            <w:r>
              <w:rPr>
                <w:rFonts w:ascii="Calibri" w:hAnsi="Calibri"/>
                <w:b w:val="0"/>
                <w:i w:val="0"/>
                <w:color w:val="212121"/>
                <w:sz w:val="19"/>
              </w:rPr>
              <w:t>All at-risk adults</w:t>
            </w:r>
          </w:p>
        </w:tc>
        <w:tc>
          <w:tcPr>
            <w:tcW w:type="dxa" w:w="1512"/>
            <w:vAlign w:val="top"/>
          </w:tcPr>
          <w:p>
            <w:pPr>
              <w:spacing w:after="40" w:before="0" w:line="259" w:lineRule="auto"/>
            </w:pPr>
            <w:r>
              <w:rPr>
                <w:rFonts w:ascii="Calibri" w:hAnsi="Calibri"/>
                <w:b w:val="0"/>
                <w:i w:val="0"/>
                <w:color w:val="212121"/>
                <w:sz w:val="19"/>
              </w:rPr>
              <w:t>Twice daily + interdental cleaning</w:t>
            </w:r>
          </w:p>
        </w:tc>
        <w:tc>
          <w:tcPr>
            <w:tcW w:type="dxa" w:w="1512"/>
            <w:vAlign w:val="top"/>
          </w:tcPr>
          <w:p>
            <w:pPr>
              <w:spacing w:after="40" w:before="0" w:line="259" w:lineRule="auto"/>
            </w:pPr>
            <w:r>
              <w:rPr>
                <w:rFonts w:ascii="Calibri" w:hAnsi="Calibri"/>
                <w:b w:val="0"/>
                <w:i w:val="0"/>
                <w:color w:val="212121"/>
                <w:sz w:val="19"/>
              </w:rPr>
              <w:t>&lt; once daily</w:t>
            </w:r>
          </w:p>
        </w:tc>
        <w:tc>
          <w:tcPr>
            <w:tcW w:type="dxa" w:w="1468"/>
            <w:vAlign w:val="top"/>
          </w:tcPr>
          <w:p>
            <w:pPr>
              <w:spacing w:after="60" w:line="259" w:lineRule="auto"/>
            </w:pPr>
            <w:r>
              <w:rPr>
                <w:rFonts w:ascii="Calibri" w:hAnsi="Calibri"/>
                <w:b w:val="0"/>
                <w:i w:val="0"/>
                <w:color w:val="212121"/>
                <w:sz w:val="19"/>
              </w:rPr>
              <w:t>Adequate brushing plus mouthwash lowers pericoronitis risk</w:t>
            </w:r>
          </w:p>
          <w:p>
            <w:pPr>
              <w:spacing w:after="40" w:line="252" w:lineRule="auto"/>
            </w:pPr>
            <w:hyperlink r:id="rId9">
              <w:r>
                <w:rPr>
                  <w:rFonts w:ascii="Calibri" w:hAnsi="Calibri" w:cs="Calibri"/>
                  <w:sz w:val="18"/>
                  <w:color w:val="1155CC"/>
                  <w:u w:val="single"/>
                </w:rPr>
                <w:t xml:space="preserve">https://pubmed.ncbi.nlm.nih.gov/30805117/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Pseudo-pocket / probing depth distal to 2nd molar</w:t>
            </w:r>
          </w:p>
        </w:tc>
        <w:tc>
          <w:tcPr>
            <w:tcW w:type="dxa" w:w="1655"/>
            <w:vAlign w:val="top"/>
          </w:tcPr>
          <w:p>
            <w:pPr>
              <w:spacing w:after="40" w:before="0" w:line="259" w:lineRule="auto"/>
            </w:pPr>
            <w:r>
              <w:rPr>
                <w:rFonts w:ascii="Calibri" w:hAnsi="Calibri"/>
                <w:b w:val="0"/>
                <w:i w:val="0"/>
                <w:color w:val="212121"/>
                <w:sz w:val="19"/>
              </w:rPr>
              <w:t>Partially erupted third molar</w:t>
            </w:r>
          </w:p>
        </w:tc>
        <w:tc>
          <w:tcPr>
            <w:tcW w:type="dxa" w:w="1512"/>
            <w:vAlign w:val="top"/>
          </w:tcPr>
          <w:p>
            <w:pPr>
              <w:spacing w:after="40" w:before="0" w:line="259" w:lineRule="auto"/>
            </w:pPr>
            <w:r>
              <w:rPr>
                <w:rFonts w:ascii="Calibri" w:hAnsi="Calibri"/>
                <w:b w:val="0"/>
                <w:i w:val="0"/>
                <w:color w:val="212121"/>
                <w:sz w:val="19"/>
              </w:rPr>
              <w:t>≤ 3 mm</w:t>
            </w:r>
          </w:p>
        </w:tc>
        <w:tc>
          <w:tcPr>
            <w:tcW w:type="dxa" w:w="1512"/>
            <w:vAlign w:val="top"/>
          </w:tcPr>
          <w:p>
            <w:pPr>
              <w:spacing w:after="40" w:before="0" w:line="259" w:lineRule="auto"/>
            </w:pPr>
            <w:r>
              <w:rPr>
                <w:rFonts w:ascii="Calibri" w:hAnsi="Calibri"/>
                <w:b w:val="0"/>
                <w:i w:val="0"/>
                <w:color w:val="212121"/>
                <w:sz w:val="19"/>
              </w:rPr>
              <w:t>≥ 4 mm</w:t>
            </w:r>
          </w:p>
        </w:tc>
        <w:tc>
          <w:tcPr>
            <w:tcW w:type="dxa" w:w="1468"/>
            <w:vAlign w:val="top"/>
          </w:tcPr>
          <w:p>
            <w:pPr>
              <w:spacing w:after="40" w:before="0" w:line="259" w:lineRule="auto"/>
            </w:pPr>
            <w:r>
              <w:rPr>
                <w:rFonts w:ascii="Calibri" w:hAnsi="Calibri"/>
                <w:b w:val="0"/>
                <w:i w:val="0"/>
                <w:color w:val="212121"/>
                <w:sz w:val="19"/>
              </w:rPr>
              <w:t>Deep un-cleansable pocket harbours anaerobes beneath the flap</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Maximal inter-incisal mouth opening (trismus)</w:t>
            </w:r>
          </w:p>
        </w:tc>
        <w:tc>
          <w:tcPr>
            <w:tcW w:type="dxa" w:w="1655"/>
            <w:vAlign w:val="top"/>
          </w:tcPr>
          <w:p>
            <w:pPr>
              <w:spacing w:after="40" w:before="0" w:line="259" w:lineRule="auto"/>
            </w:pPr>
            <w:r>
              <w:rPr>
                <w:rFonts w:ascii="Calibri" w:hAnsi="Calibri"/>
                <w:b w:val="0"/>
                <w:i w:val="0"/>
                <w:color w:val="212121"/>
                <w:sz w:val="19"/>
              </w:rPr>
              <w:t>Acute pericoronitis</w:t>
            </w:r>
          </w:p>
        </w:tc>
        <w:tc>
          <w:tcPr>
            <w:tcW w:type="dxa" w:w="1512"/>
            <w:vAlign w:val="top"/>
          </w:tcPr>
          <w:p>
            <w:pPr>
              <w:spacing w:after="40" w:before="0" w:line="259" w:lineRule="auto"/>
            </w:pPr>
            <w:r>
              <w:rPr>
                <w:rFonts w:ascii="Calibri" w:hAnsi="Calibri"/>
                <w:b w:val="0"/>
                <w:i w:val="0"/>
                <w:color w:val="212121"/>
                <w:sz w:val="19"/>
              </w:rPr>
              <w:t>≥ 40 mm</w:t>
            </w:r>
          </w:p>
        </w:tc>
        <w:tc>
          <w:tcPr>
            <w:tcW w:type="dxa" w:w="1512"/>
            <w:vAlign w:val="top"/>
          </w:tcPr>
          <w:p>
            <w:pPr>
              <w:spacing w:after="40" w:before="0" w:line="259" w:lineRule="auto"/>
            </w:pPr>
            <w:r>
              <w:rPr>
                <w:rFonts w:ascii="Calibri" w:hAnsi="Calibri"/>
                <w:b w:val="0"/>
                <w:i w:val="0"/>
                <w:color w:val="212121"/>
                <w:sz w:val="19"/>
              </w:rPr>
              <w:t>&lt; 30 mm</w:t>
            </w:r>
          </w:p>
        </w:tc>
        <w:tc>
          <w:tcPr>
            <w:tcW w:type="dxa" w:w="1468"/>
            <w:vAlign w:val="top"/>
          </w:tcPr>
          <w:p>
            <w:pPr>
              <w:spacing w:after="40" w:before="0" w:line="259" w:lineRule="auto"/>
            </w:pPr>
            <w:r>
              <w:rPr>
                <w:rFonts w:ascii="Calibri" w:hAnsi="Calibri"/>
                <w:b w:val="0"/>
                <w:i w:val="0"/>
                <w:color w:val="212121"/>
                <w:sz w:val="19"/>
              </w:rPr>
              <w:t>Marked trismus signals spreading infection / masticator-space involvement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Opposing (maxillary) third-molar traumatic contact</w:t>
            </w:r>
          </w:p>
        </w:tc>
        <w:tc>
          <w:tcPr>
            <w:tcW w:type="dxa" w:w="1655"/>
            <w:vAlign w:val="top"/>
          </w:tcPr>
          <w:p>
            <w:pPr>
              <w:spacing w:after="40" w:before="0" w:line="259" w:lineRule="auto"/>
            </w:pPr>
            <w:r>
              <w:rPr>
                <w:rFonts w:ascii="Calibri" w:hAnsi="Calibri"/>
                <w:b w:val="0"/>
                <w:i w:val="0"/>
                <w:color w:val="212121"/>
                <w:sz w:val="19"/>
              </w:rPr>
              <w:t>Recurrent pericoronitis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Present (biting/ulcerating operculum)</w:t>
            </w:r>
          </w:p>
        </w:tc>
        <w:tc>
          <w:tcPr>
            <w:tcW w:type="dxa" w:w="1468"/>
            <w:vAlign w:val="top"/>
          </w:tcPr>
          <w:p>
            <w:pPr>
              <w:spacing w:after="40" w:before="0" w:line="259" w:lineRule="auto"/>
            </w:pPr>
            <w:r>
              <w:rPr>
                <w:rFonts w:ascii="Calibri" w:hAnsi="Calibri"/>
                <w:b w:val="0"/>
                <w:i w:val="0"/>
                <w:color w:val="212121"/>
                <w:sz w:val="19"/>
              </w:rPr>
              <w:t>Repeated trauma perpetuates operculum inflammation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Frequency of sugary / sticky snacks per day</w:t>
            </w:r>
          </w:p>
        </w:tc>
        <w:tc>
          <w:tcPr>
            <w:tcW w:type="dxa" w:w="1655"/>
            <w:vAlign w:val="top"/>
          </w:tcPr>
          <w:p>
            <w:pPr>
              <w:spacing w:after="40" w:before="0" w:line="259" w:lineRule="auto"/>
            </w:pPr>
            <w:r>
              <w:rPr>
                <w:rFonts w:ascii="Calibri" w:hAnsi="Calibri"/>
                <w:b w:val="0"/>
                <w:i w:val="0"/>
                <w:color w:val="212121"/>
                <w:sz w:val="19"/>
              </w:rPr>
              <w:t>Frequent snackers</w:t>
            </w:r>
          </w:p>
        </w:tc>
        <w:tc>
          <w:tcPr>
            <w:tcW w:type="dxa" w:w="1512"/>
            <w:vAlign w:val="top"/>
          </w:tcPr>
          <w:p>
            <w:pPr>
              <w:spacing w:after="40" w:before="0" w:line="259" w:lineRule="auto"/>
            </w:pPr>
            <w:r>
              <w:rPr>
                <w:rFonts w:ascii="Calibri" w:hAnsi="Calibri"/>
                <w:b w:val="0"/>
                <w:i w:val="0"/>
                <w:color w:val="212121"/>
                <w:sz w:val="19"/>
              </w:rPr>
              <w:t>≤ 1/day</w:t>
            </w:r>
          </w:p>
        </w:tc>
        <w:tc>
          <w:tcPr>
            <w:tcW w:type="dxa" w:w="1512"/>
            <w:vAlign w:val="top"/>
          </w:tcPr>
          <w:p>
            <w:pPr>
              <w:spacing w:after="40" w:before="0" w:line="259" w:lineRule="auto"/>
            </w:pPr>
            <w:r>
              <w:rPr>
                <w:rFonts w:ascii="Calibri" w:hAnsi="Calibri"/>
                <w:b w:val="0"/>
                <w:i w:val="0"/>
                <w:color w:val="212121"/>
                <w:sz w:val="19"/>
              </w:rPr>
              <w:t>≥ 3/day</w:t>
            </w:r>
          </w:p>
        </w:tc>
        <w:tc>
          <w:tcPr>
            <w:tcW w:type="dxa" w:w="1468"/>
            <w:vAlign w:val="top"/>
          </w:tcPr>
          <w:p>
            <w:pPr>
              <w:spacing w:after="40" w:before="0" w:line="259" w:lineRule="auto"/>
            </w:pPr>
            <w:r>
              <w:rPr>
                <w:rFonts w:ascii="Calibri" w:hAnsi="Calibri"/>
                <w:b w:val="0"/>
                <w:i w:val="0"/>
                <w:color w:val="212121"/>
                <w:sz w:val="19"/>
              </w:rPr>
              <w:t>Fermentable, sticky carbohydrate feeds the sub-opercular biofilm</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use per day</w:t>
            </w:r>
          </w:p>
        </w:tc>
        <w:tc>
          <w:tcPr>
            <w:tcW w:type="dxa" w:w="1655"/>
            <w:vAlign w:val="top"/>
          </w:tcPr>
          <w:p>
            <w:pPr>
              <w:spacing w:after="40" w:before="0" w:line="259" w:lineRule="auto"/>
            </w:pPr>
            <w:r>
              <w:rPr>
                <w:rFonts w:ascii="Calibri" w:hAnsi="Calibri"/>
                <w:b w:val="0"/>
                <w:i w:val="0"/>
                <w:color w:val="212121"/>
                <w:sz w:val="19"/>
              </w:rPr>
              <w:t>Smokers, gutka/tobacco users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60" w:line="259" w:lineRule="auto"/>
            </w:pPr>
            <w:r>
              <w:rPr>
                <w:rFonts w:ascii="Calibri" w:hAnsi="Calibri"/>
                <w:b w:val="0"/>
                <w:i w:val="0"/>
                <w:color w:val="212121"/>
                <w:sz w:val="19"/>
              </w:rPr>
              <w:t>Any tobacco use correlates with more frequent, severe pericoronitis</w:t>
            </w:r>
          </w:p>
          <w:p>
            <w:pPr>
              <w:spacing w:after="40" w:line="252" w:lineRule="auto"/>
            </w:pPr>
            <w:hyperlink r:id="rId11">
              <w:r>
                <w:rPr>
                  <w:rFonts w:ascii="Calibri" w:hAnsi="Calibri" w:cs="Calibri"/>
                  <w:sz w:val="18"/>
                  <w:color w:val="1155CC"/>
                  <w:u w:val="single"/>
                </w:rPr>
                <w:t xml:space="preserve">https://pubmed.ncbi.nlm.nih.gov/38130387/</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Overworked young adults</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h/night</w:t>
            </w:r>
          </w:p>
        </w:tc>
        <w:tc>
          <w:tcPr>
            <w:tcW w:type="dxa" w:w="1468"/>
            <w:vAlign w:val="top"/>
          </w:tcPr>
          <w:p>
            <w:pPr>
              <w:spacing w:after="40" w:before="0" w:line="259" w:lineRule="auto"/>
            </w:pPr>
            <w:r>
              <w:rPr>
                <w:rFonts w:ascii="Calibri" w:hAnsi="Calibri"/>
                <w:b w:val="0"/>
                <w:i w:val="0"/>
                <w:color w:val="212121"/>
                <w:sz w:val="19"/>
              </w:rPr>
              <w:t>Fatigue lowers resistance and can precipitate acute flares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temperature</w:t>
            </w:r>
          </w:p>
        </w:tc>
        <w:tc>
          <w:tcPr>
            <w:tcW w:type="dxa" w:w="1655"/>
            <w:vAlign w:val="top"/>
          </w:tcPr>
          <w:p>
            <w:pPr>
              <w:spacing w:after="40" w:before="0" w:line="259" w:lineRule="auto"/>
            </w:pPr>
            <w:r>
              <w:rPr>
                <w:rFonts w:ascii="Calibri" w:hAnsi="Calibri"/>
                <w:b w:val="0"/>
                <w:i w:val="0"/>
                <w:color w:val="212121"/>
                <w:sz w:val="19"/>
              </w:rPr>
              <w:t>Acute / spreading pericoronitis</w:t>
            </w:r>
          </w:p>
        </w:tc>
        <w:tc>
          <w:tcPr>
            <w:tcW w:type="dxa" w:w="1512"/>
            <w:vAlign w:val="top"/>
          </w:tcPr>
          <w:p>
            <w:pPr>
              <w:spacing w:after="40" w:before="0" w:line="259" w:lineRule="auto"/>
            </w:pPr>
            <w:r>
              <w:rPr>
                <w:rFonts w:ascii="Calibri" w:hAnsi="Calibri"/>
                <w:b w:val="0"/>
                <w:i w:val="0"/>
                <w:color w:val="212121"/>
                <w:sz w:val="19"/>
              </w:rPr>
              <w:t>36.1-37.2 °C</w:t>
            </w:r>
          </w:p>
        </w:tc>
        <w:tc>
          <w:tcPr>
            <w:tcW w:type="dxa" w:w="1512"/>
            <w:vAlign w:val="top"/>
          </w:tcPr>
          <w:p>
            <w:pPr>
              <w:spacing w:after="40" w:before="0" w:line="259" w:lineRule="auto"/>
            </w:pPr>
            <w:r>
              <w:rPr>
                <w:rFonts w:ascii="Calibri" w:hAnsi="Calibri"/>
                <w:b w:val="0"/>
                <w:i w:val="0"/>
                <w:color w:val="212121"/>
                <w:sz w:val="19"/>
              </w:rPr>
              <w:t>&gt; 38 °C</w:t>
            </w:r>
          </w:p>
        </w:tc>
        <w:tc>
          <w:tcPr>
            <w:tcW w:type="dxa" w:w="1468"/>
            <w:vAlign w:val="top"/>
          </w:tcPr>
          <w:p>
            <w:pPr>
              <w:spacing w:after="40" w:before="0" w:line="259" w:lineRule="auto"/>
            </w:pPr>
            <w:r>
              <w:rPr>
                <w:rFonts w:ascii="Calibri" w:hAnsi="Calibri"/>
                <w:b w:val="0"/>
                <w:i w:val="0"/>
                <w:color w:val="212121"/>
                <w:sz w:val="19"/>
              </w:rPr>
              <w:t>Fever indicates systemic involvement / spreading infection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Radiographic</w:t>
            </w:r>
          </w:p>
        </w:tc>
        <w:tc>
          <w:tcPr>
            <w:tcW w:type="dxa" w:w="1036"/>
            <w:vAlign w:val="top"/>
          </w:tcPr>
          <w:p>
            <w:pPr>
              <w:spacing w:after="40" w:before="0" w:line="259" w:lineRule="auto"/>
            </w:pPr>
            <w:r>
              <w:rPr>
                <w:rFonts w:ascii="Calibri" w:hAnsi="Calibri"/>
                <w:b w:val="0"/>
                <w:i w:val="0"/>
                <w:color w:val="212121"/>
                <w:sz w:val="16"/>
              </w:rPr>
              <w:t>Third-molar angulation &amp; depth (Winter / Pell &amp; Gregory)</w:t>
            </w:r>
          </w:p>
        </w:tc>
        <w:tc>
          <w:tcPr>
            <w:tcW w:type="dxa" w:w="892"/>
            <w:vAlign w:val="top"/>
          </w:tcPr>
          <w:p>
            <w:pPr>
              <w:spacing w:after="40" w:before="0" w:line="259" w:lineRule="auto"/>
            </w:pPr>
            <w:r>
              <w:rPr>
                <w:rFonts w:ascii="Calibri" w:hAnsi="Calibri"/>
                <w:b w:val="0"/>
                <w:i w:val="0"/>
                <w:color w:val="212121"/>
                <w:sz w:val="16"/>
              </w:rPr>
              <w:t>Orthopantomogram (OPG)</w:t>
            </w:r>
          </w:p>
        </w:tc>
        <w:tc>
          <w:tcPr>
            <w:tcW w:type="dxa" w:w="950"/>
            <w:vAlign w:val="top"/>
          </w:tcPr>
          <w:p>
            <w:pPr>
              <w:spacing w:after="40" w:before="0" w:line="259" w:lineRule="auto"/>
            </w:pPr>
            <w:r>
              <w:rPr>
                <w:rFonts w:ascii="Calibri" w:hAnsi="Calibri"/>
                <w:b w:val="0"/>
                <w:i w:val="0"/>
                <w:color w:val="212121"/>
                <w:sz w:val="16"/>
              </w:rPr>
              <w:t>Fully erupted, adequate space</w:t>
            </w:r>
          </w:p>
        </w:tc>
        <w:tc>
          <w:tcPr>
            <w:tcW w:type="dxa" w:w="950"/>
            <w:vAlign w:val="top"/>
          </w:tcPr>
          <w:p>
            <w:pPr>
              <w:spacing w:after="40" w:before="0" w:line="259" w:lineRule="auto"/>
            </w:pPr>
            <w:r>
              <w:rPr>
                <w:rFonts w:ascii="Calibri" w:hAnsi="Calibri"/>
                <w:b w:val="0"/>
                <w:i w:val="0"/>
                <w:color w:val="212121"/>
                <w:sz w:val="16"/>
              </w:rPr>
              <w:t>Mesioangular/horizontal or deep vertical partial impaction</w:t>
            </w:r>
          </w:p>
        </w:tc>
        <w:tc>
          <w:tcPr>
            <w:tcW w:type="dxa" w:w="1036"/>
            <w:vAlign w:val="top"/>
          </w:tcPr>
          <w:p>
            <w:pPr>
              <w:spacing w:after="40" w:before="0" w:line="259" w:lineRule="auto"/>
            </w:pPr>
            <w:r>
              <w:rPr>
                <w:rFonts w:ascii="Calibri" w:hAnsi="Calibri"/>
                <w:b w:val="0"/>
                <w:i w:val="0"/>
                <w:color w:val="212121"/>
                <w:sz w:val="16"/>
              </w:rPr>
              <w:t>Confirms the impaction pattern most linked to pericoronitis and guides extraction vs conservation</w:t>
            </w:r>
          </w:p>
        </w:tc>
        <w:tc>
          <w:tcPr>
            <w:tcW w:type="dxa" w:w="1036"/>
            <w:vAlign w:val="top"/>
          </w:tcPr>
          <w:p>
            <w:pPr>
              <w:spacing w:after="40" w:before="0" w:line="259" w:lineRule="auto"/>
            </w:pPr>
            <w:r>
              <w:rPr>
                <w:rFonts w:ascii="Calibri" w:hAnsi="Calibri"/>
                <w:b w:val="0"/>
                <w:i w:val="0"/>
                <w:color w:val="212121"/>
                <w:sz w:val="16"/>
              </w:rPr>
              <w:t>Young adults, recurrent pericoronitis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Also excludes pericoronal cyst and adjacent caries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Radiographic</w:t>
            </w:r>
          </w:p>
        </w:tc>
        <w:tc>
          <w:tcPr>
            <w:tcW w:type="dxa" w:w="1036"/>
            <w:vAlign w:val="top"/>
          </w:tcPr>
          <w:p>
            <w:pPr>
              <w:spacing w:after="40" w:before="0" w:line="259" w:lineRule="auto"/>
            </w:pPr>
            <w:r>
              <w:rPr>
                <w:rFonts w:ascii="Calibri" w:hAnsi="Calibri"/>
                <w:b w:val="0"/>
                <w:i w:val="0"/>
                <w:color w:val="212121"/>
                <w:sz w:val="16"/>
              </w:rPr>
              <w:t>Root–inferior alveolar canal relationship</w:t>
            </w:r>
          </w:p>
        </w:tc>
        <w:tc>
          <w:tcPr>
            <w:tcW w:type="dxa" w:w="892"/>
            <w:vAlign w:val="top"/>
          </w:tcPr>
          <w:p>
            <w:pPr>
              <w:spacing w:after="40" w:before="0" w:line="259" w:lineRule="auto"/>
            </w:pPr>
            <w:r>
              <w:rPr>
                <w:rFonts w:ascii="Calibri" w:hAnsi="Calibri"/>
                <w:b w:val="0"/>
                <w:i w:val="0"/>
                <w:color w:val="212121"/>
                <w:sz w:val="16"/>
              </w:rPr>
              <w:t>CBCT (selected cases)</w:t>
            </w:r>
          </w:p>
        </w:tc>
        <w:tc>
          <w:tcPr>
            <w:tcW w:type="dxa" w:w="950"/>
            <w:vAlign w:val="top"/>
          </w:tcPr>
          <w:p>
            <w:pPr>
              <w:spacing w:after="40" w:before="0" w:line="259" w:lineRule="auto"/>
            </w:pPr>
            <w:r>
              <w:rPr>
                <w:rFonts w:ascii="Calibri" w:hAnsi="Calibri"/>
                <w:b w:val="0"/>
                <w:i w:val="0"/>
                <w:color w:val="212121"/>
                <w:sz w:val="16"/>
              </w:rPr>
              <w:t>Roots clear of canal</w:t>
            </w:r>
          </w:p>
        </w:tc>
        <w:tc>
          <w:tcPr>
            <w:tcW w:type="dxa" w:w="950"/>
            <w:vAlign w:val="top"/>
          </w:tcPr>
          <w:p>
            <w:pPr>
              <w:spacing w:after="40" w:before="0" w:line="259" w:lineRule="auto"/>
            </w:pPr>
            <w:r>
              <w:rPr>
                <w:rFonts w:ascii="Calibri" w:hAnsi="Calibri"/>
                <w:b w:val="0"/>
                <w:i w:val="0"/>
                <w:color w:val="212121"/>
                <w:sz w:val="16"/>
              </w:rPr>
              <w:t>Intimate root–canal relationship / cortical loss</w:t>
            </w:r>
          </w:p>
        </w:tc>
        <w:tc>
          <w:tcPr>
            <w:tcW w:type="dxa" w:w="1036"/>
            <w:vAlign w:val="top"/>
          </w:tcPr>
          <w:p>
            <w:pPr>
              <w:spacing w:after="40" w:before="0" w:line="259" w:lineRule="auto"/>
            </w:pPr>
            <w:r>
              <w:rPr>
                <w:rFonts w:ascii="Calibri" w:hAnsi="Calibri"/>
                <w:b w:val="0"/>
                <w:i w:val="0"/>
                <w:color w:val="212121"/>
                <w:sz w:val="16"/>
              </w:rPr>
              <w:t>Defines nerve-injury risk before surgical removal</w:t>
            </w:r>
          </w:p>
        </w:tc>
        <w:tc>
          <w:tcPr>
            <w:tcW w:type="dxa" w:w="1036"/>
            <w:vAlign w:val="top"/>
          </w:tcPr>
          <w:p>
            <w:pPr>
              <w:spacing w:after="40" w:before="0" w:line="259" w:lineRule="auto"/>
            </w:pPr>
            <w:r>
              <w:rPr>
                <w:rFonts w:ascii="Calibri" w:hAnsi="Calibri"/>
                <w:b w:val="0"/>
                <w:i w:val="0"/>
                <w:color w:val="212121"/>
                <w:sz w:val="16"/>
              </w:rPr>
              <w:t>Deep impactions, pre-surgical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Surgical planning</w:t>
            </w:r>
          </w:p>
        </w:tc>
        <w:tc>
          <w:tcPr>
            <w:tcW w:type="dxa" w:w="720"/>
            <w:vAlign w:val="top"/>
          </w:tcPr>
          <w:p>
            <w:pPr>
              <w:spacing w:after="40" w:before="0" w:line="259" w:lineRule="auto"/>
            </w:pPr>
            <w:r>
              <w:rPr>
                <w:rFonts w:ascii="Calibri" w:hAnsi="Calibri"/>
                <w:b w:val="0"/>
                <w:i w:val="0"/>
                <w:color w:val="212121"/>
                <w:sz w:val="16"/>
              </w:rPr>
              <w:t>Reserve for high-risk anatomy to limit radiation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leukocyte count (WBC)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4,000-11,000 /µL</w:t>
            </w:r>
          </w:p>
        </w:tc>
        <w:tc>
          <w:tcPr>
            <w:tcW w:type="dxa" w:w="950"/>
            <w:vAlign w:val="top"/>
          </w:tcPr>
          <w:p>
            <w:pPr>
              <w:spacing w:after="40" w:before="0" w:line="259" w:lineRule="auto"/>
            </w:pPr>
            <w:r>
              <w:rPr>
                <w:rFonts w:ascii="Calibri" w:hAnsi="Calibri"/>
                <w:b w:val="0"/>
                <w:i w:val="0"/>
                <w:color w:val="212121"/>
                <w:sz w:val="16"/>
              </w:rPr>
              <w:t>&gt; 11,000 /µL (neutrophilic leukocytosis)</w:t>
            </w:r>
          </w:p>
        </w:tc>
        <w:tc>
          <w:tcPr>
            <w:tcW w:type="dxa" w:w="1036"/>
            <w:vAlign w:val="top"/>
          </w:tcPr>
          <w:p>
            <w:pPr>
              <w:spacing w:after="40" w:before="0" w:line="259" w:lineRule="auto"/>
            </w:pPr>
            <w:r>
              <w:rPr>
                <w:rFonts w:ascii="Calibri" w:hAnsi="Calibri"/>
                <w:b w:val="0"/>
                <w:i w:val="0"/>
                <w:color w:val="212121"/>
                <w:sz w:val="16"/>
              </w:rPr>
              <w:t>Rising counts indicate spreading infection / abscess</w:t>
            </w:r>
          </w:p>
        </w:tc>
        <w:tc>
          <w:tcPr>
            <w:tcW w:type="dxa" w:w="1036"/>
            <w:vAlign w:val="top"/>
          </w:tcPr>
          <w:p>
            <w:pPr>
              <w:spacing w:after="40" w:before="0" w:line="259" w:lineRule="auto"/>
            </w:pPr>
            <w:r>
              <w:rPr>
                <w:rFonts w:ascii="Calibri" w:hAnsi="Calibri"/>
                <w:b w:val="0"/>
                <w:i w:val="0"/>
                <w:color w:val="212121"/>
                <w:sz w:val="16"/>
              </w:rPr>
              <w:t>Spreading pericoronitis, febrile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marker</w:t>
            </w:r>
          </w:p>
        </w:tc>
        <w:tc>
          <w:tcPr>
            <w:tcW w:type="dxa" w:w="720"/>
            <w:vAlign w:val="top"/>
          </w:tcPr>
          <w:p>
            <w:pPr>
              <w:spacing w:after="40" w:before="0" w:line="259" w:lineRule="auto"/>
            </w:pPr>
            <w:r>
              <w:rPr>
                <w:rFonts w:ascii="Calibri" w:hAnsi="Calibri"/>
                <w:b w:val="0"/>
                <w:i w:val="0"/>
                <w:color w:val="212121"/>
                <w:sz w:val="16"/>
              </w:rPr>
              <w:t>Order when systemic features present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5 mg/L</w:t>
            </w:r>
          </w:p>
        </w:tc>
        <w:tc>
          <w:tcPr>
            <w:tcW w:type="dxa" w:w="950"/>
            <w:vAlign w:val="top"/>
          </w:tcPr>
          <w:p>
            <w:pPr>
              <w:spacing w:after="40" w:before="0" w:line="259" w:lineRule="auto"/>
            </w:pPr>
            <w:r>
              <w:rPr>
                <w:rFonts w:ascii="Calibri" w:hAnsi="Calibri"/>
                <w:b w:val="0"/>
                <w:i w:val="0"/>
                <w:color w:val="212121"/>
                <w:sz w:val="16"/>
              </w:rPr>
              <w:t>&gt; 10 mg/L</w:t>
            </w:r>
          </w:p>
        </w:tc>
        <w:tc>
          <w:tcPr>
            <w:tcW w:type="dxa" w:w="1036"/>
            <w:vAlign w:val="top"/>
          </w:tcPr>
          <w:p>
            <w:pPr>
              <w:spacing w:after="40" w:before="0" w:line="259" w:lineRule="auto"/>
            </w:pPr>
            <w:r>
              <w:rPr>
                <w:rFonts w:ascii="Calibri" w:hAnsi="Calibri"/>
                <w:b w:val="0"/>
                <w:i w:val="0"/>
                <w:color w:val="212121"/>
                <w:sz w:val="16"/>
              </w:rPr>
              <w:t>Quantifies infective/inflammatory burden and tracks response</w:t>
            </w:r>
          </w:p>
        </w:tc>
        <w:tc>
          <w:tcPr>
            <w:tcW w:type="dxa" w:w="1036"/>
            <w:vAlign w:val="top"/>
          </w:tcPr>
          <w:p>
            <w:pPr>
              <w:spacing w:after="40" w:before="0" w:line="259" w:lineRule="auto"/>
            </w:pPr>
            <w:r>
              <w:rPr>
                <w:rFonts w:ascii="Calibri" w:hAnsi="Calibri"/>
                <w:b w:val="0"/>
                <w:i w:val="0"/>
                <w:color w:val="212121"/>
                <w:sz w:val="16"/>
              </w:rPr>
              <w:t>Cellulitis, fascial-space spread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Trend alongside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Detects undiagnosed/poorly controlled diabetes in recurrent or severe infection</w:t>
            </w:r>
          </w:p>
        </w:tc>
        <w:tc>
          <w:tcPr>
            <w:tcW w:type="dxa" w:w="1036"/>
            <w:vAlign w:val="top"/>
          </w:tcPr>
          <w:p>
            <w:pPr>
              <w:spacing w:after="40" w:before="0" w:line="259" w:lineRule="auto"/>
            </w:pPr>
            <w:r>
              <w:rPr>
                <w:rFonts w:ascii="Calibri" w:hAnsi="Calibri"/>
                <w:b w:val="0"/>
                <w:i w:val="0"/>
                <w:color w:val="212121"/>
                <w:sz w:val="16"/>
              </w:rPr>
              <w:t>Recurrent, severe or slow-healing cases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Diabetes worsens course and healing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Pus / swab culture &amp; sensitivity</w:t>
            </w:r>
          </w:p>
        </w:tc>
        <w:tc>
          <w:tcPr>
            <w:tcW w:type="dxa" w:w="892"/>
            <w:vAlign w:val="top"/>
          </w:tcPr>
          <w:p>
            <w:pPr>
              <w:spacing w:after="40" w:before="0" w:line="259" w:lineRule="auto"/>
            </w:pPr>
            <w:r>
              <w:rPr>
                <w:rFonts w:ascii="Calibri" w:hAnsi="Calibri"/>
                <w:b w:val="0"/>
                <w:i w:val="0"/>
                <w:color w:val="212121"/>
                <w:sz w:val="16"/>
              </w:rPr>
              <w:t>Culture from beneath operculum</w:t>
            </w:r>
          </w:p>
        </w:tc>
        <w:tc>
          <w:tcPr>
            <w:tcW w:type="dxa" w:w="950"/>
            <w:vAlign w:val="top"/>
          </w:tcPr>
          <w:p>
            <w:pPr>
              <w:spacing w:after="40" w:before="0" w:line="259" w:lineRule="auto"/>
            </w:pPr>
            <w:r>
              <w:rPr>
                <w:rFonts w:ascii="Calibri" w:hAnsi="Calibri"/>
                <w:b w:val="0"/>
                <w:i w:val="0"/>
                <w:color w:val="212121"/>
                <w:sz w:val="16"/>
              </w:rPr>
              <w:t>Commensal flora</w:t>
            </w:r>
          </w:p>
        </w:tc>
        <w:tc>
          <w:tcPr>
            <w:tcW w:type="dxa" w:w="950"/>
            <w:vAlign w:val="top"/>
          </w:tcPr>
          <w:p>
            <w:pPr>
              <w:spacing w:after="40" w:before="0" w:line="259" w:lineRule="auto"/>
            </w:pPr>
            <w:r>
              <w:rPr>
                <w:rFonts w:ascii="Calibri" w:hAnsi="Calibri"/>
                <w:b w:val="0"/>
                <w:i w:val="0"/>
                <w:color w:val="212121"/>
                <w:sz w:val="16"/>
              </w:rPr>
              <w:t>Predominant anaerobes (Prevotella, Fusobacterium) ± streptococci</w:t>
            </w:r>
          </w:p>
        </w:tc>
        <w:tc>
          <w:tcPr>
            <w:tcW w:type="dxa" w:w="1036"/>
            <w:vAlign w:val="top"/>
          </w:tcPr>
          <w:p>
            <w:pPr>
              <w:spacing w:after="40" w:before="0" w:line="259" w:lineRule="auto"/>
            </w:pPr>
            <w:r>
              <w:rPr>
                <w:rFonts w:ascii="Calibri" w:hAnsi="Calibri"/>
                <w:b w:val="0"/>
                <w:i w:val="0"/>
                <w:color w:val="212121"/>
                <w:sz w:val="16"/>
              </w:rPr>
              <w:t>Guides antibiotic choice when infection fails first-line therapy</w:t>
            </w:r>
          </w:p>
        </w:tc>
        <w:tc>
          <w:tcPr>
            <w:tcW w:type="dxa" w:w="1036"/>
            <w:vAlign w:val="top"/>
          </w:tcPr>
          <w:p>
            <w:pPr>
              <w:spacing w:after="40" w:before="0" w:line="259" w:lineRule="auto"/>
            </w:pPr>
            <w:r>
              <w:rPr>
                <w:rFonts w:ascii="Calibri" w:hAnsi="Calibri"/>
                <w:b w:val="0"/>
                <w:i w:val="0"/>
                <w:color w:val="212121"/>
                <w:sz w:val="16"/>
              </w:rPr>
              <w:t>Non-resolving, immunocompromised</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Targeted therapy</w:t>
            </w:r>
          </w:p>
        </w:tc>
        <w:tc>
          <w:tcPr>
            <w:tcW w:type="dxa" w:w="720"/>
            <w:vAlign w:val="top"/>
          </w:tcPr>
          <w:p>
            <w:pPr>
              <w:spacing w:after="40" w:before="0" w:line="259" w:lineRule="auto"/>
            </w:pPr>
            <w:r>
              <w:rPr>
                <w:rFonts w:ascii="Calibri" w:hAnsi="Calibri"/>
                <w:b w:val="0"/>
                <w:i w:val="0"/>
                <w:color w:val="212121"/>
                <w:sz w:val="16"/>
              </w:rPr>
              <w:t>Not routine; reserve for refractory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Pain/swelling around lower wisdom tooth, bad taste, difficulty opening mouth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Cardinal presentation of pericoronal inflammation</w:t>
            </w:r>
          </w:p>
        </w:tc>
        <w:tc>
          <w:tcPr>
            <w:tcW w:type="dxa" w:w="1036"/>
            <w:vAlign w:val="top"/>
          </w:tcPr>
          <w:p>
            <w:pPr>
              <w:spacing w:after="40" w:before="0" w:line="259" w:lineRule="auto"/>
            </w:pPr>
            <w:r>
              <w:rPr>
                <w:rFonts w:ascii="Calibri" w:hAnsi="Calibri"/>
                <w:b w:val="0"/>
                <w:i w:val="0"/>
                <w:color w:val="212121"/>
                <w:sz w:val="16"/>
              </w:rPr>
              <w:t>Young adults with erupting third molar</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radiate to ear, throat or TMJ</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&amp; precipitants</w:t>
            </w:r>
          </w:p>
        </w:tc>
        <w:tc>
          <w:tcPr>
            <w:tcW w:type="dxa" w:w="979"/>
            <w:vAlign w:val="top"/>
          </w:tcPr>
          <w:p>
            <w:pPr>
              <w:spacing w:after="40" w:before="0" w:line="259" w:lineRule="auto"/>
            </w:pPr>
            <w:r>
              <w:rPr>
                <w:rFonts w:ascii="Calibri" w:hAnsi="Calibri"/>
                <w:b w:val="0"/>
                <w:i w:val="0"/>
                <w:color w:val="212121"/>
                <w:sz w:val="16"/>
              </w:rPr>
              <w:t>Number of prior episodes; recent URTI, stress, fatigue, trauma</w:t>
            </w:r>
          </w:p>
        </w:tc>
        <w:tc>
          <w:tcPr>
            <w:tcW w:type="dxa" w:w="950"/>
            <w:vAlign w:val="top"/>
          </w:tcPr>
          <w:p>
            <w:pPr>
              <w:spacing w:after="40" w:before="0" w:line="259" w:lineRule="auto"/>
            </w:pPr>
            <w:r>
              <w:rPr>
                <w:rFonts w:ascii="Calibri" w:hAnsi="Calibri"/>
                <w:b w:val="0"/>
                <w:i w:val="0"/>
                <w:color w:val="212121"/>
                <w:sz w:val="16"/>
              </w:rPr>
              <w:t>First isolated episode</w:t>
            </w:r>
          </w:p>
        </w:tc>
        <w:tc>
          <w:tcPr>
            <w:tcW w:type="dxa" w:w="950"/>
            <w:vAlign w:val="top"/>
          </w:tcPr>
          <w:p>
            <w:pPr>
              <w:spacing w:after="40" w:before="0" w:line="259" w:lineRule="auto"/>
            </w:pPr>
            <w:r>
              <w:rPr>
                <w:rFonts w:ascii="Calibri" w:hAnsi="Calibri"/>
                <w:b w:val="0"/>
                <w:i w:val="0"/>
                <w:color w:val="212121"/>
                <w:sz w:val="16"/>
              </w:rPr>
              <w:t>≥ 2 recurrent episodes</w:t>
            </w:r>
          </w:p>
        </w:tc>
        <w:tc>
          <w:tcPr>
            <w:tcW w:type="dxa" w:w="1036"/>
            <w:vAlign w:val="top"/>
          </w:tcPr>
          <w:p>
            <w:pPr>
              <w:spacing w:after="40" w:before="0" w:line="259" w:lineRule="auto"/>
            </w:pPr>
            <w:r>
              <w:rPr>
                <w:rFonts w:ascii="Calibri" w:hAnsi="Calibri"/>
                <w:b w:val="0"/>
                <w:i w:val="0"/>
                <w:color w:val="212121"/>
                <w:sz w:val="16"/>
              </w:rPr>
              <w:t>Recurrent disease is a key indication for third-molar extraction</w:t>
            </w:r>
          </w:p>
        </w:tc>
        <w:tc>
          <w:tcPr>
            <w:tcW w:type="dxa" w:w="1036"/>
            <w:vAlign w:val="top"/>
          </w:tcPr>
          <w:p>
            <w:pPr>
              <w:spacing w:after="40" w:before="0" w:line="259" w:lineRule="auto"/>
            </w:pPr>
            <w:r>
              <w:rPr>
                <w:rFonts w:ascii="Calibri" w:hAnsi="Calibri"/>
                <w:b w:val="0"/>
                <w:i w:val="0"/>
                <w:color w:val="212121"/>
                <w:sz w:val="16"/>
              </w:rPr>
              <w:t>Recurrent pericoronitis</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Decision-making</w:t>
            </w:r>
          </w:p>
        </w:tc>
        <w:tc>
          <w:tcPr>
            <w:tcW w:type="dxa" w:w="720"/>
            <w:vAlign w:val="top"/>
          </w:tcPr>
          <w:p>
            <w:pPr>
              <w:spacing w:after="40" w:before="0" w:line="259" w:lineRule="auto"/>
            </w:pPr>
            <w:r>
              <w:rPr>
                <w:rFonts w:ascii="Calibri" w:hAnsi="Calibri"/>
                <w:b w:val="0"/>
                <w:i w:val="0"/>
                <w:color w:val="212121"/>
                <w:sz w:val="16"/>
              </w:rPr>
              <w:t>Documents flare triggers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Operculum inspection</w:t>
            </w:r>
          </w:p>
        </w:tc>
        <w:tc>
          <w:tcPr>
            <w:tcW w:type="dxa" w:w="979"/>
            <w:vAlign w:val="top"/>
          </w:tcPr>
          <w:p>
            <w:pPr>
              <w:spacing w:after="40" w:before="0" w:line="259" w:lineRule="auto"/>
            </w:pPr>
            <w:r>
              <w:rPr>
                <w:rFonts w:ascii="Calibri" w:hAnsi="Calibri"/>
                <w:b w:val="0"/>
                <w:i w:val="0"/>
                <w:color w:val="212121"/>
                <w:sz w:val="16"/>
              </w:rPr>
              <w:t>Red, swollen, tender flap over partially erupted molar; pus on pressure</w:t>
            </w:r>
          </w:p>
        </w:tc>
        <w:tc>
          <w:tcPr>
            <w:tcW w:type="dxa" w:w="950"/>
            <w:vAlign w:val="top"/>
          </w:tcPr>
          <w:p>
            <w:pPr>
              <w:spacing w:after="40" w:before="0" w:line="259" w:lineRule="auto"/>
            </w:pPr>
            <w:r>
              <w:rPr>
                <w:rFonts w:ascii="Calibri" w:hAnsi="Calibri"/>
                <w:b w:val="0"/>
                <w:i w:val="0"/>
                <w:color w:val="212121"/>
                <w:sz w:val="16"/>
              </w:rPr>
              <w:t>Healthy, fully erupted or absent operculum</w:t>
            </w:r>
          </w:p>
        </w:tc>
        <w:tc>
          <w:tcPr>
            <w:tcW w:type="dxa" w:w="950"/>
            <w:vAlign w:val="top"/>
          </w:tcPr>
          <w:p>
            <w:pPr>
              <w:spacing w:after="40" w:before="0" w:line="259" w:lineRule="auto"/>
            </w:pPr>
            <w:r>
              <w:rPr>
                <w:rFonts w:ascii="Calibri" w:hAnsi="Calibri"/>
                <w:b w:val="0"/>
                <w:i w:val="0"/>
                <w:color w:val="212121"/>
                <w:sz w:val="16"/>
              </w:rPr>
              <w:t>Inflamed operculum ± purulent discharge</w:t>
            </w:r>
          </w:p>
        </w:tc>
        <w:tc>
          <w:tcPr>
            <w:tcW w:type="dxa" w:w="1036"/>
            <w:vAlign w:val="top"/>
          </w:tcPr>
          <w:p>
            <w:pPr>
              <w:spacing w:after="40" w:before="0" w:line="259" w:lineRule="auto"/>
            </w:pPr>
            <w:r>
              <w:rPr>
                <w:rFonts w:ascii="Calibri" w:hAnsi="Calibri"/>
                <w:b w:val="0"/>
                <w:i w:val="0"/>
                <w:color w:val="212121"/>
                <w:sz w:val="16"/>
              </w:rPr>
              <w:t>Confirms diagnosis and localizes infection</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Check for opposing-tooth indentation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Mouth opening / trismus</w:t>
            </w:r>
          </w:p>
        </w:tc>
        <w:tc>
          <w:tcPr>
            <w:tcW w:type="dxa" w:w="979"/>
            <w:vAlign w:val="top"/>
          </w:tcPr>
          <w:p>
            <w:pPr>
              <w:spacing w:after="40" w:before="0" w:line="259" w:lineRule="auto"/>
            </w:pPr>
            <w:r>
              <w:rPr>
                <w:rFonts w:ascii="Calibri" w:hAnsi="Calibri"/>
                <w:b w:val="0"/>
                <w:i w:val="0"/>
                <w:color w:val="212121"/>
                <w:sz w:val="16"/>
              </w:rPr>
              <w:t>Inter-incisal distance</w:t>
            </w:r>
          </w:p>
        </w:tc>
        <w:tc>
          <w:tcPr>
            <w:tcW w:type="dxa" w:w="950"/>
            <w:vAlign w:val="top"/>
          </w:tcPr>
          <w:p>
            <w:pPr>
              <w:spacing w:after="40" w:before="0" w:line="259" w:lineRule="auto"/>
            </w:pPr>
            <w:r>
              <w:rPr>
                <w:rFonts w:ascii="Calibri" w:hAnsi="Calibri"/>
                <w:b w:val="0"/>
                <w:i w:val="0"/>
                <w:color w:val="212121"/>
                <w:sz w:val="16"/>
              </w:rPr>
              <w:t>≥ 40 mm</w:t>
            </w:r>
          </w:p>
        </w:tc>
        <w:tc>
          <w:tcPr>
            <w:tcW w:type="dxa" w:w="950"/>
            <w:vAlign w:val="top"/>
          </w:tcPr>
          <w:p>
            <w:pPr>
              <w:spacing w:after="40" w:before="0" w:line="259" w:lineRule="auto"/>
            </w:pPr>
            <w:r>
              <w:rPr>
                <w:rFonts w:ascii="Calibri" w:hAnsi="Calibri"/>
                <w:b w:val="0"/>
                <w:i w:val="0"/>
                <w:color w:val="212121"/>
                <w:sz w:val="16"/>
              </w:rPr>
              <w:t>&lt; 30 mm</w:t>
            </w:r>
          </w:p>
        </w:tc>
        <w:tc>
          <w:tcPr>
            <w:tcW w:type="dxa" w:w="1036"/>
            <w:vAlign w:val="top"/>
          </w:tcPr>
          <w:p>
            <w:pPr>
              <w:spacing w:after="40" w:before="0" w:line="259" w:lineRule="auto"/>
            </w:pPr>
            <w:r>
              <w:rPr>
                <w:rFonts w:ascii="Calibri" w:hAnsi="Calibri"/>
                <w:b w:val="0"/>
                <w:i w:val="0"/>
                <w:color w:val="212121"/>
                <w:sz w:val="16"/>
              </w:rPr>
              <w:t>Trismus indicates masticator-space involvement / severity</w:t>
            </w:r>
          </w:p>
        </w:tc>
        <w:tc>
          <w:tcPr>
            <w:tcW w:type="dxa" w:w="1036"/>
            <w:vAlign w:val="top"/>
          </w:tcPr>
          <w:p>
            <w:pPr>
              <w:spacing w:after="40" w:before="0" w:line="259" w:lineRule="auto"/>
            </w:pPr>
            <w:r>
              <w:rPr>
                <w:rFonts w:ascii="Calibri" w:hAnsi="Calibri"/>
                <w:b w:val="0"/>
                <w:i w:val="0"/>
                <w:color w:val="212121"/>
                <w:sz w:val="16"/>
              </w:rPr>
              <w:t>Acute, spreading pericoronitis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triage</w:t>
            </w:r>
          </w:p>
        </w:tc>
        <w:tc>
          <w:tcPr>
            <w:tcW w:type="dxa" w:w="720"/>
            <w:vAlign w:val="top"/>
          </w:tcPr>
          <w:p>
            <w:pPr>
              <w:spacing w:after="40" w:before="0" w:line="259" w:lineRule="auto"/>
            </w:pPr>
            <w:r>
              <w:rPr>
                <w:rFonts w:ascii="Calibri" w:hAnsi="Calibri"/>
                <w:b w:val="0"/>
                <w:i w:val="0"/>
                <w:color w:val="212121"/>
                <w:sz w:val="16"/>
              </w:rPr>
              <w:t>Progressive trismus warrants urgent care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Regional lymph nodes</w:t>
            </w:r>
          </w:p>
        </w:tc>
        <w:tc>
          <w:tcPr>
            <w:tcW w:type="dxa" w:w="979"/>
            <w:vAlign w:val="top"/>
          </w:tcPr>
          <w:p>
            <w:pPr>
              <w:spacing w:after="40" w:before="0" w:line="259" w:lineRule="auto"/>
            </w:pPr>
            <w:r>
              <w:rPr>
                <w:rFonts w:ascii="Calibri" w:hAnsi="Calibri"/>
                <w:b w:val="0"/>
                <w:i w:val="0"/>
                <w:color w:val="212121"/>
                <w:sz w:val="16"/>
              </w:rPr>
              <w:t>Submandibular / cervical nodes</w:t>
            </w:r>
          </w:p>
        </w:tc>
        <w:tc>
          <w:tcPr>
            <w:tcW w:type="dxa" w:w="950"/>
            <w:vAlign w:val="top"/>
          </w:tcPr>
          <w:p>
            <w:pPr>
              <w:spacing w:after="40" w:before="0" w:line="259" w:lineRule="auto"/>
            </w:pPr>
            <w:r>
              <w:rPr>
                <w:rFonts w:ascii="Calibri" w:hAnsi="Calibri"/>
                <w:b w:val="0"/>
                <w:i w:val="0"/>
                <w:color w:val="212121"/>
                <w:sz w:val="16"/>
              </w:rPr>
              <w:t>Non-tender, not enlarged</w:t>
            </w:r>
          </w:p>
        </w:tc>
        <w:tc>
          <w:tcPr>
            <w:tcW w:type="dxa" w:w="950"/>
            <w:vAlign w:val="top"/>
          </w:tcPr>
          <w:p>
            <w:pPr>
              <w:spacing w:after="40" w:before="0" w:line="259" w:lineRule="auto"/>
            </w:pPr>
            <w:r>
              <w:rPr>
                <w:rFonts w:ascii="Calibri" w:hAnsi="Calibri"/>
                <w:b w:val="0"/>
                <w:i w:val="0"/>
                <w:color w:val="212121"/>
                <w:sz w:val="16"/>
              </w:rPr>
              <w:t>Tender lymphadenopathy</w:t>
            </w:r>
          </w:p>
        </w:tc>
        <w:tc>
          <w:tcPr>
            <w:tcW w:type="dxa" w:w="1036"/>
            <w:vAlign w:val="top"/>
          </w:tcPr>
          <w:p>
            <w:pPr>
              <w:spacing w:after="40" w:before="0" w:line="259" w:lineRule="auto"/>
            </w:pPr>
            <w:r>
              <w:rPr>
                <w:rFonts w:ascii="Calibri" w:hAnsi="Calibri"/>
                <w:b w:val="0"/>
                <w:i w:val="0"/>
                <w:color w:val="212121"/>
                <w:sz w:val="16"/>
              </w:rPr>
              <w:t>Signals regional immune response / spread</w:t>
            </w:r>
          </w:p>
        </w:tc>
        <w:tc>
          <w:tcPr>
            <w:tcW w:type="dxa" w:w="1036"/>
            <w:vAlign w:val="top"/>
          </w:tcPr>
          <w:p>
            <w:pPr>
              <w:spacing w:after="40" w:before="0" w:line="259" w:lineRule="auto"/>
            </w:pPr>
            <w:r>
              <w:rPr>
                <w:rFonts w:ascii="Calibri" w:hAnsi="Calibri"/>
                <w:b w:val="0"/>
                <w:i w:val="0"/>
                <w:color w:val="212121"/>
                <w:sz w:val="16"/>
              </w:rPr>
              <w:t>Systemic involvement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Assessment</w:t>
            </w:r>
          </w:p>
        </w:tc>
        <w:tc>
          <w:tcPr>
            <w:tcW w:type="dxa" w:w="720"/>
            <w:vAlign w:val="top"/>
          </w:tcPr>
          <w:p>
            <w:pPr>
              <w:spacing w:after="40" w:before="0" w:line="259" w:lineRule="auto"/>
            </w:pPr>
            <w:r>
              <w:rPr>
                <w:rFonts w:ascii="Calibri" w:hAnsi="Calibri"/>
                <w:b w:val="0"/>
                <w:i w:val="0"/>
                <w:color w:val="212121"/>
                <w:sz w:val="16"/>
              </w:rPr>
              <w:t>Bilateral involvement is concerning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Signs of spread / airway</w:t>
            </w:r>
          </w:p>
        </w:tc>
        <w:tc>
          <w:tcPr>
            <w:tcW w:type="dxa" w:w="979"/>
            <w:vAlign w:val="top"/>
          </w:tcPr>
          <w:p>
            <w:pPr>
              <w:spacing w:after="40" w:before="0" w:line="259" w:lineRule="auto"/>
            </w:pPr>
            <w:r>
              <w:rPr>
                <w:rFonts w:ascii="Calibri" w:hAnsi="Calibri"/>
                <w:b w:val="0"/>
                <w:i w:val="0"/>
                <w:color w:val="212121"/>
                <w:sz w:val="16"/>
              </w:rPr>
              <w:t>Facial swelling, floor-of-mouth elevation, dysphagia, drooling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Red-flags for Ludwig's angina and airway compromise</w:t>
            </w:r>
          </w:p>
        </w:tc>
        <w:tc>
          <w:tcPr>
            <w:tcW w:type="dxa" w:w="1036"/>
            <w:vAlign w:val="top"/>
          </w:tcPr>
          <w:p>
            <w:pPr>
              <w:spacing w:after="40" w:before="0" w:line="259" w:lineRule="auto"/>
            </w:pPr>
            <w:r>
              <w:rPr>
                <w:rFonts w:ascii="Calibri" w:hAnsi="Calibri"/>
                <w:b w:val="0"/>
                <w:i w:val="0"/>
                <w:color w:val="212121"/>
                <w:sz w:val="16"/>
              </w:rPr>
              <w:t>Immunocompromised, diabetics, severe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Emergency triage</w:t>
            </w:r>
          </w:p>
        </w:tc>
        <w:tc>
          <w:tcPr>
            <w:tcW w:type="dxa" w:w="720"/>
            <w:vAlign w:val="top"/>
          </w:tcPr>
          <w:p>
            <w:pPr>
              <w:spacing w:after="40" w:before="0" w:line="259" w:lineRule="auto"/>
            </w:pPr>
            <w:r>
              <w:rPr>
                <w:rFonts w:ascii="Calibri" w:hAnsi="Calibri"/>
                <w:b w:val="0"/>
                <w:i w:val="0"/>
                <w:color w:val="212121"/>
                <w:sz w:val="16"/>
              </w:rPr>
              <w:t>Requires urgent hospital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 around an erupting lower wisdom tooth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Localized, throbbing pain over the operculum, the hallmark complaint.</w:t>
            </w:r>
          </w:p>
        </w:tc>
      </w:tr>
      <w:tr>
        <w:trPr>
          <w:cantSplit/>
        </w:trPr>
        <w:tc>
          <w:tcPr>
            <w:tcW w:type="dxa" w:w="2304"/>
            <w:vAlign w:val="top"/>
          </w:tcPr>
          <w:p>
            <w:pPr>
              <w:spacing w:after="40" w:before="0" w:line="259" w:lineRule="auto"/>
            </w:pPr>
            <w:r>
              <w:rPr>
                <w:rFonts w:ascii="Calibri" w:hAnsi="Calibri"/>
                <w:b/>
                <w:i w:val="0"/>
                <w:color w:val="212121"/>
                <w:sz w:val="19"/>
              </w:rPr>
              <w:t>Swelling and redness of the gum flap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Inflamed, tender operculum overlying the partially erupted crown.</w:t>
            </w:r>
          </w:p>
        </w:tc>
      </w:tr>
      <w:tr>
        <w:trPr>
          <w:cantSplit/>
        </w:trPr>
        <w:tc>
          <w:tcPr>
            <w:tcW w:type="dxa" w:w="2304"/>
            <w:vAlign w:val="top"/>
          </w:tcPr>
          <w:p>
            <w:pPr>
              <w:spacing w:after="40" w:before="0" w:line="259" w:lineRule="auto"/>
            </w:pPr>
            <w:r>
              <w:rPr>
                <w:rFonts w:ascii="Calibri" w:hAnsi="Calibri"/>
                <w:b/>
                <w:i w:val="0"/>
                <w:color w:val="212121"/>
                <w:sz w:val="19"/>
              </w:rPr>
              <w:t>Bad taste and bad breath (halitosis)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stagnant debris and pus beneath the operculum.</w:t>
            </w:r>
          </w:p>
        </w:tc>
      </w:tr>
      <w:tr>
        <w:trPr>
          <w:cantSplit/>
        </w:trPr>
        <w:tc>
          <w:tcPr>
            <w:tcW w:type="dxa" w:w="2304"/>
            <w:vAlign w:val="top"/>
          </w:tcPr>
          <w:p>
            <w:pPr>
              <w:spacing w:after="40" w:before="0" w:line="259" w:lineRule="auto"/>
            </w:pPr>
            <w:r>
              <w:rPr>
                <w:rFonts w:ascii="Calibri" w:hAnsi="Calibri"/>
                <w:b/>
                <w:i w:val="0"/>
                <w:color w:val="212121"/>
                <w:sz w:val="19"/>
              </w:rPr>
              <w:t>Pus discharge / discomfort on biting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Purulent or serous ooze expressed from under the flap, worsened by the opposing tooth.</w:t>
            </w:r>
          </w:p>
        </w:tc>
      </w:tr>
      <w:tr>
        <w:trPr>
          <w:cantSplit/>
        </w:trPr>
        <w:tc>
          <w:tcPr>
            <w:tcW w:type="dxa" w:w="2304"/>
            <w:vAlign w:val="top"/>
          </w:tcPr>
          <w:p>
            <w:pPr>
              <w:spacing w:after="40" w:before="0" w:line="259" w:lineRule="auto"/>
            </w:pPr>
            <w:r>
              <w:rPr>
                <w:rFonts w:ascii="Calibri" w:hAnsi="Calibri"/>
                <w:b/>
                <w:i w:val="0"/>
                <w:color w:val="212121"/>
                <w:sz w:val="19"/>
              </w:rPr>
              <w:t>Pain radiating to ear, throat or jaw joint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Referred pain along shared sensory pathways of the mandibular nerve.</w:t>
            </w:r>
          </w:p>
        </w:tc>
      </w:tr>
      <w:tr>
        <w:trPr>
          <w:cantSplit/>
        </w:trPr>
        <w:tc>
          <w:tcPr>
            <w:tcW w:type="dxa" w:w="2304"/>
            <w:vAlign w:val="top"/>
          </w:tcPr>
          <w:p>
            <w:pPr>
              <w:spacing w:after="40" w:before="0" w:line="259" w:lineRule="auto"/>
            </w:pPr>
            <w:r>
              <w:rPr>
                <w:rFonts w:ascii="Calibri" w:hAnsi="Calibri"/>
                <w:b/>
                <w:i w:val="0"/>
                <w:color w:val="212121"/>
                <w:sz w:val="19"/>
              </w:rPr>
              <w:t>Difficulty or pain opening the mouth (trismus)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Inflammatory spread to muscles of mastication limits opening.</w:t>
            </w:r>
          </w:p>
        </w:tc>
      </w:tr>
      <w:tr>
        <w:trPr>
          <w:cantSplit/>
        </w:trPr>
        <w:tc>
          <w:tcPr>
            <w:tcW w:type="dxa" w:w="2304"/>
            <w:vAlign w:val="top"/>
          </w:tcPr>
          <w:p>
            <w:pPr>
              <w:spacing w:after="40" w:before="0" w:line="259" w:lineRule="auto"/>
            </w:pPr>
            <w:r>
              <w:rPr>
                <w:rFonts w:ascii="Calibri" w:hAnsi="Calibri"/>
                <w:b/>
                <w:i w:val="0"/>
                <w:color w:val="212121"/>
                <w:sz w:val="19"/>
              </w:rPr>
              <w:t>Pain or difficulty swallowing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extension towards the pharyngeal / parapharyngeal space.</w:t>
            </w:r>
          </w:p>
        </w:tc>
      </w:tr>
      <w:tr>
        <w:trPr>
          <w:cantSplit/>
        </w:trPr>
        <w:tc>
          <w:tcPr>
            <w:tcW w:type="dxa" w:w="2304"/>
            <w:vAlign w:val="top"/>
          </w:tcPr>
          <w:p>
            <w:pPr>
              <w:spacing w:after="40" w:before="0" w:line="259" w:lineRule="auto"/>
            </w:pPr>
            <w:r>
              <w:rPr>
                <w:rFonts w:ascii="Calibri" w:hAnsi="Calibri"/>
                <w:b/>
                <w:i w:val="0"/>
                <w:color w:val="212121"/>
                <w:sz w:val="19"/>
              </w:rPr>
              <w:t>Tender, swollen glands in the neck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Regional lymphadenitis accompanying active infection.</w:t>
            </w:r>
          </w:p>
        </w:tc>
      </w:tr>
      <w:tr>
        <w:trPr>
          <w:cantSplit/>
        </w:trPr>
        <w:tc>
          <w:tcPr>
            <w:tcW w:type="dxa" w:w="2304"/>
            <w:vAlign w:val="top"/>
          </w:tcPr>
          <w:p>
            <w:pPr>
              <w:spacing w:after="40" w:before="0" w:line="259" w:lineRule="auto"/>
            </w:pPr>
            <w:r>
              <w:rPr>
                <w:rFonts w:ascii="Calibri" w:hAnsi="Calibri"/>
                <w:b/>
                <w:i w:val="0"/>
                <w:color w:val="212121"/>
                <w:sz w:val="19"/>
              </w:rPr>
              <w:t>Fever and general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response indicating a spreading or more severe infection.</w:t>
            </w:r>
          </w:p>
        </w:tc>
      </w:tr>
      <w:tr>
        <w:trPr>
          <w:cantSplit/>
        </w:trPr>
        <w:tc>
          <w:tcPr>
            <w:tcW w:type="dxa" w:w="2304"/>
            <w:vAlign w:val="top"/>
          </w:tcPr>
          <w:p>
            <w:pPr>
              <w:spacing w:after="40" w:before="0" w:line="259" w:lineRule="auto"/>
            </w:pPr>
            <w:r>
              <w:rPr>
                <w:rFonts w:ascii="Calibri" w:hAnsi="Calibri"/>
                <w:b/>
                <w:i w:val="0"/>
                <w:color w:val="212121"/>
                <w:sz w:val="19"/>
              </w:rPr>
              <w:t>Loss of appetite / reluctance to chew</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and trismus limit eating on the affected side.</w:t>
            </w:r>
          </w:p>
        </w:tc>
      </w:tr>
      <w:tr>
        <w:trPr>
          <w:cantSplit/>
        </w:trPr>
        <w:tc>
          <w:tcPr>
            <w:tcW w:type="dxa" w:w="2304"/>
            <w:vAlign w:val="top"/>
          </w:tcPr>
          <w:p>
            <w:pPr>
              <w:spacing w:after="40" w:before="0" w:line="259" w:lineRule="auto"/>
            </w:pPr>
            <w:r>
              <w:rPr>
                <w:rFonts w:ascii="Calibri" w:hAnsi="Calibri"/>
                <w:b/>
                <w:i w:val="0"/>
                <w:color w:val="212121"/>
                <w:sz w:val="19"/>
              </w:rPr>
              <w:t>Difficulty breathing with severe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Airway red-flag suggesting Ludwig's angina;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Erythematous, edematous operculum over a partially erupted mandibular third molar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local sign of pericoronitis.</w:t>
            </w:r>
          </w:p>
        </w:tc>
      </w:tr>
      <w:tr>
        <w:trPr>
          <w:cantSplit/>
        </w:trPr>
        <w:tc>
          <w:tcPr>
            <w:tcW w:type="dxa" w:w="3456"/>
            <w:vAlign w:val="top"/>
          </w:tcPr>
          <w:p>
            <w:pPr>
              <w:spacing w:after="40" w:before="0" w:line="259" w:lineRule="auto"/>
            </w:pPr>
            <w:r>
              <w:rPr>
                <w:rFonts w:ascii="Calibri" w:hAnsi="Calibri"/>
                <w:b/>
                <w:i w:val="0"/>
                <w:color w:val="212121"/>
                <w:sz w:val="19"/>
              </w:rPr>
              <w:t>Purulent discharge from beneath the operculum on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Confirms active pericoronal infection.</w:t>
            </w:r>
          </w:p>
        </w:tc>
      </w:tr>
      <w:tr>
        <w:trPr>
          <w:cantSplit/>
        </w:trPr>
        <w:tc>
          <w:tcPr>
            <w:tcW w:type="dxa" w:w="3456"/>
            <w:vAlign w:val="top"/>
          </w:tcPr>
          <w:p>
            <w:pPr>
              <w:spacing w:after="40" w:before="0" w:line="259" w:lineRule="auto"/>
            </w:pPr>
            <w:r>
              <w:rPr>
                <w:rFonts w:ascii="Calibri" w:hAnsi="Calibri"/>
                <w:b/>
                <w:i w:val="0"/>
                <w:color w:val="212121"/>
                <w:sz w:val="19"/>
              </w:rPr>
              <w:t>Trismus (reduced inter-incisal opening)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inflammatory involvement of masticatory muscles.</w:t>
            </w:r>
          </w:p>
        </w:tc>
      </w:tr>
      <w:tr>
        <w:trPr>
          <w:cantSplit/>
        </w:trPr>
        <w:tc>
          <w:tcPr>
            <w:tcW w:type="dxa" w:w="3456"/>
            <w:vAlign w:val="top"/>
          </w:tcPr>
          <w:p>
            <w:pPr>
              <w:spacing w:after="40" w:before="0" w:line="259" w:lineRule="auto"/>
            </w:pPr>
            <w:r>
              <w:rPr>
                <w:rFonts w:ascii="Calibri" w:hAnsi="Calibri"/>
                <w:b/>
                <w:i w:val="0"/>
                <w:color w:val="212121"/>
                <w:sz w:val="19"/>
              </w:rPr>
              <w:t>Tender submandibular / cervical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Regional nodal response to infection.</w:t>
            </w:r>
          </w:p>
        </w:tc>
      </w:tr>
      <w:tr>
        <w:trPr>
          <w:cantSplit/>
        </w:trPr>
        <w:tc>
          <w:tcPr>
            <w:tcW w:type="dxa" w:w="3456"/>
            <w:vAlign w:val="top"/>
          </w:tcPr>
          <w:p>
            <w:pPr>
              <w:spacing w:after="40" w:before="0" w:line="259" w:lineRule="auto"/>
            </w:pPr>
            <w:r>
              <w:rPr>
                <w:rFonts w:ascii="Calibri" w:hAnsi="Calibri"/>
                <w:b/>
                <w:i w:val="0"/>
                <w:color w:val="212121"/>
                <w:sz w:val="19"/>
              </w:rPr>
              <w:t>Halitosis and foul taste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Odour from anaerobic biofilm and necrotic debris.</w:t>
            </w:r>
          </w:p>
        </w:tc>
      </w:tr>
      <w:tr>
        <w:trPr>
          <w:cantSplit/>
        </w:trPr>
        <w:tc>
          <w:tcPr>
            <w:tcW w:type="dxa" w:w="3456"/>
            <w:vAlign w:val="top"/>
          </w:tcPr>
          <w:p>
            <w:pPr>
              <w:spacing w:after="40" w:before="0" w:line="259" w:lineRule="auto"/>
            </w:pPr>
            <w:r>
              <w:rPr>
                <w:rFonts w:ascii="Calibri" w:hAnsi="Calibri"/>
                <w:b/>
                <w:i w:val="0"/>
                <w:color w:val="212121"/>
                <w:sz w:val="19"/>
              </w:rPr>
              <w:t>Indentation or ulceration of the operculum from the opposing tooth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Marks chronic mechanical trauma perpetuating inflammation.</w:t>
            </w:r>
          </w:p>
        </w:tc>
      </w:tr>
      <w:tr>
        <w:trPr>
          <w:cantSplit/>
        </w:trPr>
        <w:tc>
          <w:tcPr>
            <w:tcW w:type="dxa" w:w="3456"/>
            <w:vAlign w:val="top"/>
          </w:tcPr>
          <w:p>
            <w:pPr>
              <w:spacing w:after="40" w:before="0" w:line="259" w:lineRule="auto"/>
            </w:pPr>
            <w:r>
              <w:rPr>
                <w:rFonts w:ascii="Calibri" w:hAnsi="Calibri"/>
                <w:b/>
                <w:i w:val="0"/>
                <w:color w:val="212121"/>
                <w:sz w:val="19"/>
              </w:rPr>
              <w:t>Facial / cheek swelling with cellulitis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extension beyond the localized operculum.</w:t>
            </w:r>
          </w:p>
        </w:tc>
      </w:tr>
      <w:tr>
        <w:trPr>
          <w:cantSplit/>
        </w:trPr>
        <w:tc>
          <w:tcPr>
            <w:tcW w:type="dxa" w:w="3456"/>
            <w:vAlign w:val="top"/>
          </w:tcPr>
          <w:p>
            <w:pPr>
              <w:spacing w:after="40" w:before="0" w:line="259" w:lineRule="auto"/>
            </w:pPr>
            <w:r>
              <w:rPr>
                <w:rFonts w:ascii="Calibri" w:hAnsi="Calibri"/>
                <w:b/>
                <w:i w:val="0"/>
                <w:color w:val="212121"/>
                <w:sz w:val="19"/>
              </w:rPr>
              <w:t>Pyrexia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Systemic sign of a spreading infection.</w:t>
            </w:r>
          </w:p>
        </w:tc>
      </w:tr>
      <w:tr>
        <w:trPr>
          <w:cantSplit/>
        </w:trPr>
        <w:tc>
          <w:tcPr>
            <w:tcW w:type="dxa" w:w="3456"/>
            <w:vAlign w:val="top"/>
          </w:tcPr>
          <w:p>
            <w:pPr>
              <w:spacing w:after="40" w:before="0" w:line="259" w:lineRule="auto"/>
            </w:pPr>
            <w:r>
              <w:rPr>
                <w:rFonts w:ascii="Calibri" w:hAnsi="Calibri"/>
                <w:b/>
                <w:i w:val="0"/>
                <w:color w:val="212121"/>
                <w:sz w:val="19"/>
              </w:rPr>
              <w:t>Fluctuant pericoronal or buccal-space abscess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Localized pus collection requiring drainage.</w:t>
            </w:r>
          </w:p>
        </w:tc>
      </w:tr>
      <w:tr>
        <w:trPr>
          <w:cantSplit/>
        </w:trPr>
        <w:tc>
          <w:tcPr>
            <w:tcW w:type="dxa" w:w="3456"/>
            <w:vAlign w:val="top"/>
          </w:tcPr>
          <w:p>
            <w:pPr>
              <w:spacing w:after="40" w:before="0" w:line="259" w:lineRule="auto"/>
            </w:pPr>
            <w:r>
              <w:rPr>
                <w:rFonts w:ascii="Calibri" w:hAnsi="Calibri"/>
                <w:b/>
                <w:i w:val="0"/>
                <w:color w:val="212121"/>
                <w:sz w:val="19"/>
              </w:rPr>
              <w:t>Floor-of-mouth elevation, tongue displacement, respiratory distress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Hallmark of Ludwig's angina with impending airway obstruction.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Pericoronal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Localized soft-tissue cellulitis around the operculum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Trismus (restricted mouth opening)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Ulceration of the operculum from opposing-tooth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food and plaque impaction with recurrent flares</w:t>
            </w:r>
          </w:p>
        </w:tc>
        <w:tc>
          <w:tcPr>
            <w:tcW w:type="dxa" w:w="2980"/>
            <w:vAlign w:val="top"/>
          </w:tcPr>
          <w:p>
            <w:pPr>
              <w:spacing w:after="40" w:before="0" w:line="259" w:lineRule="auto"/>
            </w:pPr>
            <w:r>
              <w:rPr>
                <w:rFonts w:ascii="Calibri" w:hAnsi="Calibri"/>
                <w:b w:val="0"/>
                <w:i w:val="0"/>
                <w:color w:val="212121"/>
                <w:sz w:val="19"/>
              </w:rPr>
              <w:t>Direct local consequences of infection and inflammation confined to the pericoronal tissues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Fascial-space infections (submandibular, submasseteric, pterygomandibular, buccal)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lymphadenitis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Caries and distal periodontal destruction of the adjacent second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Peritonsillar / parapharyngeal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and worsening trismus</w:t>
            </w:r>
          </w:p>
        </w:tc>
        <w:tc>
          <w:tcPr>
            <w:tcW w:type="dxa" w:w="2980"/>
            <w:vAlign w:val="top"/>
          </w:tcPr>
          <w:p>
            <w:pPr>
              <w:spacing w:after="40" w:before="0" w:line="259" w:lineRule="auto"/>
            </w:pPr>
            <w:r>
              <w:rPr>
                <w:rFonts w:ascii="Calibri" w:hAnsi="Calibri"/>
                <w:b w:val="0"/>
                <w:i w:val="0"/>
                <w:color w:val="212121"/>
                <w:sz w:val="19"/>
              </w:rPr>
              <w:t>Result from spread of infection into adjacent spaces and structures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Ludwig's angina with airway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neck-space infection extending to the mediastinum (mediastinitis)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Septicaemia, especially in diabetics and the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of the mandible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Emergency hospitalization, surgical drainage and tooth extraction</w:t>
            </w:r>
          </w:p>
        </w:tc>
        <w:tc>
          <w:tcPr>
            <w:tcW w:type="dxa" w:w="2980"/>
            <w:vAlign w:val="top"/>
          </w:tcPr>
          <w:p>
            <w:pPr>
              <w:spacing w:after="40" w:before="0" w:line="259" w:lineRule="auto"/>
            </w:pPr>
            <w:r>
              <w:rPr>
                <w:rFonts w:ascii="Calibri" w:hAnsi="Calibri"/>
                <w:b w:val="0"/>
                <w:i w:val="0"/>
                <w:color w:val="212121"/>
                <w:sz w:val="19"/>
              </w:rPr>
              <w:t>Life-threatening or disabling outcomes of uncontrolled spreading pericoronal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Impacted mandibular third molar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The partially erupted/impacted molar is the anatomical substrate on which pericoronitis develops; mesioangular and vertical partial impactions carry the highest risk.</w:t>
            </w:r>
          </w:p>
          <w:p>
            <w:pPr>
              <w:spacing w:after="40" w:before="0" w:line="259" w:lineRule="auto"/>
            </w:pPr>
            <w:r>
              <w:rPr>
                <w:rFonts w:ascii="Calibri" w:hAnsi="Calibri"/>
                <w:b/>
                <w:i w:val="0"/>
                <w:color w:val="212121"/>
                <w:sz w:val="19"/>
              </w:rPr>
              <w:t>Up to ~68% (impaction across populations)</w:t>
            </w:r>
          </w:p>
        </w:tc>
      </w:tr>
      <w:tr>
        <w:trPr>
          <w:cantSplit/>
        </w:trPr>
        <w:tc>
          <w:tcPr>
            <w:tcW w:type="dxa" w:w="2232"/>
            <w:vAlign w:val="top"/>
          </w:tcPr>
          <w:p>
            <w:pPr>
              <w:spacing w:after="40" w:before="0" w:line="259" w:lineRule="auto"/>
            </w:pPr>
            <w:r>
              <w:rPr>
                <w:rFonts w:ascii="Calibri" w:hAnsi="Calibri"/>
                <w:b/>
                <w:i w:val="0"/>
                <w:color w:val="212121"/>
                <w:sz w:val="19"/>
              </w:rPr>
              <w:t>Dental caries of the adjacent second molar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Plaque stagnation and food packing beneath the operculum drive distal caries of the neighbouring second molar.</w:t>
            </w:r>
          </w:p>
        </w:tc>
      </w:tr>
      <w:tr>
        <w:trPr>
          <w:cantSplit/>
        </w:trPr>
        <w:tc>
          <w:tcPr>
            <w:tcW w:type="dxa" w:w="2232"/>
            <w:vAlign w:val="top"/>
          </w:tcPr>
          <w:p>
            <w:pPr>
              <w:spacing w:after="40" w:before="0" w:line="259" w:lineRule="auto"/>
            </w:pPr>
            <w:r>
              <w:rPr>
                <w:rFonts w:ascii="Calibri" w:hAnsi="Calibri"/>
                <w:b/>
                <w:i w:val="0"/>
                <w:color w:val="212121"/>
                <w:sz w:val="19"/>
              </w:rPr>
              <w:t>Periodontal disease (distal to 2nd molar)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un-cleansable pocket promotes localized periodontal breakdown, and periodontal inflammation reciprocally worsens the pericoronal environment.</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and healing make pericoronitis more frequent and severe, while recurrent oral infection worsens glycaemic control.</w:t>
            </w:r>
          </w:p>
        </w:tc>
      </w:tr>
      <w:tr>
        <w:trPr>
          <w:cantSplit/>
        </w:trPr>
        <w:tc>
          <w:tcPr>
            <w:tcW w:type="dxa" w:w="2232"/>
            <w:vAlign w:val="top"/>
          </w:tcPr>
          <w:p>
            <w:pPr>
              <w:spacing w:after="40" w:before="0" w:line="259" w:lineRule="auto"/>
            </w:pPr>
            <w:r>
              <w:rPr>
                <w:rFonts w:ascii="Calibri" w:hAnsi="Calibri"/>
                <w:b/>
                <w:i w:val="0"/>
                <w:color w:val="212121"/>
                <w:sz w:val="19"/>
              </w:rPr>
              <w:t>Ludwig's angina / deep neck-space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dangerous downstream extension of untreated spreading pericoronitis that threatens the airway.</w:t>
            </w:r>
          </w:p>
        </w:tc>
      </w:tr>
      <w:tr>
        <w:trPr>
          <w:cantSplit/>
        </w:trPr>
        <w:tc>
          <w:tcPr>
            <w:tcW w:type="dxa" w:w="2232"/>
            <w:vAlign w:val="top"/>
          </w:tcPr>
          <w:p>
            <w:pPr>
              <w:spacing w:after="40" w:before="0" w:line="259" w:lineRule="auto"/>
            </w:pPr>
            <w:r>
              <w:rPr>
                <w:rFonts w:ascii="Calibri" w:hAnsi="Calibri"/>
                <w:b/>
                <w:i w:val="0"/>
                <w:color w:val="212121"/>
                <w:sz w:val="19"/>
              </w:rPr>
              <w:t>Trismus / temporomandibular dysfunction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Inflammatory involvement of masticatory muscles limits opening and can persist after infection settles.</w:t>
            </w:r>
          </w:p>
        </w:tc>
      </w:tr>
      <w:tr>
        <w:trPr>
          <w:cantSplit/>
        </w:trPr>
        <w:tc>
          <w:tcPr>
            <w:tcW w:type="dxa" w:w="2232"/>
            <w:vAlign w:val="top"/>
          </w:tcPr>
          <w:p>
            <w:pPr>
              <w:spacing w:after="40" w:before="0" w:line="259" w:lineRule="auto"/>
            </w:pPr>
            <w:r>
              <w:rPr>
                <w:rFonts w:ascii="Calibri" w:hAnsi="Calibri"/>
                <w:b/>
                <w:i w:val="0"/>
                <w:color w:val="212121"/>
                <w:sz w:val="19"/>
              </w:rPr>
              <w:t>Pregnancy gingivitis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Hormone-driven gingival hyper-responsiveness increases susceptibility to pericoronal flares and constrains treatment options.</w:t>
            </w:r>
          </w:p>
        </w:tc>
      </w:tr>
      <w:tr>
        <w:trPr>
          <w:cantSplit/>
        </w:trPr>
        <w:tc>
          <w:tcPr>
            <w:tcW w:type="dxa" w:w="2232"/>
            <w:vAlign w:val="top"/>
          </w:tcPr>
          <w:p>
            <w:pPr>
              <w:spacing w:after="40" w:before="0" w:line="259" w:lineRule="auto"/>
            </w:pPr>
            <w:r>
              <w:rPr>
                <w:rFonts w:ascii="Calibri" w:hAnsi="Calibri"/>
                <w:b/>
                <w:i w:val="0"/>
                <w:color w:val="212121"/>
                <w:sz w:val="19"/>
              </w:rPr>
              <w:t>Immunosuppression (HIV, chemotherapy, steroids)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Depressed host defence converts localized operculitis into rapidly spreading infection and sepsis.</w:t>
            </w:r>
          </w:p>
        </w:tc>
      </w:tr>
      <w:tr>
        <w:trPr>
          <w:cantSplit/>
        </w:trPr>
        <w:tc>
          <w:tcPr>
            <w:tcW w:type="dxa" w:w="2232"/>
            <w:vAlign w:val="top"/>
          </w:tcPr>
          <w:p>
            <w:pPr>
              <w:spacing w:after="40" w:before="0" w:line="259" w:lineRule="auto"/>
            </w:pPr>
            <w:r>
              <w:rPr>
                <w:rFonts w:ascii="Calibri" w:hAnsi="Calibri"/>
                <w:b/>
                <w:i w:val="0"/>
                <w:color w:val="212121"/>
                <w:sz w:val="19"/>
              </w:rPr>
              <w:t>Halitosis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Anaerobic biofilm and pus beneath the operculum are a direct source of oral malodour.</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recognize early warning signs, pain, swelling or bad taste around an erupting lower wisdom tooth, and seek dental review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partially erupted wisdom tooth traps plaque and food and needs meticulous cleaning or timely assessment for removal.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dental check-ups (every 6-12 months) so partially erupted third molars are monitored before infection develops.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red-flags, difficulty opening the mouth, swallowing or breathing and facial swelling, that require urgent/emergency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self-medicating recurrent episodes with leftover antibiotics; recurrent pericoronitis usually needs definitive dental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18-29</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partially erupted third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underserved communities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professional irrigation and debridement under the operculum, the mainstay of acute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any prescribed antibiotics only when there is spreading infection, fever or systemic upset, exactly as directed.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operculectomy or extraction of the wisdom tooth (and any traumatizing opposing tooth) after a second or recurrent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post-extraction wound-care instructions to prevent dry socket and recurrent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Spreading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 immunocompromised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physical activity to support general immune competence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overall fitness and weight, which contribute to better recovery from infective episodes.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sticky and sugary snacks that pack under the gum flap and feed the bacterial biofilm.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Rinse or drink water after meals to help flush debris from around a partially erupted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balanced, fibre-rich diet and avoid chewing hard foods directly on the inflamed side during a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episode, choose soft, lukewarm foods and keep well hydrated.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snackers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partially erupted third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soft-diet populations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fatigue is a recognized precipitant of acute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exam-time or shift-work sleep deprivation, common in the young-adult age group most affected.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Overworked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forms of tobacco/gutka; tobacco is significantly linked with more frequent and severe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quitlines) to sustain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during and after a flare or extraction, as it impairs gingival healing and raises complication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 gutka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Post-extraction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heavy use is linked with neglected oral hygiene and reduced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taking metronidazole for a pericoronal infection because of the disulfiram-like reaction.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metronidazole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which can precipitate flares and undermine day-to-day oral-hygiene routines.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consistent self-care habits during high-stress periods such as exams or deadlines.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students /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pericoronitis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thoroughly twice daily, angling the brush to clean around the partially erupted molar, and clean interdentally.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warm salt-water rinses and a chlorhexidine or antiseptic mouthwash during flares to reduce the bacterial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Irrigate gently beneath the operculum (as instructed) to flush out trapped debris.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professional scaling and sub-opercular irrigation, which markedly reduce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stop oral hygiene on the sore side, gentle continued cleaning is essential to resolution.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oral-hygiene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underserved communities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0805117/" TargetMode="External"/><Relationship Id="rId10" Type="http://schemas.openxmlformats.org/officeDocument/2006/relationships/hyperlink" Target="https://pmc.ncbi.nlm.nih.gov/articles/PMC7199383/" TargetMode="External"/><Relationship Id="rId11" Type="http://schemas.openxmlformats.org/officeDocument/2006/relationships/hyperlink" Target="https://pubmed.ncbi.nlm.nih.gov/38130387/" TargetMode="External"/><Relationship Id="rId12" Type="http://schemas.openxmlformats.org/officeDocument/2006/relationships/hyperlink" Target="https://pubmed.ncbi.nlm.nih.gov/31205390/" TargetMode="External"/><Relationship Id="rId13" Type="http://schemas.openxmlformats.org/officeDocument/2006/relationships/hyperlink" Target="https://pmc.ncbi.nlm.nih.gov/articles/PMC12312815/" TargetMode="External"/><Relationship Id="rId14" Type="http://schemas.openxmlformats.org/officeDocument/2006/relationships/hyperlink" Target="https://pmc.ncbi.nlm.nih.gov/articles/PMC13150223/" TargetMode="External"/><Relationship Id="rId15" Type="http://schemas.openxmlformats.org/officeDocument/2006/relationships/hyperlink" Target="https://www.ncbi.nlm.nih.gov/books/NBK430685/" TargetMode="External"/><Relationship Id="rId16" Type="http://schemas.openxmlformats.org/officeDocument/2006/relationships/hyperlink" Target="https://pubmed.ncbi.nlm.nih.gov/25737922/" TargetMode="External"/><Relationship Id="rId17" Type="http://schemas.openxmlformats.org/officeDocument/2006/relationships/hyperlink" Target="https://en.wikipedia.org/wiki/Pericoron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