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Edentulism / Partial Tooth Loss</w:t>
      </w:r>
    </w:p>
    <w:p>
      <w:pPr>
        <w:spacing w:before="0" w:after="160"/>
      </w:pPr>
      <w:r>
        <w:rPr>
          <w:rFonts w:ascii="Calibri" w:hAnsi="Calibri"/>
          <w:b/>
          <w:i w:val="0"/>
          <w:color w:val="212121"/>
          <w:sz w:val="22"/>
        </w:rPr>
        <w:t xml:space="preserve">AKA </w:t>
      </w:r>
      <w:r>
        <w:rPr>
          <w:rFonts w:ascii="Calibri" w:hAnsi="Calibri"/>
          <w:b w:val="0"/>
          <w:i w:val="0"/>
          <w:color w:val="212121"/>
          <w:sz w:val="22"/>
        </w:rPr>
        <w:t>i.e., Toothlessness, Missing teeth, Loss of natural teeth; complete edentulism (edentulousness - loss of ALL natural teeth) versus partial edentulism (loss of SOME teeth). Partially edentulous arches are described by the Kennedy classification (Class I bilateral free-end, Class II unilateral free-end, Class III unilateral bounded, Class IV anterior bounded); difficulty is graded by the American College of Prosthodontists (ACP) Prosthodontic Diagnostic Index</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Edentulism is the loss of natural teeth - complete edentulism is the loss of all permanent teeth in a jaw (or both jaws), while partial edentulism is the loss of one or more, but not all, teeth. It is usually the end-point of a lifelong history of oral disease, mainly untreated dental caries and severe periodontal (gum) disease, and less often of trauma or congenital absence of teeth. Although largely preventable, tooth loss impairs chewing, nutrition, speech, facial appearance and quality of life, and its functional and psychosocial burden rises with the number of teeth lost.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Edentulism is common in India and rises steeply with age. In the WHO Study on global AGEing and adult health (SAGE) of adults aged 50 years and over, complete tooth loss affected 16.3% of Indians - higher than the six-country pooled figure of 11.7% - and was more frequent in women (13.0%) than men (10.4%) before adjustment for age. Globally the WHO estimates complete tooth loss at about 7% of people aged 20 years and older, rising to roughly 23% among those aged 60 and above. Partial tooth loss is far more common still: most Indian adults lose one or more teeth from mid-life onward, and the odds of complete edentulism climb sharply with age (about 4.8 times higher at 70-79 years and 7.3 times higher at 80+ than at 50-59).</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Edentulism is a clinical diagnosis made on dental examination and history; there is no confirmatory blood test. Assessment confirms the extent of tooth loss and plans rehabilitation, and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missing teeth, difficulty chewing, an ill-fitting or absent denture, altered speech or appearance, and the cause and timing of loss (decay, gum disease, extraction, trauma or congenital absence);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Intra-oral examination counting remaining natural teeth - complete edentulism when no natural teeth remain in an arch, partial edentulism when one or more (but not all) are missing - and charting the missing teeth on an odontogram;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Classification of the partially edentulous arch by the Kennedy system (Class I-IV) to guide prosthetic (denture/bridge/implant) planning;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the residual alveolar ridge (form, height and resorption, e.g., the Cawood &amp; Howell classes), the oral mucosa, saliva, the opposing dentition and the available inter-arch space;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Evaluation of the prognosis of any remaining teeth - caries, periodontal pocketing, mobility and restorability - since these determine whether the mouth is heading toward further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panoramic radiograph (OPG), with intra-oral views or cone-beam CT (CBCT) where implants are considered, to assess bone height and volume, retained roots and any pathology in the edentulous ridge;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the functional and nutritional impact (masticatory ability, diet, weight) and, where indicated, of an existing prosthesis for fit, stability, hygiene and denture-induced lesions.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Tooth loss is described by how much of the dentition is missing, by the pattern of the gaps, and by its cause and restorative difficulty:</w:t>
      </w:r>
    </w:p>
    <w:p>
      <w:pPr>
        <w:spacing w:before="0" w:after="80"/>
      </w:pPr>
      <w:r>
        <w:rPr>
          <w:rFonts w:ascii="Calibri" w:hAnsi="Calibri"/>
          <w:b w:val="0"/>
          <w:i w:val="0"/>
          <w:color w:val="212121"/>
          <w:sz w:val="21"/>
        </w:rPr>
        <w:t>(1) By extent - complete (total) edentulism is the loss of all natural teeth in one or both arches, whereas partial edentulism is the loss of some but not all teeth; a person may be edentulous in one arch and partially dentate in the other.</w:t>
      </w:r>
    </w:p>
    <w:p>
      <w:pPr>
        <w:spacing w:before="0" w:after="80"/>
      </w:pPr>
      <w:r>
        <w:rPr>
          <w:rFonts w:ascii="Calibri" w:hAnsi="Calibri"/>
          <w:b w:val="0"/>
          <w:i w:val="0"/>
          <w:color w:val="212121"/>
          <w:sz w:val="21"/>
        </w:rPr>
        <w:t>(2) By pattern of the partially edentulous arch (Kennedy classification) - Class I (bilateral edentulous areas posterior to the remaining teeth, i.e., free-end saddles on both sides), Class II (a unilateral posterior free-end saddle), Class III (a unilateral edentulous area bounded by teeth front and back), and Class IV (a single anterior edentulous area crossing the midline); Applegate's rules and 'modification' spaces refine it.</w:t>
      </w:r>
    </w:p>
    <w:p>
      <w:pPr>
        <w:spacing w:before="0" w:after="80"/>
      </w:pPr>
      <w:r>
        <w:rPr>
          <w:rFonts w:ascii="Calibri" w:hAnsi="Calibri"/>
          <w:b w:val="0"/>
          <w:i w:val="0"/>
          <w:color w:val="212121"/>
          <w:sz w:val="21"/>
        </w:rPr>
        <w:t>(3) By cause - acquired tooth loss (from dental caries, periodontal disease, trauma or extraction) versus the far rarer congenital/developmental absence of teeth (hypodontia, oligodontia or, very rarely, anodontia, sometimes part of ectodermal dysplasia).</w:t>
      </w:r>
    </w:p>
    <w:p>
      <w:pPr>
        <w:spacing w:before="0" w:after="80"/>
      </w:pPr>
      <w:r>
        <w:rPr>
          <w:rFonts w:ascii="Calibri" w:hAnsi="Calibri"/>
          <w:b w:val="0"/>
          <w:i w:val="0"/>
          <w:color w:val="212121"/>
          <w:sz w:val="21"/>
        </w:rPr>
        <w:t>(4) By prosthodontic difficulty (ACP Prosthodontic Diagnostic Index) - complete and partial edentulism are each graded Class I to IV of increasing complexity based on bone height/residual ridge, the location and extent of edentulous spans, the condition of remaining teeth and the occlusion; this drives the treatment plan and prognosis rather than the mere fact of missing teeth.</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Severe periodontal (gum) disease: The leading cause of tooth loss in middle-aged and older adults; chronic plaque-driven inflammation progressively destroys the bone and periodontal ligament supporting the teeth until they loosen and are lost or extracted.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Dental caries (tooth decay): The main cause of tooth loss in children and younger adults; untreated decay progresses to pulp infection and, without timely restorative or endodontic care, ends in extraction.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Tobacco use (smoked and smokeless): Cigarettes and bidis, and especially smokeless tobacco (gutka, khaini, betel-quid) that is very widely used in India, accelerate periodontal destruction, impair healing and are strongly and dose-dependently linked to tooth loss.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Trauma: Road-traffic accidents, falls, sports injuries and interpersonal violence can avulse or fracture teeth beyond repair.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Poor access to and affordability of dental care: Where dentists are scarce (especially rural India) and out-of-pocket costs are high, extraction becomes the default treatment for pain, so restorable teeth are lost rather than saved.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Systemic disease: Poorly controlled diabetes worsens periodontitis and healing and hastens tooth loss, while osteoporosis and its anti-resorptive drugs affect alveolar bone and complicate extraction/implant management.</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Cumulative age, behaviour and congenital factors: Tooth loss is the end-point of a lifetime of oral disease, so risk accumulates with age, poor oral hygiene and high-sugar diets; congenital absence of teeth (hypodontia/oligodontia) is a rarer, non-acquired cause.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(about 35-59 years)</w:t>
            </w:r>
          </w:p>
        </w:tc>
        <w:tc>
          <w:tcPr>
            <w:tcW w:type="dxa" w:w="4276"/>
            <w:vAlign w:val="top"/>
          </w:tcPr>
          <w:p>
            <w:pPr>
              <w:spacing w:after="60" w:line="259" w:lineRule="auto"/>
            </w:pPr>
            <w:r>
              <w:rPr>
                <w:rFonts w:ascii="Calibri" w:hAnsi="Calibri"/>
                <w:b w:val="0"/>
                <w:i w:val="0"/>
                <w:color w:val="212121"/>
                <w:sz w:val="19"/>
              </w:rPr>
              <w:t>From mid-life the cumulative toll of caries and, especially, periodontal disease begins to cost teeth; periodontal destruction becomes a leading cause of tooth loss after roughly age 35-40.</w:t>
            </w:r>
          </w:p>
          <w:p>
            <w:pPr>
              <w:spacing w:after="40" w:before="60" w:line="259" w:lineRule="auto"/>
            </w:pPr>
            <w:r>
              <w:rPr>
                <w:rFonts w:ascii="Calibri" w:hAnsi="Calibri"/>
                <w:b w:val="0"/>
                <w:i w:val="0"/>
                <w:color w:val="212121"/>
                <w:sz w:val="19"/>
              </w:rPr>
              <w:t>In the WHO SAGE survey the odds of complete edentulism rose almost 2-fold at 60-69 years versus 50-59 (adjusted OR 1.98), reflecting steady accumulation of loss through adulthood.</w:t>
            </w:r>
          </w:p>
          <w:p>
            <w:pPr>
              <w:spacing w:after="40" w:line="252" w:lineRule="auto"/>
            </w:pPr>
            <w:hyperlink r:id="rId9">
              <w:r>
                <w:rPr>
                  <w:rFonts w:ascii="Calibri" w:hAnsi="Calibri" w:cs="Calibri"/>
                  <w:sz w:val="18"/>
                  <w:color w:val="1155CC"/>
                  <w:u w:val="single"/>
                </w:rPr>
                <w:t xml:space="preserve">mdpi.com/1660-4601/11/11/11308 - edentulism in older adults (SAGE)</w:t>
              </w:r>
            </w:hyperlink>
          </w:p>
          <w:p>
            <w:pPr>
              <w:spacing w:before="60" w:after="40"/>
            </w:pPr>
            <w:r>
              <w:rPr>
                <w:rFonts w:ascii="Calibri" w:hAnsi="Calibri"/>
                <w:b w:val="0"/>
                <w:i w:val="0"/>
                <w:color w:val="5A5A5A"/>
                <w:sz w:val="18"/>
              </w:rPr>
              <w:t>#toothloss  #periodontitis  #midlife  #extraction  #cumulativedisease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70+, 80+)</w:t>
            </w:r>
          </w:p>
        </w:tc>
        <w:tc>
          <w:tcPr>
            <w:tcW w:type="dxa" w:w="4276"/>
            <w:vAlign w:val="top"/>
          </w:tcPr>
          <w:p>
            <w:pPr>
              <w:spacing w:after="60" w:line="259" w:lineRule="auto"/>
            </w:pPr>
            <w:r>
              <w:rPr>
                <w:rFonts w:ascii="Calibri" w:hAnsi="Calibri"/>
                <w:b w:val="0"/>
                <w:i w:val="0"/>
                <w:color w:val="212121"/>
                <w:sz w:val="19"/>
              </w:rPr>
              <w:t>Complete tooth loss climbs steeply with age as a lifetime of caries, periodontitis and extractions accumulates and the last remaining teeth are progressively lost.</w:t>
            </w:r>
          </w:p>
          <w:p>
            <w:pPr>
              <w:spacing w:after="40" w:before="60" w:line="259" w:lineRule="auto"/>
            </w:pPr>
            <w:r>
              <w:rPr>
                <w:rFonts w:ascii="Calibri" w:hAnsi="Calibri"/>
                <w:b w:val="0"/>
                <w:i w:val="0"/>
                <w:color w:val="212121"/>
                <w:sz w:val="19"/>
              </w:rPr>
              <w:t>Globally about 23% of people aged 60 and older are edentulous (WHO); in India (SAGE) the odds of edentulism were about 4.8x higher at 70-79 and 7.3x higher at 80+ than at 50-59.</w:t>
            </w:r>
          </w:p>
          <w:p>
            <w:pPr>
              <w:spacing w:after="40" w:line="252" w:lineRule="auto"/>
            </w:pPr>
            <w:hyperlink r:id="rId10">
              <w:r>
                <w:rPr>
                  <w:rFonts w:ascii="Calibri" w:hAnsi="Calibri" w:cs="Calibri"/>
                  <w:sz w:val="18"/>
                  <w:color w:val="1155CC"/>
                  <w:u w:val="single"/>
                </w:rPr>
                <w:t xml:space="preserve">who.int - oral health fact sheet (tooth loss)</w:t>
              </w:r>
            </w:hyperlink>
          </w:p>
          <w:p>
            <w:pPr>
              <w:spacing w:before="60" w:after="40"/>
            </w:pPr>
            <w:r>
              <w:rPr>
                <w:rFonts w:ascii="Calibri" w:hAnsi="Calibri"/>
                <w:b w:val="0"/>
                <w:i w:val="0"/>
                <w:color w:val="5A5A5A"/>
                <w:sz w:val="18"/>
              </w:rPr>
              <w:t>#elderly  #ageing  #completeedentulism  #geriatricdentistry  #frailty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w:t>
            </w:r>
          </w:p>
        </w:tc>
        <w:tc>
          <w:tcPr>
            <w:tcW w:type="dxa" w:w="4276"/>
            <w:vAlign w:val="top"/>
          </w:tcPr>
          <w:p>
            <w:pPr>
              <w:spacing w:after="60" w:line="259" w:lineRule="auto"/>
            </w:pPr>
            <w:r>
              <w:rPr>
                <w:rFonts w:ascii="Calibri" w:hAnsi="Calibri"/>
                <w:b w:val="0"/>
                <w:i w:val="0"/>
                <w:color w:val="212121"/>
                <w:sz w:val="19"/>
              </w:rPr>
              <w:t>Women in several Indian and global surveys show somewhat higher edentulism, reflecting longer life expectancy, hormonal effects on periodontal and alveolar bone health, and differing care-seeking patterns.</w:t>
            </w:r>
          </w:p>
          <w:p>
            <w:pPr>
              <w:spacing w:after="40" w:before="60" w:line="259" w:lineRule="auto"/>
            </w:pPr>
            <w:r>
              <w:rPr>
                <w:rFonts w:ascii="Calibri" w:hAnsi="Calibri"/>
                <w:b w:val="0"/>
                <w:i w:val="0"/>
                <w:color w:val="212121"/>
                <w:sz w:val="19"/>
              </w:rPr>
              <w:t>In the WHO SAGE India sample, unadjusted edentulism prevalence was 13.0% in women versus 10.4% in men (sex was not independently significant after adjusting for age).</w:t>
            </w:r>
          </w:p>
          <w:p>
            <w:pPr>
              <w:spacing w:after="40" w:line="252" w:lineRule="auto"/>
            </w:pPr>
            <w:hyperlink r:id="rId9">
              <w:r>
                <w:rPr>
                  <w:rFonts w:ascii="Calibri" w:hAnsi="Calibri" w:cs="Calibri"/>
                  <w:sz w:val="18"/>
                  <w:color w:val="1155CC"/>
                  <w:u w:val="single"/>
                </w:rPr>
                <w:t xml:space="preserve">mdpi.com/1660-4601/11/11/11308 - sex differences in edentulism</w:t>
              </w:r>
            </w:hyperlink>
          </w:p>
          <w:p>
            <w:pPr>
              <w:spacing w:before="60" w:after="40"/>
            </w:pPr>
            <w:r>
              <w:rPr>
                <w:rFonts w:ascii="Calibri" w:hAnsi="Calibri"/>
                <w:b w:val="0"/>
                <w:i w:val="0"/>
                <w:color w:val="5A5A5A"/>
                <w:sz w:val="18"/>
              </w:rPr>
              <w:t>#women  #postmenopausal  #bonehealth  #lifeexpectancy  #oralhealth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 / education</w:t>
            </w:r>
          </w:p>
        </w:tc>
        <w:tc>
          <w:tcPr>
            <w:tcW w:type="dxa" w:w="2160"/>
            <w:vAlign w:val="top"/>
          </w:tcPr>
          <w:p>
            <w:pPr>
              <w:spacing w:after="40" w:before="0" w:line="259" w:lineRule="auto"/>
            </w:pPr>
            <w:r>
              <w:rPr>
                <w:rFonts w:ascii="Calibri" w:hAnsi="Calibri"/>
                <w:b w:val="0"/>
                <w:i w:val="0"/>
                <w:color w:val="212121"/>
                <w:sz w:val="19"/>
              </w:rPr>
              <w:t>Low-education, low-income adults</w:t>
            </w:r>
          </w:p>
        </w:tc>
        <w:tc>
          <w:tcPr>
            <w:tcW w:type="dxa" w:w="4276"/>
            <w:vAlign w:val="top"/>
          </w:tcPr>
          <w:p>
            <w:pPr>
              <w:spacing w:after="60" w:line="259" w:lineRule="auto"/>
            </w:pPr>
            <w:r>
              <w:rPr>
                <w:rFonts w:ascii="Calibri" w:hAnsi="Calibri"/>
                <w:b w:val="0"/>
                <w:i w:val="0"/>
                <w:color w:val="212121"/>
                <w:sz w:val="19"/>
              </w:rPr>
              <w:t>Lower education and income track with high-sugar diets, tobacco use, poorer oral hygiene knowledge and, above all, limited access to preventive and tooth-saving care, so diseased teeth are extracted rather than restored.</w:t>
            </w:r>
          </w:p>
          <w:p>
            <w:pPr>
              <w:spacing w:after="40" w:before="60" w:line="259" w:lineRule="auto"/>
            </w:pPr>
            <w:r>
              <w:rPr>
                <w:rFonts w:ascii="Calibri" w:hAnsi="Calibri"/>
                <w:b w:val="0"/>
                <w:i w:val="0"/>
                <w:color w:val="212121"/>
                <w:sz w:val="19"/>
              </w:rPr>
              <w:t>In SAGE, having 9 or more years of education was independently protective against edentulism (OR 0.74 versus no formal education).</w:t>
            </w:r>
          </w:p>
          <w:p>
            <w:pPr>
              <w:spacing w:after="40" w:line="252" w:lineRule="auto"/>
            </w:pPr>
            <w:hyperlink r:id="rId9">
              <w:r>
                <w:rPr>
                  <w:rFonts w:ascii="Calibri" w:hAnsi="Calibri" w:cs="Calibri"/>
                  <w:sz w:val="18"/>
                  <w:color w:val="1155CC"/>
                  <w:u w:val="single"/>
                </w:rPr>
                <w:t xml:space="preserve">mdpi.com/1660-4601/11/11/11308 - education and edentulism</w:t>
              </w:r>
            </w:hyperlink>
          </w:p>
          <w:p>
            <w:pPr>
              <w:spacing w:before="60" w:after="40"/>
            </w:pPr>
            <w:r>
              <w:rPr>
                <w:rFonts w:ascii="Calibri" w:hAnsi="Calibri"/>
                <w:b w:val="0"/>
                <w:i w:val="0"/>
                <w:color w:val="5A5A5A"/>
                <w:sz w:val="18"/>
              </w:rPr>
              <w:t>#socioeconomic  #education  #accesstocare  #healthinequity  #outofpocket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 Asian older adults</w:t>
            </w:r>
          </w:p>
        </w:tc>
        <w:tc>
          <w:tcPr>
            <w:tcW w:type="dxa" w:w="4276"/>
            <w:vAlign w:val="top"/>
          </w:tcPr>
          <w:p>
            <w:pPr>
              <w:spacing w:after="60" w:line="259" w:lineRule="auto"/>
            </w:pPr>
            <w:r>
              <w:rPr>
                <w:rFonts w:ascii="Calibri" w:hAnsi="Calibri"/>
                <w:b w:val="0"/>
                <w:i w:val="0"/>
                <w:color w:val="212121"/>
                <w:sz w:val="19"/>
              </w:rPr>
              <w:t>India carries a high burden of untreated caries and periodontitis together with heavy tobacco and areca-nut use, giving a complete-edentulism rate above the multi-country average.</w:t>
            </w:r>
          </w:p>
          <w:p>
            <w:pPr>
              <w:spacing w:after="40" w:before="60" w:line="259" w:lineRule="auto"/>
            </w:pPr>
            <w:r>
              <w:rPr>
                <w:rFonts w:ascii="Calibri" w:hAnsi="Calibri"/>
                <w:b w:val="0"/>
                <w:i w:val="0"/>
                <w:color w:val="212121"/>
                <w:sz w:val="19"/>
              </w:rPr>
              <w:t>India's edentulism prevalence in adults aged 50+ was 16.3%, higher than the six-country SAGE pooled figure of 11.7%.</w:t>
            </w:r>
          </w:p>
          <w:p>
            <w:pPr>
              <w:spacing w:after="40" w:line="252" w:lineRule="auto"/>
            </w:pPr>
            <w:hyperlink r:id="rId9">
              <w:r>
                <w:rPr>
                  <w:rFonts w:ascii="Calibri" w:hAnsi="Calibri" w:cs="Calibri"/>
                  <w:sz w:val="18"/>
                  <w:color w:val="1155CC"/>
                  <w:u w:val="single"/>
                </w:rPr>
                <w:t xml:space="preserve">mdpi.com/1660-4601/11/11/11308 - India edentulism prevalence</w:t>
              </w:r>
            </w:hyperlink>
          </w:p>
          <w:p>
            <w:pPr>
              <w:spacing w:before="60" w:after="40"/>
            </w:pPr>
            <w:r>
              <w:rPr>
                <w:rFonts w:ascii="Calibri" w:hAnsi="Calibri"/>
                <w:b w:val="0"/>
                <w:i w:val="0"/>
                <w:color w:val="5A5A5A"/>
                <w:sz w:val="18"/>
              </w:rPr>
              <w:t>#india  #southasia  #tobacco  #untreatedcaries  #periodontitis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access</w:t>
            </w:r>
          </w:p>
        </w:tc>
        <w:tc>
          <w:tcPr>
            <w:tcW w:type="dxa" w:w="2160"/>
            <w:vAlign w:val="top"/>
          </w:tcPr>
          <w:p>
            <w:pPr>
              <w:spacing w:after="40" w:before="0" w:line="259" w:lineRule="auto"/>
            </w:pPr>
            <w:r>
              <w:rPr>
                <w:rFonts w:ascii="Calibri" w:hAnsi="Calibri"/>
                <w:b w:val="0"/>
                <w:i w:val="0"/>
                <w:color w:val="212121"/>
                <w:sz w:val="19"/>
              </w:rPr>
              <w:t>Rural India (dentist-scarce areas)</w:t>
            </w:r>
          </w:p>
        </w:tc>
        <w:tc>
          <w:tcPr>
            <w:tcW w:type="dxa" w:w="4276"/>
            <w:vAlign w:val="top"/>
          </w:tcPr>
          <w:p>
            <w:pPr>
              <w:spacing w:after="60" w:line="259" w:lineRule="auto"/>
            </w:pPr>
            <w:r>
              <w:rPr>
                <w:rFonts w:ascii="Calibri" w:hAnsi="Calibri"/>
                <w:b w:val="0"/>
                <w:i w:val="0"/>
                <w:color w:val="212121"/>
                <w:sz w:val="19"/>
              </w:rPr>
              <w:t>Dentists in India are concentrated in cities, so rural patients often reach care only for pain relief by extraction; preventive and restorative treatment that would save teeth is out of reach, raising tooth loss.</w:t>
            </w:r>
          </w:p>
          <w:p>
            <w:pPr>
              <w:spacing w:after="40" w:before="60" w:line="259" w:lineRule="auto"/>
            </w:pPr>
            <w:r>
              <w:rPr>
                <w:rFonts w:ascii="Calibri" w:hAnsi="Calibri"/>
                <w:b w:val="0"/>
                <w:i w:val="0"/>
                <w:color w:val="212121"/>
                <w:sz w:val="19"/>
              </w:rPr>
              <w:t>An urban-concentrated dental workforce and high out-of-pocket costs leave many rural Indians reliant on extraction rather than tooth-preserving care.</w:t>
            </w:r>
          </w:p>
          <w:p>
            <w:pPr>
              <w:spacing w:before="60" w:after="40"/>
            </w:pPr>
            <w:r>
              <w:rPr>
                <w:rFonts w:ascii="Calibri" w:hAnsi="Calibri"/>
                <w:b w:val="0"/>
                <w:i w:val="0"/>
                <w:color w:val="5A5A5A"/>
                <w:sz w:val="18"/>
              </w:rPr>
              <w:t>#ruralindia  #dentistdensity  #accessgap  #extractionculture  #preventivegap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and bidi smokers</w:t>
            </w:r>
          </w:p>
        </w:tc>
        <w:tc>
          <w:tcPr>
            <w:tcW w:type="dxa" w:w="4276"/>
            <w:vAlign w:val="top"/>
          </w:tcPr>
          <w:p>
            <w:pPr>
              <w:spacing w:after="60" w:line="259" w:lineRule="auto"/>
            </w:pPr>
            <w:r>
              <w:rPr>
                <w:rFonts w:ascii="Calibri" w:hAnsi="Calibri"/>
                <w:b w:val="0"/>
                <w:i w:val="0"/>
                <w:color w:val="212121"/>
                <w:sz w:val="19"/>
              </w:rPr>
              <w:t>Smoking is one of the strongest modifiable causes of periodontitis and tooth loss; it impairs gingival blood flow, immune defence and healing, masks bleeding warning signs, and dose-dependently increases the number of teeth lost.</w:t>
            </w:r>
          </w:p>
          <w:p>
            <w:pPr>
              <w:spacing w:after="40" w:before="60" w:line="259" w:lineRule="auto"/>
            </w:pPr>
            <w:r>
              <w:rPr>
                <w:rFonts w:ascii="Calibri" w:hAnsi="Calibri"/>
                <w:b w:val="0"/>
                <w:i w:val="0"/>
                <w:color w:val="212121"/>
                <w:sz w:val="19"/>
              </w:rPr>
              <w:t>In SAGE, former daily tobacco use was independently associated with edentulism (OR 1.38); smoking is a leading risk factor for the periodontitis that underlies most adult tooth loss.</w:t>
            </w:r>
          </w:p>
          <w:p>
            <w:pPr>
              <w:spacing w:after="40" w:line="252" w:lineRule="auto"/>
            </w:pPr>
            <w:hyperlink r:id="rId9">
              <w:r>
                <w:rPr>
                  <w:rFonts w:ascii="Calibri" w:hAnsi="Calibri" w:cs="Calibri"/>
                  <w:sz w:val="18"/>
                  <w:color w:val="1155CC"/>
                  <w:u w:val="single"/>
                </w:rPr>
                <w:t xml:space="preserve">mdpi.com/1660-4601/11/11/11308 - tobacco and edentulism</w:t>
              </w:r>
            </w:hyperlink>
          </w:p>
          <w:p>
            <w:pPr>
              <w:spacing w:before="60" w:after="40"/>
            </w:pPr>
            <w:r>
              <w:rPr>
                <w:rFonts w:ascii="Calibri" w:hAnsi="Calibri"/>
                <w:b w:val="0"/>
                <w:i w:val="0"/>
                <w:color w:val="5A5A5A"/>
                <w:sz w:val="18"/>
              </w:rPr>
              <w:t>#smoking  #bidi  #periodontitis  #toothloss  #healing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Smokeless tobacco / areca</w:t>
            </w:r>
          </w:p>
        </w:tc>
        <w:tc>
          <w:tcPr>
            <w:tcW w:type="dxa" w:w="2160"/>
            <w:vAlign w:val="top"/>
          </w:tcPr>
          <w:p>
            <w:pPr>
              <w:spacing w:after="40" w:before="0" w:line="259" w:lineRule="auto"/>
            </w:pPr>
            <w:r>
              <w:rPr>
                <w:rFonts w:ascii="Calibri" w:hAnsi="Calibri"/>
                <w:b w:val="0"/>
                <w:i w:val="0"/>
                <w:color w:val="212121"/>
                <w:sz w:val="19"/>
              </w:rPr>
              <w:t>Gutka, khaini and betel-quid chewers</w:t>
            </w:r>
          </w:p>
        </w:tc>
        <w:tc>
          <w:tcPr>
            <w:tcW w:type="dxa" w:w="4276"/>
            <w:vAlign w:val="top"/>
          </w:tcPr>
          <w:p>
            <w:pPr>
              <w:spacing w:after="60" w:line="259" w:lineRule="auto"/>
            </w:pPr>
            <w:r>
              <w:rPr>
                <w:rFonts w:ascii="Calibri" w:hAnsi="Calibri"/>
                <w:b w:val="0"/>
                <w:i w:val="0"/>
                <w:color w:val="212121"/>
                <w:sz w:val="19"/>
              </w:rPr>
              <w:t>Smokeless tobacco and areca-nut/betel-quid, used by a very large share of Indian adults, drive periodontal breakdown, gingival recession and tooth loss, and also cause oral submucous fibrosis and oral cancer.</w:t>
            </w:r>
          </w:p>
          <w:p>
            <w:pPr>
              <w:spacing w:after="40" w:before="60" w:line="259" w:lineRule="auto"/>
            </w:pPr>
            <w:r>
              <w:rPr>
                <w:rFonts w:ascii="Calibri" w:hAnsi="Calibri"/>
                <w:b w:val="0"/>
                <w:i w:val="0"/>
                <w:color w:val="212121"/>
                <w:sz w:val="19"/>
              </w:rPr>
              <w:t>Smokeless tobacco is extremely prevalent in India and is a major contributor to periodontal destruction, tooth loss and oral mucosal disease.</w:t>
            </w:r>
          </w:p>
          <w:p>
            <w:pPr>
              <w:spacing w:before="60" w:after="40"/>
            </w:pPr>
            <w:r>
              <w:rPr>
                <w:rFonts w:ascii="Calibri" w:hAnsi="Calibri"/>
                <w:b w:val="0"/>
                <w:i w:val="0"/>
                <w:color w:val="5A5A5A"/>
                <w:sz w:val="18"/>
              </w:rPr>
              <w:t>#gutka  #khaini  #betelquid  #arecanut  #smokelesstobacco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Oral hygiene</w:t>
            </w:r>
          </w:p>
        </w:tc>
        <w:tc>
          <w:tcPr>
            <w:tcW w:type="dxa" w:w="2160"/>
            <w:vAlign w:val="top"/>
          </w:tcPr>
          <w:p>
            <w:pPr>
              <w:spacing w:after="40" w:before="0" w:line="259" w:lineRule="auto"/>
            </w:pPr>
            <w:r>
              <w:rPr>
                <w:rFonts w:ascii="Calibri" w:hAnsi="Calibri"/>
                <w:b w:val="0"/>
                <w:i w:val="0"/>
                <w:color w:val="212121"/>
                <w:sz w:val="19"/>
              </w:rPr>
              <w:t>Infrequent brushers / no interdental cleaning</w:t>
            </w:r>
          </w:p>
        </w:tc>
        <w:tc>
          <w:tcPr>
            <w:tcW w:type="dxa" w:w="4276"/>
            <w:vAlign w:val="top"/>
          </w:tcPr>
          <w:p>
            <w:pPr>
              <w:spacing w:after="60" w:line="259" w:lineRule="auto"/>
            </w:pPr>
            <w:r>
              <w:rPr>
                <w:rFonts w:ascii="Calibri" w:hAnsi="Calibri"/>
                <w:b w:val="0"/>
                <w:i w:val="0"/>
                <w:color w:val="212121"/>
                <w:sz w:val="19"/>
              </w:rPr>
              <w:t>Poor plaque control is the shared pathway to both caries and periodontitis; without twice-daily fluoride brushing and interdental cleaning, disease progresses unchecked to tooth loss.</w:t>
            </w:r>
          </w:p>
          <w:p>
            <w:pPr>
              <w:spacing w:after="40" w:before="60" w:line="259" w:lineRule="auto"/>
            </w:pPr>
            <w:r>
              <w:rPr>
                <w:rFonts w:ascii="Calibri" w:hAnsi="Calibri"/>
                <w:b w:val="0"/>
                <w:i w:val="0"/>
                <w:color w:val="212121"/>
                <w:sz w:val="19"/>
              </w:rPr>
              <w:t>Twice-daily brushing with fluoride toothpaste is the core preventive measure against the caries and periodontitis that cause tooth loss.</w:t>
            </w:r>
          </w:p>
          <w:p>
            <w:pPr>
              <w:spacing w:after="40" w:line="252" w:lineRule="auto"/>
            </w:pPr>
            <w:hyperlink r:id="rId10">
              <w:r>
                <w:rPr>
                  <w:rFonts w:ascii="Calibri" w:hAnsi="Calibri" w:cs="Calibri"/>
                  <w:sz w:val="18"/>
                  <w:color w:val="1155CC"/>
                  <w:u w:val="single"/>
                </w:rPr>
                <w:t xml:space="preserve">who.int - oral health (prevention)</w:t>
              </w:r>
            </w:hyperlink>
          </w:p>
          <w:p>
            <w:pPr>
              <w:spacing w:before="60" w:after="40"/>
            </w:pPr>
            <w:r>
              <w:rPr>
                <w:rFonts w:ascii="Calibri" w:hAnsi="Calibri"/>
                <w:b w:val="0"/>
                <w:i w:val="0"/>
                <w:color w:val="5A5A5A"/>
                <w:sz w:val="18"/>
              </w:rPr>
              <w:t>#oralhygiene  #plaque  #fluoride  #brushing  #interdental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Heavy alcohol use is associated with periodontitis, poor oral hygiene, dry mouth and caries, and combines multiplicatively with tobacco to raise the risk of tooth loss and oral cancer.</w:t>
            </w:r>
          </w:p>
          <w:p>
            <w:pPr>
              <w:spacing w:after="40" w:before="60" w:line="259" w:lineRule="auto"/>
            </w:pPr>
            <w:r>
              <w:rPr>
                <w:rFonts w:ascii="Calibri" w:hAnsi="Calibri"/>
                <w:b w:val="0"/>
                <w:i w:val="0"/>
                <w:color w:val="212121"/>
                <w:sz w:val="19"/>
              </w:rPr>
              <w:t>Chronic heavy drinking, particularly with concurrent tobacco use, is linked to periodontal disease, caries and tooth loss.</w:t>
            </w:r>
          </w:p>
          <w:p>
            <w:pPr>
              <w:spacing w:before="60" w:after="40"/>
            </w:pPr>
            <w:r>
              <w:rPr>
                <w:rFonts w:ascii="Calibri" w:hAnsi="Calibri"/>
                <w:b w:val="0"/>
                <w:i w:val="0"/>
                <w:color w:val="5A5A5A"/>
                <w:sz w:val="18"/>
              </w:rPr>
              <w:t>#alcohol  #drymouth  #periodontitis  #tobaccosynergy  #oralcancer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Free sugars</w:t>
            </w:r>
          </w:p>
        </w:tc>
        <w:tc>
          <w:tcPr>
            <w:tcW w:type="dxa" w:w="2160"/>
            <w:vAlign w:val="top"/>
          </w:tcPr>
          <w:p>
            <w:pPr>
              <w:spacing w:after="40" w:before="0" w:line="259" w:lineRule="auto"/>
            </w:pPr>
            <w:r>
              <w:rPr>
                <w:rFonts w:ascii="Calibri" w:hAnsi="Calibri"/>
                <w:b w:val="0"/>
                <w:i w:val="0"/>
                <w:color w:val="212121"/>
                <w:sz w:val="19"/>
              </w:rPr>
              <w:t>High-sugar diets / frequent sweets and sugary drinks</w:t>
            </w:r>
          </w:p>
        </w:tc>
        <w:tc>
          <w:tcPr>
            <w:tcW w:type="dxa" w:w="4276"/>
            <w:vAlign w:val="top"/>
          </w:tcPr>
          <w:p>
            <w:pPr>
              <w:spacing w:after="60" w:line="259" w:lineRule="auto"/>
            </w:pPr>
            <w:r>
              <w:rPr>
                <w:rFonts w:ascii="Calibri" w:hAnsi="Calibri"/>
                <w:b w:val="0"/>
                <w:i w:val="0"/>
                <w:color w:val="212121"/>
                <w:sz w:val="19"/>
              </w:rPr>
              <w:t>Frequent free sugars feed acid-producing bacteria and are the essential dietary cause of dental caries - the decay that, untreated, leads to extraction and tooth loss.</w:t>
            </w:r>
          </w:p>
          <w:p>
            <w:pPr>
              <w:spacing w:after="40" w:before="60" w:line="259" w:lineRule="auto"/>
            </w:pPr>
            <w:r>
              <w:rPr>
                <w:rFonts w:ascii="Calibri" w:hAnsi="Calibri"/>
                <w:b w:val="0"/>
                <w:i w:val="0"/>
                <w:color w:val="212121"/>
                <w:sz w:val="19"/>
              </w:rPr>
              <w:t>WHO identifies free sugars as the essential dietary factor in dental caries, the most common cause of tooth loss in younger people.</w:t>
            </w:r>
          </w:p>
          <w:p>
            <w:pPr>
              <w:spacing w:after="40" w:line="252" w:lineRule="auto"/>
            </w:pPr>
            <w:hyperlink r:id="rId10">
              <w:r>
                <w:rPr>
                  <w:rFonts w:ascii="Calibri" w:hAnsi="Calibri" w:cs="Calibri"/>
                  <w:sz w:val="18"/>
                  <w:color w:val="1155CC"/>
                  <w:u w:val="single"/>
                </w:rPr>
                <w:t xml:space="preserve">who.int - oral health (sugars and caries)</w:t>
              </w:r>
            </w:hyperlink>
          </w:p>
          <w:p>
            <w:pPr>
              <w:spacing w:before="60" w:after="40"/>
            </w:pPr>
            <w:r>
              <w:rPr>
                <w:rFonts w:ascii="Calibri" w:hAnsi="Calibri"/>
                <w:b w:val="0"/>
                <w:i w:val="0"/>
                <w:color w:val="5A5A5A"/>
                <w:sz w:val="18"/>
              </w:rPr>
              <w:t>#freesugars  #caries  #sugarydrinks  #diet  #decay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Fruit &amp; vegetable intake</w:t>
            </w:r>
          </w:p>
        </w:tc>
        <w:tc>
          <w:tcPr>
            <w:tcW w:type="dxa" w:w="2160"/>
            <w:vAlign w:val="top"/>
          </w:tcPr>
          <w:p>
            <w:pPr>
              <w:spacing w:after="40" w:before="0" w:line="259" w:lineRule="auto"/>
            </w:pPr>
            <w:r>
              <w:rPr>
                <w:rFonts w:ascii="Calibri" w:hAnsi="Calibri"/>
                <w:b w:val="0"/>
                <w:i w:val="0"/>
                <w:color w:val="212121"/>
                <w:sz w:val="19"/>
              </w:rPr>
              <w:t>Low fruit and vegetable consumers</w:t>
            </w:r>
          </w:p>
        </w:tc>
        <w:tc>
          <w:tcPr>
            <w:tcW w:type="dxa" w:w="4276"/>
            <w:vAlign w:val="top"/>
          </w:tcPr>
          <w:p>
            <w:pPr>
              <w:spacing w:after="60" w:line="259" w:lineRule="auto"/>
            </w:pPr>
            <w:r>
              <w:rPr>
                <w:rFonts w:ascii="Calibri" w:hAnsi="Calibri"/>
                <w:b w:val="0"/>
                <w:i w:val="0"/>
                <w:color w:val="212121"/>
                <w:sz w:val="19"/>
              </w:rPr>
              <w:t>Diets low in fruit and vegetables reflect poorer nutrition and, once teeth are lost, the difficulty of chewing fibrous foods - a two-way link with tooth loss that worsens overall diet quality.</w:t>
            </w:r>
          </w:p>
          <w:p>
            <w:pPr>
              <w:spacing w:after="40" w:before="60" w:line="259" w:lineRule="auto"/>
            </w:pPr>
            <w:r>
              <w:rPr>
                <w:rFonts w:ascii="Calibri" w:hAnsi="Calibri"/>
                <w:b w:val="0"/>
                <w:i w:val="0"/>
                <w:color w:val="212121"/>
                <w:sz w:val="19"/>
              </w:rPr>
              <w:t>In SAGE, inadequate fruit and vegetable intake was independently associated with edentulism (OR 1.37).</w:t>
            </w:r>
          </w:p>
          <w:p>
            <w:pPr>
              <w:spacing w:after="40" w:line="252" w:lineRule="auto"/>
            </w:pPr>
            <w:hyperlink r:id="rId9">
              <w:r>
                <w:rPr>
                  <w:rFonts w:ascii="Calibri" w:hAnsi="Calibri" w:cs="Calibri"/>
                  <w:sz w:val="18"/>
                  <w:color w:val="1155CC"/>
                  <w:u w:val="single"/>
                </w:rPr>
                <w:t xml:space="preserve">mdpi.com/1660-4601/11/11/11308 - diet and edentulism</w:t>
              </w:r>
            </w:hyperlink>
          </w:p>
          <w:p>
            <w:pPr>
              <w:spacing w:before="60" w:after="40"/>
            </w:pPr>
            <w:r>
              <w:rPr>
                <w:rFonts w:ascii="Calibri" w:hAnsi="Calibri"/>
                <w:b w:val="0"/>
                <w:i w:val="0"/>
                <w:color w:val="5A5A5A"/>
                <w:sz w:val="18"/>
              </w:rPr>
              <w:t>#fruitveg  #nutrition  #mastication  #dietquality  #fibre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Families with aggressive periodontitis / early tooth loss</w:t>
            </w:r>
          </w:p>
        </w:tc>
        <w:tc>
          <w:tcPr>
            <w:tcW w:type="dxa" w:w="4276"/>
            <w:vAlign w:val="top"/>
          </w:tcPr>
          <w:p>
            <w:pPr>
              <w:spacing w:after="60" w:line="259" w:lineRule="auto"/>
            </w:pPr>
            <w:r>
              <w:rPr>
                <w:rFonts w:ascii="Calibri" w:hAnsi="Calibri"/>
                <w:b w:val="0"/>
                <w:i w:val="0"/>
                <w:color w:val="212121"/>
                <w:sz w:val="19"/>
              </w:rPr>
              <w:t>Susceptibility to severe (aggressive) periodontitis and to caries clusters in families through immune, inflammatory and salivary factors, so a family history of early tooth loss raises individual risk.</w:t>
            </w:r>
          </w:p>
          <w:p>
            <w:pPr>
              <w:spacing w:after="40" w:before="60" w:line="259" w:lineRule="auto"/>
            </w:pPr>
            <w:r>
              <w:rPr>
                <w:rFonts w:ascii="Calibri" w:hAnsi="Calibri"/>
                <w:b w:val="0"/>
                <w:i w:val="0"/>
                <w:color w:val="212121"/>
                <w:sz w:val="19"/>
              </w:rPr>
              <w:t>Heritable host-response and salivary factors influence periodontitis and caries susceptibility, clustering early tooth loss in some families.</w:t>
            </w:r>
          </w:p>
          <w:p>
            <w:pPr>
              <w:spacing w:before="60" w:after="40"/>
            </w:pPr>
            <w:r>
              <w:rPr>
                <w:rFonts w:ascii="Calibri" w:hAnsi="Calibri"/>
                <w:b w:val="0"/>
                <w:i w:val="0"/>
                <w:color w:val="5A5A5A"/>
                <w:sz w:val="18"/>
              </w:rPr>
              <w:t>#familyhistory  #aggressiveperiodontitis  #hostresponse  #heredity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tooth agenesis</w:t>
            </w:r>
          </w:p>
        </w:tc>
        <w:tc>
          <w:tcPr>
            <w:tcW w:type="dxa" w:w="2160"/>
            <w:vAlign w:val="top"/>
          </w:tcPr>
          <w:p>
            <w:pPr>
              <w:spacing w:after="40" w:before="0" w:line="259" w:lineRule="auto"/>
            </w:pPr>
            <w:r>
              <w:rPr>
                <w:rFonts w:ascii="Calibri" w:hAnsi="Calibri"/>
                <w:b w:val="0"/>
                <w:i w:val="0"/>
                <w:color w:val="212121"/>
                <w:sz w:val="19"/>
              </w:rPr>
              <w:t>Hypodontia / oligodontia (incl. ectodermal dysplasia)</w:t>
            </w:r>
          </w:p>
        </w:tc>
        <w:tc>
          <w:tcPr>
            <w:tcW w:type="dxa" w:w="4276"/>
            <w:vAlign w:val="top"/>
          </w:tcPr>
          <w:p>
            <w:pPr>
              <w:spacing w:after="60" w:line="259" w:lineRule="auto"/>
            </w:pPr>
            <w:r>
              <w:rPr>
                <w:rFonts w:ascii="Calibri" w:hAnsi="Calibri"/>
                <w:b w:val="0"/>
                <w:i w:val="0"/>
                <w:color w:val="212121"/>
                <w:sz w:val="19"/>
              </w:rPr>
              <w:t>Congenital absence of teeth - hypodontia (a few missing), oligodontia (six or more missing) or, very rarely, anodontia - sometimes syndromic (e.g., ectodermal dysplasia), causes partial or near-complete edentulism from an early age.</w:t>
            </w:r>
          </w:p>
          <w:p>
            <w:pPr>
              <w:spacing w:after="40" w:before="60" w:line="259" w:lineRule="auto"/>
            </w:pPr>
            <w:r>
              <w:rPr>
                <w:rFonts w:ascii="Calibri" w:hAnsi="Calibri"/>
                <w:b w:val="0"/>
                <w:i w:val="0"/>
                <w:color w:val="212121"/>
                <w:sz w:val="19"/>
              </w:rPr>
              <w:t>Developmental tooth agenesis is a non-acquired cause of missing teeth, occasionally part of a genetic syndrome such as ectodermal dysplasia.</w:t>
            </w:r>
          </w:p>
          <w:p>
            <w:pPr>
              <w:spacing w:before="60" w:after="40"/>
            </w:pPr>
            <w:r>
              <w:rPr>
                <w:rFonts w:ascii="Calibri" w:hAnsi="Calibri"/>
                <w:b w:val="0"/>
                <w:i w:val="0"/>
                <w:color w:val="5A5A5A"/>
                <w:sz w:val="18"/>
              </w:rPr>
              <w:t>#hypodontia  #oligodontia  #anodontia  #ectodermaldysplasia  #congenital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Periodontitis</w:t>
            </w:r>
          </w:p>
        </w:tc>
        <w:tc>
          <w:tcPr>
            <w:tcW w:type="dxa" w:w="2160"/>
            <w:vAlign w:val="top"/>
          </w:tcPr>
          <w:p>
            <w:pPr>
              <w:spacing w:after="40" w:before="0" w:line="259" w:lineRule="auto"/>
            </w:pPr>
            <w:r>
              <w:rPr>
                <w:rFonts w:ascii="Calibri" w:hAnsi="Calibri"/>
                <w:b w:val="0"/>
                <w:i w:val="0"/>
                <w:color w:val="212121"/>
                <w:sz w:val="19"/>
              </w:rPr>
              <w:t>Adults with severe periodontal disease</w:t>
            </w:r>
          </w:p>
        </w:tc>
        <w:tc>
          <w:tcPr>
            <w:tcW w:type="dxa" w:w="4276"/>
            <w:vAlign w:val="top"/>
          </w:tcPr>
          <w:p>
            <w:pPr>
              <w:spacing w:after="60" w:line="259" w:lineRule="auto"/>
            </w:pPr>
            <w:r>
              <w:rPr>
                <w:rFonts w:ascii="Calibri" w:hAnsi="Calibri"/>
                <w:b w:val="0"/>
                <w:i w:val="0"/>
                <w:color w:val="212121"/>
                <w:sz w:val="19"/>
              </w:rPr>
              <w:t>Severe periodontitis is the leading cause of tooth loss in adults; progressive destruction of alveolar bone and attachment loosens teeth until they are lost or must be extracted.</w:t>
            </w:r>
          </w:p>
          <w:p>
            <w:pPr>
              <w:spacing w:after="40" w:before="60" w:line="259" w:lineRule="auto"/>
            </w:pPr>
            <w:r>
              <w:rPr>
                <w:rFonts w:ascii="Calibri" w:hAnsi="Calibri"/>
                <w:b w:val="0"/>
                <w:i w:val="0"/>
                <w:color w:val="212121"/>
                <w:sz w:val="19"/>
              </w:rPr>
              <w:t>Severe periodontal disease affects more than 1 billion people worldwide and, with dental caries, is the main pathway to tooth loss.</w:t>
            </w:r>
          </w:p>
          <w:p>
            <w:pPr>
              <w:spacing w:after="40" w:line="252" w:lineRule="auto"/>
            </w:pPr>
            <w:hyperlink r:id="rId10">
              <w:r>
                <w:rPr>
                  <w:rFonts w:ascii="Calibri" w:hAnsi="Calibri" w:cs="Calibri"/>
                  <w:sz w:val="18"/>
                  <w:color w:val="1155CC"/>
                  <w:u w:val="single"/>
                </w:rPr>
                <w:t xml:space="preserve">who.int - oral health (periodontal disease)</w:t>
              </w:r>
            </w:hyperlink>
          </w:p>
          <w:p>
            <w:pPr>
              <w:spacing w:before="60" w:after="40"/>
            </w:pPr>
            <w:r>
              <w:rPr>
                <w:rFonts w:ascii="Calibri" w:hAnsi="Calibri"/>
                <w:b w:val="0"/>
                <w:i w:val="0"/>
                <w:color w:val="5A5A5A"/>
                <w:sz w:val="18"/>
              </w:rPr>
              <w:t>#periodontitis  #bonelossoss  #attachmentloss  #toothmobility  #leadingcause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Dental caries</w:t>
            </w:r>
          </w:p>
        </w:tc>
        <w:tc>
          <w:tcPr>
            <w:tcW w:type="dxa" w:w="2160"/>
            <w:vAlign w:val="top"/>
          </w:tcPr>
          <w:p>
            <w:pPr>
              <w:spacing w:after="40" w:before="0" w:line="259" w:lineRule="auto"/>
            </w:pPr>
            <w:r>
              <w:rPr>
                <w:rFonts w:ascii="Calibri" w:hAnsi="Calibri"/>
                <w:b w:val="0"/>
                <w:i w:val="0"/>
                <w:color w:val="212121"/>
                <w:sz w:val="19"/>
              </w:rPr>
              <w:t>Adults with untreated tooth decay</w:t>
            </w:r>
          </w:p>
        </w:tc>
        <w:tc>
          <w:tcPr>
            <w:tcW w:type="dxa" w:w="4276"/>
            <w:vAlign w:val="top"/>
          </w:tcPr>
          <w:p>
            <w:pPr>
              <w:spacing w:after="60" w:line="259" w:lineRule="auto"/>
            </w:pPr>
            <w:r>
              <w:rPr>
                <w:rFonts w:ascii="Calibri" w:hAnsi="Calibri"/>
                <w:b w:val="0"/>
                <w:i w:val="0"/>
                <w:color w:val="212121"/>
                <w:sz w:val="19"/>
              </w:rPr>
              <w:t>Untreated dental caries - the world's most common health condition - progresses to pulp death and, without timely restorative or endodontic care, ends in extraction.</w:t>
            </w:r>
          </w:p>
          <w:p>
            <w:pPr>
              <w:spacing w:after="40" w:before="60" w:line="259" w:lineRule="auto"/>
            </w:pPr>
            <w:r>
              <w:rPr>
                <w:rFonts w:ascii="Calibri" w:hAnsi="Calibri"/>
                <w:b w:val="0"/>
                <w:i w:val="0"/>
                <w:color w:val="212121"/>
                <w:sz w:val="19"/>
              </w:rPr>
              <w:t>Untreated caries in permanent teeth is the single most common condition in the Global Burden of Disease study and a leading reason for extraction.</w:t>
            </w:r>
          </w:p>
          <w:p>
            <w:pPr>
              <w:spacing w:after="40" w:line="252" w:lineRule="auto"/>
            </w:pPr>
            <w:hyperlink r:id="rId10">
              <w:r>
                <w:rPr>
                  <w:rFonts w:ascii="Calibri" w:hAnsi="Calibri" w:cs="Calibri"/>
                  <w:sz w:val="18"/>
                  <w:color w:val="1155CC"/>
                  <w:u w:val="single"/>
                </w:rPr>
                <w:t xml:space="preserve">who.int - oral health (dental caries)</w:t>
              </w:r>
            </w:hyperlink>
          </w:p>
          <w:p>
            <w:pPr>
              <w:spacing w:before="60" w:after="40"/>
            </w:pPr>
            <w:r>
              <w:rPr>
                <w:rFonts w:ascii="Calibri" w:hAnsi="Calibri"/>
                <w:b w:val="0"/>
                <w:i w:val="0"/>
                <w:color w:val="5A5A5A"/>
                <w:sz w:val="18"/>
              </w:rPr>
              <w:t>#dentalcaries  #decay  #untreated  #extraction  #GBD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Poorly controlled diabetics</w:t>
            </w:r>
          </w:p>
        </w:tc>
        <w:tc>
          <w:tcPr>
            <w:tcW w:type="dxa" w:w="4276"/>
            <w:vAlign w:val="top"/>
          </w:tcPr>
          <w:p>
            <w:pPr>
              <w:spacing w:after="60" w:line="259" w:lineRule="auto"/>
            </w:pPr>
            <w:r>
              <w:rPr>
                <w:rFonts w:ascii="Calibri" w:hAnsi="Calibri"/>
                <w:b w:val="0"/>
                <w:i w:val="0"/>
                <w:color w:val="212121"/>
                <w:sz w:val="19"/>
              </w:rPr>
              <w:t>Diabetes and periodontitis have a bidirectional relationship: hyperglycaemia worsens periodontal destruction and healing and accelerates tooth loss, while severe periodontitis worsens glycaemic control.</w:t>
            </w:r>
          </w:p>
          <w:p>
            <w:pPr>
              <w:spacing w:after="40" w:before="60" w:line="259" w:lineRule="auto"/>
            </w:pPr>
            <w:r>
              <w:rPr>
                <w:rFonts w:ascii="Calibri" w:hAnsi="Calibri"/>
                <w:b w:val="0"/>
                <w:i w:val="0"/>
                <w:color w:val="212121"/>
                <w:sz w:val="19"/>
              </w:rPr>
              <w:t>Uncontrolled diabetes increases the severity of periodontitis and the likelihood of tooth loss, and impairs healing after extraction and around implants.</w:t>
            </w:r>
          </w:p>
          <w:p>
            <w:pPr>
              <w:spacing w:before="60" w:after="40"/>
            </w:pPr>
            <w:r>
              <w:rPr>
                <w:rFonts w:ascii="Calibri" w:hAnsi="Calibri"/>
                <w:b w:val="0"/>
                <w:i w:val="0"/>
                <w:color w:val="5A5A5A"/>
                <w:sz w:val="18"/>
              </w:rPr>
              <w:t>#diabetes  #periodontitis  #bidirectional  #glycaemiccontrol  #healing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Osteoporosis</w:t>
            </w:r>
          </w:p>
        </w:tc>
        <w:tc>
          <w:tcPr>
            <w:tcW w:type="dxa" w:w="2160"/>
            <w:vAlign w:val="top"/>
          </w:tcPr>
          <w:p>
            <w:pPr>
              <w:spacing w:after="40" w:before="0" w:line="259" w:lineRule="auto"/>
            </w:pPr>
            <w:r>
              <w:rPr>
                <w:rFonts w:ascii="Calibri" w:hAnsi="Calibri"/>
                <w:b w:val="0"/>
                <w:i w:val="0"/>
                <w:color w:val="212121"/>
                <w:sz w:val="19"/>
              </w:rPr>
              <w:t>Postmenopausal women and frail elderly</w:t>
            </w:r>
          </w:p>
        </w:tc>
        <w:tc>
          <w:tcPr>
            <w:tcW w:type="dxa" w:w="4276"/>
            <w:vAlign w:val="top"/>
          </w:tcPr>
          <w:p>
            <w:pPr>
              <w:spacing w:after="60" w:line="259" w:lineRule="auto"/>
            </w:pPr>
            <w:r>
              <w:rPr>
                <w:rFonts w:ascii="Calibri" w:hAnsi="Calibri"/>
                <w:b w:val="0"/>
                <w:i w:val="0"/>
                <w:color w:val="212121"/>
                <w:sz w:val="19"/>
              </w:rPr>
              <w:t>Systemic bone loss is associated with reduced alveolar (jaw) bone and faster residual-ridge resorption after tooth loss, and anti-resorptive drugs (bisphosphonates, denosumab) complicate extractions and implants (medication-related osteonecrosis of the jaw).</w:t>
            </w:r>
          </w:p>
          <w:p>
            <w:pPr>
              <w:spacing w:after="40" w:before="60" w:line="259" w:lineRule="auto"/>
            </w:pPr>
            <w:r>
              <w:rPr>
                <w:rFonts w:ascii="Calibri" w:hAnsi="Calibri"/>
                <w:b w:val="0"/>
                <w:i w:val="0"/>
                <w:color w:val="212121"/>
                <w:sz w:val="19"/>
              </w:rPr>
              <w:t>Low systemic bone mineral density is associated with reduced jaw bone and greater residual-ridge resorption in edentulous patients.</w:t>
            </w:r>
          </w:p>
          <w:p>
            <w:pPr>
              <w:spacing w:before="60" w:after="40"/>
            </w:pPr>
            <w:r>
              <w:rPr>
                <w:rFonts w:ascii="Calibri" w:hAnsi="Calibri"/>
                <w:b w:val="0"/>
                <w:i w:val="0"/>
                <w:color w:val="5A5A5A"/>
                <w:sz w:val="18"/>
              </w:rPr>
              <w:t>#osteoporosis  #ridgeresorption  #bisphosphonates  #MRONJ  #alveolarbone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Cognitive impairment / dementia</w:t>
            </w:r>
          </w:p>
        </w:tc>
        <w:tc>
          <w:tcPr>
            <w:tcW w:type="dxa" w:w="2160"/>
            <w:vAlign w:val="top"/>
          </w:tcPr>
          <w:p>
            <w:pPr>
              <w:spacing w:after="40" w:before="0" w:line="259" w:lineRule="auto"/>
            </w:pPr>
            <w:r>
              <w:rPr>
                <w:rFonts w:ascii="Calibri" w:hAnsi="Calibri"/>
                <w:b w:val="0"/>
                <w:i w:val="0"/>
                <w:color w:val="212121"/>
                <w:sz w:val="19"/>
              </w:rPr>
              <w:t>People with dementia or cognitive decline</w:t>
            </w:r>
          </w:p>
        </w:tc>
        <w:tc>
          <w:tcPr>
            <w:tcW w:type="dxa" w:w="4276"/>
            <w:vAlign w:val="top"/>
          </w:tcPr>
          <w:p>
            <w:pPr>
              <w:spacing w:after="60" w:line="259" w:lineRule="auto"/>
            </w:pPr>
            <w:r>
              <w:rPr>
                <w:rFonts w:ascii="Calibri" w:hAnsi="Calibri"/>
                <w:b w:val="0"/>
                <w:i w:val="0"/>
                <w:color w:val="212121"/>
                <w:sz w:val="19"/>
              </w:rPr>
              <w:t>The link is bidirectional: cognitive decline impairs self-care and dental attendance and hastens tooth loss, while tooth loss and chewing difficulty are themselves associated with a higher risk of cognitive decline and dementia.</w:t>
            </w:r>
          </w:p>
          <w:p>
            <w:pPr>
              <w:spacing w:after="40" w:before="60" w:line="259" w:lineRule="auto"/>
            </w:pPr>
            <w:r>
              <w:rPr>
                <w:rFonts w:ascii="Calibri" w:hAnsi="Calibri"/>
                <w:b w:val="0"/>
                <w:i w:val="0"/>
                <w:color w:val="212121"/>
                <w:sz w:val="19"/>
              </w:rPr>
              <w:t>A dose-response meta-analysis found that greater tooth loss is associated with a significantly increased risk of cognitive impairment and dementia.</w:t>
            </w:r>
          </w:p>
          <w:p>
            <w:pPr>
              <w:spacing w:after="40" w:line="252" w:lineRule="auto"/>
            </w:pPr>
            <w:hyperlink r:id="rId11">
              <w:r>
                <w:rPr>
                  <w:rFonts w:ascii="Calibri" w:hAnsi="Calibri" w:cs="Calibri"/>
                  <w:sz w:val="18"/>
                  <w:color w:val="1155CC"/>
                  <w:u w:val="single"/>
                </w:rPr>
                <w:t xml:space="preserve">pubmed.ncbi.nlm.nih.gov/34579934 - tooth loss and dementia (meta-analysis)</w:t>
              </w:r>
            </w:hyperlink>
          </w:p>
          <w:p>
            <w:pPr>
              <w:spacing w:before="60" w:after="40"/>
            </w:pPr>
            <w:r>
              <w:rPr>
                <w:rFonts w:ascii="Calibri" w:hAnsi="Calibri"/>
                <w:b w:val="0"/>
                <w:i w:val="0"/>
                <w:color w:val="5A5A5A"/>
                <w:sz w:val="18"/>
              </w:rPr>
              <w:t>#dementia  #cognitivedecline  #bidirectional  #selfcare  #ageing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Exercise has no direct role in tooth loss, but edentulism is part of the wider frailty syndrome of ageing: poor mastication and undernutrition contribute to sarcopenia and reduced physical capacity, while good general fitness supports the immune defence and healing that protect the periodontium.</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acts on both sides: frequent free sugars drive the caries that causes tooth loss, while low fruit and vegetable intake is independently linked with edentulism; once teeth are lost, chewing difficulty further narrows the diet toward soft, refined, energy-dense foods.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causal role in tooth loss; the main links are indirect - a painful abscess or ill-fitting denture can disturb sleep, and missing teeth or removable dentures may worsen snoring and airway collapse in some patients.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Smoked and smokeless tobacco are among the strongest modifiable causes of periodontitis and tooth loss, impairing gingival blood flow, immunity and healing; former daily tobacco use was independently associated with edentulism in the SAGE study.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is associated with periodontitis, caries, dry mouth and poor oral hygiene, and acts synergistically with tobacco to raise the risk of tooth loss and oral cancer.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runs both ways: dental anxiety and depression delay care so disease progresses to extraction, while tooth loss itself damages self-esteem, causes embarrassment and social withdrawal, and is associated with depression and reduced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Optimal fluoride from toothpaste and, where present, community water reduces the dental caries that causes tooth loss; adequate hydration and saliva protect against caries, whereas very high natural fluoride (dental fluorosis) is a separate, unrelated concern in parts of India.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itself has no meaningful role; harm comes from the sugar added to tea, coffee and soft drinks, which is cariogenic, and from staining that prompts some patients to seek care.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Oral hygiene is the key modifiable factor: effective daily plaque removal with fluoride toothpaste and interdental cleaning prevents the caries and periodontitis that cause tooth loss, and denture hygiene prevents stomatitis and further disease in the remaining teeth.</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Direct drivers of tooth loss are untreated caries and severe periodontitis, tobacco and areca use, dental trauma, extraction as the default treatment where care is scarce, and systemic disease (diabetes) or drugs that impair healing.</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Toothbrushing frequency (with fluoride toothpaste)</w:t>
            </w:r>
          </w:p>
        </w:tc>
        <w:tc>
          <w:tcPr>
            <w:tcW w:type="dxa" w:w="1655"/>
            <w:vAlign w:val="top"/>
          </w:tcPr>
          <w:p>
            <w:pPr>
              <w:spacing w:after="40" w:before="0" w:line="259" w:lineRule="auto"/>
            </w:pPr>
            <w:r>
              <w:rPr>
                <w:rFonts w:ascii="Calibri" w:hAnsi="Calibri"/>
                <w:b w:val="0"/>
                <w:i w:val="0"/>
                <w:color w:val="212121"/>
                <w:sz w:val="19"/>
              </w:rPr>
              <w:t>Children, adults, elderly</w:t>
            </w:r>
          </w:p>
        </w:tc>
        <w:tc>
          <w:tcPr>
            <w:tcW w:type="dxa" w:w="1512"/>
            <w:vAlign w:val="top"/>
          </w:tcPr>
          <w:p>
            <w:pPr>
              <w:spacing w:after="40" w:before="0" w:line="259" w:lineRule="auto"/>
            </w:pPr>
            <w:r>
              <w:rPr>
                <w:rFonts w:ascii="Calibri" w:hAnsi="Calibri"/>
                <w:b w:val="0"/>
                <w:i w:val="0"/>
                <w:color w:val="212121"/>
                <w:sz w:val="19"/>
              </w:rPr>
              <w:t>Twice daily with fluoride toothpaste</w:t>
            </w:r>
          </w:p>
        </w:tc>
        <w:tc>
          <w:tcPr>
            <w:tcW w:type="dxa" w:w="1512"/>
            <w:vAlign w:val="top"/>
          </w:tcPr>
          <w:p>
            <w:pPr>
              <w:spacing w:after="40" w:before="0" w:line="259" w:lineRule="auto"/>
            </w:pPr>
            <w:r>
              <w:rPr>
                <w:rFonts w:ascii="Calibri" w:hAnsi="Calibri"/>
                <w:b w:val="0"/>
                <w:i w:val="0"/>
                <w:color w:val="212121"/>
                <w:sz w:val="19"/>
              </w:rPr>
              <w:t>Once daily or less / no fluoride toothpaste</w:t>
            </w:r>
          </w:p>
        </w:tc>
        <w:tc>
          <w:tcPr>
            <w:tcW w:type="dxa" w:w="1468"/>
            <w:vAlign w:val="top"/>
          </w:tcPr>
          <w:p>
            <w:pPr>
              <w:spacing w:after="60" w:line="259" w:lineRule="auto"/>
            </w:pPr>
            <w:r>
              <w:rPr>
                <w:rFonts w:ascii="Calibri" w:hAnsi="Calibri"/>
                <w:b w:val="0"/>
                <w:i w:val="0"/>
                <w:color w:val="212121"/>
                <w:sz w:val="19"/>
              </w:rPr>
              <w:t>Effective twice-daily brushing is the core defence against the caries and periodontitis that cause tooth loss</w:t>
            </w:r>
          </w:p>
          <w:p>
            <w:pPr>
              <w:spacing w:after="40" w:line="252" w:lineRule="auto"/>
            </w:pPr>
            <w:hyperlink r:id="rId10">
              <w:r>
                <w:rPr>
                  <w:rFonts w:ascii="Calibri" w:hAnsi="Calibri" w:cs="Calibri"/>
                  <w:sz w:val="18"/>
                  <w:color w:val="1155CC"/>
                  <w:u w:val="single"/>
                </w:rPr>
                <w:t xml:space="preserve">https://www.who.int/news-room/fact-sheets/detail/oral-health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Interdental cleaning</w:t>
            </w:r>
          </w:p>
        </w:tc>
        <w:tc>
          <w:tcPr>
            <w:tcW w:type="dxa" w:w="1655"/>
            <w:vAlign w:val="top"/>
          </w:tcPr>
          <w:p>
            <w:pPr>
              <w:spacing w:after="40" w:before="0" w:line="259" w:lineRule="auto"/>
            </w:pPr>
            <w:r>
              <w:rPr>
                <w:rFonts w:ascii="Calibri" w:hAnsi="Calibri"/>
                <w:b w:val="0"/>
                <w:i w:val="0"/>
                <w:color w:val="212121"/>
                <w:sz w:val="19"/>
              </w:rPr>
              <w:t>Adults, periodontitis-prone</w:t>
            </w:r>
          </w:p>
        </w:tc>
        <w:tc>
          <w:tcPr>
            <w:tcW w:type="dxa" w:w="1512"/>
            <w:vAlign w:val="top"/>
          </w:tcPr>
          <w:p>
            <w:pPr>
              <w:spacing w:after="40" w:before="0" w:line="259" w:lineRule="auto"/>
            </w:pPr>
            <w:r>
              <w:rPr>
                <w:rFonts w:ascii="Calibri" w:hAnsi="Calibri"/>
                <w:b w:val="0"/>
                <w:i w:val="0"/>
                <w:color w:val="212121"/>
                <w:sz w:val="19"/>
              </w:rPr>
              <w:t>Daily (floss / interdental brush)</w:t>
            </w:r>
          </w:p>
        </w:tc>
        <w:tc>
          <w:tcPr>
            <w:tcW w:type="dxa" w:w="1512"/>
            <w:vAlign w:val="top"/>
          </w:tcPr>
          <w:p>
            <w:pPr>
              <w:spacing w:after="40" w:before="0" w:line="259" w:lineRule="auto"/>
            </w:pPr>
            <w:r>
              <w:rPr>
                <w:rFonts w:ascii="Calibri" w:hAnsi="Calibri"/>
                <w:b w:val="0"/>
                <w:i w:val="0"/>
                <w:color w:val="212121"/>
                <w:sz w:val="19"/>
              </w:rPr>
              <w:t>None</w:t>
            </w:r>
          </w:p>
        </w:tc>
        <w:tc>
          <w:tcPr>
            <w:tcW w:type="dxa" w:w="1468"/>
            <w:vAlign w:val="top"/>
          </w:tcPr>
          <w:p>
            <w:pPr>
              <w:spacing w:after="40" w:before="0" w:line="259" w:lineRule="auto"/>
            </w:pPr>
            <w:r>
              <w:rPr>
                <w:rFonts w:ascii="Calibri" w:hAnsi="Calibri"/>
                <w:b w:val="0"/>
                <w:i w:val="0"/>
                <w:color w:val="212121"/>
                <w:sz w:val="19"/>
              </w:rPr>
              <w:t>Cleaning between teeth removes plaque where periodontitis and interproximal caries begin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Number of remaining natural teeth (functional dentition)</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&gt;= 20 natural teeth (WHO functional dentition)</w:t>
            </w:r>
          </w:p>
        </w:tc>
        <w:tc>
          <w:tcPr>
            <w:tcW w:type="dxa" w:w="1512"/>
            <w:vAlign w:val="top"/>
          </w:tcPr>
          <w:p>
            <w:pPr>
              <w:spacing w:after="40" w:before="0" w:line="259" w:lineRule="auto"/>
            </w:pPr>
            <w:r>
              <w:rPr>
                <w:rFonts w:ascii="Calibri" w:hAnsi="Calibri"/>
                <w:b w:val="0"/>
                <w:i w:val="0"/>
                <w:color w:val="212121"/>
                <w:sz w:val="19"/>
              </w:rPr>
              <w:t>&lt; 20 teeth; 0 teeth = complete edentulism</w:t>
            </w:r>
          </w:p>
        </w:tc>
        <w:tc>
          <w:tcPr>
            <w:tcW w:type="dxa" w:w="1468"/>
            <w:vAlign w:val="top"/>
          </w:tcPr>
          <w:p>
            <w:pPr>
              <w:spacing w:after="60" w:line="259" w:lineRule="auto"/>
            </w:pPr>
            <w:r>
              <w:rPr>
                <w:rFonts w:ascii="Calibri" w:hAnsi="Calibri"/>
                <w:b w:val="0"/>
                <w:i w:val="0"/>
                <w:color w:val="212121"/>
                <w:sz w:val="19"/>
              </w:rPr>
              <w:t>Keeping &gt;= 20 natural teeth is a WHO benchmark for adequate function; falling below signals significant loss</w:t>
            </w:r>
          </w:p>
          <w:p>
            <w:pPr>
              <w:spacing w:after="40" w:line="252" w:lineRule="auto"/>
            </w:pPr>
            <w:hyperlink r:id="rId10">
              <w:r>
                <w:rPr>
                  <w:rFonts w:ascii="Calibri" w:hAnsi="Calibri" w:cs="Calibri"/>
                  <w:sz w:val="18"/>
                  <w:color w:val="1155CC"/>
                  <w:u w:val="single"/>
                </w:rPr>
                <w:t xml:space="preserve">https://www.who.int/news-room/fact-sheets/detail/oral-health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DMFT - Missing (M) component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Low / stable M count</w:t>
            </w:r>
          </w:p>
        </w:tc>
        <w:tc>
          <w:tcPr>
            <w:tcW w:type="dxa" w:w="1512"/>
            <w:vAlign w:val="top"/>
          </w:tcPr>
          <w:p>
            <w:pPr>
              <w:spacing w:after="40" w:before="0" w:line="259" w:lineRule="auto"/>
            </w:pPr>
            <w:r>
              <w:rPr>
                <w:rFonts w:ascii="Calibri" w:hAnsi="Calibri"/>
                <w:b w:val="0"/>
                <w:i w:val="0"/>
                <w:color w:val="212121"/>
                <w:sz w:val="19"/>
              </w:rPr>
              <w:t>Rising number of missing teeth over time</w:t>
            </w:r>
          </w:p>
        </w:tc>
        <w:tc>
          <w:tcPr>
            <w:tcW w:type="dxa" w:w="1468"/>
            <w:vAlign w:val="top"/>
          </w:tcPr>
          <w:p>
            <w:pPr>
              <w:spacing w:after="40" w:before="0" w:line="259" w:lineRule="auto"/>
            </w:pPr>
            <w:r>
              <w:rPr>
                <w:rFonts w:ascii="Calibri" w:hAnsi="Calibri"/>
                <w:b w:val="0"/>
                <w:i w:val="0"/>
                <w:color w:val="212121"/>
                <w:sz w:val="19"/>
              </w:rPr>
              <w:t>The M of the DMFT index tracks accumulated tooth loss and future edentulism risk</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Periodontal probing depth &amp; attachment loss (remaining teeth)</w:t>
            </w:r>
          </w:p>
        </w:tc>
        <w:tc>
          <w:tcPr>
            <w:tcW w:type="dxa" w:w="1655"/>
            <w:vAlign w:val="top"/>
          </w:tcPr>
          <w:p>
            <w:pPr>
              <w:spacing w:after="40" w:before="0" w:line="259" w:lineRule="auto"/>
            </w:pPr>
            <w:r>
              <w:rPr>
                <w:rFonts w:ascii="Calibri" w:hAnsi="Calibri"/>
                <w:b w:val="0"/>
                <w:i w:val="0"/>
                <w:color w:val="212121"/>
                <w:sz w:val="19"/>
              </w:rPr>
              <w:t>Dentate adults</w:t>
            </w:r>
          </w:p>
        </w:tc>
        <w:tc>
          <w:tcPr>
            <w:tcW w:type="dxa" w:w="1512"/>
            <w:vAlign w:val="top"/>
          </w:tcPr>
          <w:p>
            <w:pPr>
              <w:spacing w:after="40" w:before="0" w:line="259" w:lineRule="auto"/>
            </w:pPr>
            <w:r>
              <w:rPr>
                <w:rFonts w:ascii="Calibri" w:hAnsi="Calibri"/>
                <w:b w:val="0"/>
                <w:i w:val="0"/>
                <w:color w:val="212121"/>
                <w:sz w:val="19"/>
              </w:rPr>
              <w:t>Pockets &lt;= 3 mm, no attachment loss</w:t>
            </w:r>
          </w:p>
        </w:tc>
        <w:tc>
          <w:tcPr>
            <w:tcW w:type="dxa" w:w="1512"/>
            <w:vAlign w:val="top"/>
          </w:tcPr>
          <w:p>
            <w:pPr>
              <w:spacing w:after="40" w:before="0" w:line="259" w:lineRule="auto"/>
            </w:pPr>
            <w:r>
              <w:rPr>
                <w:rFonts w:ascii="Calibri" w:hAnsi="Calibri"/>
                <w:b w:val="0"/>
                <w:i w:val="0"/>
                <w:color w:val="212121"/>
                <w:sz w:val="19"/>
              </w:rPr>
              <w:t>Pockets &gt;= 5-6 mm, clinical attachment loss, mobility, bleeding</w:t>
            </w:r>
          </w:p>
        </w:tc>
        <w:tc>
          <w:tcPr>
            <w:tcW w:type="dxa" w:w="1468"/>
            <w:vAlign w:val="top"/>
          </w:tcPr>
          <w:p>
            <w:pPr>
              <w:spacing w:after="40" w:before="0" w:line="259" w:lineRule="auto"/>
            </w:pPr>
            <w:r>
              <w:rPr>
                <w:rFonts w:ascii="Calibri" w:hAnsi="Calibri"/>
                <w:b w:val="0"/>
                <w:i w:val="0"/>
                <w:color w:val="212121"/>
                <w:sz w:val="19"/>
              </w:rPr>
              <w:t>Deep pockets and attachment loss predict which teeth will be lost next</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(smoked or smokeless)</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cigarette/bidi or gutka/khaini/betel-quid use</w:t>
            </w:r>
          </w:p>
        </w:tc>
        <w:tc>
          <w:tcPr>
            <w:tcW w:type="dxa" w:w="1468"/>
            <w:vAlign w:val="top"/>
          </w:tcPr>
          <w:p>
            <w:pPr>
              <w:spacing w:after="60" w:line="259" w:lineRule="auto"/>
            </w:pPr>
            <w:r>
              <w:rPr>
                <w:rFonts w:ascii="Calibri" w:hAnsi="Calibri"/>
                <w:b w:val="0"/>
                <w:i w:val="0"/>
                <w:color w:val="212121"/>
                <w:sz w:val="19"/>
              </w:rPr>
              <w:t>Tobacco strongly and dose-dependently increases periodontitis and tooth loss</w:t>
            </w:r>
          </w:p>
          <w:p>
            <w:pPr>
              <w:spacing w:after="40" w:line="252" w:lineRule="auto"/>
            </w:pPr>
            <w:hyperlink r:id="rId9">
              <w:r>
                <w:rPr>
                  <w:rFonts w:ascii="Calibri" w:hAnsi="Calibri" w:cs="Calibri"/>
                  <w:sz w:val="18"/>
                  <w:color w:val="1155CC"/>
                  <w:u w:val="single"/>
                </w:rPr>
                <w:t xml:space="preserve">https://www.mdpi.com/1660-4601/11/11/11308</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Free-sugar intake</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&lt; 10% of total energy from free sugars (WHO)</w:t>
            </w:r>
          </w:p>
        </w:tc>
        <w:tc>
          <w:tcPr>
            <w:tcW w:type="dxa" w:w="1512"/>
            <w:vAlign w:val="top"/>
          </w:tcPr>
          <w:p>
            <w:pPr>
              <w:spacing w:after="40" w:before="0" w:line="259" w:lineRule="auto"/>
            </w:pPr>
            <w:r>
              <w:rPr>
                <w:rFonts w:ascii="Calibri" w:hAnsi="Calibri"/>
                <w:b w:val="0"/>
                <w:i w:val="0"/>
                <w:color w:val="212121"/>
                <w:sz w:val="19"/>
              </w:rPr>
              <w:t>Frequent sugary foods/drinks between meals</w:t>
            </w:r>
          </w:p>
        </w:tc>
        <w:tc>
          <w:tcPr>
            <w:tcW w:type="dxa" w:w="1468"/>
            <w:vAlign w:val="top"/>
          </w:tcPr>
          <w:p>
            <w:pPr>
              <w:spacing w:after="60" w:line="259" w:lineRule="auto"/>
            </w:pPr>
            <w:r>
              <w:rPr>
                <w:rFonts w:ascii="Calibri" w:hAnsi="Calibri"/>
                <w:b w:val="0"/>
                <w:i w:val="0"/>
                <w:color w:val="212121"/>
                <w:sz w:val="19"/>
              </w:rPr>
              <w:t>Sugar frequency drives the caries that leads to extraction</w:t>
            </w:r>
          </w:p>
          <w:p>
            <w:pPr>
              <w:spacing w:after="40" w:line="252" w:lineRule="auto"/>
            </w:pPr>
            <w:hyperlink r:id="rId10">
              <w:r>
                <w:rPr>
                  <w:rFonts w:ascii="Calibri" w:hAnsi="Calibri" w:cs="Calibri"/>
                  <w:sz w:val="18"/>
                  <w:color w:val="1155CC"/>
                  <w:u w:val="single"/>
                </w:rPr>
                <w:t xml:space="preserve">https://www.who.int/news-room/fact-sheets/detail/oral-health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Fruit &amp; vegetable intake</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&gt;= 400 g/day (about 5 servings)</w:t>
            </w:r>
          </w:p>
        </w:tc>
        <w:tc>
          <w:tcPr>
            <w:tcW w:type="dxa" w:w="1512"/>
            <w:vAlign w:val="top"/>
          </w:tcPr>
          <w:p>
            <w:pPr>
              <w:spacing w:after="40" w:before="0" w:line="259" w:lineRule="auto"/>
            </w:pPr>
            <w:r>
              <w:rPr>
                <w:rFonts w:ascii="Calibri" w:hAnsi="Calibri"/>
                <w:b w:val="0"/>
                <w:i w:val="0"/>
                <w:color w:val="212121"/>
                <w:sz w:val="19"/>
              </w:rPr>
              <w:t>Inadequate intake / soft refined diet</w:t>
            </w:r>
          </w:p>
        </w:tc>
        <w:tc>
          <w:tcPr>
            <w:tcW w:type="dxa" w:w="1468"/>
            <w:vAlign w:val="top"/>
          </w:tcPr>
          <w:p>
            <w:pPr>
              <w:spacing w:after="60" w:line="259" w:lineRule="auto"/>
            </w:pPr>
            <w:r>
              <w:rPr>
                <w:rFonts w:ascii="Calibri" w:hAnsi="Calibri"/>
                <w:b w:val="0"/>
                <w:i w:val="0"/>
                <w:color w:val="212121"/>
                <w:sz w:val="19"/>
              </w:rPr>
              <w:t>Low intake is both a cause and a consequence of tooth loss (SAGE OR 1.37)</w:t>
            </w:r>
          </w:p>
          <w:p>
            <w:pPr>
              <w:spacing w:after="40" w:line="252" w:lineRule="auto"/>
            </w:pPr>
            <w:hyperlink r:id="rId9">
              <w:r>
                <w:rPr>
                  <w:rFonts w:ascii="Calibri" w:hAnsi="Calibri" w:cs="Calibri"/>
                  <w:sz w:val="18"/>
                  <w:color w:val="1155CC"/>
                  <w:u w:val="single"/>
                </w:rPr>
                <w:t xml:space="preserve">https://www.mdpi.com/1660-4601/11/11/11308</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Dental attendance</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At least an annual dental check-up</w:t>
            </w:r>
          </w:p>
        </w:tc>
        <w:tc>
          <w:tcPr>
            <w:tcW w:type="dxa" w:w="1512"/>
            <w:vAlign w:val="top"/>
          </w:tcPr>
          <w:p>
            <w:pPr>
              <w:spacing w:after="40" w:before="0" w:line="259" w:lineRule="auto"/>
            </w:pPr>
            <w:r>
              <w:rPr>
                <w:rFonts w:ascii="Calibri" w:hAnsi="Calibri"/>
                <w:b w:val="0"/>
                <w:i w:val="0"/>
                <w:color w:val="212121"/>
                <w:sz w:val="19"/>
              </w:rPr>
              <w:t>Attends only for pain / never</w:t>
            </w:r>
          </w:p>
        </w:tc>
        <w:tc>
          <w:tcPr>
            <w:tcW w:type="dxa" w:w="1468"/>
            <w:vAlign w:val="top"/>
          </w:tcPr>
          <w:p>
            <w:pPr>
              <w:spacing w:after="40" w:before="0" w:line="259" w:lineRule="auto"/>
            </w:pPr>
            <w:r>
              <w:rPr>
                <w:rFonts w:ascii="Calibri" w:hAnsi="Calibri"/>
                <w:b w:val="0"/>
                <w:i w:val="0"/>
                <w:color w:val="212121"/>
                <w:sz w:val="19"/>
              </w:rPr>
              <w:t>Pain-only attendance leads to extraction rather than tooth-saving care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Fluoride exposure (toothpaste / water)</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Optimal fluoride (fluoride toothpaste)</w:t>
            </w:r>
          </w:p>
        </w:tc>
        <w:tc>
          <w:tcPr>
            <w:tcW w:type="dxa" w:w="1512"/>
            <w:vAlign w:val="top"/>
          </w:tcPr>
          <w:p>
            <w:pPr>
              <w:spacing w:after="40" w:before="0" w:line="259" w:lineRule="auto"/>
            </w:pPr>
            <w:r>
              <w:rPr>
                <w:rFonts w:ascii="Calibri" w:hAnsi="Calibri"/>
                <w:b w:val="0"/>
                <w:i w:val="0"/>
                <w:color w:val="212121"/>
                <w:sz w:val="19"/>
              </w:rPr>
              <w:t>No fluoride toothpaste use</w:t>
            </w:r>
          </w:p>
        </w:tc>
        <w:tc>
          <w:tcPr>
            <w:tcW w:type="dxa" w:w="1468"/>
            <w:vAlign w:val="top"/>
          </w:tcPr>
          <w:p>
            <w:pPr>
              <w:spacing w:after="60" w:line="259" w:lineRule="auto"/>
            </w:pPr>
            <w:r>
              <w:rPr>
                <w:rFonts w:ascii="Calibri" w:hAnsi="Calibri"/>
                <w:b w:val="0"/>
                <w:i w:val="0"/>
                <w:color w:val="212121"/>
                <w:sz w:val="19"/>
              </w:rPr>
              <w:t>Fluoride reduces caries and thereby caries-related tooth loss</w:t>
            </w:r>
          </w:p>
          <w:p>
            <w:pPr>
              <w:spacing w:after="40" w:line="252" w:lineRule="auto"/>
            </w:pPr>
            <w:hyperlink r:id="rId10">
              <w:r>
                <w:rPr>
                  <w:rFonts w:ascii="Calibri" w:hAnsi="Calibri" w:cs="Calibri"/>
                  <w:sz w:val="18"/>
                  <w:color w:val="1155CC"/>
                  <w:u w:val="single"/>
                </w:rPr>
                <w:t xml:space="preserve">https://www.who.int/news-room/fact-sheets/detail/oral-health</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Residual ridge resorption (denture wearers)</w:t>
            </w:r>
          </w:p>
        </w:tc>
        <w:tc>
          <w:tcPr>
            <w:tcW w:type="dxa" w:w="1655"/>
            <w:vAlign w:val="top"/>
          </w:tcPr>
          <w:p>
            <w:pPr>
              <w:spacing w:after="40" w:before="0" w:line="259" w:lineRule="auto"/>
            </w:pPr>
            <w:r>
              <w:rPr>
                <w:rFonts w:ascii="Calibri" w:hAnsi="Calibri"/>
                <w:b w:val="0"/>
                <w:i w:val="0"/>
                <w:color w:val="212121"/>
                <w:sz w:val="19"/>
              </w:rPr>
              <w:t>Edentulous patients</w:t>
            </w:r>
          </w:p>
        </w:tc>
        <w:tc>
          <w:tcPr>
            <w:tcW w:type="dxa" w:w="1512"/>
            <w:vAlign w:val="top"/>
          </w:tcPr>
          <w:p>
            <w:pPr>
              <w:spacing w:after="40" w:before="0" w:line="259" w:lineRule="auto"/>
            </w:pPr>
            <w:r>
              <w:rPr>
                <w:rFonts w:ascii="Calibri" w:hAnsi="Calibri"/>
                <w:b w:val="0"/>
                <w:i w:val="0"/>
                <w:color w:val="212121"/>
                <w:sz w:val="19"/>
              </w:rPr>
              <w:t>Well-formed, broad residual ridge</w:t>
            </w:r>
          </w:p>
        </w:tc>
        <w:tc>
          <w:tcPr>
            <w:tcW w:type="dxa" w:w="1512"/>
            <w:vAlign w:val="top"/>
          </w:tcPr>
          <w:p>
            <w:pPr>
              <w:spacing w:after="40" w:before="0" w:line="259" w:lineRule="auto"/>
            </w:pPr>
            <w:r>
              <w:rPr>
                <w:rFonts w:ascii="Calibri" w:hAnsi="Calibri"/>
                <w:b w:val="0"/>
                <w:i w:val="0"/>
                <w:color w:val="212121"/>
                <w:sz w:val="19"/>
              </w:rPr>
              <w:t>Flat / knife-edge resorbed ridge, unstable denture</w:t>
            </w:r>
          </w:p>
        </w:tc>
        <w:tc>
          <w:tcPr>
            <w:tcW w:type="dxa" w:w="1468"/>
            <w:vAlign w:val="top"/>
          </w:tcPr>
          <w:p>
            <w:pPr>
              <w:spacing w:after="40" w:before="0" w:line="259" w:lineRule="auto"/>
            </w:pPr>
            <w:r>
              <w:rPr>
                <w:rFonts w:ascii="Calibri" w:hAnsi="Calibri"/>
                <w:b w:val="0"/>
                <w:i w:val="0"/>
                <w:color w:val="212121"/>
                <w:sz w:val="19"/>
              </w:rPr>
              <w:t>Progressive ridge resorption undermines denture retention and function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Denture age and hygiene</w:t>
            </w:r>
          </w:p>
        </w:tc>
        <w:tc>
          <w:tcPr>
            <w:tcW w:type="dxa" w:w="1655"/>
            <w:vAlign w:val="top"/>
          </w:tcPr>
          <w:p>
            <w:pPr>
              <w:spacing w:after="40" w:before="0" w:line="259" w:lineRule="auto"/>
            </w:pPr>
            <w:r>
              <w:rPr>
                <w:rFonts w:ascii="Calibri" w:hAnsi="Calibri"/>
                <w:b w:val="0"/>
                <w:i w:val="0"/>
                <w:color w:val="212121"/>
                <w:sz w:val="19"/>
              </w:rPr>
              <w:t>Denture wearers</w:t>
            </w:r>
          </w:p>
        </w:tc>
        <w:tc>
          <w:tcPr>
            <w:tcW w:type="dxa" w:w="1512"/>
            <w:vAlign w:val="top"/>
          </w:tcPr>
          <w:p>
            <w:pPr>
              <w:spacing w:after="40" w:before="0" w:line="259" w:lineRule="auto"/>
            </w:pPr>
            <w:r>
              <w:rPr>
                <w:rFonts w:ascii="Calibri" w:hAnsi="Calibri"/>
                <w:b w:val="0"/>
                <w:i w:val="0"/>
                <w:color w:val="212121"/>
                <w:sz w:val="19"/>
              </w:rPr>
              <w:t>Cleaned daily, removed at night, reviewed and relined/replaced (~5-7 years)</w:t>
            </w:r>
          </w:p>
        </w:tc>
        <w:tc>
          <w:tcPr>
            <w:tcW w:type="dxa" w:w="1512"/>
            <w:vAlign w:val="top"/>
          </w:tcPr>
          <w:p>
            <w:pPr>
              <w:spacing w:after="40" w:before="0" w:line="259" w:lineRule="auto"/>
            </w:pPr>
            <w:r>
              <w:rPr>
                <w:rFonts w:ascii="Calibri" w:hAnsi="Calibri"/>
                <w:b w:val="0"/>
                <w:i w:val="0"/>
                <w:color w:val="212121"/>
                <w:sz w:val="19"/>
              </w:rPr>
              <w:t>Worn continuously, poor hygiene, unchanged &gt; 7-10 years</w:t>
            </w:r>
          </w:p>
        </w:tc>
        <w:tc>
          <w:tcPr>
            <w:tcW w:type="dxa" w:w="1468"/>
            <w:vAlign w:val="top"/>
          </w:tcPr>
          <w:p>
            <w:pPr>
              <w:spacing w:after="40" w:before="0" w:line="259" w:lineRule="auto"/>
            </w:pPr>
            <w:r>
              <w:rPr>
                <w:rFonts w:ascii="Calibri" w:hAnsi="Calibri"/>
                <w:b w:val="0"/>
                <w:i w:val="0"/>
                <w:color w:val="212121"/>
                <w:sz w:val="19"/>
              </w:rPr>
              <w:t>Old, dirty, ill-fitting dentures cause stomatitis, ulcers and accelerated ridge loss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Residual ridge height, retained roots, bone pathology</w:t>
            </w:r>
          </w:p>
        </w:tc>
        <w:tc>
          <w:tcPr>
            <w:tcW w:type="dxa" w:w="892"/>
            <w:vAlign w:val="top"/>
          </w:tcPr>
          <w:p>
            <w:pPr>
              <w:spacing w:after="40" w:before="0" w:line="259" w:lineRule="auto"/>
            </w:pPr>
            <w:r>
              <w:rPr>
                <w:rFonts w:ascii="Calibri" w:hAnsi="Calibri"/>
                <w:b w:val="0"/>
                <w:i w:val="0"/>
                <w:color w:val="212121"/>
                <w:sz w:val="16"/>
              </w:rPr>
              <w:t>Panoramic radiograph (OPG / orthopantomogram)</w:t>
            </w:r>
          </w:p>
        </w:tc>
        <w:tc>
          <w:tcPr>
            <w:tcW w:type="dxa" w:w="950"/>
            <w:vAlign w:val="top"/>
          </w:tcPr>
          <w:p>
            <w:pPr>
              <w:spacing w:after="40" w:before="0" w:line="259" w:lineRule="auto"/>
            </w:pPr>
            <w:r>
              <w:rPr>
                <w:rFonts w:ascii="Calibri" w:hAnsi="Calibri"/>
                <w:b w:val="0"/>
                <w:i w:val="0"/>
                <w:color w:val="212121"/>
                <w:sz w:val="16"/>
              </w:rPr>
              <w:t>Adequate ridge, no retained roots or pathology</w:t>
            </w:r>
          </w:p>
        </w:tc>
        <w:tc>
          <w:tcPr>
            <w:tcW w:type="dxa" w:w="950"/>
            <w:vAlign w:val="top"/>
          </w:tcPr>
          <w:p>
            <w:pPr>
              <w:spacing w:after="40" w:before="0" w:line="259" w:lineRule="auto"/>
            </w:pPr>
            <w:r>
              <w:rPr>
                <w:rFonts w:ascii="Calibri" w:hAnsi="Calibri"/>
                <w:b w:val="0"/>
                <w:i w:val="0"/>
                <w:color w:val="212121"/>
                <w:sz w:val="16"/>
              </w:rPr>
              <w:t>Resorbed ridge, retained root fragments, cysts or unerupted teeth</w:t>
            </w:r>
          </w:p>
        </w:tc>
        <w:tc>
          <w:tcPr>
            <w:tcW w:type="dxa" w:w="1036"/>
            <w:vAlign w:val="top"/>
          </w:tcPr>
          <w:p>
            <w:pPr>
              <w:spacing w:after="40" w:before="0" w:line="259" w:lineRule="auto"/>
            </w:pPr>
            <w:r>
              <w:rPr>
                <w:rFonts w:ascii="Calibri" w:hAnsi="Calibri"/>
                <w:b w:val="0"/>
                <w:i w:val="0"/>
                <w:color w:val="212121"/>
                <w:sz w:val="16"/>
              </w:rPr>
              <w:t>Maps the edentulous ridge and any hidden pathology before prosthetic work</w:t>
            </w:r>
          </w:p>
        </w:tc>
        <w:tc>
          <w:tcPr>
            <w:tcW w:type="dxa" w:w="1036"/>
            <w:vAlign w:val="top"/>
          </w:tcPr>
          <w:p>
            <w:pPr>
              <w:spacing w:after="40" w:before="0" w:line="259" w:lineRule="auto"/>
            </w:pPr>
            <w:r>
              <w:rPr>
                <w:rFonts w:ascii="Calibri" w:hAnsi="Calibri"/>
                <w:b w:val="0"/>
                <w:i w:val="0"/>
                <w:color w:val="212121"/>
                <w:sz w:val="16"/>
              </w:rPr>
              <w:t>All edentulous or partially edentulous patients being rehabilitated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 imaging</w:t>
            </w:r>
          </w:p>
        </w:tc>
        <w:tc>
          <w:tcPr>
            <w:tcW w:type="dxa" w:w="720"/>
            <w:vAlign w:val="top"/>
          </w:tcPr>
          <w:p>
            <w:pPr>
              <w:spacing w:after="40" w:before="0" w:line="259" w:lineRule="auto"/>
            </w:pPr>
            <w:r>
              <w:rPr>
                <w:rFonts w:ascii="Calibri" w:hAnsi="Calibri"/>
                <w:b w:val="0"/>
                <w:i w:val="0"/>
                <w:color w:val="212121"/>
                <w:sz w:val="16"/>
              </w:rPr>
              <w:t>Standard survey film for denture and implant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3D bone volume, density and vital structures</w:t>
            </w:r>
          </w:p>
        </w:tc>
        <w:tc>
          <w:tcPr>
            <w:tcW w:type="dxa" w:w="892"/>
            <w:vAlign w:val="top"/>
          </w:tcPr>
          <w:p>
            <w:pPr>
              <w:spacing w:after="40" w:before="0" w:line="259" w:lineRule="auto"/>
            </w:pPr>
            <w:r>
              <w:rPr>
                <w:rFonts w:ascii="Calibri" w:hAnsi="Calibri"/>
                <w:b w:val="0"/>
                <w:i w:val="0"/>
                <w:color w:val="212121"/>
                <w:sz w:val="16"/>
              </w:rPr>
              <w:t>Cone-beam CT (CBCT)</w:t>
            </w:r>
          </w:p>
        </w:tc>
        <w:tc>
          <w:tcPr>
            <w:tcW w:type="dxa" w:w="950"/>
            <w:vAlign w:val="top"/>
          </w:tcPr>
          <w:p>
            <w:pPr>
              <w:spacing w:after="40" w:before="0" w:line="259" w:lineRule="auto"/>
            </w:pPr>
            <w:r>
              <w:rPr>
                <w:rFonts w:ascii="Calibri" w:hAnsi="Calibri"/>
                <w:b w:val="0"/>
                <w:i w:val="0"/>
                <w:color w:val="212121"/>
                <w:sz w:val="16"/>
              </w:rPr>
              <w:t>Sufficient bone height/width clear of the nerve and sinus</w:t>
            </w:r>
          </w:p>
        </w:tc>
        <w:tc>
          <w:tcPr>
            <w:tcW w:type="dxa" w:w="950"/>
            <w:vAlign w:val="top"/>
          </w:tcPr>
          <w:p>
            <w:pPr>
              <w:spacing w:after="40" w:before="0" w:line="259" w:lineRule="auto"/>
            </w:pPr>
            <w:r>
              <w:rPr>
                <w:rFonts w:ascii="Calibri" w:hAnsi="Calibri"/>
                <w:b w:val="0"/>
                <w:i w:val="0"/>
                <w:color w:val="212121"/>
                <w:sz w:val="16"/>
              </w:rPr>
              <w:t>Insufficient bone, proximity to inferior alveolar nerve or maxillary sinus</w:t>
            </w:r>
          </w:p>
        </w:tc>
        <w:tc>
          <w:tcPr>
            <w:tcW w:type="dxa" w:w="1036"/>
            <w:vAlign w:val="top"/>
          </w:tcPr>
          <w:p>
            <w:pPr>
              <w:spacing w:after="40" w:before="0" w:line="259" w:lineRule="auto"/>
            </w:pPr>
            <w:r>
              <w:rPr>
                <w:rFonts w:ascii="Calibri" w:hAnsi="Calibri"/>
                <w:b w:val="0"/>
                <w:i w:val="0"/>
                <w:color w:val="212121"/>
                <w:sz w:val="16"/>
              </w:rPr>
              <w:t>Defines whether and where implants can be placed</w:t>
            </w:r>
          </w:p>
        </w:tc>
        <w:tc>
          <w:tcPr>
            <w:tcW w:type="dxa" w:w="1036"/>
            <w:vAlign w:val="top"/>
          </w:tcPr>
          <w:p>
            <w:pPr>
              <w:spacing w:after="40" w:before="0" w:line="259" w:lineRule="auto"/>
            </w:pPr>
            <w:r>
              <w:rPr>
                <w:rFonts w:ascii="Calibri" w:hAnsi="Calibri"/>
                <w:b w:val="0"/>
                <w:i w:val="0"/>
                <w:color w:val="212121"/>
                <w:sz w:val="16"/>
              </w:rPr>
              <w:t>Patients considered for dental implants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Definitive for implant planning</w:t>
            </w:r>
          </w:p>
        </w:tc>
        <w:tc>
          <w:tcPr>
            <w:tcW w:type="dxa" w:w="720"/>
            <w:vAlign w:val="top"/>
          </w:tcPr>
          <w:p>
            <w:pPr>
              <w:spacing w:after="40" w:before="0" w:line="259" w:lineRule="auto"/>
            </w:pPr>
            <w:r>
              <w:rPr>
                <w:rFonts w:ascii="Calibri" w:hAnsi="Calibri"/>
                <w:b w:val="0"/>
                <w:i w:val="0"/>
                <w:color w:val="212121"/>
                <w:sz w:val="16"/>
              </w:rPr>
              <w:t>Used selectively to limit radiation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periodontal</w:t>
            </w:r>
          </w:p>
        </w:tc>
        <w:tc>
          <w:tcPr>
            <w:tcW w:type="dxa" w:w="1036"/>
            <w:vAlign w:val="top"/>
          </w:tcPr>
          <w:p>
            <w:pPr>
              <w:spacing w:after="40" w:before="0" w:line="259" w:lineRule="auto"/>
            </w:pPr>
            <w:r>
              <w:rPr>
                <w:rFonts w:ascii="Calibri" w:hAnsi="Calibri"/>
                <w:b w:val="0"/>
                <w:i w:val="0"/>
                <w:color w:val="212121"/>
                <w:sz w:val="16"/>
              </w:rPr>
              <w:t>Probing depth, attachment loss, mobility, bleeding on probing</w:t>
            </w:r>
          </w:p>
        </w:tc>
        <w:tc>
          <w:tcPr>
            <w:tcW w:type="dxa" w:w="892"/>
            <w:vAlign w:val="top"/>
          </w:tcPr>
          <w:p>
            <w:pPr>
              <w:spacing w:after="40" w:before="0" w:line="259" w:lineRule="auto"/>
            </w:pPr>
            <w:r>
              <w:rPr>
                <w:rFonts w:ascii="Calibri" w:hAnsi="Calibri"/>
                <w:b w:val="0"/>
                <w:i w:val="0"/>
                <w:color w:val="212121"/>
                <w:sz w:val="16"/>
              </w:rPr>
              <w:t>Full periodontal charting (remaining teeth)</w:t>
            </w:r>
          </w:p>
        </w:tc>
        <w:tc>
          <w:tcPr>
            <w:tcW w:type="dxa" w:w="950"/>
            <w:vAlign w:val="top"/>
          </w:tcPr>
          <w:p>
            <w:pPr>
              <w:spacing w:after="40" w:before="0" w:line="259" w:lineRule="auto"/>
            </w:pPr>
            <w:r>
              <w:rPr>
                <w:rFonts w:ascii="Calibri" w:hAnsi="Calibri"/>
                <w:b w:val="0"/>
                <w:i w:val="0"/>
                <w:color w:val="212121"/>
                <w:sz w:val="16"/>
              </w:rPr>
              <w:t>Pockets &lt;= 3 mm, no attachment loss</w:t>
            </w:r>
          </w:p>
        </w:tc>
        <w:tc>
          <w:tcPr>
            <w:tcW w:type="dxa" w:w="950"/>
            <w:vAlign w:val="top"/>
          </w:tcPr>
          <w:p>
            <w:pPr>
              <w:spacing w:after="40" w:before="0" w:line="259" w:lineRule="auto"/>
            </w:pPr>
            <w:r>
              <w:rPr>
                <w:rFonts w:ascii="Calibri" w:hAnsi="Calibri"/>
                <w:b w:val="0"/>
                <w:i w:val="0"/>
                <w:color w:val="212121"/>
                <w:sz w:val="16"/>
              </w:rPr>
              <w:t>Deep pockets, attachment loss, mobility, bleeding</w:t>
            </w:r>
          </w:p>
        </w:tc>
        <w:tc>
          <w:tcPr>
            <w:tcW w:type="dxa" w:w="1036"/>
            <w:vAlign w:val="top"/>
          </w:tcPr>
          <w:p>
            <w:pPr>
              <w:spacing w:after="40" w:before="0" w:line="259" w:lineRule="auto"/>
            </w:pPr>
            <w:r>
              <w:rPr>
                <w:rFonts w:ascii="Calibri" w:hAnsi="Calibri"/>
                <w:b w:val="0"/>
                <w:i w:val="0"/>
                <w:color w:val="212121"/>
                <w:sz w:val="16"/>
              </w:rPr>
              <w:t>Grades periodontitis and predicts which teeth are likely to be lost next</w:t>
            </w:r>
          </w:p>
        </w:tc>
        <w:tc>
          <w:tcPr>
            <w:tcW w:type="dxa" w:w="1036"/>
            <w:vAlign w:val="top"/>
          </w:tcPr>
          <w:p>
            <w:pPr>
              <w:spacing w:after="40" w:before="0" w:line="259" w:lineRule="auto"/>
            </w:pPr>
            <w:r>
              <w:rPr>
                <w:rFonts w:ascii="Calibri" w:hAnsi="Calibri"/>
                <w:b w:val="0"/>
                <w:i w:val="0"/>
                <w:color w:val="212121"/>
                <w:sz w:val="16"/>
              </w:rPr>
              <w:t>Partially dentate adults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Key for prognosis</w:t>
            </w:r>
          </w:p>
        </w:tc>
        <w:tc>
          <w:tcPr>
            <w:tcW w:type="dxa" w:w="720"/>
            <w:vAlign w:val="top"/>
          </w:tcPr>
          <w:p>
            <w:pPr>
              <w:spacing w:after="40" w:before="0" w:line="259" w:lineRule="auto"/>
            </w:pPr>
            <w:r>
              <w:rPr>
                <w:rFonts w:ascii="Calibri" w:hAnsi="Calibri"/>
                <w:b w:val="0"/>
                <w:i w:val="0"/>
                <w:color w:val="212121"/>
                <w:sz w:val="16"/>
              </w:rPr>
              <w:t>Guides whether to save or extract remaining teeth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Dental index</w:t>
            </w:r>
          </w:p>
        </w:tc>
        <w:tc>
          <w:tcPr>
            <w:tcW w:type="dxa" w:w="1036"/>
            <w:vAlign w:val="top"/>
          </w:tcPr>
          <w:p>
            <w:pPr>
              <w:spacing w:after="40" w:before="0" w:line="259" w:lineRule="auto"/>
            </w:pPr>
            <w:r>
              <w:rPr>
                <w:rFonts w:ascii="Calibri" w:hAnsi="Calibri"/>
                <w:b w:val="0"/>
                <w:i w:val="0"/>
                <w:color w:val="212121"/>
                <w:sz w:val="16"/>
              </w:rPr>
              <w:t>Number of remaining teeth / M of DMFT</w:t>
            </w:r>
          </w:p>
        </w:tc>
        <w:tc>
          <w:tcPr>
            <w:tcW w:type="dxa" w:w="892"/>
            <w:vAlign w:val="top"/>
          </w:tcPr>
          <w:p>
            <w:pPr>
              <w:spacing w:after="40" w:before="0" w:line="259" w:lineRule="auto"/>
            </w:pPr>
            <w:r>
              <w:rPr>
                <w:rFonts w:ascii="Calibri" w:hAnsi="Calibri"/>
                <w:b w:val="0"/>
                <w:i w:val="0"/>
                <w:color w:val="212121"/>
                <w:sz w:val="16"/>
              </w:rPr>
              <w:t>Tooth count and DMFT index</w:t>
            </w:r>
          </w:p>
        </w:tc>
        <w:tc>
          <w:tcPr>
            <w:tcW w:type="dxa" w:w="950"/>
            <w:vAlign w:val="top"/>
          </w:tcPr>
          <w:p>
            <w:pPr>
              <w:spacing w:after="40" w:before="0" w:line="259" w:lineRule="auto"/>
            </w:pPr>
            <w:r>
              <w:rPr>
                <w:rFonts w:ascii="Calibri" w:hAnsi="Calibri"/>
                <w:b w:val="0"/>
                <w:i w:val="0"/>
                <w:color w:val="212121"/>
                <w:sz w:val="16"/>
              </w:rPr>
              <w:t>&gt;= 20 functional teeth</w:t>
            </w:r>
          </w:p>
        </w:tc>
        <w:tc>
          <w:tcPr>
            <w:tcW w:type="dxa" w:w="950"/>
            <w:vAlign w:val="top"/>
          </w:tcPr>
          <w:p>
            <w:pPr>
              <w:spacing w:after="40" w:before="0" w:line="259" w:lineRule="auto"/>
            </w:pPr>
            <w:r>
              <w:rPr>
                <w:rFonts w:ascii="Calibri" w:hAnsi="Calibri"/>
                <w:b w:val="0"/>
                <w:i w:val="0"/>
                <w:color w:val="212121"/>
                <w:sz w:val="16"/>
              </w:rPr>
              <w:t>&lt; 20 teeth; rising missing count</w:t>
            </w:r>
          </w:p>
        </w:tc>
        <w:tc>
          <w:tcPr>
            <w:tcW w:type="dxa" w:w="1036"/>
            <w:vAlign w:val="top"/>
          </w:tcPr>
          <w:p>
            <w:pPr>
              <w:spacing w:after="40" w:before="0" w:line="259" w:lineRule="auto"/>
            </w:pPr>
            <w:r>
              <w:rPr>
                <w:rFonts w:ascii="Calibri" w:hAnsi="Calibri"/>
                <w:b w:val="0"/>
                <w:i w:val="0"/>
                <w:color w:val="212121"/>
                <w:sz w:val="16"/>
              </w:rPr>
              <w:t>Quantifies loss against the functional-dentition benchmark</w:t>
            </w:r>
          </w:p>
        </w:tc>
        <w:tc>
          <w:tcPr>
            <w:tcW w:type="dxa" w:w="1036"/>
            <w:vAlign w:val="top"/>
          </w:tcPr>
          <w:p>
            <w:pPr>
              <w:spacing w:after="40" w:before="0" w:line="259" w:lineRule="auto"/>
            </w:pPr>
            <w:r>
              <w:rPr>
                <w:rFonts w:ascii="Calibri" w:hAnsi="Calibri"/>
                <w:b w:val="0"/>
                <w:i w:val="0"/>
                <w:color w:val="212121"/>
                <w:sz w:val="16"/>
              </w:rPr>
              <w:t>Adults, elderly, epidemiological surveys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Simple measure of accumulated tooth loss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Impaired or diabetic range (&gt;= 6.5%)</w:t>
            </w:r>
          </w:p>
        </w:tc>
        <w:tc>
          <w:tcPr>
            <w:tcW w:type="dxa" w:w="1036"/>
            <w:vAlign w:val="top"/>
          </w:tcPr>
          <w:p>
            <w:pPr>
              <w:spacing w:after="40" w:before="0" w:line="259" w:lineRule="auto"/>
            </w:pPr>
            <w:r>
              <w:rPr>
                <w:rFonts w:ascii="Calibri" w:hAnsi="Calibri"/>
                <w:b w:val="0"/>
                <w:i w:val="0"/>
                <w:color w:val="212121"/>
                <w:sz w:val="16"/>
              </w:rPr>
              <w:t>Uncontrolled diabetes worsens periodontitis and impairs extraction/implant healing</w:t>
            </w:r>
          </w:p>
        </w:tc>
        <w:tc>
          <w:tcPr>
            <w:tcW w:type="dxa" w:w="1036"/>
            <w:vAlign w:val="top"/>
          </w:tcPr>
          <w:p>
            <w:pPr>
              <w:spacing w:after="40" w:before="0" w:line="259" w:lineRule="auto"/>
            </w:pPr>
            <w:r>
              <w:rPr>
                <w:rFonts w:ascii="Calibri" w:hAnsi="Calibri"/>
                <w:b w:val="0"/>
                <w:i w:val="0"/>
                <w:color w:val="212121"/>
                <w:sz w:val="16"/>
              </w:rPr>
              <w:t>Diabetic or high-risk patients before extraction or implants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Optimise glycaemia before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 / biochemical</w:t>
            </w:r>
          </w:p>
        </w:tc>
        <w:tc>
          <w:tcPr>
            <w:tcW w:type="dxa" w:w="1036"/>
            <w:vAlign w:val="top"/>
          </w:tcPr>
          <w:p>
            <w:pPr>
              <w:spacing w:after="40" w:before="0" w:line="259" w:lineRule="auto"/>
            </w:pPr>
            <w:r>
              <w:rPr>
                <w:rFonts w:ascii="Calibri" w:hAnsi="Calibri"/>
                <w:b w:val="0"/>
                <w:i w:val="0"/>
                <w:color w:val="212121"/>
                <w:sz w:val="16"/>
              </w:rPr>
              <w:t>Haemoglobin, albumin, vitamin B12, vitamin D</w:t>
            </w:r>
          </w:p>
        </w:tc>
        <w:tc>
          <w:tcPr>
            <w:tcW w:type="dxa" w:w="892"/>
            <w:vAlign w:val="top"/>
          </w:tcPr>
          <w:p>
            <w:pPr>
              <w:spacing w:after="40" w:before="0" w:line="259" w:lineRule="auto"/>
            </w:pPr>
            <w:r>
              <w:rPr>
                <w:rFonts w:ascii="Calibri" w:hAnsi="Calibri"/>
                <w:b w:val="0"/>
                <w:i w:val="0"/>
                <w:color w:val="212121"/>
                <w:sz w:val="16"/>
              </w:rPr>
              <w:t>Nutritional screen</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Anaemia, low albumin, B12 or vitamin D deficiency</w:t>
            </w:r>
          </w:p>
        </w:tc>
        <w:tc>
          <w:tcPr>
            <w:tcW w:type="dxa" w:w="1036"/>
            <w:vAlign w:val="top"/>
          </w:tcPr>
          <w:p>
            <w:pPr>
              <w:spacing w:after="40" w:before="0" w:line="259" w:lineRule="auto"/>
            </w:pPr>
            <w:r>
              <w:rPr>
                <w:rFonts w:ascii="Calibri" w:hAnsi="Calibri"/>
                <w:b w:val="0"/>
                <w:i w:val="0"/>
                <w:color w:val="212121"/>
                <w:sz w:val="16"/>
              </w:rPr>
              <w:t>Screens for undernutrition caused by impaired chewing in edentulous patients</w:t>
            </w:r>
          </w:p>
        </w:tc>
        <w:tc>
          <w:tcPr>
            <w:tcW w:type="dxa" w:w="1036"/>
            <w:vAlign w:val="top"/>
          </w:tcPr>
          <w:p>
            <w:pPr>
              <w:spacing w:after="40" w:before="0" w:line="259" w:lineRule="auto"/>
            </w:pPr>
            <w:r>
              <w:rPr>
                <w:rFonts w:ascii="Calibri" w:hAnsi="Calibri"/>
                <w:b w:val="0"/>
                <w:i w:val="0"/>
                <w:color w:val="212121"/>
                <w:sz w:val="16"/>
              </w:rPr>
              <w:t>Frail or elderly edentulous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Links tooth loss to nutritional status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Bone mineral density (T-score)</w:t>
            </w:r>
          </w:p>
        </w:tc>
        <w:tc>
          <w:tcPr>
            <w:tcW w:type="dxa" w:w="892"/>
            <w:vAlign w:val="top"/>
          </w:tcPr>
          <w:p>
            <w:pPr>
              <w:spacing w:after="40" w:before="0" w:line="259" w:lineRule="auto"/>
            </w:pPr>
            <w:r>
              <w:rPr>
                <w:rFonts w:ascii="Calibri" w:hAnsi="Calibri"/>
                <w:b w:val="0"/>
                <w:i w:val="0"/>
                <w:color w:val="212121"/>
                <w:sz w:val="16"/>
              </w:rPr>
              <w:t>DEXA scan (selected patients)</w:t>
            </w:r>
          </w:p>
        </w:tc>
        <w:tc>
          <w:tcPr>
            <w:tcW w:type="dxa" w:w="950"/>
            <w:vAlign w:val="top"/>
          </w:tcPr>
          <w:p>
            <w:pPr>
              <w:spacing w:after="40" w:before="0" w:line="259" w:lineRule="auto"/>
            </w:pPr>
            <w:r>
              <w:rPr>
                <w:rFonts w:ascii="Calibri" w:hAnsi="Calibri"/>
                <w:b w:val="0"/>
                <w:i w:val="0"/>
                <w:color w:val="212121"/>
                <w:sz w:val="16"/>
              </w:rPr>
              <w:t>T-score &gt;= -1.0</w:t>
            </w:r>
          </w:p>
        </w:tc>
        <w:tc>
          <w:tcPr>
            <w:tcW w:type="dxa" w:w="950"/>
            <w:vAlign w:val="top"/>
          </w:tcPr>
          <w:p>
            <w:pPr>
              <w:spacing w:after="40" w:before="0" w:line="259" w:lineRule="auto"/>
            </w:pPr>
            <w:r>
              <w:rPr>
                <w:rFonts w:ascii="Calibri" w:hAnsi="Calibri"/>
                <w:b w:val="0"/>
                <w:i w:val="0"/>
                <w:color w:val="212121"/>
                <w:sz w:val="16"/>
              </w:rPr>
              <w:t>Osteopenia/osteoporosis; on anti-resorptive drugs</w:t>
            </w:r>
          </w:p>
        </w:tc>
        <w:tc>
          <w:tcPr>
            <w:tcW w:type="dxa" w:w="1036"/>
            <w:vAlign w:val="top"/>
          </w:tcPr>
          <w:p>
            <w:pPr>
              <w:spacing w:after="40" w:before="0" w:line="259" w:lineRule="auto"/>
            </w:pPr>
            <w:r>
              <w:rPr>
                <w:rFonts w:ascii="Calibri" w:hAnsi="Calibri"/>
                <w:b w:val="0"/>
                <w:i w:val="0"/>
                <w:color w:val="212121"/>
                <w:sz w:val="16"/>
              </w:rPr>
              <w:t>Flags reduced jaw bone and MRONJ risk before extraction or implants</w:t>
            </w:r>
          </w:p>
        </w:tc>
        <w:tc>
          <w:tcPr>
            <w:tcW w:type="dxa" w:w="1036"/>
            <w:vAlign w:val="top"/>
          </w:tcPr>
          <w:p>
            <w:pPr>
              <w:spacing w:after="40" w:before="0" w:line="259" w:lineRule="auto"/>
            </w:pPr>
            <w:r>
              <w:rPr>
                <w:rFonts w:ascii="Calibri" w:hAnsi="Calibri"/>
                <w:b w:val="0"/>
                <w:i w:val="0"/>
                <w:color w:val="212121"/>
                <w:sz w:val="16"/>
              </w:rPr>
              <w:t>Postmenopausal women, frail elderly on bisphosphonates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Confirm anti-resorptive drug history before surgery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Difficulty chewing, missing teeth, loose or ill-fitting denture, altered speech or appearance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Establishes the functional and aesthetic impact driving treatment</w:t>
            </w:r>
          </w:p>
        </w:tc>
        <w:tc>
          <w:tcPr>
            <w:tcW w:type="dxa" w:w="1036"/>
            <w:vAlign w:val="top"/>
          </w:tcPr>
          <w:p>
            <w:pPr>
              <w:spacing w:after="40" w:before="0" w:line="259" w:lineRule="auto"/>
            </w:pPr>
            <w:r>
              <w:rPr>
                <w:rFonts w:ascii="Calibri" w:hAnsi="Calibri"/>
                <w:b w:val="0"/>
                <w:i w:val="0"/>
                <w:color w:val="212121"/>
                <w:sz w:val="16"/>
              </w:rPr>
              <w:t>Edentulous and partially dentate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diet change and social/eating avoidance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Dental history</w:t>
            </w:r>
          </w:p>
        </w:tc>
        <w:tc>
          <w:tcPr>
            <w:tcW w:type="dxa" w:w="979"/>
            <w:vAlign w:val="top"/>
          </w:tcPr>
          <w:p>
            <w:pPr>
              <w:spacing w:after="40" w:before="0" w:line="259" w:lineRule="auto"/>
            </w:pPr>
            <w:r>
              <w:rPr>
                <w:rFonts w:ascii="Calibri" w:hAnsi="Calibri"/>
                <w:b w:val="0"/>
                <w:i w:val="0"/>
                <w:color w:val="212121"/>
                <w:sz w:val="16"/>
              </w:rPr>
              <w:t>Cause and timing of tooth loss, previous extractions, prior dentures/bridges/implants</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Progressive loss / failed prostheses</w:t>
            </w:r>
          </w:p>
        </w:tc>
        <w:tc>
          <w:tcPr>
            <w:tcW w:type="dxa" w:w="1036"/>
            <w:vAlign w:val="top"/>
          </w:tcPr>
          <w:p>
            <w:pPr>
              <w:spacing w:after="40" w:before="0" w:line="259" w:lineRule="auto"/>
            </w:pPr>
            <w:r>
              <w:rPr>
                <w:rFonts w:ascii="Calibri" w:hAnsi="Calibri"/>
                <w:b w:val="0"/>
                <w:i w:val="0"/>
                <w:color w:val="212121"/>
                <w:sz w:val="16"/>
              </w:rPr>
              <w:t>Identifies the disease process and guides the prosthetic plan</w:t>
            </w:r>
          </w:p>
        </w:tc>
        <w:tc>
          <w:tcPr>
            <w:tcW w:type="dxa" w:w="1036"/>
            <w:vAlign w:val="top"/>
          </w:tcPr>
          <w:p>
            <w:pPr>
              <w:spacing w:after="40" w:before="0" w:line="259" w:lineRule="auto"/>
            </w:pPr>
            <w:r>
              <w:rPr>
                <w:rFonts w:ascii="Calibri" w:hAnsi="Calibri"/>
                <w:b w:val="0"/>
                <w:i w:val="0"/>
                <w:color w:val="212121"/>
                <w:sz w:val="16"/>
              </w:rPr>
              <w:t>All patients being rehabilitated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 caries-driven from periodontitis-driven loss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Medical &amp; social history</w:t>
            </w:r>
          </w:p>
        </w:tc>
        <w:tc>
          <w:tcPr>
            <w:tcW w:type="dxa" w:w="979"/>
            <w:vAlign w:val="top"/>
          </w:tcPr>
          <w:p>
            <w:pPr>
              <w:spacing w:after="40" w:before="0" w:line="259" w:lineRule="auto"/>
            </w:pPr>
            <w:r>
              <w:rPr>
                <w:rFonts w:ascii="Calibri" w:hAnsi="Calibri"/>
                <w:b w:val="0"/>
                <w:i w:val="0"/>
                <w:color w:val="212121"/>
                <w:sz w:val="16"/>
              </w:rPr>
              <w:t>Diabetes, tobacco/areca use, anti-resorptive drugs (bisphosphonates), radiotherapy, bleeding risk, allergies</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Diabetes / tobacco / anti-resorptive therapy / prior head-neck radiotherapy</w:t>
            </w:r>
          </w:p>
        </w:tc>
        <w:tc>
          <w:tcPr>
            <w:tcW w:type="dxa" w:w="1036"/>
            <w:vAlign w:val="top"/>
          </w:tcPr>
          <w:p>
            <w:pPr>
              <w:spacing w:after="40" w:before="0" w:line="259" w:lineRule="auto"/>
            </w:pPr>
            <w:r>
              <w:rPr>
                <w:rFonts w:ascii="Calibri" w:hAnsi="Calibri"/>
                <w:b w:val="0"/>
                <w:i w:val="0"/>
                <w:color w:val="212121"/>
                <w:sz w:val="16"/>
              </w:rPr>
              <w:t>Flags impaired healing and MRONJ/osteoradionecrosis risk before extraction or implants</w:t>
            </w:r>
          </w:p>
        </w:tc>
        <w:tc>
          <w:tcPr>
            <w:tcW w:type="dxa" w:w="1036"/>
            <w:vAlign w:val="top"/>
          </w:tcPr>
          <w:p>
            <w:pPr>
              <w:spacing w:after="40" w:before="0" w:line="259" w:lineRule="auto"/>
            </w:pPr>
            <w:r>
              <w:rPr>
                <w:rFonts w:ascii="Calibri" w:hAnsi="Calibri"/>
                <w:b w:val="0"/>
                <w:i w:val="0"/>
                <w:color w:val="212121"/>
                <w:sz w:val="16"/>
              </w:rPr>
              <w:t>Diabetics, smokers, patients on bone drugs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Central to surgical risk assessment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Intra-oral examination</w:t>
            </w:r>
          </w:p>
        </w:tc>
        <w:tc>
          <w:tcPr>
            <w:tcW w:type="dxa" w:w="979"/>
            <w:vAlign w:val="top"/>
          </w:tcPr>
          <w:p>
            <w:pPr>
              <w:spacing w:after="40" w:before="0" w:line="259" w:lineRule="auto"/>
            </w:pPr>
            <w:r>
              <w:rPr>
                <w:rFonts w:ascii="Calibri" w:hAnsi="Calibri"/>
                <w:b w:val="0"/>
                <w:i w:val="0"/>
                <w:color w:val="212121"/>
                <w:sz w:val="16"/>
              </w:rPr>
              <w:t>Tooth count, residual ridge form and height, mucosa, saliva, opposing dentition, inter-arch space</w:t>
            </w:r>
          </w:p>
        </w:tc>
        <w:tc>
          <w:tcPr>
            <w:tcW w:type="dxa" w:w="950"/>
            <w:vAlign w:val="top"/>
          </w:tcPr>
          <w:p>
            <w:pPr>
              <w:spacing w:after="40" w:before="0" w:line="259" w:lineRule="auto"/>
            </w:pPr>
            <w:r>
              <w:rPr>
                <w:rFonts w:ascii="Calibri" w:hAnsi="Calibri"/>
                <w:b w:val="0"/>
                <w:i w:val="0"/>
                <w:color w:val="212121"/>
                <w:sz w:val="16"/>
              </w:rPr>
              <w:t>Adequate ridge and healthy mucosa</w:t>
            </w:r>
          </w:p>
        </w:tc>
        <w:tc>
          <w:tcPr>
            <w:tcW w:type="dxa" w:w="950"/>
            <w:vAlign w:val="top"/>
          </w:tcPr>
          <w:p>
            <w:pPr>
              <w:spacing w:after="40" w:before="0" w:line="259" w:lineRule="auto"/>
            </w:pPr>
            <w:r>
              <w:rPr>
                <w:rFonts w:ascii="Calibri" w:hAnsi="Calibri"/>
                <w:b w:val="0"/>
                <w:i w:val="0"/>
                <w:color w:val="212121"/>
                <w:sz w:val="16"/>
              </w:rPr>
              <w:t>Resorbed ridge, sore or inflamed mucosa, reduced inter-arch space</w:t>
            </w:r>
          </w:p>
        </w:tc>
        <w:tc>
          <w:tcPr>
            <w:tcW w:type="dxa" w:w="1036"/>
            <w:vAlign w:val="top"/>
          </w:tcPr>
          <w:p>
            <w:pPr>
              <w:spacing w:after="40" w:before="0" w:line="259" w:lineRule="auto"/>
            </w:pPr>
            <w:r>
              <w:rPr>
                <w:rFonts w:ascii="Calibri" w:hAnsi="Calibri"/>
                <w:b w:val="0"/>
                <w:i w:val="0"/>
                <w:color w:val="212121"/>
                <w:sz w:val="16"/>
              </w:rPr>
              <w:t>Documents the extent of edentulism and the denture-bearing tissues</w:t>
            </w:r>
          </w:p>
        </w:tc>
        <w:tc>
          <w:tcPr>
            <w:tcW w:type="dxa" w:w="1036"/>
            <w:vAlign w:val="top"/>
          </w:tcPr>
          <w:p>
            <w:pPr>
              <w:spacing w:after="40" w:before="0" w:line="259" w:lineRule="auto"/>
            </w:pPr>
            <w:r>
              <w:rPr>
                <w:rFonts w:ascii="Calibri" w:hAnsi="Calibri"/>
                <w:b w:val="0"/>
                <w:i w:val="0"/>
                <w:color w:val="212121"/>
                <w:sz w:val="16"/>
              </w:rPr>
              <w:t>All edentulous/partially dentate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both arches and the opposing teeth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Prosthesis assessment</w:t>
            </w:r>
          </w:p>
        </w:tc>
        <w:tc>
          <w:tcPr>
            <w:tcW w:type="dxa" w:w="950"/>
            <w:vAlign w:val="top"/>
          </w:tcPr>
          <w:p>
            <w:pPr>
              <w:spacing w:after="40" w:before="0" w:line="259" w:lineRule="auto"/>
            </w:pPr>
            <w:r>
              <w:rPr>
                <w:rFonts w:ascii="Calibri" w:hAnsi="Calibri"/>
                <w:b w:val="0"/>
                <w:i w:val="0"/>
                <w:color w:val="212121"/>
                <w:sz w:val="16"/>
              </w:rPr>
              <w:t>Existing denture evaluation</w:t>
            </w:r>
          </w:p>
        </w:tc>
        <w:tc>
          <w:tcPr>
            <w:tcW w:type="dxa" w:w="979"/>
            <w:vAlign w:val="top"/>
          </w:tcPr>
          <w:p>
            <w:pPr>
              <w:spacing w:after="40" w:before="0" w:line="259" w:lineRule="auto"/>
            </w:pPr>
            <w:r>
              <w:rPr>
                <w:rFonts w:ascii="Calibri" w:hAnsi="Calibri"/>
                <w:b w:val="0"/>
                <w:i w:val="0"/>
                <w:color w:val="212121"/>
                <w:sz w:val="16"/>
              </w:rPr>
              <w:t>Fit, retention, stability, occlusion, hygiene and denture-induced lesions</w:t>
            </w:r>
          </w:p>
        </w:tc>
        <w:tc>
          <w:tcPr>
            <w:tcW w:type="dxa" w:w="950"/>
            <w:vAlign w:val="top"/>
          </w:tcPr>
          <w:p>
            <w:pPr>
              <w:spacing w:after="40" w:before="0" w:line="259" w:lineRule="auto"/>
            </w:pPr>
            <w:r>
              <w:rPr>
                <w:rFonts w:ascii="Calibri" w:hAnsi="Calibri"/>
                <w:b w:val="0"/>
                <w:i w:val="0"/>
                <w:color w:val="212121"/>
                <w:sz w:val="16"/>
              </w:rPr>
              <w:t>Well-fitting, clean, functional denture</w:t>
            </w:r>
          </w:p>
        </w:tc>
        <w:tc>
          <w:tcPr>
            <w:tcW w:type="dxa" w:w="950"/>
            <w:vAlign w:val="top"/>
          </w:tcPr>
          <w:p>
            <w:pPr>
              <w:spacing w:after="40" w:before="0" w:line="259" w:lineRule="auto"/>
            </w:pPr>
            <w:r>
              <w:rPr>
                <w:rFonts w:ascii="Calibri" w:hAnsi="Calibri"/>
                <w:b w:val="0"/>
                <w:i w:val="0"/>
                <w:color w:val="212121"/>
                <w:sz w:val="16"/>
              </w:rPr>
              <w:t>Loose/worn denture, denture stomatitis, epulis fissuratum, traumatic ulcers</w:t>
            </w:r>
          </w:p>
        </w:tc>
        <w:tc>
          <w:tcPr>
            <w:tcW w:type="dxa" w:w="1036"/>
            <w:vAlign w:val="top"/>
          </w:tcPr>
          <w:p>
            <w:pPr>
              <w:spacing w:after="40" w:before="0" w:line="259" w:lineRule="auto"/>
            </w:pPr>
            <w:r>
              <w:rPr>
                <w:rFonts w:ascii="Calibri" w:hAnsi="Calibri"/>
                <w:b w:val="0"/>
                <w:i w:val="0"/>
                <w:color w:val="212121"/>
                <w:sz w:val="16"/>
              </w:rPr>
              <w:t>Determines whether to reline, remake or change prosthesis type</w:t>
            </w:r>
          </w:p>
        </w:tc>
        <w:tc>
          <w:tcPr>
            <w:tcW w:type="dxa" w:w="1036"/>
            <w:vAlign w:val="top"/>
          </w:tcPr>
          <w:p>
            <w:pPr>
              <w:spacing w:after="40" w:before="0" w:line="259" w:lineRule="auto"/>
            </w:pPr>
            <w:r>
              <w:rPr>
                <w:rFonts w:ascii="Calibri" w:hAnsi="Calibri"/>
                <w:b w:val="0"/>
                <w:i w:val="0"/>
                <w:color w:val="212121"/>
                <w:sz w:val="16"/>
              </w:rPr>
              <w:t>Existing denture wearers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Look under the denture for candidal stomatitis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Functional / nutritional</w:t>
            </w:r>
          </w:p>
        </w:tc>
        <w:tc>
          <w:tcPr>
            <w:tcW w:type="dxa" w:w="950"/>
            <w:vAlign w:val="top"/>
          </w:tcPr>
          <w:p>
            <w:pPr>
              <w:spacing w:after="40" w:before="0" w:line="259" w:lineRule="auto"/>
            </w:pPr>
            <w:r>
              <w:rPr>
                <w:rFonts w:ascii="Calibri" w:hAnsi="Calibri"/>
                <w:b w:val="0"/>
                <w:i w:val="0"/>
                <w:color w:val="212121"/>
                <w:sz w:val="16"/>
              </w:rPr>
              <w:t>Masticatory, speech and nutrition assessment</w:t>
            </w:r>
          </w:p>
        </w:tc>
        <w:tc>
          <w:tcPr>
            <w:tcW w:type="dxa" w:w="979"/>
            <w:vAlign w:val="top"/>
          </w:tcPr>
          <w:p>
            <w:pPr>
              <w:spacing w:after="40" w:before="0" w:line="259" w:lineRule="auto"/>
            </w:pPr>
            <w:r>
              <w:rPr>
                <w:rFonts w:ascii="Calibri" w:hAnsi="Calibri"/>
                <w:b w:val="0"/>
                <w:i w:val="0"/>
                <w:color w:val="212121"/>
                <w:sz w:val="16"/>
              </w:rPr>
              <w:t>Chewing ability, speech, weight/BMI, nutrition screen (e.g., MNA), oral-health quality of life (OHIP/GOHAI)</w:t>
            </w:r>
          </w:p>
        </w:tc>
        <w:tc>
          <w:tcPr>
            <w:tcW w:type="dxa" w:w="950"/>
            <w:vAlign w:val="top"/>
          </w:tcPr>
          <w:p>
            <w:pPr>
              <w:spacing w:after="40" w:before="0" w:line="259" w:lineRule="auto"/>
            </w:pPr>
            <w:r>
              <w:rPr>
                <w:rFonts w:ascii="Calibri" w:hAnsi="Calibri"/>
                <w:b w:val="0"/>
                <w:i w:val="0"/>
                <w:color w:val="212121"/>
                <w:sz w:val="16"/>
              </w:rPr>
              <w:t>Adequate function and nutrition</w:t>
            </w:r>
          </w:p>
        </w:tc>
        <w:tc>
          <w:tcPr>
            <w:tcW w:type="dxa" w:w="950"/>
            <w:vAlign w:val="top"/>
          </w:tcPr>
          <w:p>
            <w:pPr>
              <w:spacing w:after="40" w:before="0" w:line="259" w:lineRule="auto"/>
            </w:pPr>
            <w:r>
              <w:rPr>
                <w:rFonts w:ascii="Calibri" w:hAnsi="Calibri"/>
                <w:b w:val="0"/>
                <w:i w:val="0"/>
                <w:color w:val="212121"/>
                <w:sz w:val="16"/>
              </w:rPr>
              <w:t>Impaired chewing, weight loss, poor OHRQoL scores</w:t>
            </w:r>
          </w:p>
        </w:tc>
        <w:tc>
          <w:tcPr>
            <w:tcW w:type="dxa" w:w="1036"/>
            <w:vAlign w:val="top"/>
          </w:tcPr>
          <w:p>
            <w:pPr>
              <w:spacing w:after="40" w:before="0" w:line="259" w:lineRule="auto"/>
            </w:pPr>
            <w:r>
              <w:rPr>
                <w:rFonts w:ascii="Calibri" w:hAnsi="Calibri"/>
                <w:b w:val="0"/>
                <w:i w:val="0"/>
                <w:color w:val="212121"/>
                <w:sz w:val="16"/>
              </w:rPr>
              <w:t>Quantifies the systemic and psychosocial impact of tooth loss</w:t>
            </w:r>
          </w:p>
        </w:tc>
        <w:tc>
          <w:tcPr>
            <w:tcW w:type="dxa" w:w="1036"/>
            <w:vAlign w:val="top"/>
          </w:tcPr>
          <w:p>
            <w:pPr>
              <w:spacing w:after="40" w:before="0" w:line="259" w:lineRule="auto"/>
            </w:pPr>
            <w:r>
              <w:rPr>
                <w:rFonts w:ascii="Calibri" w:hAnsi="Calibri"/>
                <w:b w:val="0"/>
                <w:i w:val="0"/>
                <w:color w:val="212121"/>
                <w:sz w:val="16"/>
              </w:rPr>
              <w:t>Frail, elderly or newly edentulous patients</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Links edentulism to nutrition and wellbeing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Occlusion / TMJ</w:t>
            </w:r>
          </w:p>
        </w:tc>
        <w:tc>
          <w:tcPr>
            <w:tcW w:type="dxa" w:w="950"/>
            <w:vAlign w:val="top"/>
          </w:tcPr>
          <w:p>
            <w:pPr>
              <w:spacing w:after="40" w:before="0" w:line="259" w:lineRule="auto"/>
            </w:pPr>
            <w:r>
              <w:rPr>
                <w:rFonts w:ascii="Calibri" w:hAnsi="Calibri"/>
                <w:b w:val="0"/>
                <w:i w:val="0"/>
                <w:color w:val="212121"/>
                <w:sz w:val="16"/>
              </w:rPr>
              <w:t>Occlusal and jaw assessment</w:t>
            </w:r>
          </w:p>
        </w:tc>
        <w:tc>
          <w:tcPr>
            <w:tcW w:type="dxa" w:w="979"/>
            <w:vAlign w:val="top"/>
          </w:tcPr>
          <w:p>
            <w:pPr>
              <w:spacing w:after="40" w:before="0" w:line="259" w:lineRule="auto"/>
            </w:pPr>
            <w:r>
              <w:rPr>
                <w:rFonts w:ascii="Calibri" w:hAnsi="Calibri"/>
                <w:b w:val="0"/>
                <w:i w:val="0"/>
                <w:color w:val="212121"/>
                <w:sz w:val="16"/>
              </w:rPr>
              <w:t>Occlusal vertical dimension, drifting/over-eruption of remaining teeth, TMJ function</w:t>
            </w:r>
          </w:p>
        </w:tc>
        <w:tc>
          <w:tcPr>
            <w:tcW w:type="dxa" w:w="950"/>
            <w:vAlign w:val="top"/>
          </w:tcPr>
          <w:p>
            <w:pPr>
              <w:spacing w:after="40" w:before="0" w:line="259" w:lineRule="auto"/>
            </w:pPr>
            <w:r>
              <w:rPr>
                <w:rFonts w:ascii="Calibri" w:hAnsi="Calibri"/>
                <w:b w:val="0"/>
                <w:i w:val="0"/>
                <w:color w:val="212121"/>
                <w:sz w:val="16"/>
              </w:rPr>
              <w:t>Stable occlusion, normal vertical dimension</w:t>
            </w:r>
          </w:p>
        </w:tc>
        <w:tc>
          <w:tcPr>
            <w:tcW w:type="dxa" w:w="950"/>
            <w:vAlign w:val="top"/>
          </w:tcPr>
          <w:p>
            <w:pPr>
              <w:spacing w:after="40" w:before="0" w:line="259" w:lineRule="auto"/>
            </w:pPr>
            <w:r>
              <w:rPr>
                <w:rFonts w:ascii="Calibri" w:hAnsi="Calibri"/>
                <w:b w:val="0"/>
                <w:i w:val="0"/>
                <w:color w:val="212121"/>
                <w:sz w:val="16"/>
              </w:rPr>
              <w:t>Reduced vertical dimension, tilted/supra-erupted teeth, TMJ symptoms</w:t>
            </w:r>
          </w:p>
        </w:tc>
        <w:tc>
          <w:tcPr>
            <w:tcW w:type="dxa" w:w="1036"/>
            <w:vAlign w:val="top"/>
          </w:tcPr>
          <w:p>
            <w:pPr>
              <w:spacing w:after="40" w:before="0" w:line="259" w:lineRule="auto"/>
            </w:pPr>
            <w:r>
              <w:rPr>
                <w:rFonts w:ascii="Calibri" w:hAnsi="Calibri"/>
                <w:b w:val="0"/>
                <w:i w:val="0"/>
                <w:color w:val="212121"/>
                <w:sz w:val="16"/>
              </w:rPr>
              <w:t>Detects the bite collapse and drift that complicate rehabilitation</w:t>
            </w:r>
          </w:p>
        </w:tc>
        <w:tc>
          <w:tcPr>
            <w:tcW w:type="dxa" w:w="1036"/>
            <w:vAlign w:val="top"/>
          </w:tcPr>
          <w:p>
            <w:pPr>
              <w:spacing w:after="40" w:before="0" w:line="259" w:lineRule="auto"/>
            </w:pPr>
            <w:r>
              <w:rPr>
                <w:rFonts w:ascii="Calibri" w:hAnsi="Calibri"/>
                <w:b w:val="0"/>
                <w:i w:val="0"/>
                <w:color w:val="212121"/>
                <w:sz w:val="16"/>
              </w:rPr>
              <w:t>Long-standing partial edentulism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Guides space management before prosthetics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Missing teeth / visible gaps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One or more absent teeth, from a single gap to a completely toothless mouth.</w:t>
            </w:r>
          </w:p>
        </w:tc>
      </w:tr>
      <w:tr>
        <w:trPr>
          <w:cantSplit/>
        </w:trPr>
        <w:tc>
          <w:tcPr>
            <w:tcW w:type="dxa" w:w="2304"/>
            <w:vAlign w:val="top"/>
          </w:tcPr>
          <w:p>
            <w:pPr>
              <w:spacing w:after="40" w:before="0" w:line="259" w:lineRule="auto"/>
            </w:pPr>
            <w:r>
              <w:rPr>
                <w:rFonts w:ascii="Calibri" w:hAnsi="Calibri"/>
                <w:b/>
                <w:i w:val="0"/>
                <w:color w:val="212121"/>
                <w:sz w:val="19"/>
              </w:rPr>
              <w:t>Difficulty chewing or biting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ability to chew, especially hard, fibrous or tough foods.</w:t>
            </w:r>
          </w:p>
        </w:tc>
      </w:tr>
      <w:tr>
        <w:trPr>
          <w:cantSplit/>
        </w:trPr>
        <w:tc>
          <w:tcPr>
            <w:tcW w:type="dxa" w:w="2304"/>
            <w:vAlign w:val="top"/>
          </w:tcPr>
          <w:p>
            <w:pPr>
              <w:spacing w:after="40" w:before="0" w:line="259" w:lineRule="auto"/>
            </w:pPr>
            <w:r>
              <w:rPr>
                <w:rFonts w:ascii="Calibri" w:hAnsi="Calibri"/>
                <w:b/>
                <w:i w:val="0"/>
                <w:color w:val="212121"/>
                <w:sz w:val="19"/>
              </w:rPr>
              <w:t>Change of diet toward soft foods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Avoidance of raw fruit, vegetables, nuts and meat because they are hard to chew.</w:t>
            </w:r>
          </w:p>
        </w:tc>
      </w:tr>
      <w:tr>
        <w:trPr>
          <w:cantSplit/>
        </w:trPr>
        <w:tc>
          <w:tcPr>
            <w:tcW w:type="dxa" w:w="2304"/>
            <w:vAlign w:val="top"/>
          </w:tcPr>
          <w:p>
            <w:pPr>
              <w:spacing w:after="40" w:before="0" w:line="259" w:lineRule="auto"/>
            </w:pPr>
            <w:r>
              <w:rPr>
                <w:rFonts w:ascii="Calibri" w:hAnsi="Calibri"/>
                <w:b/>
                <w:i w:val="0"/>
                <w:color w:val="212121"/>
                <w:sz w:val="19"/>
              </w:rPr>
              <w:t>Difficulty with speech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Missing front teeth cause lisping or altered articulation of certain sounds.</w:t>
            </w:r>
          </w:p>
        </w:tc>
      </w:tr>
      <w:tr>
        <w:trPr>
          <w:cantSplit/>
        </w:trPr>
        <w:tc>
          <w:tcPr>
            <w:tcW w:type="dxa" w:w="2304"/>
            <w:vAlign w:val="top"/>
          </w:tcPr>
          <w:p>
            <w:pPr>
              <w:spacing w:after="40" w:before="0" w:line="259" w:lineRule="auto"/>
            </w:pPr>
            <w:r>
              <w:rPr>
                <w:rFonts w:ascii="Calibri" w:hAnsi="Calibri"/>
                <w:b/>
                <w:i w:val="0"/>
                <w:color w:val="212121"/>
                <w:sz w:val="19"/>
              </w:rPr>
              <w:t>Altered facial appearance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teeth and bone gives a sunken, prematurely aged look with deepened folds around the mouth.</w:t>
            </w:r>
          </w:p>
        </w:tc>
      </w:tr>
      <w:tr>
        <w:trPr>
          <w:cantSplit/>
        </w:trPr>
        <w:tc>
          <w:tcPr>
            <w:tcW w:type="dxa" w:w="2304"/>
            <w:vAlign w:val="top"/>
          </w:tcPr>
          <w:p>
            <w:pPr>
              <w:spacing w:after="40" w:before="0" w:line="259" w:lineRule="auto"/>
            </w:pPr>
            <w:r>
              <w:rPr>
                <w:rFonts w:ascii="Calibri" w:hAnsi="Calibri"/>
                <w:b/>
                <w:i w:val="0"/>
                <w:color w:val="212121"/>
                <w:sz w:val="19"/>
              </w:rPr>
              <w:t>Drifting or tilting of remaining teeth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 partial loss, neighbouring and opposing teeth move into the space and over-erupt.</w:t>
            </w:r>
          </w:p>
        </w:tc>
      </w:tr>
      <w:tr>
        <w:trPr>
          <w:cantSplit/>
        </w:trPr>
        <w:tc>
          <w:tcPr>
            <w:tcW w:type="dxa" w:w="2304"/>
            <w:vAlign w:val="top"/>
          </w:tcPr>
          <w:p>
            <w:pPr>
              <w:spacing w:after="40" w:before="0" w:line="259" w:lineRule="auto"/>
            </w:pPr>
            <w:r>
              <w:rPr>
                <w:rFonts w:ascii="Calibri" w:hAnsi="Calibri"/>
                <w:b/>
                <w:i w:val="0"/>
                <w:color w:val="212121"/>
                <w:sz w:val="19"/>
              </w:rPr>
              <w:t>Loss of confidence / social embarrassment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Reluctance to smile, eat or speak in public because of missing teeth or a loose denture.</w:t>
            </w:r>
          </w:p>
        </w:tc>
      </w:tr>
      <w:tr>
        <w:trPr>
          <w:cantSplit/>
        </w:trPr>
        <w:tc>
          <w:tcPr>
            <w:tcW w:type="dxa" w:w="2304"/>
            <w:vAlign w:val="top"/>
          </w:tcPr>
          <w:p>
            <w:pPr>
              <w:spacing w:after="40" w:before="0" w:line="259" w:lineRule="auto"/>
            </w:pPr>
            <w:r>
              <w:rPr>
                <w:rFonts w:ascii="Calibri" w:hAnsi="Calibri"/>
                <w:b/>
                <w:i w:val="0"/>
                <w:color w:val="212121"/>
                <w:sz w:val="19"/>
              </w:rPr>
              <w:t>Loose or ill-fitting denture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denture that slips or moves during eating or speaking as the ridge resorbs.</w:t>
            </w:r>
          </w:p>
        </w:tc>
      </w:tr>
      <w:tr>
        <w:trPr>
          <w:cantSplit/>
        </w:trPr>
        <w:tc>
          <w:tcPr>
            <w:tcW w:type="dxa" w:w="2304"/>
            <w:vAlign w:val="top"/>
          </w:tcPr>
          <w:p>
            <w:pPr>
              <w:spacing w:after="40" w:before="0" w:line="259" w:lineRule="auto"/>
            </w:pPr>
            <w:r>
              <w:rPr>
                <w:rFonts w:ascii="Calibri" w:hAnsi="Calibri"/>
                <w:b/>
                <w:i w:val="0"/>
                <w:color w:val="212121"/>
                <w:sz w:val="19"/>
              </w:rPr>
              <w:t>Sore gums or ridge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Tenderness of the gum ridge, often from an ill-fitting denture rubbing the mucosa.</w:t>
            </w:r>
          </w:p>
        </w:tc>
      </w:tr>
      <w:tr>
        <w:trPr>
          <w:cantSplit/>
        </w:trPr>
        <w:tc>
          <w:tcPr>
            <w:tcW w:type="dxa" w:w="2304"/>
            <w:vAlign w:val="top"/>
          </w:tcPr>
          <w:p>
            <w:pPr>
              <w:spacing w:after="40" w:before="0" w:line="259" w:lineRule="auto"/>
            </w:pPr>
            <w:r>
              <w:rPr>
                <w:rFonts w:ascii="Calibri" w:hAnsi="Calibri"/>
                <w:b/>
                <w:i w:val="0"/>
                <w:color w:val="212121"/>
                <w:sz w:val="19"/>
              </w:rPr>
              <w:t>Unintended weight loss / poor nutrition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Reduced or one-sided intake from chewing difficulty can lead to weight loss and deficiencies.</w:t>
            </w:r>
          </w:p>
        </w:tc>
      </w:tr>
      <w:tr>
        <w:trPr>
          <w:cantSplit/>
        </w:trPr>
        <w:tc>
          <w:tcPr>
            <w:tcW w:type="dxa" w:w="2304"/>
            <w:vAlign w:val="top"/>
          </w:tcPr>
          <w:p>
            <w:pPr>
              <w:spacing w:after="40" w:before="0" w:line="259" w:lineRule="auto"/>
            </w:pPr>
            <w:r>
              <w:rPr>
                <w:rFonts w:ascii="Calibri" w:hAnsi="Calibri"/>
                <w:b/>
                <w:i w:val="0"/>
                <w:color w:val="212121"/>
                <w:sz w:val="19"/>
              </w:rPr>
              <w:t>Cracking at the corners of the mouth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Angular cheilitis, favoured by reduced facial height and denture-related candida.</w:t>
            </w:r>
          </w:p>
        </w:tc>
      </w:tr>
      <w:tr>
        <w:trPr>
          <w:cantSplit/>
        </w:trPr>
        <w:tc>
          <w:tcPr>
            <w:tcW w:type="dxa" w:w="2304"/>
            <w:vAlign w:val="top"/>
          </w:tcPr>
          <w:p>
            <w:pPr>
              <w:spacing w:after="40" w:before="0" w:line="259" w:lineRule="auto"/>
            </w:pPr>
            <w:r>
              <w:rPr>
                <w:rFonts w:ascii="Calibri" w:hAnsi="Calibri"/>
                <w:b/>
                <w:i w:val="0"/>
                <w:color w:val="212121"/>
                <w:sz w:val="19"/>
              </w:rPr>
              <w:t>Burning or sore mouth under a denture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Denture stomatitis (often candidal) causes soreness of the mucosa beneath the plate.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Absence of teeth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Partial or complete loss of natural teeth, charted on an odontogram.</w:t>
            </w:r>
          </w:p>
        </w:tc>
      </w:tr>
      <w:tr>
        <w:trPr>
          <w:cantSplit/>
        </w:trPr>
        <w:tc>
          <w:tcPr>
            <w:tcW w:type="dxa" w:w="3456"/>
            <w:vAlign w:val="top"/>
          </w:tcPr>
          <w:p>
            <w:pPr>
              <w:spacing w:after="40" w:before="0" w:line="259" w:lineRule="auto"/>
            </w:pPr>
            <w:r>
              <w:rPr>
                <w:rFonts w:ascii="Calibri" w:hAnsi="Calibri"/>
                <w:b/>
                <w:i w:val="0"/>
                <w:color w:val="212121"/>
                <w:sz w:val="19"/>
              </w:rPr>
              <w:t>Residual alveolar ridge resorption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flattened or knife-edge gum ridge where teeth have been lost, progressing over years.</w:t>
            </w:r>
          </w:p>
        </w:tc>
      </w:tr>
      <w:tr>
        <w:trPr>
          <w:cantSplit/>
        </w:trPr>
        <w:tc>
          <w:tcPr>
            <w:tcW w:type="dxa" w:w="3456"/>
            <w:vAlign w:val="top"/>
          </w:tcPr>
          <w:p>
            <w:pPr>
              <w:spacing w:after="40" w:before="0" w:line="259" w:lineRule="auto"/>
            </w:pPr>
            <w:r>
              <w:rPr>
                <w:rFonts w:ascii="Calibri" w:hAnsi="Calibri"/>
                <w:b/>
                <w:i w:val="0"/>
                <w:color w:val="212121"/>
                <w:sz w:val="19"/>
              </w:rPr>
              <w:t>Drifting, tilting or over-eruption of remaining teeth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Teeth move into edentulous spaces and opposing teeth over-erupt, disturbing the bite.</w:t>
            </w:r>
          </w:p>
        </w:tc>
      </w:tr>
      <w:tr>
        <w:trPr>
          <w:cantSplit/>
        </w:trPr>
        <w:tc>
          <w:tcPr>
            <w:tcW w:type="dxa" w:w="3456"/>
            <w:vAlign w:val="top"/>
          </w:tcPr>
          <w:p>
            <w:pPr>
              <w:spacing w:after="40" w:before="0" w:line="259" w:lineRule="auto"/>
            </w:pPr>
            <w:r>
              <w:rPr>
                <w:rFonts w:ascii="Calibri" w:hAnsi="Calibri"/>
                <w:b/>
                <w:i w:val="0"/>
                <w:color w:val="212121"/>
                <w:sz w:val="19"/>
              </w:rPr>
              <w:t>Reduced occlusal vertical dimension / loss of facial height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lower face shortens with deepened nasolabial folds and drooping mouth corners.</w:t>
            </w:r>
          </w:p>
        </w:tc>
      </w:tr>
      <w:tr>
        <w:trPr>
          <w:cantSplit/>
        </w:trPr>
        <w:tc>
          <w:tcPr>
            <w:tcW w:type="dxa" w:w="3456"/>
            <w:vAlign w:val="top"/>
          </w:tcPr>
          <w:p>
            <w:pPr>
              <w:spacing w:after="40" w:before="0" w:line="259" w:lineRule="auto"/>
            </w:pPr>
            <w:r>
              <w:rPr>
                <w:rFonts w:ascii="Calibri" w:hAnsi="Calibri"/>
                <w:b/>
                <w:i w:val="0"/>
                <w:color w:val="212121"/>
                <w:sz w:val="19"/>
              </w:rPr>
              <w:t>Fewer than 20 remaining natural teeth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Falling below the WHO functional-dentition threshold of 20 teeth.</w:t>
            </w:r>
          </w:p>
        </w:tc>
      </w:tr>
      <w:tr>
        <w:trPr>
          <w:cantSplit/>
        </w:trPr>
        <w:tc>
          <w:tcPr>
            <w:tcW w:type="dxa" w:w="3456"/>
            <w:vAlign w:val="top"/>
          </w:tcPr>
          <w:p>
            <w:pPr>
              <w:spacing w:after="40" w:before="0" w:line="259" w:lineRule="auto"/>
            </w:pPr>
            <w:r>
              <w:rPr>
                <w:rFonts w:ascii="Calibri" w:hAnsi="Calibri"/>
                <w:b/>
                <w:i w:val="0"/>
                <w:color w:val="212121"/>
                <w:sz w:val="19"/>
              </w:rPr>
              <w:t>Angular cheilitis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Cracked, inflamed corners of the mouth, associated with reduced facial height and candida.</w:t>
            </w:r>
          </w:p>
        </w:tc>
      </w:tr>
      <w:tr>
        <w:trPr>
          <w:cantSplit/>
        </w:trPr>
        <w:tc>
          <w:tcPr>
            <w:tcW w:type="dxa" w:w="3456"/>
            <w:vAlign w:val="top"/>
          </w:tcPr>
          <w:p>
            <w:pPr>
              <w:spacing w:after="40" w:before="0" w:line="259" w:lineRule="auto"/>
            </w:pPr>
            <w:r>
              <w:rPr>
                <w:rFonts w:ascii="Calibri" w:hAnsi="Calibri"/>
                <w:b/>
                <w:i w:val="0"/>
                <w:color w:val="212121"/>
                <w:sz w:val="19"/>
              </w:rPr>
              <w:t>Denture stomatitis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Erythema of the palatal mucosa beneath a denture, usually candidal, from poor denture hygiene.</w:t>
            </w:r>
          </w:p>
        </w:tc>
      </w:tr>
      <w:tr>
        <w:trPr>
          <w:cantSplit/>
        </w:trPr>
        <w:tc>
          <w:tcPr>
            <w:tcW w:type="dxa" w:w="3456"/>
            <w:vAlign w:val="top"/>
          </w:tcPr>
          <w:p>
            <w:pPr>
              <w:spacing w:after="40" w:before="0" w:line="259" w:lineRule="auto"/>
            </w:pPr>
            <w:r>
              <w:rPr>
                <w:rFonts w:ascii="Calibri" w:hAnsi="Calibri"/>
                <w:b/>
                <w:i w:val="0"/>
                <w:color w:val="212121"/>
                <w:sz w:val="19"/>
              </w:rPr>
              <w:t>Epulis fissuratum / flabby ridge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Folds of hyperplastic tissue or a mobile 'flabby' ridge caused by a chronically ill-fitting denture.</w:t>
            </w:r>
          </w:p>
        </w:tc>
      </w:tr>
      <w:tr>
        <w:trPr>
          <w:cantSplit/>
        </w:trPr>
        <w:tc>
          <w:tcPr>
            <w:tcW w:type="dxa" w:w="3456"/>
            <w:vAlign w:val="top"/>
          </w:tcPr>
          <w:p>
            <w:pPr>
              <w:spacing w:after="40" w:before="0" w:line="259" w:lineRule="auto"/>
            </w:pPr>
            <w:r>
              <w:rPr>
                <w:rFonts w:ascii="Calibri" w:hAnsi="Calibri"/>
                <w:b/>
                <w:i w:val="0"/>
                <w:color w:val="212121"/>
                <w:sz w:val="19"/>
              </w:rPr>
              <w:t>Traumatic denture ulcers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Sore spots where an overextended or unstable denture base rubs the mucosa.</w:t>
            </w:r>
          </w:p>
        </w:tc>
      </w:tr>
      <w:tr>
        <w:trPr>
          <w:cantSplit/>
        </w:trPr>
        <w:tc>
          <w:tcPr>
            <w:tcW w:type="dxa" w:w="3456"/>
            <w:vAlign w:val="top"/>
          </w:tcPr>
          <w:p>
            <w:pPr>
              <w:spacing w:after="40" w:before="0" w:line="259" w:lineRule="auto"/>
            </w:pPr>
            <w:r>
              <w:rPr>
                <w:rFonts w:ascii="Calibri" w:hAnsi="Calibri"/>
                <w:b/>
                <w:i w:val="0"/>
                <w:color w:val="212121"/>
                <w:sz w:val="19"/>
              </w:rPr>
              <w:t>Deep periodontal pockets / mobile teeth (remaining teeth)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that further teeth are at risk of being lost.</w:t>
            </w:r>
          </w:p>
        </w:tc>
      </w:tr>
      <w:tr>
        <w:trPr>
          <w:cantSplit/>
        </w:trPr>
        <w:tc>
          <w:tcPr>
            <w:tcW w:type="dxa" w:w="3456"/>
            <w:vAlign w:val="top"/>
          </w:tcPr>
          <w:p>
            <w:pPr>
              <w:spacing w:after="40" w:before="0" w:line="259" w:lineRule="auto"/>
            </w:pPr>
            <w:r>
              <w:rPr>
                <w:rFonts w:ascii="Calibri" w:hAnsi="Calibri"/>
                <w:b/>
                <w:i w:val="0"/>
                <w:color w:val="212121"/>
                <w:sz w:val="19"/>
              </w:rPr>
              <w:t>Reduced masticatory efficiency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Objectively poorer chewing performance on functional testing.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mastication and reduced chewing efficiency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Dietary restriction with a shift to soft, refined, energy-dense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Speech difficulty (altered articulation, lisping)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Aesthetic change and loss of facial height / premature ageing appearance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Drifting, tilting and over-eruption of remaining and opposing teeth (partial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resorption of the residual alveolar ridge</w:t>
            </w:r>
          </w:p>
        </w:tc>
        <w:tc>
          <w:tcPr>
            <w:tcW w:type="dxa" w:w="2980"/>
            <w:vAlign w:val="top"/>
          </w:tcPr>
          <w:p>
            <w:pPr>
              <w:spacing w:after="40" w:before="0" w:line="259" w:lineRule="auto"/>
            </w:pPr>
            <w:r>
              <w:rPr>
                <w:rFonts w:ascii="Calibri" w:hAnsi="Calibri"/>
                <w:b w:val="0"/>
                <w:i w:val="0"/>
                <w:color w:val="212121"/>
                <w:sz w:val="19"/>
              </w:rPr>
              <w:t>Direct functional, structural and aesthetic consequences of losing teeth.</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Undernutrition, micronutrient deficiency and unintended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Denture-related disease - denture stomatitis, angular cheilitis, epulis fissuratum, traumatic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loss of the remaining teeth from overload and poor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Temporomandibular joint strain from a collapsed or unstable bite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oral-health-related quality of life, embarrassment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reduced self-esteem</w:t>
            </w:r>
          </w:p>
        </w:tc>
        <w:tc>
          <w:tcPr>
            <w:tcW w:type="dxa" w:w="2980"/>
            <w:vAlign w:val="top"/>
          </w:tcPr>
          <w:p>
            <w:pPr>
              <w:spacing w:after="40" w:before="0" w:line="259" w:lineRule="auto"/>
            </w:pPr>
            <w:r>
              <w:rPr>
                <w:rFonts w:ascii="Calibri" w:hAnsi="Calibri"/>
                <w:b w:val="0"/>
                <w:i w:val="0"/>
                <w:color w:val="212121"/>
                <w:sz w:val="19"/>
              </w:rPr>
              <w:t>Nutritional, prosthetic, psychosocial and further dental sequelae of established tooth loss.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Frailty and sarcopenia linked to chronic undernutrition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Association with cognitive decline and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Association with cardiovascular disease and adverse general-health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 in dependent elders with poor oral/denture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malnutrition and its systemic consequences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Association with increased all-cause mortality in older adults</w:t>
            </w:r>
          </w:p>
        </w:tc>
        <w:tc>
          <w:tcPr>
            <w:tcW w:type="dxa" w:w="2980"/>
            <w:vAlign w:val="top"/>
          </w:tcPr>
          <w:p>
            <w:pPr>
              <w:spacing w:after="40" w:before="0" w:line="259" w:lineRule="auto"/>
            </w:pPr>
            <w:r>
              <w:rPr>
                <w:rFonts w:ascii="Calibri" w:hAnsi="Calibri"/>
                <w:b w:val="0"/>
                <w:i w:val="0"/>
                <w:color w:val="212121"/>
                <w:sz w:val="19"/>
              </w:rPr>
              <w:t>Systemic, disabling and life-course outcomes associated with long-standing tooth loss, especially in the frail elderly.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Severe periodontitis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leading cause of adult tooth loss; it shares the plaque-driven, tobacco- and diabetes-modulated pathophysiology of edentulism, and active periodontitis in the remaining teeth dictates whether they can be saved.</w:t>
            </w:r>
          </w:p>
        </w:tc>
      </w:tr>
      <w:tr>
        <w:trPr>
          <w:cantSplit/>
        </w:trPr>
        <w:tc>
          <w:tcPr>
            <w:tcW w:type="dxa" w:w="2232"/>
            <w:vAlign w:val="top"/>
          </w:tcPr>
          <w:p>
            <w:pPr>
              <w:spacing w:after="40" w:before="0" w:line="259" w:lineRule="auto"/>
            </w:pPr>
            <w:r>
              <w:rPr>
                <w:rFonts w:ascii="Calibri" w:hAnsi="Calibri"/>
                <w:b/>
                <w:i w:val="0"/>
                <w:color w:val="212121"/>
                <w:sz w:val="19"/>
              </w:rPr>
              <w:t>Dental caries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Untreated decay progressing to pulp death is the main cause of tooth loss in younger people; it shares the sugar- and plaque-driven mechanism and directly determines restorability.</w:t>
            </w:r>
          </w:p>
        </w:tc>
      </w:tr>
      <w:tr>
        <w:trPr>
          <w:cantSplit/>
        </w:trPr>
        <w:tc>
          <w:tcPr>
            <w:tcW w:type="dxa" w:w="2232"/>
            <w:vAlign w:val="top"/>
          </w:tcPr>
          <w:p>
            <w:pPr>
              <w:spacing w:after="40" w:before="0" w:line="259" w:lineRule="auto"/>
            </w:pPr>
            <w:r>
              <w:rPr>
                <w:rFonts w:ascii="Calibri" w:hAnsi="Calibri"/>
                <w:b/>
                <w:i w:val="0"/>
                <w:color w:val="212121"/>
                <w:sz w:val="19"/>
              </w:rPr>
              <w:t>Malnutrition / undernutrition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chewing narrows the diet and reduces intake of fruit, vegetables, fibre and protein, contributing to weight loss and micronutrient deficiency; poor nutrition in turn worsens oral and general health.</w:t>
            </w:r>
          </w:p>
        </w:tc>
      </w:tr>
      <w:tr>
        <w:trPr>
          <w:cantSplit/>
        </w:trPr>
        <w:tc>
          <w:tcPr>
            <w:tcW w:type="dxa" w:w="2232"/>
            <w:vAlign w:val="top"/>
          </w:tcPr>
          <w:p>
            <w:pPr>
              <w:spacing w:after="40" w:before="0" w:line="259" w:lineRule="auto"/>
            </w:pPr>
            <w:r>
              <w:rPr>
                <w:rFonts w:ascii="Calibri" w:hAnsi="Calibri"/>
                <w:b/>
                <w:i w:val="0"/>
                <w:color w:val="212121"/>
                <w:sz w:val="19"/>
              </w:rPr>
              <w:t>Cognitive impairment / dementia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Tooth loss and chewing difficulty are associated in meta-analyses with a higher risk of cognitive decline and dementia, while dementia impairs self-care and accelerates tooth loss - a bidirectional relationship.</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Diabetes and periodontitis are bidirectionally linked, so poorly controlled diabetes accelerates the tooth loss it shares mechanisms with, and impairs extraction and implant healing.</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Tooth loss and periodontitis are associated with an increased risk of atherosclerotic cardiovascular disease through shared chronic-inflammatory and lifestyle pathways.</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bone loss is associated with reduced jaw bone and faster residual-ridge resorption, and anti-resorptive drugs used to treat it complicate extractions and implants (MRONJ).</w:t>
            </w:r>
          </w:p>
        </w:tc>
      </w:tr>
      <w:tr>
        <w:trPr>
          <w:cantSplit/>
        </w:trPr>
        <w:tc>
          <w:tcPr>
            <w:tcW w:type="dxa" w:w="2232"/>
            <w:vAlign w:val="top"/>
          </w:tcPr>
          <w:p>
            <w:pPr>
              <w:spacing w:after="40" w:before="0" w:line="259" w:lineRule="auto"/>
            </w:pPr>
            <w:r>
              <w:rPr>
                <w:rFonts w:ascii="Calibri" w:hAnsi="Calibri"/>
                <w:b/>
                <w:i w:val="0"/>
                <w:color w:val="212121"/>
                <w:sz w:val="19"/>
              </w:rPr>
              <w:t>Denture stomatitis / oral candidiasis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very common consequence of wearing removable dentures, especially with poor denture hygiene, continuous night-time wear, dry mouth or diabetes.</w:t>
            </w:r>
          </w:p>
        </w:tc>
      </w:tr>
      <w:tr>
        <w:trPr>
          <w:cantSplit/>
        </w:trPr>
        <w:tc>
          <w:tcPr>
            <w:tcW w:type="dxa" w:w="2232"/>
            <w:vAlign w:val="top"/>
          </w:tcPr>
          <w:p>
            <w:pPr>
              <w:spacing w:after="40" w:before="0" w:line="259" w:lineRule="auto"/>
            </w:pPr>
            <w:r>
              <w:rPr>
                <w:rFonts w:ascii="Calibri" w:hAnsi="Calibri"/>
                <w:b/>
                <w:i w:val="0"/>
                <w:color w:val="212121"/>
                <w:sz w:val="19"/>
              </w:rPr>
              <w:t>Depression and social isolation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Missing teeth and unstable dentures damage self-esteem, appearance and the ability to eat and speak socially, contributing to depression and withdrawal, which further reduce care-seeking.</w:t>
            </w:r>
          </w:p>
        </w:tc>
      </w:tr>
      <w:tr>
        <w:trPr>
          <w:cantSplit/>
        </w:trPr>
        <w:tc>
          <w:tcPr>
            <w:tcW w:type="dxa" w:w="2232"/>
            <w:vAlign w:val="top"/>
          </w:tcPr>
          <w:p>
            <w:pPr>
              <w:spacing w:after="40" w:before="0" w:line="259" w:lineRule="auto"/>
            </w:pPr>
            <w:r>
              <w:rPr>
                <w:rFonts w:ascii="Calibri" w:hAnsi="Calibri"/>
                <w:b/>
                <w:i w:val="0"/>
                <w:color w:val="212121"/>
                <w:sz w:val="19"/>
              </w:rPr>
              <w:t>Oral cancer / oral submucous fibrosis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Tobacco, areca-nut and heavy alcohol cause both periodontal destruction with tooth loss and oral potentially-malignant disorders and cancer; tooth loss is itself statistically associated with oral cancer risk.</w:t>
            </w:r>
          </w:p>
        </w:tc>
      </w:tr>
      <w:tr>
        <w:trPr>
          <w:cantSplit/>
        </w:trPr>
        <w:tc>
          <w:tcPr>
            <w:tcW w:type="dxa" w:w="2232"/>
            <w:vAlign w:val="top"/>
          </w:tcPr>
          <w:p>
            <w:pPr>
              <w:spacing w:after="40" w:before="0" w:line="259" w:lineRule="auto"/>
            </w:pPr>
            <w:r>
              <w:rPr>
                <w:rFonts w:ascii="Calibri" w:hAnsi="Calibri"/>
                <w:b/>
                <w:i w:val="0"/>
                <w:color w:val="212121"/>
                <w:sz w:val="19"/>
              </w:rPr>
              <w:t>Aspiration pneumonia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 dependent, frail edentulous elders, poor oral and denture hygiene increases oropharyngeal colonisation and the risk of aspiration pneumonia, so oral care is part of prevention.</w:t>
            </w:r>
          </w:p>
        </w:tc>
      </w:tr>
      <w:tr>
        <w:trPr>
          <w:cantSplit/>
        </w:trPr>
        <w:tc>
          <w:tcPr>
            <w:tcW w:type="dxa" w:w="2232"/>
            <w:vAlign w:val="top"/>
          </w:tcPr>
          <w:p>
            <w:pPr>
              <w:spacing w:after="40" w:before="0" w:line="259" w:lineRule="auto"/>
            </w:pPr>
            <w:r>
              <w:rPr>
                <w:rFonts w:ascii="Calibri" w:hAnsi="Calibri"/>
                <w:b/>
                <w:i w:val="0"/>
                <w:color w:val="212121"/>
                <w:sz w:val="19"/>
              </w:rPr>
              <w:t>Temporomandibular disorder (TMD)</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Loss of posterior support, drifting teeth and a reduced or unstable bite can strain the temporomandibular joint and muscles of mastication.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tooth loss is preventable and results from untreated tooth decay and gum (periodontal) disease built up over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Brush twice daily with fluoride toothpaste and clean between the teeth daily to control the plaque that causes both caries and gum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regular dental check-ups so decay and gum disease are treated early and teeth are saved rather than extracted.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bleeding gums, loose teeth, persistent toothache, receding gums - and seek care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all forms of tobacco (cigarettes, bidis, gutka, khaini, betel-quid), the strongest avoidable cause of gum disease and tooth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sugary foods and drinks to mealtimes and limit their frequency to protect against decay.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High-sugar-diet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early gum disease</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losing teeth, see a dentist about replacement options - removable dentures, fixed bridges or dental implants - chosen to fit your mouth, needs and budget.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wear a denture, clean it daily, remove it at night, and have it reviewed and relined or remade as the gum ridge changes (usually every few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 loose, painful or rubbing denture rather than tolerating sore spots, which can ulcerate or cause tissue overgrowth.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teeth you still have with meticulous hygiene and professional periodontal care, as they anchor bridges and dentures.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for any painful, non-healing ulcer or white/red patch under a denture to exclude candidal stomatitis or, rarely, oral cancer.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edentulous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Partially dentate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Implant candidates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and maintain good general and immune health, which supports the gum tissues' resistance to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diabetes and other chronic conditions well, as good control protects the gums and the success of any dental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older adults, combine exercise with adequate protein and a chewable, nutritious diet to counter the frailty and muscle loss linked to poor nutrition.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at risk of frailty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down free sugars and limit sugary snacks and drinks to mealtimes to reduce the decay that leads to extraction.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fibre-rich diet of whole grains, pulses, fruit and vegetables, which supports both oral and general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water (fluoridated where available) rather than sugary or acidic beverages.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and vitamin D for jaw-bone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High-sugar-diet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snackers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early decay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chewing is difficult, keep the diet nutritious by using softer preparations of the same healthy foods (well-cooked pulses, soft fruit, minced or slow-cooked protein, dairy) rather than switching to refined, energy-dense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food into small pieces and chew on both sides where possible; a properly fitted denture or replacement teeth greatly improve what you can 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unintended weight loss and correct deficiencies (iron, vitamin B12, vitamin D, protein) with dietary advice or supplements if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 nutrition and prosthetic review together so restoring the bite also restores a healthy diet.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Edentulous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or 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weight loss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dental pain and denture sore spots promptly, as they can disturb sleep until settled.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dentures at night to rest the tissues and reduce the risk of denture stomatitis, unless specifically advised otherwise.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assessment if missing teeth or a removable denture seem to worsen snoring or disturbed breathing in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dental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with tooth loss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cigarettes and bidis - smoking is one of the strongest causes of gum disease and tooth loss and it masks the bleeding that warns of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smokeless tobacco, gutka, khaini and areca-nut/betel-quid, which are major causes of gum destruction, tooth loss and oral cancer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entirely before and after any extraction or implant, as it markedly impairs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cessation support - counselling, national quitlines and nicotine replacement - to sustain quitting.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 areca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before and after dental surgery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heavy drinking is linked with gum disease, decay, dry mouth and poor oral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heavy alcohol with tobacco, which multiplies the risk of tooth loss and oral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to self-medicate toothache - seek dental care instead.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Combined tobacco-and-alcohol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let dental anxiety delay treatment - early care saves teeth and prevents the tooth loss that itself harms confidence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missing teeth and dentures can affect self-esteem and social life; replacing teeth often restores confidence in eating, speaking and smiling.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sedation or a supportive dental team if fear is a barrier, and seek help for low mood or social withdrawal related to tooth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carers in oral and denture care for dependent or cognitively impaired patients to keep the mouth healthy.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Dental-phobic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edentulous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or cognitively impaired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low mood from tooth loss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dpi.com/1660-4601/11/11/11308" TargetMode="External"/><Relationship Id="rId10" Type="http://schemas.openxmlformats.org/officeDocument/2006/relationships/hyperlink" Target="https://www.who.int/news-room/fact-sheets/detail/oral-health" TargetMode="External"/><Relationship Id="rId11" Type="http://schemas.openxmlformats.org/officeDocument/2006/relationships/hyperlink" Target="https://pubmed.ncbi.nlm.nih.gov/345799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