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Oral Candidiasis</w:t>
      </w:r>
    </w:p>
    <w:p>
      <w:pPr>
        <w:spacing w:before="0" w:after="160"/>
      </w:pPr>
      <w:r>
        <w:rPr>
          <w:rFonts w:ascii="Calibri" w:hAnsi="Calibri"/>
          <w:b/>
          <w:i w:val="0"/>
          <w:color w:val="212121"/>
          <w:sz w:val="22"/>
        </w:rPr>
        <w:t xml:space="preserve">AKA </w:t>
      </w:r>
      <w:r>
        <w:rPr>
          <w:rFonts w:ascii="Calibri" w:hAnsi="Calibri"/>
          <w:b w:val="0"/>
          <w:i w:val="0"/>
          <w:color w:val="212121"/>
          <w:sz w:val="22"/>
        </w:rPr>
        <w:t>i.e., Oral thrush, Oral moniliasis, Oral candidosis, Oral yeast infection; denture stomatitis (denture-related form)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Oral candidiasis is an opportunistic fungal infection of the oral mucosa caused by overgrowth of Candida species — most often Candida albicans — which is a normal commensal in the mouths of a large proportion of healthy people. Disease develops when local or systemic factors (immunosuppression, denture wear, dry mouth, broad-spectrum antibiotics, inhaled or systemic corticosteroids, uncontrolled diabetes and extremes of age) disturb the oral ecology and host defences, allowing the yeast to switch to its invasive hyphal form. It presents in several clinical patterns — pseudomembranous (thrush), erythematous, chronic hyperplastic, and Candida-associated lesions such as angular cheilitis and denture stomatitis — and is frequently a marker of underlying immune or metabolic compromise.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Oral candidiasis is the most common opportunistic fungal infection of the mouth. Candida is carried harmlessly in the mouths of a large share of healthy people, and overt infection concentrates in high-risk Indians — neonates, complete-denture wearers, uncontrolled diabetics, the frail elderly and people living with HIV. In Indian hospital series it is the commonest oral lesion in HIV-positive patients (about 20%, roughly 1 in 5), and Candida-associated denture stomatitis affects an estimated 15–65% of complete-denture wearers.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Oral candidiasis is largely a clinical diagnosis based on the characteristic appearance in a patient with predisposing factors, supported where needed by simple microbiological confirmation and a search for an underlying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characteristic clinical appearance — removable white curd-like plaques (pseudomembranous) leaving an erythematous or bleeding base, and/or atrophic erythematous mucosa, palatal erythema under a denture, or angular cheilitis;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direct microscopy — potassium hydroxide (KOH) wet mount or Gram-stained mucosal smear showing budding yeasts and pseudohyphae;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culture on Sabouraud dextrose agar with speciation (e.g., CHROMagar) to confirm Candida, quantify load and identify non-albicans or azole-resistant species;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biopsy with periodic acid–Schiff (PAS) staining for chronic hyperplastic (non-wiping) lesions to confirm hyphal invasion and exclude epithelial dysplasia or malignancy;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response to a therapeutic trial of topical or systemic antifungal supports the diagnosis in classic presentations;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workup for an underlying cause when infection is recurrent, severe or unexplained — blood glucose and HbA1c, HIV testing with CD4 count, and review of steroids, antibiotics and salivary function.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Oral candidiasis is classified by clinical appearance and chronicity into primary forms (confined to the oral and perioral tissues) and secondary forms (part of a mucocutaneous or systemic disorder). The common variants are:</w:t>
      </w:r>
    </w:p>
    <w:p>
      <w:pPr>
        <w:spacing w:before="0" w:after="80"/>
      </w:pPr>
      <w:r>
        <w:rPr>
          <w:rFonts w:ascii="Calibri" w:hAnsi="Calibri"/>
          <w:b w:val="0"/>
          <w:i w:val="0"/>
          <w:color w:val="212121"/>
          <w:sz w:val="21"/>
        </w:rPr>
        <w:t>(1) Acute pseudomembranous candidiasis (“thrush”), the classic form with creamy-white, curd-like removable plaques on the buccal mucosa, tongue and palate that leave a raw erythematous base, typical of infants, the immunosuppressed and antibiotic/steroid users;</w:t>
      </w:r>
    </w:p>
    <w:p>
      <w:pPr>
        <w:spacing w:before="0" w:after="80"/>
      </w:pPr>
      <w:r>
        <w:rPr>
          <w:rFonts w:ascii="Calibri" w:hAnsi="Calibri"/>
          <w:b w:val="0"/>
          <w:i w:val="0"/>
          <w:color w:val="212121"/>
          <w:sz w:val="21"/>
        </w:rPr>
        <w:t>(2) Acute erythematous (atrophic) candidiasis, presenting as painful red mucosa and a depapillated tongue, classically an “antibiotic sore mouth” following broad-spectrum antibiotics;</w:t>
      </w:r>
    </w:p>
    <w:p>
      <w:pPr>
        <w:spacing w:before="0" w:after="80"/>
      </w:pPr>
      <w:r>
        <w:rPr>
          <w:rFonts w:ascii="Calibri" w:hAnsi="Calibri"/>
          <w:b w:val="0"/>
          <w:i w:val="0"/>
          <w:color w:val="212121"/>
          <w:sz w:val="21"/>
        </w:rPr>
        <w:t>(3) Chronic erythematous candidiasis, most often denture stomatitis — well-demarcated erythema (and sometimes papillary hyperplasia) of the palate confined to the denture-bearing area, graded by Newton’s classification (types I–III);</w:t>
      </w:r>
    </w:p>
    <w:p>
      <w:pPr>
        <w:spacing w:before="0" w:after="80"/>
      </w:pPr>
      <w:r>
        <w:rPr>
          <w:rFonts w:ascii="Calibri" w:hAnsi="Calibri"/>
          <w:b w:val="0"/>
          <w:i w:val="0"/>
          <w:color w:val="212121"/>
          <w:sz w:val="21"/>
        </w:rPr>
        <w:t>(4) Chronic hyperplastic candidiasis (candidal leukoplakia), adherent white plaques that do NOT rub off, typically at the commissures, which carry a risk of epithelial dysplasia and malignant transformation;</w:t>
      </w:r>
    </w:p>
    <w:p>
      <w:pPr>
        <w:spacing w:before="0" w:after="80"/>
      </w:pPr>
      <w:r>
        <w:rPr>
          <w:rFonts w:ascii="Calibri" w:hAnsi="Calibri"/>
          <w:b w:val="0"/>
          <w:i w:val="0"/>
          <w:color w:val="212121"/>
          <w:sz w:val="21"/>
        </w:rPr>
        <w:t>(5) Candida-associated lesions — angular cheilitis (fissured, crusted mouth corners), median rhomboid glossitis (a rhomboid depapillated patch on the tongue dorsum) and linear gingival erythema; and</w:t>
      </w:r>
    </w:p>
    <w:p>
      <w:pPr>
        <w:spacing w:before="0" w:after="80"/>
      </w:pPr>
      <w:r>
        <w:rPr>
          <w:rFonts w:ascii="Calibri" w:hAnsi="Calibri"/>
          <w:b w:val="0"/>
          <w:i w:val="0"/>
          <w:color w:val="212121"/>
          <w:sz w:val="21"/>
        </w:rPr>
        <w:t>(6) Secondary oral candidiasis, seen in chronic mucocutaneous candidiasis syndromes and systemic immunodeficiency, where oral disease is persistent, extensive and refractory.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Candidal overgrowth (dysbiosis): Disturbance of the normal oral microbial balance lets commensal Candida (chiefly C. albicans) proliferate and switch from harmless yeast to the tissue-invasive hyphal form.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Immunosuppression: HIV/AIDS, cytotoxic chemotherapy, haematological malignancy, organ transplantation and systemic corticosteroids impair the cell-mediated immunity that normally restrains Candida.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Corticosteroids: Inhaled steroids for asthma/COPD used without a spacer or mouth rinse, and topical or systemic steroids, locally suppress mucosal defences and promote candidal growth.</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Broad-spectrum antibiotics: Suppression of competing bacterial flora allows Candida to flourish, producing acute antibiotic-associated (“sore mouth”) candidiasis.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Xerostomia: Reduced salivary flow (Sjögren’s syndrome, head-and-neck radiotherapy, anticholinergic and antidepressant drugs, dehydration) removes salivary antifungal proteins and mechanical flushing.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Dentures and oral appliances: Ill-fitting or poorly cleaned dentures, especially when worn overnight, create a warm, low-oxygen microenvironment and a biofilm reservoir that sustains denture stomatitis.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Metabolic and nutritional factors: Uncontrolled diabetes (raised salivary glucose and impaired neutrophil function), and iron, vitamin B12, folate or protein deficiency, weaken mucosal resistance — particularly at extremes of 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neonates</w:t>
            </w:r>
          </w:p>
        </w:tc>
        <w:tc>
          <w:tcPr>
            <w:tcW w:type="dxa" w:w="4276"/>
            <w:vAlign w:val="top"/>
          </w:tcPr>
          <w:p>
            <w:pPr>
              <w:spacing w:after="60" w:line="259" w:lineRule="auto"/>
            </w:pPr>
            <w:r>
              <w:rPr>
                <w:rFonts w:ascii="Calibri" w:hAnsi="Calibri"/>
                <w:b w:val="0"/>
                <w:i w:val="0"/>
                <w:color w:val="212121"/>
                <w:sz w:val="19"/>
              </w:rPr>
              <w:t>Immature cell-mediated immunity, a developing oral microbiome and acquisition of Candida during birth or breastfeeding make oral thrush common in the first weeks of life, presenting as white plaques and poor feeding.</w:t>
            </w:r>
          </w:p>
          <w:p>
            <w:pPr>
              <w:spacing w:after="40" w:before="60" w:line="259" w:lineRule="auto"/>
            </w:pPr>
            <w:r>
              <w:rPr>
                <w:rFonts w:ascii="Calibri" w:hAnsi="Calibri"/>
                <w:b w:val="0"/>
                <w:i w:val="0"/>
                <w:color w:val="212121"/>
                <w:sz w:val="19"/>
              </w:rPr>
              <w:t>Neonates and young infants are a classic high-risk group; thrush is one of the commonest oral infections of infancy, frequently linked to maternal antibiotic use and candidal transmission during feeding.</w:t>
            </w:r>
          </w:p>
          <w:p>
            <w:pPr>
              <w:spacing w:after="40" w:line="252" w:lineRule="auto"/>
            </w:pPr>
            <w:hyperlink r:id="rId9">
              <w:r>
                <w:rPr>
                  <w:rFonts w:ascii="Calibri" w:hAnsi="Calibri" w:cs="Calibri"/>
                  <w:sz w:val="18"/>
                  <w:color w:val="1155CC"/>
                  <w:u w:val="single"/>
                </w:rPr>
                <w:t xml:space="preserve">ncbi.nlm.nih.gov — StatPearls: Oral Candidiasis</w:t>
              </w:r>
            </w:hyperlink>
          </w:p>
          <w:p>
            <w:pPr>
              <w:spacing w:before="60" w:after="40"/>
            </w:pPr>
            <w:r>
              <w:rPr>
                <w:rFonts w:ascii="Calibri" w:hAnsi="Calibri"/>
                <w:b w:val="0"/>
                <w:i w:val="0"/>
                <w:color w:val="5A5A5A"/>
                <w:sz w:val="18"/>
              </w:rPr>
              <w:t>#thrush  #neonate  #immatureimmunity  #breastfeeding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Immunosenescence, denture wear, reduced salivary flow, polypharmacy and comorbidities (diabetes, malignancy) converge in older adults, making denture stomatitis and atrophic candidiasis especially frequent.</w:t>
            </w:r>
          </w:p>
          <w:p>
            <w:pPr>
              <w:spacing w:after="40" w:before="60" w:line="259" w:lineRule="auto"/>
            </w:pPr>
            <w:r>
              <w:rPr>
                <w:rFonts w:ascii="Calibri" w:hAnsi="Calibri"/>
                <w:b w:val="0"/>
                <w:i w:val="0"/>
                <w:color w:val="212121"/>
                <w:sz w:val="19"/>
              </w:rPr>
              <w:t>Denture-associated candidiasis and angular cheilitis rise steeply in the elderly, in whom xerostomia and multiple medications are common precipitants.</w:t>
            </w:r>
          </w:p>
          <w:p>
            <w:pPr>
              <w:spacing w:after="40" w:line="252" w:lineRule="auto"/>
            </w:pPr>
            <w:hyperlink r:id="rId9">
              <w:r>
                <w:rPr>
                  <w:rFonts w:ascii="Calibri" w:hAnsi="Calibri" w:cs="Calibri"/>
                  <w:sz w:val="18"/>
                  <w:color w:val="1155CC"/>
                  <w:u w:val="single"/>
                </w:rPr>
                <w:t xml:space="preserve">ncbi.nlm.nih.gov — StatPearls: Oral Candidiasis</w:t>
              </w:r>
            </w:hyperlink>
          </w:p>
          <w:p>
            <w:pPr>
              <w:spacing w:before="60" w:after="40"/>
            </w:pPr>
            <w:r>
              <w:rPr>
                <w:rFonts w:ascii="Calibri" w:hAnsi="Calibri"/>
                <w:b w:val="0"/>
                <w:i w:val="0"/>
                <w:color w:val="5A5A5A"/>
                <w:sz w:val="18"/>
              </w:rPr>
              <w:t>#elderly  #denturestomatitis  #xerostomia  #polypharmacy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(denture wearers)</w:t>
            </w:r>
          </w:p>
        </w:tc>
        <w:tc>
          <w:tcPr>
            <w:tcW w:type="dxa" w:w="4276"/>
            <w:vAlign w:val="top"/>
          </w:tcPr>
          <w:p>
            <w:pPr>
              <w:spacing w:after="60" w:line="259" w:lineRule="auto"/>
            </w:pPr>
            <w:r>
              <w:rPr>
                <w:rFonts w:ascii="Calibri" w:hAnsi="Calibri"/>
                <w:b w:val="0"/>
                <w:i w:val="0"/>
                <w:color w:val="212121"/>
                <w:sz w:val="19"/>
              </w:rPr>
              <w:t>Women show a higher burden of Candida-associated denture stomatitis and angular cheilitis, reflecting hormonal influences on mucosal immunity and patterns of denture wear.</w:t>
            </w:r>
          </w:p>
          <w:p>
            <w:pPr>
              <w:spacing w:after="40" w:before="60" w:line="259" w:lineRule="auto"/>
            </w:pPr>
            <w:r>
              <w:rPr>
                <w:rFonts w:ascii="Calibri" w:hAnsi="Calibri"/>
                <w:b w:val="0"/>
                <w:i w:val="0"/>
                <w:color w:val="212121"/>
                <w:sz w:val="19"/>
              </w:rPr>
              <w:t>In an Indian denture-stomatitis series, C. albicans carriage was higher in females (67.5%) than males (52.5%).</w:t>
            </w:r>
          </w:p>
          <w:p>
            <w:pPr>
              <w:spacing w:after="40" w:line="252" w:lineRule="auto"/>
            </w:pPr>
            <w:hyperlink r:id="rId10">
              <w:r>
                <w:rPr>
                  <w:rFonts w:ascii="Calibri" w:hAnsi="Calibri" w:cs="Calibri"/>
                  <w:sz w:val="18"/>
                  <w:color w:val="1155CC"/>
                  <w:u w:val="single"/>
                </w:rPr>
                <w:t xml:space="preserve">pubmed.ncbi.nlm.nih.gov/34318770</w:t>
              </w:r>
            </w:hyperlink>
          </w:p>
          <w:p>
            <w:pPr>
              <w:spacing w:before="60" w:after="40"/>
            </w:pPr>
            <w:r>
              <w:rPr>
                <w:rFonts w:ascii="Calibri" w:hAnsi="Calibri"/>
                <w:b w:val="0"/>
                <w:i w:val="0"/>
                <w:color w:val="5A5A5A"/>
                <w:sz w:val="18"/>
              </w:rPr>
              <w:t>#female  #denturestomatitis  #calbicans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groups</w:t>
            </w:r>
          </w:p>
        </w:tc>
        <w:tc>
          <w:tcPr>
            <w:tcW w:type="dxa" w:w="4276"/>
            <w:vAlign w:val="top"/>
          </w:tcPr>
          <w:p>
            <w:pPr>
              <w:spacing w:after="60" w:line="259" w:lineRule="auto"/>
            </w:pPr>
            <w:r>
              <w:rPr>
                <w:rFonts w:ascii="Calibri" w:hAnsi="Calibri"/>
                <w:b w:val="0"/>
                <w:i w:val="0"/>
                <w:color w:val="212121"/>
                <w:sz w:val="19"/>
              </w:rPr>
              <w:t>Poverty is linked to undernutrition, iron/B12/folate deficiency, poorly maintained dentures and undiagnosed diabetes or HIV — all of which predispose to candidal infection and delay its treatment.</w:t>
            </w:r>
          </w:p>
          <w:p>
            <w:pPr>
              <w:spacing w:after="40" w:before="60" w:line="259" w:lineRule="auto"/>
            </w:pPr>
            <w:r>
              <w:rPr>
                <w:rFonts w:ascii="Calibri" w:hAnsi="Calibri"/>
                <w:b w:val="0"/>
                <w:i w:val="0"/>
                <w:color w:val="212121"/>
                <w:sz w:val="19"/>
              </w:rPr>
              <w:t>Nutritional deficiency and limited access to dental and antiretroviral care amplify candidiasis risk in disadvantaged populations.</w:t>
            </w:r>
          </w:p>
          <w:p>
            <w:pPr>
              <w:spacing w:before="60" w:after="40"/>
            </w:pPr>
            <w:r>
              <w:rPr>
                <w:rFonts w:ascii="Calibri" w:hAnsi="Calibri"/>
                <w:b w:val="0"/>
                <w:i w:val="0"/>
                <w:color w:val="5A5A5A"/>
                <w:sz w:val="18"/>
              </w:rPr>
              <w:t>#malnutrition  #accessgap  #undiagnosed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complete-denture wearers</w:t>
            </w:r>
          </w:p>
        </w:tc>
        <w:tc>
          <w:tcPr>
            <w:tcW w:type="dxa" w:w="4276"/>
            <w:vAlign w:val="top"/>
          </w:tcPr>
          <w:p>
            <w:pPr>
              <w:spacing w:after="60" w:line="259" w:lineRule="auto"/>
            </w:pPr>
            <w:r>
              <w:rPr>
                <w:rFonts w:ascii="Calibri" w:hAnsi="Calibri"/>
                <w:b w:val="0"/>
                <w:i w:val="0"/>
                <w:color w:val="212121"/>
                <w:sz w:val="19"/>
              </w:rPr>
              <w:t>With a large edentulous and denture-wearing population, denture stomatitis is among the most frequent oral mucosal findings in Indian prosthodontic practice, driven by continuous wear and denture biofilm.</w:t>
            </w:r>
          </w:p>
          <w:p>
            <w:pPr>
              <w:spacing w:after="40" w:before="60" w:line="259" w:lineRule="auto"/>
            </w:pPr>
            <w:r>
              <w:rPr>
                <w:rFonts w:ascii="Calibri" w:hAnsi="Calibri"/>
                <w:b w:val="0"/>
                <w:i w:val="0"/>
                <w:color w:val="212121"/>
                <w:sz w:val="19"/>
              </w:rPr>
              <w:t>Candida-associated denture stomatitis affects an estimated 15% to 65% of complete-denture wearers.</w:t>
            </w:r>
          </w:p>
          <w:p>
            <w:pPr>
              <w:spacing w:after="40" w:line="252" w:lineRule="auto"/>
            </w:pPr>
            <w:hyperlink r:id="rId11">
              <w:r>
                <w:rPr>
                  <w:rFonts w:ascii="Calibri" w:hAnsi="Calibri" w:cs="Calibri"/>
                  <w:sz w:val="18"/>
                  <w:color w:val="1155CC"/>
                  <w:u w:val="single"/>
                </w:rPr>
                <w:t xml:space="preserve">pubmed.ncbi.nlm.nih.gov/34703123</w:t>
              </w:r>
            </w:hyperlink>
          </w:p>
          <w:p>
            <w:pPr>
              <w:spacing w:before="60" w:after="40"/>
            </w:pPr>
            <w:r>
              <w:rPr>
                <w:rFonts w:ascii="Calibri" w:hAnsi="Calibri"/>
                <w:b w:val="0"/>
                <w:i w:val="0"/>
                <w:color w:val="5A5A5A"/>
                <w:sz w:val="18"/>
              </w:rPr>
              <w:t>#dentures  #india  #biofilm  #prosthodontics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risk group</w:t>
            </w:r>
          </w:p>
        </w:tc>
        <w:tc>
          <w:tcPr>
            <w:tcW w:type="dxa" w:w="2160"/>
            <w:vAlign w:val="top"/>
          </w:tcPr>
          <w:p>
            <w:pPr>
              <w:spacing w:after="40" w:before="0" w:line="259" w:lineRule="auto"/>
            </w:pPr>
            <w:r>
              <w:rPr>
                <w:rFonts w:ascii="Calibri" w:hAnsi="Calibri"/>
                <w:b w:val="0"/>
                <w:i w:val="0"/>
                <w:color w:val="212121"/>
                <w:sz w:val="19"/>
              </w:rPr>
              <w:t>People living with HIV in India</w:t>
            </w:r>
          </w:p>
        </w:tc>
        <w:tc>
          <w:tcPr>
            <w:tcW w:type="dxa" w:w="4276"/>
            <w:vAlign w:val="top"/>
          </w:tcPr>
          <w:p>
            <w:pPr>
              <w:spacing w:after="60" w:line="259" w:lineRule="auto"/>
            </w:pPr>
            <w:r>
              <w:rPr>
                <w:rFonts w:ascii="Calibri" w:hAnsi="Calibri"/>
                <w:b w:val="0"/>
                <w:i w:val="0"/>
                <w:color w:val="212121"/>
                <w:sz w:val="19"/>
              </w:rPr>
              <w:t>Falling CD4 counts permit candidal overgrowth, so oral candidiasis is the commonest oral opportunistic infection in Indian HIV cohorts and often the first visible sign of advancing immunosuppression.</w:t>
            </w:r>
          </w:p>
          <w:p>
            <w:pPr>
              <w:spacing w:after="40" w:before="60" w:line="259" w:lineRule="auto"/>
            </w:pPr>
            <w:r>
              <w:rPr>
                <w:rFonts w:ascii="Calibri" w:hAnsi="Calibri"/>
                <w:b w:val="0"/>
                <w:i w:val="0"/>
                <w:color w:val="212121"/>
                <w:sz w:val="19"/>
              </w:rPr>
              <w:t>Oral candidiasis was detected in 20% of Indian HIV-positive patients, with a mean CD4 count of about 188 cells — signalling onset of AIDS.</w:t>
            </w:r>
          </w:p>
          <w:p>
            <w:pPr>
              <w:spacing w:after="40" w:line="252" w:lineRule="auto"/>
            </w:pPr>
            <w:hyperlink r:id="rId12">
              <w:r>
                <w:rPr>
                  <w:rFonts w:ascii="Calibri" w:hAnsi="Calibri" w:cs="Calibri"/>
                  <w:sz w:val="18"/>
                  <w:color w:val="1155CC"/>
                  <w:u w:val="single"/>
                </w:rPr>
                <w:t xml:space="preserve">pubmed.ncbi.nlm.nih.gov/30906728</w:t>
              </w:r>
            </w:hyperlink>
          </w:p>
          <w:p>
            <w:pPr>
              <w:spacing w:before="60" w:after="40"/>
            </w:pPr>
            <w:r>
              <w:rPr>
                <w:rFonts w:ascii="Calibri" w:hAnsi="Calibri"/>
                <w:b w:val="0"/>
                <w:i w:val="0"/>
                <w:color w:val="5A5A5A"/>
                <w:sz w:val="18"/>
              </w:rPr>
              <w:t>#hiv  #cd4  #opportunistic  #aidsmarker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Smokers &amp; tobacco users</w:t>
            </w:r>
          </w:p>
        </w:tc>
        <w:tc>
          <w:tcPr>
            <w:tcW w:type="dxa" w:w="4276"/>
            <w:vAlign w:val="top"/>
          </w:tcPr>
          <w:p>
            <w:pPr>
              <w:spacing w:after="60" w:line="259" w:lineRule="auto"/>
            </w:pPr>
            <w:r>
              <w:rPr>
                <w:rFonts w:ascii="Calibri" w:hAnsi="Calibri"/>
                <w:b w:val="0"/>
                <w:i w:val="0"/>
                <w:color w:val="212121"/>
                <w:sz w:val="19"/>
              </w:rPr>
              <w:t>Tobacco smoke alters the oral epithelium and local immunity and enriches candidal carriage, favouring colonisation and a shift toward non-albicans Candida species.</w:t>
            </w:r>
          </w:p>
          <w:p>
            <w:pPr>
              <w:spacing w:after="40" w:before="60" w:line="259" w:lineRule="auto"/>
            </w:pPr>
            <w:r>
              <w:rPr>
                <w:rFonts w:ascii="Calibri" w:hAnsi="Calibri"/>
                <w:b w:val="0"/>
                <w:i w:val="0"/>
                <w:color w:val="212121"/>
                <w:sz w:val="19"/>
              </w:rPr>
              <w:t>Smoking is significantly associated with oral carriage of non-albicans Candida species.</w:t>
            </w:r>
          </w:p>
          <w:p>
            <w:pPr>
              <w:spacing w:after="40" w:line="252" w:lineRule="auto"/>
            </w:pPr>
            <w:hyperlink r:id="rId13">
              <w:r>
                <w:rPr>
                  <w:rFonts w:ascii="Calibri" w:hAnsi="Calibri" w:cs="Calibri"/>
                  <w:sz w:val="18"/>
                  <w:color w:val="1155CC"/>
                  <w:u w:val="single"/>
                </w:rPr>
                <w:t xml:space="preserve">pubmed.ncbi.nlm.nih.gov/9715634</w:t>
              </w:r>
            </w:hyperlink>
          </w:p>
          <w:p>
            <w:pPr>
              <w:spacing w:before="60" w:after="40"/>
            </w:pPr>
            <w:r>
              <w:rPr>
                <w:rFonts w:ascii="Calibri" w:hAnsi="Calibri"/>
                <w:b w:val="0"/>
                <w:i w:val="0"/>
                <w:color w:val="5A5A5A"/>
                <w:sz w:val="18"/>
              </w:rPr>
              <w:t>#smoking  #tobacco  #nonalbicans  #carriage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Areca nut / gutka use</w:t>
            </w:r>
          </w:p>
        </w:tc>
        <w:tc>
          <w:tcPr>
            <w:tcW w:type="dxa" w:w="2160"/>
            <w:vAlign w:val="top"/>
          </w:tcPr>
          <w:p>
            <w:pPr>
              <w:spacing w:after="40" w:before="0" w:line="259" w:lineRule="auto"/>
            </w:pPr>
            <w:r>
              <w:rPr>
                <w:rFonts w:ascii="Calibri" w:hAnsi="Calibri"/>
                <w:b w:val="0"/>
                <w:i w:val="0"/>
                <w:color w:val="212121"/>
                <w:sz w:val="19"/>
              </w:rPr>
              <w:t>Oral submucous fibrosis (OSMF) patients</w:t>
            </w:r>
          </w:p>
        </w:tc>
        <w:tc>
          <w:tcPr>
            <w:tcW w:type="dxa" w:w="4276"/>
            <w:vAlign w:val="top"/>
          </w:tcPr>
          <w:p>
            <w:pPr>
              <w:spacing w:after="60" w:line="259" w:lineRule="auto"/>
            </w:pPr>
            <w:r>
              <w:rPr>
                <w:rFonts w:ascii="Calibri" w:hAnsi="Calibri"/>
                <w:b w:val="0"/>
                <w:i w:val="0"/>
                <w:color w:val="212121"/>
                <w:sz w:val="19"/>
              </w:rPr>
              <w:t>Areca-nut and gutka chewing — widespread in India — causes oral submucous fibrosis with an atrophic, less-resistant mucosa that shows increased candidal carriage and infection.</w:t>
            </w:r>
          </w:p>
          <w:p>
            <w:pPr>
              <w:spacing w:after="40" w:before="60" w:line="259" w:lineRule="auto"/>
            </w:pPr>
            <w:r>
              <w:rPr>
                <w:rFonts w:ascii="Calibri" w:hAnsi="Calibri"/>
                <w:b w:val="0"/>
                <w:i w:val="0"/>
                <w:color w:val="212121"/>
                <w:sz w:val="19"/>
              </w:rPr>
              <w:t>Oral Candida carriage is raised in oral submucous fibrosis patients compared with healthy individuals.</w:t>
            </w:r>
          </w:p>
          <w:p>
            <w:pPr>
              <w:spacing w:after="40" w:line="252" w:lineRule="auto"/>
            </w:pPr>
            <w:hyperlink r:id="rId14">
              <w:r>
                <w:rPr>
                  <w:rFonts w:ascii="Calibri" w:hAnsi="Calibri" w:cs="Calibri"/>
                  <w:sz w:val="18"/>
                  <w:color w:val="1155CC"/>
                  <w:u w:val="single"/>
                </w:rPr>
                <w:t xml:space="preserve">pubmed.ncbi.nlm.nih.gov/25426899</w:t>
              </w:r>
            </w:hyperlink>
          </w:p>
          <w:p>
            <w:pPr>
              <w:spacing w:before="60" w:after="40"/>
            </w:pPr>
            <w:r>
              <w:rPr>
                <w:rFonts w:ascii="Calibri" w:hAnsi="Calibri"/>
                <w:b w:val="0"/>
                <w:i w:val="0"/>
                <w:color w:val="5A5A5A"/>
                <w:sz w:val="18"/>
              </w:rPr>
              <w:t>#arecanut  #gutka  #osmf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Poor oral &amp; denture hygiene</w:t>
            </w:r>
          </w:p>
        </w:tc>
        <w:tc>
          <w:tcPr>
            <w:tcW w:type="dxa" w:w="2160"/>
            <w:vAlign w:val="top"/>
          </w:tcPr>
          <w:p>
            <w:pPr>
              <w:spacing w:after="40" w:before="0" w:line="259" w:lineRule="auto"/>
            </w:pPr>
            <w:r>
              <w:rPr>
                <w:rFonts w:ascii="Calibri" w:hAnsi="Calibri"/>
                <w:b w:val="0"/>
                <w:i w:val="0"/>
                <w:color w:val="212121"/>
                <w:sz w:val="19"/>
              </w:rPr>
              <w:t>Overnight denture wearers</w:t>
            </w:r>
          </w:p>
        </w:tc>
        <w:tc>
          <w:tcPr>
            <w:tcW w:type="dxa" w:w="4276"/>
            <w:vAlign w:val="top"/>
          </w:tcPr>
          <w:p>
            <w:pPr>
              <w:spacing w:after="60" w:line="259" w:lineRule="auto"/>
            </w:pPr>
            <w:r>
              <w:rPr>
                <w:rFonts w:ascii="Calibri" w:hAnsi="Calibri"/>
                <w:b w:val="0"/>
                <w:i w:val="0"/>
                <w:color w:val="212121"/>
                <w:sz w:val="19"/>
              </w:rPr>
              <w:t>Infrequent cleaning and wearing dentures overnight let a mature candidal biofilm build up on the fitting surface, sustaining chronic denture stomatitis.</w:t>
            </w:r>
          </w:p>
          <w:p>
            <w:pPr>
              <w:spacing w:after="40" w:before="60" w:line="259" w:lineRule="auto"/>
            </w:pPr>
            <w:r>
              <w:rPr>
                <w:rFonts w:ascii="Calibri" w:hAnsi="Calibri"/>
                <w:b w:val="0"/>
                <w:i w:val="0"/>
                <w:color w:val="212121"/>
                <w:sz w:val="19"/>
              </w:rPr>
              <w:t>Continuous (nocturnal) denture wear and inadequate denture cleaning are key modifiable drivers of denture-associated candidiasis.</w:t>
            </w:r>
          </w:p>
          <w:p>
            <w:pPr>
              <w:spacing w:after="40" w:line="252" w:lineRule="auto"/>
            </w:pPr>
            <w:hyperlink r:id="rId15">
              <w:r>
                <w:rPr>
                  <w:rFonts w:ascii="Calibri" w:hAnsi="Calibri" w:cs="Calibri"/>
                  <w:sz w:val="18"/>
                  <w:color w:val="1155CC"/>
                  <w:u w:val="single"/>
                </w:rPr>
                <w:t xml:space="preserve">pubmed.ncbi.nlm.nih.gov/36110628</w:t>
              </w:r>
            </w:hyperlink>
          </w:p>
          <w:p>
            <w:pPr>
              <w:spacing w:before="60" w:after="40"/>
            </w:pPr>
            <w:r>
              <w:rPr>
                <w:rFonts w:ascii="Calibri" w:hAnsi="Calibri"/>
                <w:b w:val="0"/>
                <w:i w:val="0"/>
                <w:color w:val="5A5A5A"/>
                <w:sz w:val="18"/>
              </w:rPr>
              <w:t>#denturehygiene  #biofilm  #nocturnalwear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High-sugar / refined-carbohydrate diet</w:t>
            </w:r>
          </w:p>
        </w:tc>
        <w:tc>
          <w:tcPr>
            <w:tcW w:type="dxa" w:w="2160"/>
            <w:vAlign w:val="top"/>
          </w:tcPr>
          <w:p>
            <w:pPr>
              <w:spacing w:after="40" w:before="0" w:line="259" w:lineRule="auto"/>
            </w:pPr>
            <w:r>
              <w:rPr>
                <w:rFonts w:ascii="Calibri" w:hAnsi="Calibri"/>
                <w:b w:val="0"/>
                <w:i w:val="0"/>
                <w:color w:val="212121"/>
                <w:sz w:val="19"/>
              </w:rPr>
              <w:t>Frequent sugar consumers</w:t>
            </w:r>
          </w:p>
        </w:tc>
        <w:tc>
          <w:tcPr>
            <w:tcW w:type="dxa" w:w="4276"/>
            <w:vAlign w:val="top"/>
          </w:tcPr>
          <w:p>
            <w:pPr>
              <w:spacing w:after="60" w:line="259" w:lineRule="auto"/>
            </w:pPr>
            <w:r>
              <w:rPr>
                <w:rFonts w:ascii="Calibri" w:hAnsi="Calibri"/>
                <w:b w:val="0"/>
                <w:i w:val="0"/>
                <w:color w:val="212121"/>
                <w:sz w:val="19"/>
              </w:rPr>
              <w:t>Dietary and salivary glucose is a direct substrate for Candida, enhancing adhesion and biofilm formation; frequent sugary foods and drinks promote overgrowth.</w:t>
            </w:r>
          </w:p>
          <w:p>
            <w:pPr>
              <w:spacing w:after="40" w:before="60" w:line="259" w:lineRule="auto"/>
            </w:pPr>
            <w:r>
              <w:rPr>
                <w:rFonts w:ascii="Calibri" w:hAnsi="Calibri"/>
                <w:b w:val="0"/>
                <w:i w:val="0"/>
                <w:color w:val="212121"/>
                <w:sz w:val="19"/>
              </w:rPr>
              <w:t>Elevated salivary glucose favours candidal colonisation, linking high-sugar diets and poor glycaemic control to infection.</w:t>
            </w:r>
          </w:p>
          <w:p>
            <w:pPr>
              <w:spacing w:before="60" w:after="40"/>
            </w:pPr>
            <w:r>
              <w:rPr>
                <w:rFonts w:ascii="Calibri" w:hAnsi="Calibri"/>
                <w:b w:val="0"/>
                <w:i w:val="0"/>
                <w:color w:val="5A5A5A"/>
                <w:sz w:val="18"/>
              </w:rPr>
              <w:t>#sugar  #refinedcarbs  #salivaryglucose  #biofilm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Iron / B12 / folate-deficient adults</w:t>
            </w:r>
          </w:p>
        </w:tc>
        <w:tc>
          <w:tcPr>
            <w:tcW w:type="dxa" w:w="4276"/>
            <w:vAlign w:val="top"/>
          </w:tcPr>
          <w:p>
            <w:pPr>
              <w:spacing w:after="60" w:line="259" w:lineRule="auto"/>
            </w:pPr>
            <w:r>
              <w:rPr>
                <w:rFonts w:ascii="Calibri" w:hAnsi="Calibri"/>
                <w:b w:val="0"/>
                <w:i w:val="0"/>
                <w:color w:val="212121"/>
                <w:sz w:val="19"/>
              </w:rPr>
              <w:t>Deficiency of iron, vitamin B12 or folate produces an atrophic oral mucosa and impaired immunity, predisposing to atrophic candidiasis and angular cheilitis.</w:t>
            </w:r>
          </w:p>
          <w:p>
            <w:pPr>
              <w:spacing w:after="40" w:before="60" w:line="259" w:lineRule="auto"/>
            </w:pPr>
            <w:r>
              <w:rPr>
                <w:rFonts w:ascii="Calibri" w:hAnsi="Calibri"/>
                <w:b w:val="0"/>
                <w:i w:val="0"/>
                <w:color w:val="212121"/>
                <w:sz w:val="19"/>
              </w:rPr>
              <w:t>Correcting underlying iron, B12 or folate deficiency is often needed to clear recurrent angular cheilitis and atrophic candidiasis.</w:t>
            </w:r>
          </w:p>
          <w:p>
            <w:pPr>
              <w:spacing w:after="40" w:line="252" w:lineRule="auto"/>
            </w:pPr>
            <w:hyperlink r:id="rId9">
              <w:r>
                <w:rPr>
                  <w:rFonts w:ascii="Calibri" w:hAnsi="Calibri" w:cs="Calibri"/>
                  <w:sz w:val="18"/>
                  <w:color w:val="1155CC"/>
                  <w:u w:val="single"/>
                </w:rPr>
                <w:t xml:space="preserve">ncbi.nlm.nih.gov — StatPearls: Oral Candidiasis</w:t>
              </w:r>
            </w:hyperlink>
          </w:p>
          <w:p>
            <w:pPr>
              <w:spacing w:before="60" w:after="40"/>
            </w:pPr>
            <w:r>
              <w:rPr>
                <w:rFonts w:ascii="Calibri" w:hAnsi="Calibri"/>
                <w:b w:val="0"/>
                <w:i w:val="0"/>
                <w:color w:val="5A5A5A"/>
                <w:sz w:val="18"/>
              </w:rPr>
              <w:t>#irondeficiency  #b12  #folate  #angularcheilitis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Inherited immune defects</w:t>
            </w:r>
          </w:p>
        </w:tc>
        <w:tc>
          <w:tcPr>
            <w:tcW w:type="dxa" w:w="2160"/>
            <w:vAlign w:val="top"/>
          </w:tcPr>
          <w:p>
            <w:pPr>
              <w:spacing w:after="40" w:before="0" w:line="259" w:lineRule="auto"/>
            </w:pPr>
            <w:r>
              <w:rPr>
                <w:rFonts w:ascii="Calibri" w:hAnsi="Calibri"/>
                <w:b w:val="0"/>
                <w:i w:val="0"/>
                <w:color w:val="212121"/>
                <w:sz w:val="19"/>
              </w:rPr>
              <w:t>Chronic mucocutaneous candidiasis (AIRE, CARD9, STAT1)</w:t>
            </w:r>
          </w:p>
        </w:tc>
        <w:tc>
          <w:tcPr>
            <w:tcW w:type="dxa" w:w="4276"/>
            <w:vAlign w:val="top"/>
          </w:tcPr>
          <w:p>
            <w:pPr>
              <w:spacing w:after="60" w:line="259" w:lineRule="auto"/>
            </w:pPr>
            <w:r>
              <w:rPr>
                <w:rFonts w:ascii="Calibri" w:hAnsi="Calibri"/>
                <w:b w:val="0"/>
                <w:i w:val="0"/>
                <w:color w:val="212121"/>
                <w:sz w:val="19"/>
              </w:rPr>
              <w:t>Rare monogenic defects of anti-fungal (Th17/IL-17) immunity — as in APECED/AIRE, CARD9 and gain-of-function STAT1 — cause persistent, familial mucocutaneous candidiasis from early childhood.</w:t>
            </w:r>
          </w:p>
          <w:p>
            <w:pPr>
              <w:spacing w:after="40" w:before="60" w:line="259" w:lineRule="auto"/>
            </w:pPr>
            <w:r>
              <w:rPr>
                <w:rFonts w:ascii="Calibri" w:hAnsi="Calibri"/>
                <w:b w:val="0"/>
                <w:i w:val="0"/>
                <w:color w:val="212121"/>
                <w:sz w:val="19"/>
              </w:rPr>
              <w:t>Inherited impairment of IL-17-mediated antifungal immunity produces chronic, treatment-resistant oral candidiasis.</w:t>
            </w:r>
          </w:p>
          <w:p>
            <w:pPr>
              <w:spacing w:after="40" w:line="252" w:lineRule="auto"/>
            </w:pPr>
            <w:hyperlink r:id="rId9">
              <w:r>
                <w:rPr>
                  <w:rFonts w:ascii="Calibri" w:hAnsi="Calibri" w:cs="Calibri"/>
                  <w:sz w:val="18"/>
                  <w:color w:val="1155CC"/>
                  <w:u w:val="single"/>
                </w:rPr>
                <w:t xml:space="preserve">ncbi.nlm.nih.gov — StatPearls: Oral Candidiasis</w:t>
              </w:r>
            </w:hyperlink>
          </w:p>
          <w:p>
            <w:pPr>
              <w:spacing w:before="60" w:after="40"/>
            </w:pPr>
            <w:r>
              <w:rPr>
                <w:rFonts w:ascii="Calibri" w:hAnsi="Calibri"/>
                <w:b w:val="0"/>
                <w:i w:val="0"/>
                <w:color w:val="5A5A5A"/>
                <w:sz w:val="18"/>
              </w:rPr>
              <w:t>#cmc  #IL17  #STAT1  #familial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Immunosuppressed patients</w:t>
            </w:r>
          </w:p>
        </w:tc>
        <w:tc>
          <w:tcPr>
            <w:tcW w:type="dxa" w:w="4276"/>
            <w:vAlign w:val="top"/>
          </w:tcPr>
          <w:p>
            <w:pPr>
              <w:spacing w:after="60" w:line="259" w:lineRule="auto"/>
            </w:pPr>
            <w:r>
              <w:rPr>
                <w:rFonts w:ascii="Calibri" w:hAnsi="Calibri"/>
                <w:b w:val="0"/>
                <w:i w:val="0"/>
                <w:color w:val="212121"/>
                <w:sz w:val="19"/>
              </w:rPr>
              <w:t>Loss of CD4 T-cells removes the immune restraint on Candida, making oral candidiasis an early and recurrent AIDS-associated infection and a clinical marker of immune decline.</w:t>
            </w:r>
          </w:p>
          <w:p>
            <w:pPr>
              <w:spacing w:after="40" w:before="60" w:line="259" w:lineRule="auto"/>
            </w:pPr>
            <w:r>
              <w:rPr>
                <w:rFonts w:ascii="Calibri" w:hAnsi="Calibri"/>
                <w:b w:val="0"/>
                <w:i w:val="0"/>
                <w:color w:val="212121"/>
                <w:sz w:val="19"/>
              </w:rPr>
              <w:t>Oral candidiasis affects about 20% of Indian HIV patients and is a recognised marker of a CD4 count below 200.</w:t>
            </w:r>
          </w:p>
          <w:p>
            <w:pPr>
              <w:spacing w:after="40" w:line="252" w:lineRule="auto"/>
            </w:pPr>
            <w:hyperlink r:id="rId16">
              <w:r>
                <w:rPr>
                  <w:rFonts w:ascii="Calibri" w:hAnsi="Calibri" w:cs="Calibri"/>
                  <w:sz w:val="18"/>
                  <w:color w:val="1155CC"/>
                  <w:u w:val="single"/>
                </w:rPr>
                <w:t xml:space="preserve">pubmed.ncbi.nlm.nih.gov/36387671</w:t>
              </w:r>
            </w:hyperlink>
          </w:p>
          <w:p>
            <w:pPr>
              <w:spacing w:before="60" w:after="40"/>
            </w:pPr>
            <w:r>
              <w:rPr>
                <w:rFonts w:ascii="Calibri" w:hAnsi="Calibri"/>
                <w:b w:val="0"/>
                <w:i w:val="0"/>
                <w:color w:val="5A5A5A"/>
                <w:sz w:val="18"/>
              </w:rPr>
              <w:t>#hiv  #aids  #cd4  #opportunistic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Poorly controlled diabetics</w:t>
            </w:r>
          </w:p>
        </w:tc>
        <w:tc>
          <w:tcPr>
            <w:tcW w:type="dxa" w:w="4276"/>
            <w:vAlign w:val="top"/>
          </w:tcPr>
          <w:p>
            <w:pPr>
              <w:spacing w:after="60" w:line="259" w:lineRule="auto"/>
            </w:pPr>
            <w:r>
              <w:rPr>
                <w:rFonts w:ascii="Calibri" w:hAnsi="Calibri"/>
                <w:b w:val="0"/>
                <w:i w:val="0"/>
                <w:color w:val="212121"/>
                <w:sz w:val="19"/>
              </w:rPr>
              <w:t>Hyperglycaemia raises salivary glucose and impairs neutrophil function, so candidal carriage and symptomatic infection increase as glycaemic control worsens.</w:t>
            </w:r>
          </w:p>
          <w:p>
            <w:pPr>
              <w:spacing w:after="40" w:before="60" w:line="259" w:lineRule="auto"/>
            </w:pPr>
            <w:r>
              <w:rPr>
                <w:rFonts w:ascii="Calibri" w:hAnsi="Calibri"/>
                <w:b w:val="0"/>
                <w:i w:val="0"/>
                <w:color w:val="212121"/>
                <w:sz w:val="19"/>
              </w:rPr>
              <w:t>Diabetic patients with higher glycaemic scores (HbA1c &gt; 7) showed a higher prevalence of oral candidiasis.</w:t>
            </w:r>
          </w:p>
          <w:p>
            <w:pPr>
              <w:spacing w:after="40" w:line="252" w:lineRule="auto"/>
            </w:pPr>
            <w:hyperlink r:id="rId17">
              <w:r>
                <w:rPr>
                  <w:rFonts w:ascii="Calibri" w:hAnsi="Calibri" w:cs="Calibri"/>
                  <w:sz w:val="18"/>
                  <w:color w:val="1155CC"/>
                  <w:u w:val="single"/>
                </w:rPr>
                <w:t xml:space="preserve">pubmed.ncbi.nlm.nih.gov/35229766</w:t>
              </w:r>
            </w:hyperlink>
          </w:p>
          <w:p>
            <w:pPr>
              <w:spacing w:before="60" w:after="40"/>
            </w:pPr>
            <w:r>
              <w:rPr>
                <w:rFonts w:ascii="Calibri" w:hAnsi="Calibri"/>
                <w:b w:val="0"/>
                <w:i w:val="0"/>
                <w:color w:val="5A5A5A"/>
                <w:sz w:val="18"/>
              </w:rPr>
              <w:t>#diabetes  #hyperglycaemia  #hba1c  #neutrophil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Inhaled corticosteroid use</w:t>
            </w:r>
          </w:p>
        </w:tc>
        <w:tc>
          <w:tcPr>
            <w:tcW w:type="dxa" w:w="2160"/>
            <w:vAlign w:val="top"/>
          </w:tcPr>
          <w:p>
            <w:pPr>
              <w:spacing w:after="40" w:before="0" w:line="259" w:lineRule="auto"/>
            </w:pPr>
            <w:r>
              <w:rPr>
                <w:rFonts w:ascii="Calibri" w:hAnsi="Calibri"/>
                <w:b w:val="0"/>
                <w:i w:val="0"/>
                <w:color w:val="212121"/>
                <w:sz w:val="19"/>
              </w:rPr>
              <w:t>Asthma / COPD patients</w:t>
            </w:r>
          </w:p>
        </w:tc>
        <w:tc>
          <w:tcPr>
            <w:tcW w:type="dxa" w:w="4276"/>
            <w:vAlign w:val="top"/>
          </w:tcPr>
          <w:p>
            <w:pPr>
              <w:spacing w:after="60" w:line="259" w:lineRule="auto"/>
            </w:pPr>
            <w:r>
              <w:rPr>
                <w:rFonts w:ascii="Calibri" w:hAnsi="Calibri"/>
                <w:b w:val="0"/>
                <w:i w:val="0"/>
                <w:color w:val="212121"/>
                <w:sz w:val="19"/>
              </w:rPr>
              <w:t>Inhaled corticosteroids deposit on the oropharyngeal mucosa and locally suppress immunity, causing oropharyngeal candidiasis — markedly reduced by using a spacer and rinsing the mouth after each dose.</w:t>
            </w:r>
          </w:p>
          <w:p>
            <w:pPr>
              <w:spacing w:after="40" w:before="60" w:line="259" w:lineRule="auto"/>
            </w:pPr>
            <w:r>
              <w:rPr>
                <w:rFonts w:ascii="Calibri" w:hAnsi="Calibri"/>
                <w:b w:val="0"/>
                <w:i w:val="0"/>
                <w:color w:val="212121"/>
                <w:sz w:val="19"/>
              </w:rPr>
              <w:t>Oropharyngeal candidiasis is a well-recognised local side-effect of inhaled corticosteroids, mitigated by spacer use and post-dose rinsing.</w:t>
            </w:r>
          </w:p>
          <w:p>
            <w:pPr>
              <w:spacing w:after="40" w:line="252" w:lineRule="auto"/>
            </w:pPr>
            <w:hyperlink r:id="rId9">
              <w:r>
                <w:rPr>
                  <w:rFonts w:ascii="Calibri" w:hAnsi="Calibri" w:cs="Calibri"/>
                  <w:sz w:val="18"/>
                  <w:color w:val="1155CC"/>
                  <w:u w:val="single"/>
                </w:rPr>
                <w:t xml:space="preserve">ncbi.nlm.nih.gov — StatPearls: Oral Candidiasis</w:t>
              </w:r>
            </w:hyperlink>
          </w:p>
          <w:p>
            <w:pPr>
              <w:spacing w:before="60" w:after="40"/>
            </w:pPr>
            <w:r>
              <w:rPr>
                <w:rFonts w:ascii="Calibri" w:hAnsi="Calibri"/>
                <w:b w:val="0"/>
                <w:i w:val="0"/>
                <w:color w:val="5A5A5A"/>
                <w:sz w:val="18"/>
              </w:rPr>
              <w:t>#inhaledsteroids  #asthma  #copd  #spacer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Head &amp; neck cancer / therapy</w:t>
            </w:r>
          </w:p>
        </w:tc>
        <w:tc>
          <w:tcPr>
            <w:tcW w:type="dxa" w:w="2160"/>
            <w:vAlign w:val="top"/>
          </w:tcPr>
          <w:p>
            <w:pPr>
              <w:spacing w:after="40" w:before="0" w:line="259" w:lineRule="auto"/>
            </w:pPr>
            <w:r>
              <w:rPr>
                <w:rFonts w:ascii="Calibri" w:hAnsi="Calibri"/>
                <w:b w:val="0"/>
                <w:i w:val="0"/>
                <w:color w:val="212121"/>
                <w:sz w:val="19"/>
              </w:rPr>
              <w:t>Radiotherapy &amp; chemotherapy patients</w:t>
            </w:r>
          </w:p>
        </w:tc>
        <w:tc>
          <w:tcPr>
            <w:tcW w:type="dxa" w:w="4276"/>
            <w:vAlign w:val="top"/>
          </w:tcPr>
          <w:p>
            <w:pPr>
              <w:spacing w:after="60" w:line="259" w:lineRule="auto"/>
            </w:pPr>
            <w:r>
              <w:rPr>
                <w:rFonts w:ascii="Calibri" w:hAnsi="Calibri"/>
                <w:b w:val="0"/>
                <w:i w:val="0"/>
                <w:color w:val="212121"/>
                <w:sz w:val="19"/>
              </w:rPr>
              <w:t>Head-and-neck radiotherapy destroys salivary glands (xerostomia) and cytotoxic chemotherapy causes mucositis and neutropenia, together producing frequent and severe oral candidiasis during cancer treatment.</w:t>
            </w:r>
          </w:p>
          <w:p>
            <w:pPr>
              <w:spacing w:after="40" w:before="60" w:line="259" w:lineRule="auto"/>
            </w:pPr>
            <w:r>
              <w:rPr>
                <w:rFonts w:ascii="Calibri" w:hAnsi="Calibri"/>
                <w:b w:val="0"/>
                <w:i w:val="0"/>
                <w:color w:val="212121"/>
                <w:sz w:val="19"/>
              </w:rPr>
              <w:t>Radiation-induced xerostomia and chemotherapy-related immunosuppression are major risk factors for oral candidiasis in cancer patients.</w:t>
            </w:r>
          </w:p>
          <w:p>
            <w:pPr>
              <w:spacing w:after="40" w:line="252" w:lineRule="auto"/>
            </w:pPr>
            <w:hyperlink r:id="rId9">
              <w:r>
                <w:rPr>
                  <w:rFonts w:ascii="Calibri" w:hAnsi="Calibri" w:cs="Calibri"/>
                  <w:sz w:val="18"/>
                  <w:color w:val="1155CC"/>
                  <w:u w:val="single"/>
                </w:rPr>
                <w:t xml:space="preserve">ncbi.nlm.nih.gov — StatPearls: Oral Candidiasis</w:t>
              </w:r>
            </w:hyperlink>
          </w:p>
          <w:p>
            <w:pPr>
              <w:spacing w:before="60" w:after="40"/>
            </w:pPr>
            <w:r>
              <w:rPr>
                <w:rFonts w:ascii="Calibri" w:hAnsi="Calibri"/>
                <w:b w:val="0"/>
                <w:i w:val="0"/>
                <w:color w:val="5A5A5A"/>
                <w:sz w:val="18"/>
              </w:rPr>
              <w:t>#radiotherapy  #chemotherapy  #mucositis  #xerostomia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Xerostomia / Sjögren’s</w:t>
            </w:r>
          </w:p>
        </w:tc>
        <w:tc>
          <w:tcPr>
            <w:tcW w:type="dxa" w:w="2160"/>
            <w:vAlign w:val="top"/>
          </w:tcPr>
          <w:p>
            <w:pPr>
              <w:spacing w:after="40" w:before="0" w:line="259" w:lineRule="auto"/>
            </w:pPr>
            <w:r>
              <w:rPr>
                <w:rFonts w:ascii="Calibri" w:hAnsi="Calibri"/>
                <w:b w:val="0"/>
                <w:i w:val="0"/>
                <w:color w:val="212121"/>
                <w:sz w:val="19"/>
              </w:rPr>
              <w:t>Dry-mouth patients</w:t>
            </w:r>
          </w:p>
        </w:tc>
        <w:tc>
          <w:tcPr>
            <w:tcW w:type="dxa" w:w="4276"/>
            <w:vAlign w:val="top"/>
          </w:tcPr>
          <w:p>
            <w:pPr>
              <w:spacing w:after="60" w:line="259" w:lineRule="auto"/>
            </w:pPr>
            <w:r>
              <w:rPr>
                <w:rFonts w:ascii="Calibri" w:hAnsi="Calibri"/>
                <w:b w:val="0"/>
                <w:i w:val="0"/>
                <w:color w:val="212121"/>
                <w:sz w:val="19"/>
              </w:rPr>
              <w:t>Loss of saliva removes antifungal proteins and mechanical clearance, so Sjögren’s syndrome, salivary gland disease and anticholinergic medications strongly predispose to candidal overgrowth.</w:t>
            </w:r>
          </w:p>
          <w:p>
            <w:pPr>
              <w:spacing w:after="40" w:before="60" w:line="259" w:lineRule="auto"/>
            </w:pPr>
            <w:r>
              <w:rPr>
                <w:rFonts w:ascii="Calibri" w:hAnsi="Calibri"/>
                <w:b w:val="0"/>
                <w:i w:val="0"/>
                <w:color w:val="212121"/>
                <w:sz w:val="19"/>
              </w:rPr>
              <w:t>Hyposalivation (unstimulated flow ≤ 0.1 mL/min) is a consistent predisposing factor for oral candidiasis.</w:t>
            </w:r>
          </w:p>
          <w:p>
            <w:pPr>
              <w:spacing w:after="40" w:line="252" w:lineRule="auto"/>
            </w:pPr>
            <w:hyperlink r:id="rId9">
              <w:r>
                <w:rPr>
                  <w:rFonts w:ascii="Calibri" w:hAnsi="Calibri" w:cs="Calibri"/>
                  <w:sz w:val="18"/>
                  <w:color w:val="1155CC"/>
                  <w:u w:val="single"/>
                </w:rPr>
                <w:t xml:space="preserve">ncbi.nlm.nih.gov — StatPearls: Oral Candidiasis</w:t>
              </w:r>
            </w:hyperlink>
          </w:p>
          <w:p>
            <w:pPr>
              <w:spacing w:before="60" w:after="40"/>
            </w:pPr>
            <w:r>
              <w:rPr>
                <w:rFonts w:ascii="Calibri" w:hAnsi="Calibri"/>
                <w:b w:val="0"/>
                <w:i w:val="0"/>
                <w:color w:val="5A5A5A"/>
                <w:sz w:val="18"/>
              </w:rPr>
              <w:t>#xerostomia  #sjogrens  #hyposalivation  #drymouth</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effect on candidal infection; regular activity acts only indirectly by improving glycaemic control and general immune function in at-risk groups such as diabetics.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Frequent refined-sugar and high-carbohydrate intake raises salivary glucose and feeds candidal biofilm, while iron, B12, folate or protein deficiency produces an atrophic, susceptible mucosa and angular cheilitis.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insufficient sleep may modestly impair immunity, but there is no strong direct link between sleep and oral candidiasis.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and smokeless tobacco (and areca-nut chewing) increase candidal carriage, favour non-albicans species and, via oral submucous fibrosis, damage the mucosa — all raising infection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dries the mucosa, alters oral flora and impairs immunity and nutrition, contributing to candidal overgrowth; it also compounds tobacco-related mucosal damage.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and chronic stress act indirectly — through neglected oral hygiene, poor nutrition and xerostomia from psychotropic (anticholinergic) medication.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supports salivary flow, which clears and inhibits Candida; dehydration and dry mouth remove this protection and predispose to infection.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direct relationship; excessive caffeinated drinks may contribute mildly to dehydration and dry mouth.</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 and denture hygiene are central — twice-daily brushing, cleaning dentures and leaving them out overnight remove the biofilm reservoir; poor hygiene sustains denture stomatitis and recurrent thrush.</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Broad-spectrum antibiotics, inhaled/systemic corticosteroids, denture wear, immunosuppression, uncontrolled diabetes and xerostomia are the dominant precipitants; identifying and correcting them is key to cure and prevention.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Nocturnal denture wear (hours out/night)</w:t>
            </w:r>
          </w:p>
        </w:tc>
        <w:tc>
          <w:tcPr>
            <w:tcW w:type="dxa" w:w="1655"/>
            <w:vAlign w:val="top"/>
          </w:tcPr>
          <w:p>
            <w:pPr>
              <w:spacing w:after="40" w:before="0" w:line="259" w:lineRule="auto"/>
            </w:pPr>
            <w:r>
              <w:rPr>
                <w:rFonts w:ascii="Calibri" w:hAnsi="Calibri"/>
                <w:b w:val="0"/>
                <w:i w:val="0"/>
                <w:color w:val="212121"/>
                <w:sz w:val="19"/>
              </w:rPr>
              <w:t>Complete/partial denture wearers</w:t>
            </w:r>
          </w:p>
        </w:tc>
        <w:tc>
          <w:tcPr>
            <w:tcW w:type="dxa" w:w="1512"/>
            <w:vAlign w:val="top"/>
          </w:tcPr>
          <w:p>
            <w:pPr>
              <w:spacing w:after="40" w:before="0" w:line="259" w:lineRule="auto"/>
            </w:pPr>
            <w:r>
              <w:rPr>
                <w:rFonts w:ascii="Calibri" w:hAnsi="Calibri"/>
                <w:b w:val="0"/>
                <w:i w:val="0"/>
                <w:color w:val="212121"/>
                <w:sz w:val="19"/>
              </w:rPr>
              <w:t>Remove for ≥ 6–8 h overnight (leave out while sleeping)</w:t>
            </w:r>
          </w:p>
        </w:tc>
        <w:tc>
          <w:tcPr>
            <w:tcW w:type="dxa" w:w="1512"/>
            <w:vAlign w:val="top"/>
          </w:tcPr>
          <w:p>
            <w:pPr>
              <w:spacing w:after="40" w:before="0" w:line="259" w:lineRule="auto"/>
            </w:pPr>
            <w:r>
              <w:rPr>
                <w:rFonts w:ascii="Calibri" w:hAnsi="Calibri"/>
                <w:b w:val="0"/>
                <w:i w:val="0"/>
                <w:color w:val="212121"/>
                <w:sz w:val="19"/>
              </w:rPr>
              <w:t>Continuous 24-hour wear</w:t>
            </w:r>
          </w:p>
        </w:tc>
        <w:tc>
          <w:tcPr>
            <w:tcW w:type="dxa" w:w="1468"/>
            <w:vAlign w:val="top"/>
          </w:tcPr>
          <w:p>
            <w:pPr>
              <w:spacing w:after="60" w:line="259" w:lineRule="auto"/>
            </w:pPr>
            <w:r>
              <w:rPr>
                <w:rFonts w:ascii="Calibri" w:hAnsi="Calibri"/>
                <w:b w:val="0"/>
                <w:i w:val="0"/>
                <w:color w:val="212121"/>
                <w:sz w:val="19"/>
              </w:rPr>
              <w:t>Overnight wear markedly raises denture stomatitis; soak dentures in a disinfectant cleanser</w:t>
            </w:r>
          </w:p>
          <w:p>
            <w:pPr>
              <w:spacing w:after="40" w:line="252" w:lineRule="auto"/>
            </w:pPr>
            <w:hyperlink r:id="rId15">
              <w:r>
                <w:rPr>
                  <w:rFonts w:ascii="Calibri" w:hAnsi="Calibri" w:cs="Calibri"/>
                  <w:sz w:val="18"/>
                  <w:color w:val="1155CC"/>
                  <w:u w:val="single"/>
                </w:rPr>
                <w:t xml:space="preserve">https://pubmed.ncbi.nlm.nih.gov/36110628/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Denture cleaning frequency</w:t>
            </w:r>
          </w:p>
        </w:tc>
        <w:tc>
          <w:tcPr>
            <w:tcW w:type="dxa" w:w="1655"/>
            <w:vAlign w:val="top"/>
          </w:tcPr>
          <w:p>
            <w:pPr>
              <w:spacing w:after="40" w:before="0" w:line="259" w:lineRule="auto"/>
            </w:pPr>
            <w:r>
              <w:rPr>
                <w:rFonts w:ascii="Calibri" w:hAnsi="Calibri"/>
                <w:b w:val="0"/>
                <w:i w:val="0"/>
                <w:color w:val="212121"/>
                <w:sz w:val="19"/>
              </w:rPr>
              <w:t>Denture wearers</w:t>
            </w:r>
          </w:p>
        </w:tc>
        <w:tc>
          <w:tcPr>
            <w:tcW w:type="dxa" w:w="1512"/>
            <w:vAlign w:val="top"/>
          </w:tcPr>
          <w:p>
            <w:pPr>
              <w:spacing w:after="40" w:before="0" w:line="259" w:lineRule="auto"/>
            </w:pPr>
            <w:r>
              <w:rPr>
                <w:rFonts w:ascii="Calibri" w:hAnsi="Calibri"/>
                <w:b w:val="0"/>
                <w:i w:val="0"/>
                <w:color w:val="212121"/>
                <w:sz w:val="19"/>
              </w:rPr>
              <w:t>Mechanical clean ≥ twice daily + overnight soak</w:t>
            </w:r>
          </w:p>
        </w:tc>
        <w:tc>
          <w:tcPr>
            <w:tcW w:type="dxa" w:w="1512"/>
            <w:vAlign w:val="top"/>
          </w:tcPr>
          <w:p>
            <w:pPr>
              <w:spacing w:after="40" w:before="0" w:line="259" w:lineRule="auto"/>
            </w:pPr>
            <w:r>
              <w:rPr>
                <w:rFonts w:ascii="Calibri" w:hAnsi="Calibri"/>
                <w:b w:val="0"/>
                <w:i w:val="0"/>
                <w:color w:val="212121"/>
                <w:sz w:val="19"/>
              </w:rPr>
              <w:t>Irregular / infrequent cleaning</w:t>
            </w:r>
          </w:p>
        </w:tc>
        <w:tc>
          <w:tcPr>
            <w:tcW w:type="dxa" w:w="1468"/>
            <w:vAlign w:val="top"/>
          </w:tcPr>
          <w:p>
            <w:pPr>
              <w:spacing w:after="40" w:before="0" w:line="259" w:lineRule="auto"/>
            </w:pPr>
            <w:r>
              <w:rPr>
                <w:rFonts w:ascii="Calibri" w:hAnsi="Calibri"/>
                <w:b w:val="0"/>
                <w:i w:val="0"/>
                <w:color w:val="212121"/>
                <w:sz w:val="19"/>
              </w:rPr>
              <w:t>Reduces the candidal biofilm reservoir on the fitting surface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Tooth-brushing frequency</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Twice daily with fluoride toothpaste</w:t>
            </w:r>
          </w:p>
        </w:tc>
        <w:tc>
          <w:tcPr>
            <w:tcW w:type="dxa" w:w="1512"/>
            <w:vAlign w:val="top"/>
          </w:tcPr>
          <w:p>
            <w:pPr>
              <w:spacing w:after="40" w:before="0" w:line="259" w:lineRule="auto"/>
            </w:pPr>
            <w:r>
              <w:rPr>
                <w:rFonts w:ascii="Calibri" w:hAnsi="Calibri"/>
                <w:b w:val="0"/>
                <w:i w:val="0"/>
                <w:color w:val="212121"/>
                <w:sz w:val="19"/>
              </w:rPr>
              <w:t>&lt; once daily / heavy plaque</w:t>
            </w:r>
          </w:p>
        </w:tc>
        <w:tc>
          <w:tcPr>
            <w:tcW w:type="dxa" w:w="1468"/>
            <w:vAlign w:val="top"/>
          </w:tcPr>
          <w:p>
            <w:pPr>
              <w:spacing w:after="40" w:before="0" w:line="259" w:lineRule="auto"/>
            </w:pPr>
            <w:r>
              <w:rPr>
                <w:rFonts w:ascii="Calibri" w:hAnsi="Calibri"/>
                <w:b w:val="0"/>
                <w:i w:val="0"/>
                <w:color w:val="212121"/>
                <w:sz w:val="19"/>
              </w:rPr>
              <w:t>Good plaque control lowers oral candidal load</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Inhaled corticosteroid technique</w:t>
            </w:r>
          </w:p>
        </w:tc>
        <w:tc>
          <w:tcPr>
            <w:tcW w:type="dxa" w:w="1655"/>
            <w:vAlign w:val="top"/>
          </w:tcPr>
          <w:p>
            <w:pPr>
              <w:spacing w:after="40" w:before="0" w:line="259" w:lineRule="auto"/>
            </w:pPr>
            <w:r>
              <w:rPr>
                <w:rFonts w:ascii="Calibri" w:hAnsi="Calibri"/>
                <w:b w:val="0"/>
                <w:i w:val="0"/>
                <w:color w:val="212121"/>
                <w:sz w:val="19"/>
              </w:rPr>
              <w:t>Asthma / COPD patients</w:t>
            </w:r>
          </w:p>
        </w:tc>
        <w:tc>
          <w:tcPr>
            <w:tcW w:type="dxa" w:w="1512"/>
            <w:vAlign w:val="top"/>
          </w:tcPr>
          <w:p>
            <w:pPr>
              <w:spacing w:after="40" w:before="0" w:line="259" w:lineRule="auto"/>
            </w:pPr>
            <w:r>
              <w:rPr>
                <w:rFonts w:ascii="Calibri" w:hAnsi="Calibri"/>
                <w:b w:val="0"/>
                <w:i w:val="0"/>
                <w:color w:val="212121"/>
                <w:sz w:val="19"/>
              </w:rPr>
              <w:t>Spacer + rinse and spit after every dose</w:t>
            </w:r>
          </w:p>
        </w:tc>
        <w:tc>
          <w:tcPr>
            <w:tcW w:type="dxa" w:w="1512"/>
            <w:vAlign w:val="top"/>
          </w:tcPr>
          <w:p>
            <w:pPr>
              <w:spacing w:after="40" w:before="0" w:line="259" w:lineRule="auto"/>
            </w:pPr>
            <w:r>
              <w:rPr>
                <w:rFonts w:ascii="Calibri" w:hAnsi="Calibri"/>
                <w:b w:val="0"/>
                <w:i w:val="0"/>
                <w:color w:val="212121"/>
                <w:sz w:val="19"/>
              </w:rPr>
              <w:t>High-dose ICS without rinsing</w:t>
            </w:r>
          </w:p>
        </w:tc>
        <w:tc>
          <w:tcPr>
            <w:tcW w:type="dxa" w:w="1468"/>
            <w:vAlign w:val="top"/>
          </w:tcPr>
          <w:p>
            <w:pPr>
              <w:spacing w:after="40" w:before="0" w:line="259" w:lineRule="auto"/>
            </w:pPr>
            <w:r>
              <w:rPr>
                <w:rFonts w:ascii="Calibri" w:hAnsi="Calibri"/>
                <w:b w:val="0"/>
                <w:i w:val="0"/>
                <w:color w:val="212121"/>
                <w:sz w:val="19"/>
              </w:rPr>
              <w:t>Mouth-rinsing and spacer use substantially cut oropharyngeal candidiasis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Added / refined sugar intake</w:t>
            </w:r>
          </w:p>
        </w:tc>
        <w:tc>
          <w:tcPr>
            <w:tcW w:type="dxa" w:w="1655"/>
            <w:vAlign w:val="top"/>
          </w:tcPr>
          <w:p>
            <w:pPr>
              <w:spacing w:after="40" w:before="0" w:line="259" w:lineRule="auto"/>
            </w:pPr>
            <w:r>
              <w:rPr>
                <w:rFonts w:ascii="Calibri" w:hAnsi="Calibri"/>
                <w:b w:val="0"/>
                <w:i w:val="0"/>
                <w:color w:val="212121"/>
                <w:sz w:val="19"/>
              </w:rPr>
              <w:t>Frequent sugar consumers</w:t>
            </w:r>
          </w:p>
        </w:tc>
        <w:tc>
          <w:tcPr>
            <w:tcW w:type="dxa" w:w="1512"/>
            <w:vAlign w:val="top"/>
          </w:tcPr>
          <w:p>
            <w:pPr>
              <w:spacing w:after="40" w:before="0" w:line="259" w:lineRule="auto"/>
            </w:pPr>
            <w:r>
              <w:rPr>
                <w:rFonts w:ascii="Calibri" w:hAnsi="Calibri"/>
                <w:b w:val="0"/>
                <w:i w:val="0"/>
                <w:color w:val="212121"/>
                <w:sz w:val="19"/>
              </w:rPr>
              <w:t>&lt; 10% of energy (ideally &lt; 5%, WHO)</w:t>
            </w:r>
          </w:p>
        </w:tc>
        <w:tc>
          <w:tcPr>
            <w:tcW w:type="dxa" w:w="1512"/>
            <w:vAlign w:val="top"/>
          </w:tcPr>
          <w:p>
            <w:pPr>
              <w:spacing w:after="40" w:before="0" w:line="259" w:lineRule="auto"/>
            </w:pPr>
            <w:r>
              <w:rPr>
                <w:rFonts w:ascii="Calibri" w:hAnsi="Calibri"/>
                <w:b w:val="0"/>
                <w:i w:val="0"/>
                <w:color w:val="212121"/>
                <w:sz w:val="19"/>
              </w:rPr>
              <w:t>Frequent sugary foods/drinks</w:t>
            </w:r>
          </w:p>
        </w:tc>
        <w:tc>
          <w:tcPr>
            <w:tcW w:type="dxa" w:w="1468"/>
            <w:vAlign w:val="top"/>
          </w:tcPr>
          <w:p>
            <w:pPr>
              <w:spacing w:after="40" w:before="0" w:line="259" w:lineRule="auto"/>
            </w:pPr>
            <w:r>
              <w:rPr>
                <w:rFonts w:ascii="Calibri" w:hAnsi="Calibri"/>
                <w:b w:val="0"/>
                <w:i w:val="0"/>
                <w:color w:val="212121"/>
                <w:sz w:val="19"/>
              </w:rPr>
              <w:t>Salivary glucose is a direct substrate for Candida</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Glycaemic control (HbA1c)</w:t>
            </w:r>
          </w:p>
        </w:tc>
        <w:tc>
          <w:tcPr>
            <w:tcW w:type="dxa" w:w="1655"/>
            <w:vAlign w:val="top"/>
          </w:tcPr>
          <w:p>
            <w:pPr>
              <w:spacing w:after="40" w:before="0" w:line="259" w:lineRule="auto"/>
            </w:pPr>
            <w:r>
              <w:rPr>
                <w:rFonts w:ascii="Calibri" w:hAnsi="Calibri"/>
                <w:b w:val="0"/>
                <w:i w:val="0"/>
                <w:color w:val="212121"/>
                <w:sz w:val="19"/>
              </w:rPr>
              <w:t>Diabetics</w:t>
            </w:r>
          </w:p>
        </w:tc>
        <w:tc>
          <w:tcPr>
            <w:tcW w:type="dxa" w:w="1512"/>
            <w:vAlign w:val="top"/>
          </w:tcPr>
          <w:p>
            <w:pPr>
              <w:spacing w:after="40" w:before="0" w:line="259" w:lineRule="auto"/>
            </w:pPr>
            <w:r>
              <w:rPr>
                <w:rFonts w:ascii="Calibri" w:hAnsi="Calibri"/>
                <w:b w:val="0"/>
                <w:i w:val="0"/>
                <w:color w:val="212121"/>
                <w:sz w:val="19"/>
              </w:rPr>
              <w:t>&lt; 7% (individualised)</w:t>
            </w:r>
          </w:p>
        </w:tc>
        <w:tc>
          <w:tcPr>
            <w:tcW w:type="dxa" w:w="1512"/>
            <w:vAlign w:val="top"/>
          </w:tcPr>
          <w:p>
            <w:pPr>
              <w:spacing w:after="40" w:before="0" w:line="259" w:lineRule="auto"/>
            </w:pPr>
            <w:r>
              <w:rPr>
                <w:rFonts w:ascii="Calibri" w:hAnsi="Calibri"/>
                <w:b w:val="0"/>
                <w:i w:val="0"/>
                <w:color w:val="212121"/>
                <w:sz w:val="19"/>
              </w:rPr>
              <w:t>≥ 7% (≥ 8% marked risk)</w:t>
            </w:r>
          </w:p>
        </w:tc>
        <w:tc>
          <w:tcPr>
            <w:tcW w:type="dxa" w:w="1468"/>
            <w:vAlign w:val="top"/>
          </w:tcPr>
          <w:p>
            <w:pPr>
              <w:spacing w:after="60" w:line="259" w:lineRule="auto"/>
            </w:pPr>
            <w:r>
              <w:rPr>
                <w:rFonts w:ascii="Calibri" w:hAnsi="Calibri"/>
                <w:b w:val="0"/>
                <w:i w:val="0"/>
                <w:color w:val="212121"/>
                <w:sz w:val="19"/>
              </w:rPr>
              <w:t>Higher HbA1c is associated with higher prevalence of oral candidiasis</w:t>
            </w:r>
          </w:p>
          <w:p>
            <w:pPr>
              <w:spacing w:after="40" w:line="252" w:lineRule="auto"/>
            </w:pPr>
            <w:hyperlink r:id="rId17">
              <w:r>
                <w:rPr>
                  <w:rFonts w:ascii="Calibri" w:hAnsi="Calibri" w:cs="Calibri"/>
                  <w:sz w:val="18"/>
                  <w:color w:val="1155CC"/>
                  <w:u w:val="single"/>
                </w:rPr>
                <w:t xml:space="preserve">https://pubmed.ncbi.nlm.nih.gov/35229766/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CD4 T-cell count</w:t>
            </w:r>
          </w:p>
        </w:tc>
        <w:tc>
          <w:tcPr>
            <w:tcW w:type="dxa" w:w="1655"/>
            <w:vAlign w:val="top"/>
          </w:tcPr>
          <w:p>
            <w:pPr>
              <w:spacing w:after="40" w:before="0" w:line="259" w:lineRule="auto"/>
            </w:pPr>
            <w:r>
              <w:rPr>
                <w:rFonts w:ascii="Calibri" w:hAnsi="Calibri"/>
                <w:b w:val="0"/>
                <w:i w:val="0"/>
                <w:color w:val="212121"/>
                <w:sz w:val="19"/>
              </w:rPr>
              <w:t>People living with HIV</w:t>
            </w:r>
          </w:p>
        </w:tc>
        <w:tc>
          <w:tcPr>
            <w:tcW w:type="dxa" w:w="1512"/>
            <w:vAlign w:val="top"/>
          </w:tcPr>
          <w:p>
            <w:pPr>
              <w:spacing w:after="40" w:before="0" w:line="259" w:lineRule="auto"/>
            </w:pPr>
            <w:r>
              <w:rPr>
                <w:rFonts w:ascii="Calibri" w:hAnsi="Calibri"/>
                <w:b w:val="0"/>
                <w:i w:val="0"/>
                <w:color w:val="212121"/>
                <w:sz w:val="19"/>
              </w:rPr>
              <w:t>&gt; 500 cells/µL</w:t>
            </w:r>
          </w:p>
        </w:tc>
        <w:tc>
          <w:tcPr>
            <w:tcW w:type="dxa" w:w="1512"/>
            <w:vAlign w:val="top"/>
          </w:tcPr>
          <w:p>
            <w:pPr>
              <w:spacing w:after="40" w:before="0" w:line="259" w:lineRule="auto"/>
            </w:pPr>
            <w:r>
              <w:rPr>
                <w:rFonts w:ascii="Calibri" w:hAnsi="Calibri"/>
                <w:b w:val="0"/>
                <w:i w:val="0"/>
                <w:color w:val="212121"/>
                <w:sz w:val="19"/>
              </w:rPr>
              <w:t>&lt; 200 cells/µL</w:t>
            </w:r>
          </w:p>
        </w:tc>
        <w:tc>
          <w:tcPr>
            <w:tcW w:type="dxa" w:w="1468"/>
            <w:vAlign w:val="top"/>
          </w:tcPr>
          <w:p>
            <w:pPr>
              <w:spacing w:after="60" w:line="259" w:lineRule="auto"/>
            </w:pPr>
            <w:r>
              <w:rPr>
                <w:rFonts w:ascii="Calibri" w:hAnsi="Calibri"/>
                <w:b w:val="0"/>
                <w:i w:val="0"/>
                <w:color w:val="212121"/>
                <w:sz w:val="19"/>
              </w:rPr>
              <w:t>Oral candidiasis signals advanced immunosuppression / onset of AIDS</w:t>
            </w:r>
          </w:p>
          <w:p>
            <w:pPr>
              <w:spacing w:after="40" w:line="252" w:lineRule="auto"/>
            </w:pPr>
            <w:hyperlink r:id="rId12">
              <w:r>
                <w:rPr>
                  <w:rFonts w:ascii="Calibri" w:hAnsi="Calibri" w:cs="Calibri"/>
                  <w:sz w:val="18"/>
                  <w:color w:val="1155CC"/>
                  <w:u w:val="single"/>
                </w:rPr>
                <w:t xml:space="preserve">https://pubmed.ncbi.nlm.nih.gov/30906728/</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Unstimulated salivary flow rate</w:t>
            </w:r>
          </w:p>
        </w:tc>
        <w:tc>
          <w:tcPr>
            <w:tcW w:type="dxa" w:w="1655"/>
            <w:vAlign w:val="top"/>
          </w:tcPr>
          <w:p>
            <w:pPr>
              <w:spacing w:after="40" w:before="0" w:line="259" w:lineRule="auto"/>
            </w:pPr>
            <w:r>
              <w:rPr>
                <w:rFonts w:ascii="Calibri" w:hAnsi="Calibri"/>
                <w:b w:val="0"/>
                <w:i w:val="0"/>
                <w:color w:val="212121"/>
                <w:sz w:val="19"/>
              </w:rPr>
              <w:t>Xerostomia / elderly / post-radiotherapy</w:t>
            </w:r>
          </w:p>
        </w:tc>
        <w:tc>
          <w:tcPr>
            <w:tcW w:type="dxa" w:w="1512"/>
            <w:vAlign w:val="top"/>
          </w:tcPr>
          <w:p>
            <w:pPr>
              <w:spacing w:after="40" w:before="0" w:line="259" w:lineRule="auto"/>
            </w:pPr>
            <w:r>
              <w:rPr>
                <w:rFonts w:ascii="Calibri" w:hAnsi="Calibri"/>
                <w:b w:val="0"/>
                <w:i w:val="0"/>
                <w:color w:val="212121"/>
                <w:sz w:val="19"/>
              </w:rPr>
              <w:t>&gt; 0.1 mL/min</w:t>
            </w:r>
          </w:p>
        </w:tc>
        <w:tc>
          <w:tcPr>
            <w:tcW w:type="dxa" w:w="1512"/>
            <w:vAlign w:val="top"/>
          </w:tcPr>
          <w:p>
            <w:pPr>
              <w:spacing w:after="40" w:before="0" w:line="259" w:lineRule="auto"/>
            </w:pPr>
            <w:r>
              <w:rPr>
                <w:rFonts w:ascii="Calibri" w:hAnsi="Calibri"/>
                <w:b w:val="0"/>
                <w:i w:val="0"/>
                <w:color w:val="212121"/>
                <w:sz w:val="19"/>
              </w:rPr>
              <w:t>≤ 0.1 mL/min (hyposalivation)</w:t>
            </w:r>
          </w:p>
        </w:tc>
        <w:tc>
          <w:tcPr>
            <w:tcW w:type="dxa" w:w="1468"/>
            <w:vAlign w:val="top"/>
          </w:tcPr>
          <w:p>
            <w:pPr>
              <w:spacing w:after="40" w:before="0" w:line="259" w:lineRule="auto"/>
            </w:pPr>
            <w:r>
              <w:rPr>
                <w:rFonts w:ascii="Calibri" w:hAnsi="Calibri"/>
                <w:b w:val="0"/>
                <w:i w:val="0"/>
                <w:color w:val="212121"/>
                <w:sz w:val="19"/>
              </w:rPr>
              <w:t>Dry mouth predisposes to Candida; hydrate and consider saliva substitutes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 areca-nut use</w:t>
            </w:r>
          </w:p>
        </w:tc>
        <w:tc>
          <w:tcPr>
            <w:tcW w:type="dxa" w:w="1655"/>
            <w:vAlign w:val="top"/>
          </w:tcPr>
          <w:p>
            <w:pPr>
              <w:spacing w:after="40" w:before="0" w:line="259" w:lineRule="auto"/>
            </w:pPr>
            <w:r>
              <w:rPr>
                <w:rFonts w:ascii="Calibri" w:hAnsi="Calibri"/>
                <w:b w:val="0"/>
                <w:i w:val="0"/>
                <w:color w:val="212121"/>
                <w:sz w:val="19"/>
              </w:rPr>
              <w:t>Smokers &amp; chewers</w:t>
            </w:r>
          </w:p>
        </w:tc>
        <w:tc>
          <w:tcPr>
            <w:tcW w:type="dxa" w:w="1512"/>
            <w:vAlign w:val="top"/>
          </w:tcPr>
          <w:p>
            <w:pPr>
              <w:spacing w:after="40" w:before="0" w:line="259" w:lineRule="auto"/>
            </w:pPr>
            <w:r>
              <w:rPr>
                <w:rFonts w:ascii="Calibri" w:hAnsi="Calibri"/>
                <w:b w:val="0"/>
                <w:i w:val="0"/>
                <w:color w:val="212121"/>
                <w:sz w:val="19"/>
              </w:rPr>
              <w:t>Nil</w:t>
            </w:r>
          </w:p>
        </w:tc>
        <w:tc>
          <w:tcPr>
            <w:tcW w:type="dxa" w:w="1512"/>
            <w:vAlign w:val="top"/>
          </w:tcPr>
          <w:p>
            <w:pPr>
              <w:spacing w:after="40" w:before="0" w:line="259" w:lineRule="auto"/>
            </w:pPr>
            <w:r>
              <w:rPr>
                <w:rFonts w:ascii="Calibri" w:hAnsi="Calibri"/>
                <w:b w:val="0"/>
                <w:i w:val="0"/>
                <w:color w:val="212121"/>
                <w:sz w:val="19"/>
              </w:rPr>
              <w:t>Any smoking, smokeless tobacco or areca-nut use</w:t>
            </w:r>
          </w:p>
        </w:tc>
        <w:tc>
          <w:tcPr>
            <w:tcW w:type="dxa" w:w="1468"/>
            <w:vAlign w:val="top"/>
          </w:tcPr>
          <w:p>
            <w:pPr>
              <w:spacing w:after="60" w:line="259" w:lineRule="auto"/>
            </w:pPr>
            <w:r>
              <w:rPr>
                <w:rFonts w:ascii="Calibri" w:hAnsi="Calibri"/>
                <w:b w:val="0"/>
                <w:i w:val="0"/>
                <w:color w:val="212121"/>
                <w:sz w:val="19"/>
              </w:rPr>
              <w:t>Raises candidal carriage, non-albicans species and OSMF risk</w:t>
            </w:r>
          </w:p>
          <w:p>
            <w:pPr>
              <w:spacing w:after="40" w:line="252" w:lineRule="auto"/>
            </w:pPr>
            <w:hyperlink r:id="rId13">
              <w:r>
                <w:rPr>
                  <w:rFonts w:ascii="Calibri" w:hAnsi="Calibri" w:cs="Calibri"/>
                  <w:sz w:val="18"/>
                  <w:color w:val="1155CC"/>
                  <w:u w:val="single"/>
                </w:rPr>
                <w:t xml:space="preserve">https://pubmed.ncbi.nlm.nih.gov/9715634/</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ferritin / vitamin B12 / folate</w:t>
            </w:r>
          </w:p>
        </w:tc>
        <w:tc>
          <w:tcPr>
            <w:tcW w:type="dxa" w:w="1655"/>
            <w:vAlign w:val="top"/>
          </w:tcPr>
          <w:p>
            <w:pPr>
              <w:spacing w:after="40" w:before="0" w:line="259" w:lineRule="auto"/>
            </w:pPr>
            <w:r>
              <w:rPr>
                <w:rFonts w:ascii="Calibri" w:hAnsi="Calibri"/>
                <w:b w:val="0"/>
                <w:i w:val="0"/>
                <w:color w:val="212121"/>
                <w:sz w:val="19"/>
              </w:rPr>
              <w:t>Angular cheilitis &amp; atrophic glossitis</w:t>
            </w:r>
          </w:p>
        </w:tc>
        <w:tc>
          <w:tcPr>
            <w:tcW w:type="dxa" w:w="1512"/>
            <w:vAlign w:val="top"/>
          </w:tcPr>
          <w:p>
            <w:pPr>
              <w:spacing w:after="40" w:before="0" w:line="259" w:lineRule="auto"/>
            </w:pPr>
            <w:r>
              <w:rPr>
                <w:rFonts w:ascii="Calibri" w:hAnsi="Calibri"/>
                <w:b w:val="0"/>
                <w:i w:val="0"/>
                <w:color w:val="212121"/>
                <w:sz w:val="19"/>
              </w:rPr>
              <w:t>Within laboratory reference range</w:t>
            </w:r>
          </w:p>
        </w:tc>
        <w:tc>
          <w:tcPr>
            <w:tcW w:type="dxa" w:w="1512"/>
            <w:vAlign w:val="top"/>
          </w:tcPr>
          <w:p>
            <w:pPr>
              <w:spacing w:after="40" w:before="0" w:line="259" w:lineRule="auto"/>
            </w:pPr>
            <w:r>
              <w:rPr>
                <w:rFonts w:ascii="Calibri" w:hAnsi="Calibri"/>
                <w:b w:val="0"/>
                <w:i w:val="0"/>
                <w:color w:val="212121"/>
                <w:sz w:val="19"/>
              </w:rPr>
              <w:t>Below reference range</w:t>
            </w:r>
          </w:p>
        </w:tc>
        <w:tc>
          <w:tcPr>
            <w:tcW w:type="dxa" w:w="1468"/>
            <w:vAlign w:val="top"/>
          </w:tcPr>
          <w:p>
            <w:pPr>
              <w:spacing w:after="40" w:before="0" w:line="259" w:lineRule="auto"/>
            </w:pPr>
            <w:r>
              <w:rPr>
                <w:rFonts w:ascii="Calibri" w:hAnsi="Calibri"/>
                <w:b w:val="0"/>
                <w:i w:val="0"/>
                <w:color w:val="212121"/>
                <w:sz w:val="19"/>
              </w:rPr>
              <w:t>Deficiency causes atrophic mucosa and recurrent angular cheilitis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Budding yeasts &amp; pseudohyphae</w:t>
            </w:r>
          </w:p>
        </w:tc>
        <w:tc>
          <w:tcPr>
            <w:tcW w:type="dxa" w:w="892"/>
            <w:vAlign w:val="top"/>
          </w:tcPr>
          <w:p>
            <w:pPr>
              <w:spacing w:after="40" w:before="0" w:line="259" w:lineRule="auto"/>
            </w:pPr>
            <w:r>
              <w:rPr>
                <w:rFonts w:ascii="Calibri" w:hAnsi="Calibri"/>
                <w:b w:val="0"/>
                <w:i w:val="0"/>
                <w:color w:val="212121"/>
                <w:sz w:val="16"/>
              </w:rPr>
              <w:t>Direct microscopy (KOH mount / Gram stain)</w:t>
            </w:r>
          </w:p>
        </w:tc>
        <w:tc>
          <w:tcPr>
            <w:tcW w:type="dxa" w:w="950"/>
            <w:vAlign w:val="top"/>
          </w:tcPr>
          <w:p>
            <w:pPr>
              <w:spacing w:after="40" w:before="0" w:line="259" w:lineRule="auto"/>
            </w:pPr>
            <w:r>
              <w:rPr>
                <w:rFonts w:ascii="Calibri" w:hAnsi="Calibri"/>
                <w:b w:val="0"/>
                <w:i w:val="0"/>
                <w:color w:val="212121"/>
                <w:sz w:val="16"/>
              </w:rPr>
              <w:t>No hyphae; scant yeast only</w:t>
            </w:r>
          </w:p>
        </w:tc>
        <w:tc>
          <w:tcPr>
            <w:tcW w:type="dxa" w:w="950"/>
            <w:vAlign w:val="top"/>
          </w:tcPr>
          <w:p>
            <w:pPr>
              <w:spacing w:after="40" w:before="0" w:line="259" w:lineRule="auto"/>
            </w:pPr>
            <w:r>
              <w:rPr>
                <w:rFonts w:ascii="Calibri" w:hAnsi="Calibri"/>
                <w:b w:val="0"/>
                <w:i w:val="0"/>
                <w:color w:val="212121"/>
                <w:sz w:val="16"/>
              </w:rPr>
              <w:t>Budding yeasts with pseudohyphae</w:t>
            </w:r>
          </w:p>
        </w:tc>
        <w:tc>
          <w:tcPr>
            <w:tcW w:type="dxa" w:w="1036"/>
            <w:vAlign w:val="top"/>
          </w:tcPr>
          <w:p>
            <w:pPr>
              <w:spacing w:after="40" w:before="0" w:line="259" w:lineRule="auto"/>
            </w:pPr>
            <w:r>
              <w:rPr>
                <w:rFonts w:ascii="Calibri" w:hAnsi="Calibri"/>
                <w:b w:val="0"/>
                <w:i w:val="0"/>
                <w:color w:val="212121"/>
                <w:sz w:val="16"/>
              </w:rPr>
              <w:t>Confirms candidal infection and distinguishes it from harmless commensal carriage</w:t>
            </w:r>
          </w:p>
        </w:tc>
        <w:tc>
          <w:tcPr>
            <w:tcW w:type="dxa" w:w="1036"/>
            <w:vAlign w:val="top"/>
          </w:tcPr>
          <w:p>
            <w:pPr>
              <w:spacing w:after="40" w:before="0" w:line="259" w:lineRule="auto"/>
            </w:pPr>
            <w:r>
              <w:rPr>
                <w:rFonts w:ascii="Calibri" w:hAnsi="Calibri"/>
                <w:b w:val="0"/>
                <w:i w:val="0"/>
                <w:color w:val="212121"/>
                <w:sz w:val="16"/>
              </w:rPr>
              <w:t>Symptomatic patients, denture wearers, immunocompromised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First-line, rapid</w:t>
            </w:r>
          </w:p>
        </w:tc>
        <w:tc>
          <w:tcPr>
            <w:tcW w:type="dxa" w:w="720"/>
            <w:vAlign w:val="top"/>
          </w:tcPr>
          <w:p>
            <w:pPr>
              <w:spacing w:after="40" w:before="0" w:line="259" w:lineRule="auto"/>
            </w:pPr>
            <w:r>
              <w:rPr>
                <w:rFonts w:ascii="Calibri" w:hAnsi="Calibri"/>
                <w:b w:val="0"/>
                <w:i w:val="0"/>
                <w:color w:val="212121"/>
                <w:sz w:val="16"/>
              </w:rPr>
              <w:t>Bedside, inexpensive smear of the lesion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Colony count &amp; species</w:t>
            </w:r>
          </w:p>
        </w:tc>
        <w:tc>
          <w:tcPr>
            <w:tcW w:type="dxa" w:w="892"/>
            <w:vAlign w:val="top"/>
          </w:tcPr>
          <w:p>
            <w:pPr>
              <w:spacing w:after="40" w:before="0" w:line="259" w:lineRule="auto"/>
            </w:pPr>
            <w:r>
              <w:rPr>
                <w:rFonts w:ascii="Calibri" w:hAnsi="Calibri"/>
                <w:b w:val="0"/>
                <w:i w:val="0"/>
                <w:color w:val="212121"/>
                <w:sz w:val="16"/>
              </w:rPr>
              <w:t>Fungal culture (Sabouraud agar) + speciation</w:t>
            </w:r>
          </w:p>
        </w:tc>
        <w:tc>
          <w:tcPr>
            <w:tcW w:type="dxa" w:w="950"/>
            <w:vAlign w:val="top"/>
          </w:tcPr>
          <w:p>
            <w:pPr>
              <w:spacing w:after="40" w:before="0" w:line="259" w:lineRule="auto"/>
            </w:pPr>
            <w:r>
              <w:rPr>
                <w:rFonts w:ascii="Calibri" w:hAnsi="Calibri"/>
                <w:b w:val="0"/>
                <w:i w:val="0"/>
                <w:color w:val="212121"/>
                <w:sz w:val="16"/>
              </w:rPr>
              <w:t>No growth / low CFU</w:t>
            </w:r>
          </w:p>
        </w:tc>
        <w:tc>
          <w:tcPr>
            <w:tcW w:type="dxa" w:w="950"/>
            <w:vAlign w:val="top"/>
          </w:tcPr>
          <w:p>
            <w:pPr>
              <w:spacing w:after="40" w:before="0" w:line="259" w:lineRule="auto"/>
            </w:pPr>
            <w:r>
              <w:rPr>
                <w:rFonts w:ascii="Calibri" w:hAnsi="Calibri"/>
                <w:b w:val="0"/>
                <w:i w:val="0"/>
                <w:color w:val="212121"/>
                <w:sz w:val="16"/>
              </w:rPr>
              <w:t>Heavy growth / high CFU</w:t>
            </w:r>
          </w:p>
        </w:tc>
        <w:tc>
          <w:tcPr>
            <w:tcW w:type="dxa" w:w="1036"/>
            <w:vAlign w:val="top"/>
          </w:tcPr>
          <w:p>
            <w:pPr>
              <w:spacing w:after="40" w:before="0" w:line="259" w:lineRule="auto"/>
            </w:pPr>
            <w:r>
              <w:rPr>
                <w:rFonts w:ascii="Calibri" w:hAnsi="Calibri"/>
                <w:b w:val="0"/>
                <w:i w:val="0"/>
                <w:color w:val="212121"/>
                <w:sz w:val="16"/>
              </w:rPr>
              <w:t>Quantifies fungal load and identifies non-albicans or azole-resistant species</w:t>
            </w:r>
          </w:p>
        </w:tc>
        <w:tc>
          <w:tcPr>
            <w:tcW w:type="dxa" w:w="1036"/>
            <w:vAlign w:val="top"/>
          </w:tcPr>
          <w:p>
            <w:pPr>
              <w:spacing w:after="40" w:before="0" w:line="259" w:lineRule="auto"/>
            </w:pPr>
            <w:r>
              <w:rPr>
                <w:rFonts w:ascii="Calibri" w:hAnsi="Calibri"/>
                <w:b w:val="0"/>
                <w:i w:val="0"/>
                <w:color w:val="212121"/>
                <w:sz w:val="16"/>
              </w:rPr>
              <w:t>Recurrent, refractory or immunocompromised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guides therapy</w:t>
            </w:r>
          </w:p>
        </w:tc>
        <w:tc>
          <w:tcPr>
            <w:tcW w:type="dxa" w:w="720"/>
            <w:vAlign w:val="top"/>
          </w:tcPr>
          <w:p>
            <w:pPr>
              <w:spacing w:after="40" w:before="0" w:line="259" w:lineRule="auto"/>
            </w:pPr>
            <w:r>
              <w:rPr>
                <w:rFonts w:ascii="Calibri" w:hAnsi="Calibri"/>
                <w:b w:val="0"/>
                <w:i w:val="0"/>
                <w:color w:val="212121"/>
                <w:sz w:val="16"/>
              </w:rPr>
              <w:t>CHROMagar speciation; add susceptibility testing if refractory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Hyphal invasion / dysplasia</w:t>
            </w:r>
          </w:p>
        </w:tc>
        <w:tc>
          <w:tcPr>
            <w:tcW w:type="dxa" w:w="892"/>
            <w:vAlign w:val="top"/>
          </w:tcPr>
          <w:p>
            <w:pPr>
              <w:spacing w:after="40" w:before="0" w:line="259" w:lineRule="auto"/>
            </w:pPr>
            <w:r>
              <w:rPr>
                <w:rFonts w:ascii="Calibri" w:hAnsi="Calibri"/>
                <w:b w:val="0"/>
                <w:i w:val="0"/>
                <w:color w:val="212121"/>
                <w:sz w:val="16"/>
              </w:rPr>
              <w:t>Biopsy with PAS stain</w:t>
            </w:r>
          </w:p>
        </w:tc>
        <w:tc>
          <w:tcPr>
            <w:tcW w:type="dxa" w:w="950"/>
            <w:vAlign w:val="top"/>
          </w:tcPr>
          <w:p>
            <w:pPr>
              <w:spacing w:after="40" w:before="0" w:line="259" w:lineRule="auto"/>
            </w:pPr>
            <w:r>
              <w:rPr>
                <w:rFonts w:ascii="Calibri" w:hAnsi="Calibri"/>
                <w:b w:val="0"/>
                <w:i w:val="0"/>
                <w:color w:val="212121"/>
                <w:sz w:val="16"/>
              </w:rPr>
              <w:t>No hyphal invasion, no dysplasia</w:t>
            </w:r>
          </w:p>
        </w:tc>
        <w:tc>
          <w:tcPr>
            <w:tcW w:type="dxa" w:w="950"/>
            <w:vAlign w:val="top"/>
          </w:tcPr>
          <w:p>
            <w:pPr>
              <w:spacing w:after="40" w:before="0" w:line="259" w:lineRule="auto"/>
            </w:pPr>
            <w:r>
              <w:rPr>
                <w:rFonts w:ascii="Calibri" w:hAnsi="Calibri"/>
                <w:b w:val="0"/>
                <w:i w:val="0"/>
                <w:color w:val="212121"/>
                <w:sz w:val="16"/>
              </w:rPr>
              <w:t>Hyphae invading epithelium ± dysplasia</w:t>
            </w:r>
          </w:p>
        </w:tc>
        <w:tc>
          <w:tcPr>
            <w:tcW w:type="dxa" w:w="1036"/>
            <w:vAlign w:val="top"/>
          </w:tcPr>
          <w:p>
            <w:pPr>
              <w:spacing w:after="40" w:before="0" w:line="259" w:lineRule="auto"/>
            </w:pPr>
            <w:r>
              <w:rPr>
                <w:rFonts w:ascii="Calibri" w:hAnsi="Calibri"/>
                <w:b w:val="0"/>
                <w:i w:val="0"/>
                <w:color w:val="212121"/>
                <w:sz w:val="16"/>
              </w:rPr>
              <w:t>Confirms chronic hyperplastic candidiasis and excludes malignancy</w:t>
            </w:r>
          </w:p>
        </w:tc>
        <w:tc>
          <w:tcPr>
            <w:tcW w:type="dxa" w:w="1036"/>
            <w:vAlign w:val="top"/>
          </w:tcPr>
          <w:p>
            <w:pPr>
              <w:spacing w:after="40" w:before="0" w:line="259" w:lineRule="auto"/>
            </w:pPr>
            <w:r>
              <w:rPr>
                <w:rFonts w:ascii="Calibri" w:hAnsi="Calibri"/>
                <w:b w:val="0"/>
                <w:i w:val="0"/>
                <w:color w:val="212121"/>
                <w:sz w:val="16"/>
              </w:rPr>
              <w:t>Adherent (non-wiping) white plaques, chronic hyperplastic lesions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Essential for non-wiping lesions</w:t>
            </w:r>
          </w:p>
        </w:tc>
        <w:tc>
          <w:tcPr>
            <w:tcW w:type="dxa" w:w="720"/>
            <w:vAlign w:val="top"/>
          </w:tcPr>
          <w:p>
            <w:pPr>
              <w:spacing w:after="40" w:before="0" w:line="259" w:lineRule="auto"/>
            </w:pPr>
            <w:r>
              <w:rPr>
                <w:rFonts w:ascii="Calibri" w:hAnsi="Calibri"/>
                <w:b w:val="0"/>
                <w:i w:val="0"/>
                <w:color w:val="212121"/>
                <w:sz w:val="16"/>
              </w:rPr>
              <w:t>These lesions carry premalignant potential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Blood glucose testing</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mg/dL; HbA1c ≥ 6.5%</w:t>
            </w:r>
          </w:p>
        </w:tc>
        <w:tc>
          <w:tcPr>
            <w:tcW w:type="dxa" w:w="1036"/>
            <w:vAlign w:val="top"/>
          </w:tcPr>
          <w:p>
            <w:pPr>
              <w:spacing w:after="40" w:before="0" w:line="259" w:lineRule="auto"/>
            </w:pPr>
            <w:r>
              <w:rPr>
                <w:rFonts w:ascii="Calibri" w:hAnsi="Calibri"/>
                <w:b w:val="0"/>
                <w:i w:val="0"/>
                <w:color w:val="212121"/>
                <w:sz w:val="16"/>
              </w:rPr>
              <w:t>Detects underlying or poorly controlled diabetes driving infection</w:t>
            </w:r>
          </w:p>
        </w:tc>
        <w:tc>
          <w:tcPr>
            <w:tcW w:type="dxa" w:w="1036"/>
            <w:vAlign w:val="top"/>
          </w:tcPr>
          <w:p>
            <w:pPr>
              <w:spacing w:after="40" w:before="0" w:line="259" w:lineRule="auto"/>
            </w:pPr>
            <w:r>
              <w:rPr>
                <w:rFonts w:ascii="Calibri" w:hAnsi="Calibri"/>
                <w:b w:val="0"/>
                <w:i w:val="0"/>
                <w:color w:val="212121"/>
                <w:sz w:val="16"/>
              </w:rPr>
              <w:t>Recurrent oral candidiasis,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Screens underlying cause</w:t>
            </w:r>
          </w:p>
        </w:tc>
        <w:tc>
          <w:tcPr>
            <w:tcW w:type="dxa" w:w="720"/>
            <w:vAlign w:val="top"/>
          </w:tcPr>
          <w:p>
            <w:pPr>
              <w:spacing w:after="40" w:before="0" w:line="259" w:lineRule="auto"/>
            </w:pPr>
            <w:r>
              <w:rPr>
                <w:rFonts w:ascii="Calibri" w:hAnsi="Calibri"/>
                <w:b w:val="0"/>
                <w:i w:val="0"/>
                <w:color w:val="212121"/>
                <w:sz w:val="16"/>
              </w:rPr>
              <w:t>Recurrent candidiasis may be the first clue to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HIV serology &amp; CD4 count</w:t>
            </w:r>
          </w:p>
        </w:tc>
        <w:tc>
          <w:tcPr>
            <w:tcW w:type="dxa" w:w="892"/>
            <w:vAlign w:val="top"/>
          </w:tcPr>
          <w:p>
            <w:pPr>
              <w:spacing w:after="40" w:before="0" w:line="259" w:lineRule="auto"/>
            </w:pPr>
            <w:r>
              <w:rPr>
                <w:rFonts w:ascii="Calibri" w:hAnsi="Calibri"/>
                <w:b w:val="0"/>
                <w:i w:val="0"/>
                <w:color w:val="212121"/>
                <w:sz w:val="16"/>
              </w:rPr>
              <w:t>HIV test with CD4 enumeration</w:t>
            </w:r>
          </w:p>
        </w:tc>
        <w:tc>
          <w:tcPr>
            <w:tcW w:type="dxa" w:w="950"/>
            <w:vAlign w:val="top"/>
          </w:tcPr>
          <w:p>
            <w:pPr>
              <w:spacing w:after="40" w:before="0" w:line="259" w:lineRule="auto"/>
            </w:pPr>
            <w:r>
              <w:rPr>
                <w:rFonts w:ascii="Calibri" w:hAnsi="Calibri"/>
                <w:b w:val="0"/>
                <w:i w:val="0"/>
                <w:color w:val="212121"/>
                <w:sz w:val="16"/>
              </w:rPr>
              <w:t>HIV non-reactive; CD4 &gt; 500 cells/µL</w:t>
            </w:r>
          </w:p>
        </w:tc>
        <w:tc>
          <w:tcPr>
            <w:tcW w:type="dxa" w:w="950"/>
            <w:vAlign w:val="top"/>
          </w:tcPr>
          <w:p>
            <w:pPr>
              <w:spacing w:after="40" w:before="0" w:line="259" w:lineRule="auto"/>
            </w:pPr>
            <w:r>
              <w:rPr>
                <w:rFonts w:ascii="Calibri" w:hAnsi="Calibri"/>
                <w:b w:val="0"/>
                <w:i w:val="0"/>
                <w:color w:val="212121"/>
                <w:sz w:val="16"/>
              </w:rPr>
              <w:t>HIV reactive; CD4 &lt; 200 cells/µL</w:t>
            </w:r>
          </w:p>
        </w:tc>
        <w:tc>
          <w:tcPr>
            <w:tcW w:type="dxa" w:w="1036"/>
            <w:vAlign w:val="top"/>
          </w:tcPr>
          <w:p>
            <w:pPr>
              <w:spacing w:after="40" w:before="0" w:line="259" w:lineRule="auto"/>
            </w:pPr>
            <w:r>
              <w:rPr>
                <w:rFonts w:ascii="Calibri" w:hAnsi="Calibri"/>
                <w:b w:val="0"/>
                <w:i w:val="0"/>
                <w:color w:val="212121"/>
                <w:sz w:val="16"/>
              </w:rPr>
              <w:t>Oral candidiasis may be an AIDS-defining marker of immune decline</w:t>
            </w:r>
          </w:p>
        </w:tc>
        <w:tc>
          <w:tcPr>
            <w:tcW w:type="dxa" w:w="1036"/>
            <w:vAlign w:val="top"/>
          </w:tcPr>
          <w:p>
            <w:pPr>
              <w:spacing w:after="40" w:before="0" w:line="259" w:lineRule="auto"/>
            </w:pPr>
            <w:r>
              <w:rPr>
                <w:rFonts w:ascii="Calibri" w:hAnsi="Calibri"/>
                <w:b w:val="0"/>
                <w:i w:val="0"/>
                <w:color w:val="212121"/>
                <w:sz w:val="16"/>
              </w:rPr>
              <w:t>Unexplained or recurrent candidiasis, at-risk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when unexplained</w:t>
            </w:r>
          </w:p>
        </w:tc>
        <w:tc>
          <w:tcPr>
            <w:tcW w:type="dxa" w:w="720"/>
            <w:vAlign w:val="top"/>
          </w:tcPr>
          <w:p>
            <w:pPr>
              <w:spacing w:after="40" w:before="0" w:line="259" w:lineRule="auto"/>
            </w:pPr>
            <w:r>
              <w:rPr>
                <w:rFonts w:ascii="Calibri" w:hAnsi="Calibri"/>
                <w:b w:val="0"/>
                <w:i w:val="0"/>
                <w:color w:val="212121"/>
                <w:sz w:val="16"/>
              </w:rPr>
              <w:t>Oral candidiasis is often the first manifestation of HIV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&amp; Biochemistry</w:t>
            </w:r>
          </w:p>
        </w:tc>
        <w:tc>
          <w:tcPr>
            <w:tcW w:type="dxa" w:w="1036"/>
            <w:vAlign w:val="top"/>
          </w:tcPr>
          <w:p>
            <w:pPr>
              <w:spacing w:after="40" w:before="0" w:line="259" w:lineRule="auto"/>
            </w:pPr>
            <w:r>
              <w:rPr>
                <w:rFonts w:ascii="Calibri" w:hAnsi="Calibri"/>
                <w:b w:val="0"/>
                <w:i w:val="0"/>
                <w:color w:val="212121"/>
                <w:sz w:val="16"/>
              </w:rPr>
              <w:t>Ferritin, B12, folate, CBC</w:t>
            </w:r>
          </w:p>
        </w:tc>
        <w:tc>
          <w:tcPr>
            <w:tcW w:type="dxa" w:w="892"/>
            <w:vAlign w:val="top"/>
          </w:tcPr>
          <w:p>
            <w:pPr>
              <w:spacing w:after="40" w:before="0" w:line="259" w:lineRule="auto"/>
            </w:pPr>
            <w:r>
              <w:rPr>
                <w:rFonts w:ascii="Calibri" w:hAnsi="Calibri"/>
                <w:b w:val="0"/>
                <w:i w:val="0"/>
                <w:color w:val="212121"/>
                <w:sz w:val="16"/>
              </w:rPr>
              <w:t>Nutritional / anaemia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Low iron/B12/folate; anaemia</w:t>
            </w:r>
          </w:p>
        </w:tc>
        <w:tc>
          <w:tcPr>
            <w:tcW w:type="dxa" w:w="1036"/>
            <w:vAlign w:val="top"/>
          </w:tcPr>
          <w:p>
            <w:pPr>
              <w:spacing w:after="40" w:before="0" w:line="259" w:lineRule="auto"/>
            </w:pPr>
            <w:r>
              <w:rPr>
                <w:rFonts w:ascii="Calibri" w:hAnsi="Calibri"/>
                <w:b w:val="0"/>
                <w:i w:val="0"/>
                <w:color w:val="212121"/>
                <w:sz w:val="16"/>
              </w:rPr>
              <w:t>Reveals nutritional deficiency underlying angular cheilitis and atrophic candidiasis</w:t>
            </w:r>
          </w:p>
        </w:tc>
        <w:tc>
          <w:tcPr>
            <w:tcW w:type="dxa" w:w="1036"/>
            <w:vAlign w:val="top"/>
          </w:tcPr>
          <w:p>
            <w:pPr>
              <w:spacing w:after="40" w:before="0" w:line="259" w:lineRule="auto"/>
            </w:pPr>
            <w:r>
              <w:rPr>
                <w:rFonts w:ascii="Calibri" w:hAnsi="Calibri"/>
                <w:b w:val="0"/>
                <w:i w:val="0"/>
                <w:color w:val="212121"/>
                <w:sz w:val="16"/>
              </w:rPr>
              <w:t>Angular cheilitis, atrophic glossitis,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Identifies reversible cause</w:t>
            </w:r>
          </w:p>
        </w:tc>
        <w:tc>
          <w:tcPr>
            <w:tcW w:type="dxa" w:w="720"/>
            <w:vAlign w:val="top"/>
          </w:tcPr>
          <w:p>
            <w:pPr>
              <w:spacing w:after="40" w:before="0" w:line="259" w:lineRule="auto"/>
            </w:pPr>
            <w:r>
              <w:rPr>
                <w:rFonts w:ascii="Calibri" w:hAnsi="Calibri"/>
                <w:b w:val="0"/>
                <w:i w:val="0"/>
                <w:color w:val="212121"/>
                <w:sz w:val="16"/>
              </w:rPr>
              <w:t>Correcting the deficiency is often needed to achieve cure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Sialometry</w:t>
            </w:r>
          </w:p>
        </w:tc>
        <w:tc>
          <w:tcPr>
            <w:tcW w:type="dxa" w:w="1036"/>
            <w:vAlign w:val="top"/>
          </w:tcPr>
          <w:p>
            <w:pPr>
              <w:spacing w:after="40" w:before="0" w:line="259" w:lineRule="auto"/>
            </w:pPr>
            <w:r>
              <w:rPr>
                <w:rFonts w:ascii="Calibri" w:hAnsi="Calibri"/>
                <w:b w:val="0"/>
                <w:i w:val="0"/>
                <w:color w:val="212121"/>
                <w:sz w:val="16"/>
              </w:rPr>
              <w:t>Unstimulated salivary flow</w:t>
            </w:r>
          </w:p>
        </w:tc>
        <w:tc>
          <w:tcPr>
            <w:tcW w:type="dxa" w:w="892"/>
            <w:vAlign w:val="top"/>
          </w:tcPr>
          <w:p>
            <w:pPr>
              <w:spacing w:after="40" w:before="0" w:line="259" w:lineRule="auto"/>
            </w:pPr>
            <w:r>
              <w:rPr>
                <w:rFonts w:ascii="Calibri" w:hAnsi="Calibri"/>
                <w:b w:val="0"/>
                <w:i w:val="0"/>
                <w:color w:val="212121"/>
                <w:sz w:val="16"/>
              </w:rPr>
              <w:t>Salivary flow measurement</w:t>
            </w:r>
          </w:p>
        </w:tc>
        <w:tc>
          <w:tcPr>
            <w:tcW w:type="dxa" w:w="950"/>
            <w:vAlign w:val="top"/>
          </w:tcPr>
          <w:p>
            <w:pPr>
              <w:spacing w:after="40" w:before="0" w:line="259" w:lineRule="auto"/>
            </w:pPr>
            <w:r>
              <w:rPr>
                <w:rFonts w:ascii="Calibri" w:hAnsi="Calibri"/>
                <w:b w:val="0"/>
                <w:i w:val="0"/>
                <w:color w:val="212121"/>
                <w:sz w:val="16"/>
              </w:rPr>
              <w:t>&gt; 0.1 mL/min</w:t>
            </w:r>
          </w:p>
        </w:tc>
        <w:tc>
          <w:tcPr>
            <w:tcW w:type="dxa" w:w="950"/>
            <w:vAlign w:val="top"/>
          </w:tcPr>
          <w:p>
            <w:pPr>
              <w:spacing w:after="40" w:before="0" w:line="259" w:lineRule="auto"/>
            </w:pPr>
            <w:r>
              <w:rPr>
                <w:rFonts w:ascii="Calibri" w:hAnsi="Calibri"/>
                <w:b w:val="0"/>
                <w:i w:val="0"/>
                <w:color w:val="212121"/>
                <w:sz w:val="16"/>
              </w:rPr>
              <w:t>≤ 0.1 mL/min</w:t>
            </w:r>
          </w:p>
        </w:tc>
        <w:tc>
          <w:tcPr>
            <w:tcW w:type="dxa" w:w="1036"/>
            <w:vAlign w:val="top"/>
          </w:tcPr>
          <w:p>
            <w:pPr>
              <w:spacing w:after="40" w:before="0" w:line="259" w:lineRule="auto"/>
            </w:pPr>
            <w:r>
              <w:rPr>
                <w:rFonts w:ascii="Calibri" w:hAnsi="Calibri"/>
                <w:b w:val="0"/>
                <w:i w:val="0"/>
                <w:color w:val="212121"/>
                <w:sz w:val="16"/>
              </w:rPr>
              <w:t>Confirms hyposalivation predisposing to candidiasis</w:t>
            </w:r>
          </w:p>
        </w:tc>
        <w:tc>
          <w:tcPr>
            <w:tcW w:type="dxa" w:w="1036"/>
            <w:vAlign w:val="top"/>
          </w:tcPr>
          <w:p>
            <w:pPr>
              <w:spacing w:after="40" w:before="0" w:line="259" w:lineRule="auto"/>
            </w:pPr>
            <w:r>
              <w:rPr>
                <w:rFonts w:ascii="Calibri" w:hAnsi="Calibri"/>
                <w:b w:val="0"/>
                <w:i w:val="0"/>
                <w:color w:val="212121"/>
                <w:sz w:val="16"/>
              </w:rPr>
              <w:t>Sjögren’s, post-radiotherapy, polypharmacy elderly</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Identifies xerostomia</w:t>
            </w:r>
          </w:p>
        </w:tc>
        <w:tc>
          <w:tcPr>
            <w:tcW w:type="dxa" w:w="720"/>
            <w:vAlign w:val="top"/>
          </w:tcPr>
          <w:p>
            <w:pPr>
              <w:spacing w:after="40" w:before="0" w:line="259" w:lineRule="auto"/>
            </w:pPr>
            <w:r>
              <w:rPr>
                <w:rFonts w:ascii="Calibri" w:hAnsi="Calibri"/>
                <w:b w:val="0"/>
                <w:i w:val="0"/>
                <w:color w:val="212121"/>
                <w:sz w:val="16"/>
              </w:rPr>
              <w:t>Prompts drug review and saliva substitutes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Sore/burning mouth, white patches, taste change, dysphagia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Symptomatic candidiasis; dysphagia flags oropharyngeal/oesophageal spread</w:t>
            </w:r>
          </w:p>
        </w:tc>
        <w:tc>
          <w:tcPr>
            <w:tcW w:type="dxa" w:w="1036"/>
            <w:vAlign w:val="top"/>
          </w:tcPr>
          <w:p>
            <w:pPr>
              <w:spacing w:after="40" w:before="0" w:line="259" w:lineRule="auto"/>
            </w:pPr>
            <w:r>
              <w:rPr>
                <w:rFonts w:ascii="Calibri" w:hAnsi="Calibri"/>
                <w:b w:val="0"/>
                <w:i w:val="0"/>
                <w:color w:val="212121"/>
                <w:sz w:val="16"/>
              </w:rPr>
              <w:t>Denture wearers, immunocompromised, infants</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 infants, poor feeding and white plaques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&amp; drug review</w:t>
            </w:r>
          </w:p>
        </w:tc>
        <w:tc>
          <w:tcPr>
            <w:tcW w:type="dxa" w:w="979"/>
            <w:vAlign w:val="top"/>
          </w:tcPr>
          <w:p>
            <w:pPr>
              <w:spacing w:after="40" w:before="0" w:line="259" w:lineRule="auto"/>
            </w:pPr>
            <w:r>
              <w:rPr>
                <w:rFonts w:ascii="Calibri" w:hAnsi="Calibri"/>
                <w:b w:val="0"/>
                <w:i w:val="0"/>
                <w:color w:val="212121"/>
                <w:sz w:val="16"/>
              </w:rPr>
              <w:t>Inhaled/systemic steroids, recent antibiotics, immunosuppression, diabetes, HIV, denture use</w:t>
            </w:r>
          </w:p>
        </w:tc>
        <w:tc>
          <w:tcPr>
            <w:tcW w:type="dxa" w:w="950"/>
            <w:vAlign w:val="top"/>
          </w:tcPr>
          <w:p>
            <w:pPr>
              <w:spacing w:after="40" w:before="0" w:line="259" w:lineRule="auto"/>
            </w:pPr>
            <w:r>
              <w:rPr>
                <w:rFonts w:ascii="Calibri" w:hAnsi="Calibri"/>
                <w:b w:val="0"/>
                <w:i w:val="0"/>
                <w:color w:val="212121"/>
                <w:sz w:val="16"/>
              </w:rPr>
              <w:t>None identified</w:t>
            </w:r>
          </w:p>
        </w:tc>
        <w:tc>
          <w:tcPr>
            <w:tcW w:type="dxa" w:w="950"/>
            <w:vAlign w:val="top"/>
          </w:tcPr>
          <w:p>
            <w:pPr>
              <w:spacing w:after="40" w:before="0" w:line="259" w:lineRule="auto"/>
            </w:pPr>
            <w:r>
              <w:rPr>
                <w:rFonts w:ascii="Calibri" w:hAnsi="Calibri"/>
                <w:b w:val="0"/>
                <w:i w:val="0"/>
                <w:color w:val="212121"/>
                <w:sz w:val="16"/>
              </w:rPr>
              <w:t>≥ 1 precipitant present</w:t>
            </w:r>
          </w:p>
        </w:tc>
        <w:tc>
          <w:tcPr>
            <w:tcW w:type="dxa" w:w="1036"/>
            <w:vAlign w:val="top"/>
          </w:tcPr>
          <w:p>
            <w:pPr>
              <w:spacing w:after="40" w:before="0" w:line="259" w:lineRule="auto"/>
            </w:pPr>
            <w:r>
              <w:rPr>
                <w:rFonts w:ascii="Calibri" w:hAnsi="Calibri"/>
                <w:b w:val="0"/>
                <w:i w:val="0"/>
                <w:color w:val="212121"/>
                <w:sz w:val="16"/>
              </w:rPr>
              <w:t>Identifies precipitants that must be corrected to cure and prevent recurrence</w:t>
            </w:r>
          </w:p>
        </w:tc>
        <w:tc>
          <w:tcPr>
            <w:tcW w:type="dxa" w:w="1036"/>
            <w:vAlign w:val="top"/>
          </w:tcPr>
          <w:p>
            <w:pPr>
              <w:spacing w:after="40" w:before="0" w:line="259" w:lineRule="auto"/>
            </w:pPr>
            <w:r>
              <w:rPr>
                <w:rFonts w:ascii="Calibri" w:hAnsi="Calibri"/>
                <w:b w:val="0"/>
                <w:i w:val="0"/>
                <w:color w:val="212121"/>
                <w:sz w:val="16"/>
              </w:rPr>
              <w:t>Asthma/COPD, diabetics, people living with HIV</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to management</w:t>
            </w:r>
          </w:p>
        </w:tc>
        <w:tc>
          <w:tcPr>
            <w:tcW w:type="dxa" w:w="720"/>
            <w:vAlign w:val="top"/>
          </w:tcPr>
          <w:p>
            <w:pPr>
              <w:spacing w:after="40" w:before="0" w:line="259" w:lineRule="auto"/>
            </w:pPr>
            <w:r>
              <w:rPr>
                <w:rFonts w:ascii="Calibri" w:hAnsi="Calibri"/>
                <w:b w:val="0"/>
                <w:i w:val="0"/>
                <w:color w:val="212121"/>
                <w:sz w:val="16"/>
              </w:rPr>
              <w:t>Advise rinsing after inhalers; review antibiotics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Oral mucosal exam + wipe test</w:t>
            </w:r>
          </w:p>
        </w:tc>
        <w:tc>
          <w:tcPr>
            <w:tcW w:type="dxa" w:w="979"/>
            <w:vAlign w:val="top"/>
          </w:tcPr>
          <w:p>
            <w:pPr>
              <w:spacing w:after="40" w:before="0" w:line="259" w:lineRule="auto"/>
            </w:pPr>
            <w:r>
              <w:rPr>
                <w:rFonts w:ascii="Calibri" w:hAnsi="Calibri"/>
                <w:b w:val="0"/>
                <w:i w:val="0"/>
                <w:color w:val="212121"/>
                <w:sz w:val="16"/>
              </w:rPr>
              <w:t>Removable vs adherent white plaques, erythema</w:t>
            </w:r>
          </w:p>
        </w:tc>
        <w:tc>
          <w:tcPr>
            <w:tcW w:type="dxa" w:w="950"/>
            <w:vAlign w:val="top"/>
          </w:tcPr>
          <w:p>
            <w:pPr>
              <w:spacing w:after="40" w:before="0" w:line="259" w:lineRule="auto"/>
            </w:pPr>
            <w:r>
              <w:rPr>
                <w:rFonts w:ascii="Calibri" w:hAnsi="Calibri"/>
                <w:b w:val="0"/>
                <w:i w:val="0"/>
                <w:color w:val="212121"/>
                <w:sz w:val="16"/>
              </w:rPr>
              <w:t>Healthy pink mucosa</w:t>
            </w:r>
          </w:p>
        </w:tc>
        <w:tc>
          <w:tcPr>
            <w:tcW w:type="dxa" w:w="950"/>
            <w:vAlign w:val="top"/>
          </w:tcPr>
          <w:p>
            <w:pPr>
              <w:spacing w:after="40" w:before="0" w:line="259" w:lineRule="auto"/>
            </w:pPr>
            <w:r>
              <w:rPr>
                <w:rFonts w:ascii="Calibri" w:hAnsi="Calibri"/>
                <w:b w:val="0"/>
                <w:i w:val="0"/>
                <w:color w:val="212121"/>
                <w:sz w:val="16"/>
              </w:rPr>
              <w:t>Wipeable plaques (pseudomembranous) or adherent plaque (hyperplastic)</w:t>
            </w:r>
          </w:p>
        </w:tc>
        <w:tc>
          <w:tcPr>
            <w:tcW w:type="dxa" w:w="1036"/>
            <w:vAlign w:val="top"/>
          </w:tcPr>
          <w:p>
            <w:pPr>
              <w:spacing w:after="40" w:before="0" w:line="259" w:lineRule="auto"/>
            </w:pPr>
            <w:r>
              <w:rPr>
                <w:rFonts w:ascii="Calibri" w:hAnsi="Calibri"/>
                <w:b w:val="0"/>
                <w:i w:val="0"/>
                <w:color w:val="212121"/>
                <w:sz w:val="16"/>
              </w:rPr>
              <w:t>Distinguishes clinical types; adherent, non-wiping plaques need biopsy</w:t>
            </w:r>
          </w:p>
        </w:tc>
        <w:tc>
          <w:tcPr>
            <w:tcW w:type="dxa" w:w="1036"/>
            <w:vAlign w:val="top"/>
          </w:tcPr>
          <w:p>
            <w:pPr>
              <w:spacing w:after="40" w:before="0" w:line="259" w:lineRule="auto"/>
            </w:pPr>
            <w:r>
              <w:rPr>
                <w:rFonts w:ascii="Calibri" w:hAnsi="Calibri"/>
                <w:b w:val="0"/>
                <w:i w:val="0"/>
                <w:color w:val="212121"/>
                <w:sz w:val="16"/>
              </w:rPr>
              <w:t>All suspected oral candidiasis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gauze wipe of pseudomembranes leaves a raw erythematous base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Denture &amp; denture-bearing area</w:t>
            </w:r>
          </w:p>
        </w:tc>
        <w:tc>
          <w:tcPr>
            <w:tcW w:type="dxa" w:w="979"/>
            <w:vAlign w:val="top"/>
          </w:tcPr>
          <w:p>
            <w:pPr>
              <w:spacing w:after="40" w:before="0" w:line="259" w:lineRule="auto"/>
            </w:pPr>
            <w:r>
              <w:rPr>
                <w:rFonts w:ascii="Calibri" w:hAnsi="Calibri"/>
                <w:b w:val="0"/>
                <w:i w:val="0"/>
                <w:color w:val="212121"/>
                <w:sz w:val="16"/>
              </w:rPr>
              <w:t>Fit, hygiene, palatal erythema (Newton’s I–III)</w:t>
            </w:r>
          </w:p>
        </w:tc>
        <w:tc>
          <w:tcPr>
            <w:tcW w:type="dxa" w:w="950"/>
            <w:vAlign w:val="top"/>
          </w:tcPr>
          <w:p>
            <w:pPr>
              <w:spacing w:after="40" w:before="0" w:line="259" w:lineRule="auto"/>
            </w:pPr>
            <w:r>
              <w:rPr>
                <w:rFonts w:ascii="Calibri" w:hAnsi="Calibri"/>
                <w:b w:val="0"/>
                <w:i w:val="0"/>
                <w:color w:val="212121"/>
                <w:sz w:val="16"/>
              </w:rPr>
              <w:t>Healthy, well-fitting denture</w:t>
            </w:r>
          </w:p>
        </w:tc>
        <w:tc>
          <w:tcPr>
            <w:tcW w:type="dxa" w:w="950"/>
            <w:vAlign w:val="top"/>
          </w:tcPr>
          <w:p>
            <w:pPr>
              <w:spacing w:after="40" w:before="0" w:line="259" w:lineRule="auto"/>
            </w:pPr>
            <w:r>
              <w:rPr>
                <w:rFonts w:ascii="Calibri" w:hAnsi="Calibri"/>
                <w:b w:val="0"/>
                <w:i w:val="0"/>
                <w:color w:val="212121"/>
                <w:sz w:val="16"/>
              </w:rPr>
              <w:t>Erythema / papillary hyperplasia under the denture</w:t>
            </w:r>
          </w:p>
        </w:tc>
        <w:tc>
          <w:tcPr>
            <w:tcW w:type="dxa" w:w="1036"/>
            <w:vAlign w:val="top"/>
          </w:tcPr>
          <w:p>
            <w:pPr>
              <w:spacing w:after="40" w:before="0" w:line="259" w:lineRule="auto"/>
            </w:pPr>
            <w:r>
              <w:rPr>
                <w:rFonts w:ascii="Calibri" w:hAnsi="Calibri"/>
                <w:b w:val="0"/>
                <w:i w:val="0"/>
                <w:color w:val="212121"/>
                <w:sz w:val="16"/>
              </w:rPr>
              <w:t>Confirms denture stomatitis and grades severity</w:t>
            </w:r>
          </w:p>
        </w:tc>
        <w:tc>
          <w:tcPr>
            <w:tcW w:type="dxa" w:w="1036"/>
            <w:vAlign w:val="top"/>
          </w:tcPr>
          <w:p>
            <w:pPr>
              <w:spacing w:after="40" w:before="0" w:line="259" w:lineRule="auto"/>
            </w:pPr>
            <w:r>
              <w:rPr>
                <w:rFonts w:ascii="Calibri" w:hAnsi="Calibri"/>
                <w:b w:val="0"/>
                <w:i w:val="0"/>
                <w:color w:val="212121"/>
                <w:sz w:val="16"/>
              </w:rPr>
              <w:t>Complete/partial denture wearers, elderly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Common in the elderly</w:t>
            </w:r>
          </w:p>
        </w:tc>
        <w:tc>
          <w:tcPr>
            <w:tcW w:type="dxa" w:w="720"/>
            <w:vAlign w:val="top"/>
          </w:tcPr>
          <w:p>
            <w:pPr>
              <w:spacing w:after="40" w:before="0" w:line="259" w:lineRule="auto"/>
            </w:pPr>
            <w:r>
              <w:rPr>
                <w:rFonts w:ascii="Calibri" w:hAnsi="Calibri"/>
                <w:b w:val="0"/>
                <w:i w:val="0"/>
                <w:color w:val="212121"/>
                <w:sz w:val="16"/>
              </w:rPr>
              <w:t>Ask specifically about nocturnal denture wear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Perioral &amp; tongue examination</w:t>
            </w:r>
          </w:p>
        </w:tc>
        <w:tc>
          <w:tcPr>
            <w:tcW w:type="dxa" w:w="979"/>
            <w:vAlign w:val="top"/>
          </w:tcPr>
          <w:p>
            <w:pPr>
              <w:spacing w:after="40" w:before="0" w:line="259" w:lineRule="auto"/>
            </w:pPr>
            <w:r>
              <w:rPr>
                <w:rFonts w:ascii="Calibri" w:hAnsi="Calibri"/>
                <w:b w:val="0"/>
                <w:i w:val="0"/>
                <w:color w:val="212121"/>
                <w:sz w:val="16"/>
              </w:rPr>
              <w:t>Angular cheilitis, median rhomboid glossitis, atrophic tongue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Fissured commissures / depapillated rhomboid patch</w:t>
            </w:r>
          </w:p>
        </w:tc>
        <w:tc>
          <w:tcPr>
            <w:tcW w:type="dxa" w:w="1036"/>
            <w:vAlign w:val="top"/>
          </w:tcPr>
          <w:p>
            <w:pPr>
              <w:spacing w:after="40" w:before="0" w:line="259" w:lineRule="auto"/>
            </w:pPr>
            <w:r>
              <w:rPr>
                <w:rFonts w:ascii="Calibri" w:hAnsi="Calibri"/>
                <w:b w:val="0"/>
                <w:i w:val="0"/>
                <w:color w:val="212121"/>
                <w:sz w:val="16"/>
              </w:rPr>
              <w:t>Candida-associated lesions; prompt a check for nutritional deficiency</w:t>
            </w:r>
          </w:p>
        </w:tc>
        <w:tc>
          <w:tcPr>
            <w:tcW w:type="dxa" w:w="1036"/>
            <w:vAlign w:val="top"/>
          </w:tcPr>
          <w:p>
            <w:pPr>
              <w:spacing w:after="40" w:before="0" w:line="259" w:lineRule="auto"/>
            </w:pPr>
            <w:r>
              <w:rPr>
                <w:rFonts w:ascii="Calibri" w:hAnsi="Calibri"/>
                <w:b w:val="0"/>
                <w:i w:val="0"/>
                <w:color w:val="212121"/>
                <w:sz w:val="16"/>
              </w:rPr>
              <w:t>Denture wearers, anaemia, B12/iron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Points to deficiency</w:t>
            </w:r>
          </w:p>
        </w:tc>
        <w:tc>
          <w:tcPr>
            <w:tcW w:type="dxa" w:w="720"/>
            <w:vAlign w:val="top"/>
          </w:tcPr>
          <w:p>
            <w:pPr>
              <w:spacing w:after="40" w:before="0" w:line="259" w:lineRule="auto"/>
            </w:pPr>
            <w:r>
              <w:rPr>
                <w:rFonts w:ascii="Calibri" w:hAnsi="Calibri"/>
                <w:b w:val="0"/>
                <w:i w:val="0"/>
                <w:color w:val="212121"/>
                <w:sz w:val="16"/>
              </w:rPr>
              <w:t>Check ferritin, B12 and folate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Assessment</w:t>
            </w:r>
          </w:p>
        </w:tc>
        <w:tc>
          <w:tcPr>
            <w:tcW w:type="dxa" w:w="950"/>
            <w:vAlign w:val="top"/>
          </w:tcPr>
          <w:p>
            <w:pPr>
              <w:spacing w:after="40" w:before="0" w:line="259" w:lineRule="auto"/>
            </w:pPr>
            <w:r>
              <w:rPr>
                <w:rFonts w:ascii="Calibri" w:hAnsi="Calibri"/>
                <w:b w:val="0"/>
                <w:i w:val="0"/>
                <w:color w:val="212121"/>
                <w:sz w:val="16"/>
              </w:rPr>
              <w:t>Immune &amp; nutritional status</w:t>
            </w:r>
          </w:p>
        </w:tc>
        <w:tc>
          <w:tcPr>
            <w:tcW w:type="dxa" w:w="979"/>
            <w:vAlign w:val="top"/>
          </w:tcPr>
          <w:p>
            <w:pPr>
              <w:spacing w:after="40" w:before="0" w:line="259" w:lineRule="auto"/>
            </w:pPr>
            <w:r>
              <w:rPr>
                <w:rFonts w:ascii="Calibri" w:hAnsi="Calibri"/>
                <w:b w:val="0"/>
                <w:i w:val="0"/>
                <w:color w:val="212121"/>
                <w:sz w:val="16"/>
              </w:rPr>
              <w:t>Weight/wasting, recurrent infections, oral hygiene</w:t>
            </w:r>
          </w:p>
        </w:tc>
        <w:tc>
          <w:tcPr>
            <w:tcW w:type="dxa" w:w="950"/>
            <w:vAlign w:val="top"/>
          </w:tcPr>
          <w:p>
            <w:pPr>
              <w:spacing w:after="40" w:before="0" w:line="259" w:lineRule="auto"/>
            </w:pPr>
            <w:r>
              <w:rPr>
                <w:rFonts w:ascii="Calibri" w:hAnsi="Calibri"/>
                <w:b w:val="0"/>
                <w:i w:val="0"/>
                <w:color w:val="212121"/>
                <w:sz w:val="16"/>
              </w:rPr>
              <w:t>Well-nourished, no recurrence</w:t>
            </w:r>
          </w:p>
        </w:tc>
        <w:tc>
          <w:tcPr>
            <w:tcW w:type="dxa" w:w="950"/>
            <w:vAlign w:val="top"/>
          </w:tcPr>
          <w:p>
            <w:pPr>
              <w:spacing w:after="40" w:before="0" w:line="259" w:lineRule="auto"/>
            </w:pPr>
            <w:r>
              <w:rPr>
                <w:rFonts w:ascii="Calibri" w:hAnsi="Calibri"/>
                <w:b w:val="0"/>
                <w:i w:val="0"/>
                <w:color w:val="212121"/>
                <w:sz w:val="16"/>
              </w:rPr>
              <w:t>Wasting; recurrent or severe candidiasis</w:t>
            </w:r>
          </w:p>
        </w:tc>
        <w:tc>
          <w:tcPr>
            <w:tcW w:type="dxa" w:w="1036"/>
            <w:vAlign w:val="top"/>
          </w:tcPr>
          <w:p>
            <w:pPr>
              <w:spacing w:after="40" w:before="0" w:line="259" w:lineRule="auto"/>
            </w:pPr>
            <w:r>
              <w:rPr>
                <w:rFonts w:ascii="Calibri" w:hAnsi="Calibri"/>
                <w:b w:val="0"/>
                <w:i w:val="0"/>
                <w:color w:val="212121"/>
                <w:sz w:val="16"/>
              </w:rPr>
              <w:t>Prompts workup for HIV, diabetes or malignancy</w:t>
            </w:r>
          </w:p>
        </w:tc>
        <w:tc>
          <w:tcPr>
            <w:tcW w:type="dxa" w:w="1036"/>
            <w:vAlign w:val="top"/>
          </w:tcPr>
          <w:p>
            <w:pPr>
              <w:spacing w:after="40" w:before="0" w:line="259" w:lineRule="auto"/>
            </w:pPr>
            <w:r>
              <w:rPr>
                <w:rFonts w:ascii="Calibri" w:hAnsi="Calibri"/>
                <w:b w:val="0"/>
                <w:i w:val="0"/>
                <w:color w:val="212121"/>
                <w:sz w:val="16"/>
              </w:rPr>
              <w:t>Recurrent, severe or unexplained candidiasis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Recurrent candidiasis without an obvious cause warrants HIV testing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White curd-like patches that can be wiped off</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Pseudomembranous plaques on the tongue, buccal mucosa and palate leaving a red base.</w:t>
            </w:r>
          </w:p>
        </w:tc>
      </w:tr>
      <w:tr>
        <w:trPr>
          <w:cantSplit/>
        </w:trPr>
        <w:tc>
          <w:tcPr>
            <w:tcW w:type="dxa" w:w="2304"/>
            <w:vAlign w:val="top"/>
          </w:tcPr>
          <w:p>
            <w:pPr>
              <w:spacing w:after="40" w:before="0" w:line="259" w:lineRule="auto"/>
            </w:pPr>
            <w:r>
              <w:rPr>
                <w:rFonts w:ascii="Calibri" w:hAnsi="Calibri"/>
                <w:b/>
                <w:i w:val="0"/>
                <w:color w:val="212121"/>
                <w:sz w:val="19"/>
              </w:rPr>
              <w:t>Soreness or burning of the mouth and tongue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Mucosal inflammation causes a raw, burning discomfort, worse with spicy or hot food.</w:t>
            </w:r>
          </w:p>
        </w:tc>
      </w:tr>
      <w:tr>
        <w:trPr>
          <w:cantSplit/>
        </w:trPr>
        <w:tc>
          <w:tcPr>
            <w:tcW w:type="dxa" w:w="2304"/>
            <w:vAlign w:val="top"/>
          </w:tcPr>
          <w:p>
            <w:pPr>
              <w:spacing w:after="40" w:before="0" w:line="259" w:lineRule="auto"/>
            </w:pPr>
            <w:r>
              <w:rPr>
                <w:rFonts w:ascii="Calibri" w:hAnsi="Calibri"/>
                <w:b/>
                <w:i w:val="0"/>
                <w:color w:val="212121"/>
                <w:sz w:val="19"/>
              </w:rPr>
              <w:t>Redness of the mucosa or under a denture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Atrophic erythema; a bright-red palate beneath a denture indicates denture stomatitis.</w:t>
            </w:r>
          </w:p>
        </w:tc>
      </w:tr>
      <w:tr>
        <w:trPr>
          <w:cantSplit/>
        </w:trPr>
        <w:tc>
          <w:tcPr>
            <w:tcW w:type="dxa" w:w="2304"/>
            <w:vAlign w:val="top"/>
          </w:tcPr>
          <w:p>
            <w:pPr>
              <w:spacing w:after="40" w:before="0" w:line="259" w:lineRule="auto"/>
            </w:pPr>
            <w:r>
              <w:rPr>
                <w:rFonts w:ascii="Calibri" w:hAnsi="Calibri"/>
                <w:b/>
                <w:i w:val="0"/>
                <w:color w:val="212121"/>
                <w:sz w:val="19"/>
              </w:rPr>
              <w:t>Altered or unpleasant (metallic) taste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Dysgeusia is frequent and often an early symptom.</w:t>
            </w:r>
          </w:p>
        </w:tc>
      </w:tr>
      <w:tr>
        <w:trPr>
          <w:cantSplit/>
        </w:trPr>
        <w:tc>
          <w:tcPr>
            <w:tcW w:type="dxa" w:w="2304"/>
            <w:vAlign w:val="top"/>
          </w:tcPr>
          <w:p>
            <w:pPr>
              <w:spacing w:after="40" w:before="0" w:line="259" w:lineRule="auto"/>
            </w:pPr>
            <w:r>
              <w:rPr>
                <w:rFonts w:ascii="Calibri" w:hAnsi="Calibri"/>
                <w:b/>
                <w:i w:val="0"/>
                <w:color w:val="212121"/>
                <w:sz w:val="19"/>
              </w:rPr>
              <w:t>Dry or cottony feeling in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associated xerostomia, a common precipitant.</w:t>
            </w:r>
          </w:p>
        </w:tc>
      </w:tr>
      <w:tr>
        <w:trPr>
          <w:cantSplit/>
        </w:trPr>
        <w:tc>
          <w:tcPr>
            <w:tcW w:type="dxa" w:w="2304"/>
            <w:vAlign w:val="top"/>
          </w:tcPr>
          <w:p>
            <w:pPr>
              <w:spacing w:after="40" w:before="0" w:line="259" w:lineRule="auto"/>
            </w:pPr>
            <w:r>
              <w:rPr>
                <w:rFonts w:ascii="Calibri" w:hAnsi="Calibri"/>
                <w:b/>
                <w:i w:val="0"/>
                <w:color w:val="212121"/>
                <w:sz w:val="19"/>
              </w:rPr>
              <w:t>Cracking and soreness at the corners of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Angular cheilitis, often with coexisting nutritional deficiency or denture wear.</w:t>
            </w:r>
          </w:p>
        </w:tc>
      </w:tr>
      <w:tr>
        <w:trPr>
          <w:cantSplit/>
        </w:trPr>
        <w:tc>
          <w:tcPr>
            <w:tcW w:type="dxa" w:w="2304"/>
            <w:vAlign w:val="top"/>
          </w:tcPr>
          <w:p>
            <w:pPr>
              <w:spacing w:after="40" w:before="0" w:line="259" w:lineRule="auto"/>
            </w:pPr>
            <w:r>
              <w:rPr>
                <w:rFonts w:ascii="Calibri" w:hAnsi="Calibri"/>
                <w:b/>
                <w:i w:val="0"/>
                <w:color w:val="212121"/>
                <w:sz w:val="19"/>
              </w:rPr>
              <w:t>Mild bleeding when plaques are scraped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The raw base beneath removed pseudomembranes may bleed slightly.</w:t>
            </w:r>
          </w:p>
        </w:tc>
      </w:tr>
      <w:tr>
        <w:trPr>
          <w:cantSplit/>
        </w:trPr>
        <w:tc>
          <w:tcPr>
            <w:tcW w:type="dxa" w:w="2304"/>
            <w:vAlign w:val="top"/>
          </w:tcPr>
          <w:p>
            <w:pPr>
              <w:spacing w:after="40" w:before="0" w:line="259" w:lineRule="auto"/>
            </w:pPr>
            <w:r>
              <w:rPr>
                <w:rFonts w:ascii="Calibri" w:hAnsi="Calibri"/>
                <w:b/>
                <w:i w:val="0"/>
                <w:color w:val="212121"/>
                <w:sz w:val="19"/>
              </w:rPr>
              <w:t>Pain or difficulty swallowing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Odynophagia/dysphagia suggests oropharyngeal or oesophageal extension — a red flag.</w:t>
            </w:r>
          </w:p>
        </w:tc>
      </w:tr>
      <w:tr>
        <w:trPr>
          <w:cantSplit/>
        </w:trPr>
        <w:tc>
          <w:tcPr>
            <w:tcW w:type="dxa" w:w="2304"/>
            <w:vAlign w:val="top"/>
          </w:tcPr>
          <w:p>
            <w:pPr>
              <w:spacing w:after="40" w:before="0" w:line="259" w:lineRule="auto"/>
            </w:pPr>
            <w:r>
              <w:rPr>
                <w:rFonts w:ascii="Calibri" w:hAnsi="Calibri"/>
                <w:b/>
                <w:i w:val="0"/>
                <w:color w:val="212121"/>
                <w:sz w:val="19"/>
              </w:rPr>
              <w:t>Bad breath (halitosis)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candidal overgrowth and associated poor oral or denture hygiene.</w:t>
            </w:r>
          </w:p>
        </w:tc>
      </w:tr>
      <w:tr>
        <w:trPr>
          <w:cantSplit/>
        </w:trPr>
        <w:tc>
          <w:tcPr>
            <w:tcW w:type="dxa" w:w="2304"/>
            <w:vAlign w:val="top"/>
          </w:tcPr>
          <w:p>
            <w:pPr>
              <w:spacing w:after="40" w:before="0" w:line="259" w:lineRule="auto"/>
            </w:pPr>
            <w:r>
              <w:rPr>
                <w:rFonts w:ascii="Calibri" w:hAnsi="Calibri"/>
                <w:b/>
                <w:i w:val="0"/>
                <w:color w:val="212121"/>
                <w:sz w:val="19"/>
              </w:rPr>
              <w:t>Reduced appetite / poor feeding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Painful mouth reduces intake, especially in infants and the frail elderly.</w:t>
            </w:r>
          </w:p>
        </w:tc>
      </w:tr>
      <w:tr>
        <w:trPr>
          <w:cantSplit/>
        </w:trPr>
        <w:tc>
          <w:tcPr>
            <w:tcW w:type="dxa" w:w="2304"/>
            <w:vAlign w:val="top"/>
          </w:tcPr>
          <w:p>
            <w:pPr>
              <w:spacing w:after="40" w:before="0" w:line="259" w:lineRule="auto"/>
            </w:pPr>
            <w:r>
              <w:rPr>
                <w:rFonts w:ascii="Calibri" w:hAnsi="Calibri"/>
                <w:b/>
                <w:i w:val="0"/>
                <w:color w:val="212121"/>
                <w:sz w:val="19"/>
              </w:rPr>
              <w:t>Fever or systemic upset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extensive or disseminated infection in the severely immunocompromised.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Removable white pseudomembranous plaques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Curd-like plaques wipe off (positive wipe test) leaving an erythematous, sometimes bleeding, base — acute pseudomembranous candidiasis.</w:t>
            </w:r>
          </w:p>
        </w:tc>
      </w:tr>
      <w:tr>
        <w:trPr>
          <w:cantSplit/>
        </w:trPr>
        <w:tc>
          <w:tcPr>
            <w:tcW w:type="dxa" w:w="3456"/>
            <w:vAlign w:val="top"/>
          </w:tcPr>
          <w:p>
            <w:pPr>
              <w:spacing w:after="40" w:before="0" w:line="259" w:lineRule="auto"/>
            </w:pPr>
            <w:r>
              <w:rPr>
                <w:rFonts w:ascii="Calibri" w:hAnsi="Calibri"/>
                <w:b/>
                <w:i w:val="0"/>
                <w:color w:val="212121"/>
                <w:sz w:val="19"/>
              </w:rPr>
              <w:t>Erythematous, atrophic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redness with a smooth, depapillated tongue in acute erythematous candidiasis.</w:t>
            </w:r>
          </w:p>
        </w:tc>
      </w:tr>
      <w:tr>
        <w:trPr>
          <w:cantSplit/>
        </w:trPr>
        <w:tc>
          <w:tcPr>
            <w:tcW w:type="dxa" w:w="3456"/>
            <w:vAlign w:val="top"/>
          </w:tcPr>
          <w:p>
            <w:pPr>
              <w:spacing w:after="40" w:before="0" w:line="259" w:lineRule="auto"/>
            </w:pPr>
            <w:r>
              <w:rPr>
                <w:rFonts w:ascii="Calibri" w:hAnsi="Calibri"/>
                <w:b/>
                <w:i w:val="0"/>
                <w:color w:val="212121"/>
                <w:sz w:val="19"/>
              </w:rPr>
              <w:t>Bright-red palate confined to the denture-bearing area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Denture stomatitis, graded by Newton’s classification (types I–III).</w:t>
            </w:r>
          </w:p>
        </w:tc>
      </w:tr>
      <w:tr>
        <w:trPr>
          <w:cantSplit/>
        </w:trPr>
        <w:tc>
          <w:tcPr>
            <w:tcW w:type="dxa" w:w="3456"/>
            <w:vAlign w:val="top"/>
          </w:tcPr>
          <w:p>
            <w:pPr>
              <w:spacing w:after="40" w:before="0" w:line="259" w:lineRule="auto"/>
            </w:pPr>
            <w:r>
              <w:rPr>
                <w:rFonts w:ascii="Calibri" w:hAnsi="Calibri"/>
                <w:b/>
                <w:i w:val="0"/>
                <w:color w:val="212121"/>
                <w:sz w:val="19"/>
              </w:rPr>
              <w:t>Angular cheilitis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Erythematous, fissured, crusted lesions at the angles of the mouth.</w:t>
            </w:r>
          </w:p>
        </w:tc>
      </w:tr>
      <w:tr>
        <w:trPr>
          <w:cantSplit/>
        </w:trPr>
        <w:tc>
          <w:tcPr>
            <w:tcW w:type="dxa" w:w="3456"/>
            <w:vAlign w:val="top"/>
          </w:tcPr>
          <w:p>
            <w:pPr>
              <w:spacing w:after="40" w:before="0" w:line="259" w:lineRule="auto"/>
            </w:pPr>
            <w:r>
              <w:rPr>
                <w:rFonts w:ascii="Calibri" w:hAnsi="Calibri"/>
                <w:b/>
                <w:i w:val="0"/>
                <w:color w:val="212121"/>
                <w:sz w:val="19"/>
              </w:rPr>
              <w:t>Median rhomboid glossitis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well-defined rhomboid depapillated erythematous patch on the mid-dorsum of the tongue.</w:t>
            </w:r>
          </w:p>
        </w:tc>
      </w:tr>
      <w:tr>
        <w:trPr>
          <w:cantSplit/>
        </w:trPr>
        <w:tc>
          <w:tcPr>
            <w:tcW w:type="dxa" w:w="3456"/>
            <w:vAlign w:val="top"/>
          </w:tcPr>
          <w:p>
            <w:pPr>
              <w:spacing w:after="40" w:before="0" w:line="259" w:lineRule="auto"/>
            </w:pPr>
            <w:r>
              <w:rPr>
                <w:rFonts w:ascii="Calibri" w:hAnsi="Calibri"/>
                <w:b/>
                <w:i w:val="0"/>
                <w:color w:val="212121"/>
                <w:sz w:val="19"/>
              </w:rPr>
              <w:t>Adherent white plaque that does NOT rub off</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hyperplastic candidiasis, typically at the commissures; requires biopsy.</w:t>
            </w:r>
          </w:p>
        </w:tc>
      </w:tr>
      <w:tr>
        <w:trPr>
          <w:cantSplit/>
        </w:trPr>
        <w:tc>
          <w:tcPr>
            <w:tcW w:type="dxa" w:w="3456"/>
            <w:vAlign w:val="top"/>
          </w:tcPr>
          <w:p>
            <w:pPr>
              <w:spacing w:after="40" w:before="0" w:line="259" w:lineRule="auto"/>
            </w:pPr>
            <w:r>
              <w:rPr>
                <w:rFonts w:ascii="Calibri" w:hAnsi="Calibri"/>
                <w:b/>
                <w:i w:val="0"/>
                <w:color w:val="212121"/>
                <w:sz w:val="19"/>
              </w:rPr>
              <w:t>Depapillated / atrophic (bald) tongue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Smooth glossitis, often with underlying iron, B12 or folate deficiency.</w:t>
            </w:r>
          </w:p>
        </w:tc>
      </w:tr>
      <w:tr>
        <w:trPr>
          <w:cantSplit/>
        </w:trPr>
        <w:tc>
          <w:tcPr>
            <w:tcW w:type="dxa" w:w="3456"/>
            <w:vAlign w:val="top"/>
          </w:tcPr>
          <w:p>
            <w:pPr>
              <w:spacing w:after="40" w:before="0" w:line="259" w:lineRule="auto"/>
            </w:pPr>
            <w:r>
              <w:rPr>
                <w:rFonts w:ascii="Calibri" w:hAnsi="Calibri"/>
                <w:b/>
                <w:i w:val="0"/>
                <w:color w:val="212121"/>
                <w:sz w:val="19"/>
              </w:rPr>
              <w:t>Linear gingival erythema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distinct red band along the gingival margin, associated with HIV infection.</w:t>
            </w:r>
          </w:p>
        </w:tc>
      </w:tr>
      <w:tr>
        <w:trPr>
          <w:cantSplit/>
        </w:trPr>
        <w:tc>
          <w:tcPr>
            <w:tcW w:type="dxa" w:w="3456"/>
            <w:vAlign w:val="top"/>
          </w:tcPr>
          <w:p>
            <w:pPr>
              <w:spacing w:after="40" w:before="0" w:line="259" w:lineRule="auto"/>
            </w:pPr>
            <w:r>
              <w:rPr>
                <w:rFonts w:ascii="Calibri" w:hAnsi="Calibri"/>
                <w:b/>
                <w:i w:val="0"/>
                <w:color w:val="212121"/>
                <w:sz w:val="19"/>
              </w:rPr>
              <w:t>Confluent plaques extending to the oropharynx</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Extensive pseudomembranes on the tonsils and pharynx in advanced immunosuppression.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Extensive, confluent pseudomembranous plaques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mucosa limiting eating and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Angular cheilitis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superinfection</w:t>
            </w:r>
          </w:p>
        </w:tc>
        <w:tc>
          <w:tcPr>
            <w:tcW w:type="dxa" w:w="2980"/>
            <w:vAlign w:val="top"/>
          </w:tcPr>
          <w:p>
            <w:pPr>
              <w:spacing w:after="40" w:before="0" w:line="259" w:lineRule="auto"/>
            </w:pPr>
            <w:r>
              <w:rPr>
                <w:rFonts w:ascii="Calibri" w:hAnsi="Calibri"/>
                <w:b w:val="0"/>
                <w:i w:val="0"/>
                <w:color w:val="212121"/>
                <w:sz w:val="19"/>
              </w:rPr>
              <w:t>Local extension and discomfort arising directly from active mucosal candidal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Oropharyngeal and oesophageal candidiasis (dysphagia, odynophagia, reduced intake,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hyperplastic candidiasis with epithelial dysplasia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azole-refractory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Inflammatory papillary hyperplasia of the palate under dentures</w:t>
            </w:r>
          </w:p>
        </w:tc>
        <w:tc>
          <w:tcPr>
            <w:tcW w:type="dxa" w:w="2980"/>
            <w:vAlign w:val="top"/>
          </w:tcPr>
          <w:p>
            <w:pPr>
              <w:spacing w:after="40" w:before="0" w:line="259" w:lineRule="auto"/>
            </w:pPr>
            <w:r>
              <w:rPr>
                <w:rFonts w:ascii="Calibri" w:hAnsi="Calibri"/>
                <w:b w:val="0"/>
                <w:i w:val="0"/>
                <w:color w:val="212121"/>
                <w:sz w:val="19"/>
              </w:rPr>
              <w:t>Deeper spread, chronicity and premalignant change resulting from persistent or inadequately treated infection.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Invasive or disseminated candidiasis (candidaemia) with high mortality in the severely immunocompromised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(squamous cell carcinoma) transformation of chronic hyperplastic lesions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malnutrition or failure to thrive from inability to eat</w:t>
            </w:r>
          </w:p>
        </w:tc>
        <w:tc>
          <w:tcPr>
            <w:tcW w:type="dxa" w:w="2980"/>
            <w:vAlign w:val="top"/>
          </w:tcPr>
          <w:p>
            <w:pPr>
              <w:spacing w:after="40" w:before="0" w:line="259" w:lineRule="auto"/>
            </w:pPr>
            <w:r>
              <w:rPr>
                <w:rFonts w:ascii="Calibri" w:hAnsi="Calibri"/>
                <w:b w:val="0"/>
                <w:i w:val="0"/>
                <w:color w:val="212121"/>
                <w:sz w:val="19"/>
              </w:rPr>
              <w:t>Irreversible or life-threatening outcomes in neglected disease or profound immunosuppression.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Oral candidiasis is the commonest oral opportunistic infection in HIV and a clinical marker of a CD4 count below 200; antiretroviral therapy that restores immunity clears the infection.</w:t>
            </w:r>
          </w:p>
          <w:p>
            <w:pPr>
              <w:spacing w:after="40" w:before="0" w:line="259" w:lineRule="auto"/>
            </w:pPr>
            <w:r>
              <w:rPr>
                <w:rFonts w:ascii="Calibri" w:hAnsi="Calibri"/>
                <w:b/>
                <w:i w:val="0"/>
                <w:color w:val="212121"/>
                <w:sz w:val="19"/>
              </w:rPr>
              <w:t>~20% (about 1 in 5 Indian HIV patients)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Hyperglycaemia raises salivary glucose and impairs neutrophil function; recurrent oral candidiasis should prompt diabetes screening and better glycaemic control.</w:t>
            </w:r>
          </w:p>
        </w:tc>
      </w:tr>
      <w:tr>
        <w:trPr>
          <w:cantSplit/>
        </w:trPr>
        <w:tc>
          <w:tcPr>
            <w:tcW w:type="dxa" w:w="2232"/>
            <w:vAlign w:val="top"/>
          </w:tcPr>
          <w:p>
            <w:pPr>
              <w:spacing w:after="40" w:before="0" w:line="259" w:lineRule="auto"/>
            </w:pPr>
            <w:r>
              <w:rPr>
                <w:rFonts w:ascii="Calibri" w:hAnsi="Calibri"/>
                <w:b/>
                <w:i w:val="0"/>
                <w:color w:val="212121"/>
                <w:sz w:val="19"/>
              </w:rPr>
              <w:t>Edentulism &amp; complete-denture wear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Denture wear, especially overnight, creates a biofilm reservoir producing chronic denture stomatitis — the commonest form of oral candidiasis in the elderly.</w:t>
            </w:r>
          </w:p>
          <w:p>
            <w:pPr>
              <w:spacing w:after="40" w:before="0" w:line="259" w:lineRule="auto"/>
            </w:pPr>
            <w:r>
              <w:rPr>
                <w:rFonts w:ascii="Calibri" w:hAnsi="Calibri"/>
                <w:b/>
                <w:i w:val="0"/>
                <w:color w:val="212121"/>
                <w:sz w:val="19"/>
              </w:rPr>
              <w:t>Denture stomatitis in 15–65% of complete-denture wearers</w:t>
            </w:r>
          </w:p>
        </w:tc>
      </w:tr>
      <w:tr>
        <w:trPr>
          <w:cantSplit/>
        </w:trPr>
        <w:tc>
          <w:tcPr>
            <w:tcW w:type="dxa" w:w="2232"/>
            <w:vAlign w:val="top"/>
          </w:tcPr>
          <w:p>
            <w:pPr>
              <w:spacing w:after="40" w:before="0" w:line="259" w:lineRule="auto"/>
            </w:pPr>
            <w:r>
              <w:rPr>
                <w:rFonts w:ascii="Calibri" w:hAnsi="Calibri"/>
                <w:b/>
                <w:i w:val="0"/>
                <w:color w:val="212121"/>
                <w:sz w:val="19"/>
              </w:rPr>
              <w:t>Angular cheilitis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A Candida-associated perioral lesion that develops as a consequence of intraoral candidal reservoir, often with coexisting iron/B12/folate deficiency.</w:t>
            </w:r>
          </w:p>
        </w:tc>
      </w:tr>
      <w:tr>
        <w:trPr>
          <w:cantSplit/>
        </w:trPr>
        <w:tc>
          <w:tcPr>
            <w:tcW w:type="dxa" w:w="2232"/>
            <w:vAlign w:val="top"/>
          </w:tcPr>
          <w:p>
            <w:pPr>
              <w:spacing w:after="40" w:before="0" w:line="259" w:lineRule="auto"/>
            </w:pPr>
            <w:r>
              <w:rPr>
                <w:rFonts w:ascii="Calibri" w:hAnsi="Calibri"/>
                <w:b/>
                <w:i w:val="0"/>
                <w:color w:val="212121"/>
                <w:sz w:val="19"/>
              </w:rPr>
              <w:t>Oesophageal candidiasis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Downward extension of oropharyngeal candidiasis causing dysphagia and odynophagia; an AIDS-defining illness in HIV.</w:t>
            </w:r>
          </w:p>
        </w:tc>
      </w:tr>
      <w:tr>
        <w:trPr>
          <w:cantSplit/>
        </w:trPr>
        <w:tc>
          <w:tcPr>
            <w:tcW w:type="dxa" w:w="2232"/>
            <w:vAlign w:val="top"/>
          </w:tcPr>
          <w:p>
            <w:pPr>
              <w:spacing w:after="40" w:before="0" w:line="259" w:lineRule="auto"/>
            </w:pPr>
            <w:r>
              <w:rPr>
                <w:rFonts w:ascii="Calibri" w:hAnsi="Calibri"/>
                <w:b/>
                <w:i w:val="0"/>
                <w:color w:val="212121"/>
                <w:sz w:val="19"/>
              </w:rPr>
              <w:t>Xerostomia / Sjögren’s syndrome</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Reduced saliva removes antifungal proteins and flushing; the dry mouth must be addressed to clear and prevent recurrent candidiasis.</w:t>
            </w:r>
          </w:p>
        </w:tc>
      </w:tr>
      <w:tr>
        <w:trPr>
          <w:cantSplit/>
        </w:trPr>
        <w:tc>
          <w:tcPr>
            <w:tcW w:type="dxa" w:w="2232"/>
            <w:vAlign w:val="top"/>
          </w:tcPr>
          <w:p>
            <w:pPr>
              <w:spacing w:after="40" w:before="0" w:line="259" w:lineRule="auto"/>
            </w:pPr>
            <w:r>
              <w:rPr>
                <w:rFonts w:ascii="Calibri" w:hAnsi="Calibri"/>
                <w:b/>
                <w:i w:val="0"/>
                <w:color w:val="212121"/>
                <w:sz w:val="19"/>
              </w:rPr>
              <w:t>Iron / vitamin B12 / folate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Produces an atrophic mucosa and impaired immunity underlying angular cheilitis and atrophic candidiasis; correcting the deficiency aids cure.</w:t>
            </w:r>
          </w:p>
        </w:tc>
      </w:tr>
      <w:tr>
        <w:trPr>
          <w:cantSplit/>
        </w:trPr>
        <w:tc>
          <w:tcPr>
            <w:tcW w:type="dxa" w:w="2232"/>
            <w:vAlign w:val="top"/>
          </w:tcPr>
          <w:p>
            <w:pPr>
              <w:spacing w:after="40" w:before="0" w:line="259" w:lineRule="auto"/>
            </w:pPr>
            <w:r>
              <w:rPr>
                <w:rFonts w:ascii="Calibri" w:hAnsi="Calibri"/>
                <w:b/>
                <w:i w:val="0"/>
                <w:color w:val="212121"/>
                <w:sz w:val="19"/>
              </w:rPr>
              <w:t>Oral submucous fibrosis / leukoplakia (areca-nut related)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Tobacco- and areca-associated potentially malignant disorders show increased candidal carriage, and candidal hyphae may aggravate epithelial dysplasia.</w:t>
            </w:r>
          </w:p>
        </w:tc>
      </w:tr>
      <w:tr>
        <w:trPr>
          <w:cantSplit/>
        </w:trPr>
        <w:tc>
          <w:tcPr>
            <w:tcW w:type="dxa" w:w="2232"/>
            <w:vAlign w:val="top"/>
          </w:tcPr>
          <w:p>
            <w:pPr>
              <w:spacing w:after="40" w:before="0" w:line="259" w:lineRule="auto"/>
            </w:pPr>
            <w:r>
              <w:rPr>
                <w:rFonts w:ascii="Calibri" w:hAnsi="Calibri"/>
                <w:b/>
                <w:i w:val="0"/>
                <w:color w:val="212121"/>
                <w:sz w:val="19"/>
              </w:rPr>
              <w:t>Asthma / COPD on inhaled corticosteroids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Inhaled steroids cause oropharyngeal candidiasis; spacer use and rinsing after doses, plus topical antifungals, manage it.</w:t>
            </w:r>
          </w:p>
        </w:tc>
      </w:tr>
      <w:tr>
        <w:trPr>
          <w:cantSplit/>
        </w:trPr>
        <w:tc>
          <w:tcPr>
            <w:tcW w:type="dxa" w:w="2232"/>
            <w:vAlign w:val="top"/>
          </w:tcPr>
          <w:p>
            <w:pPr>
              <w:spacing w:after="40" w:before="0" w:line="259" w:lineRule="auto"/>
            </w:pPr>
            <w:r>
              <w:rPr>
                <w:rFonts w:ascii="Calibri" w:hAnsi="Calibri"/>
                <w:b/>
                <w:i w:val="0"/>
                <w:color w:val="212121"/>
                <w:sz w:val="19"/>
              </w:rPr>
              <w:t>Head &amp; neck cancer / radiotherapy</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Radiation xerostomia and chemotherapy immunosuppression cause frequent, severe candidiasis during and after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signs — white patches that wipe off, a sore or burning mouth, redness under a denture, or cracked mouth corners — and seek dental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Rinse the mouth with water (rinse and spit) and use a spacer after every dose of an inhaled corticosteroid.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denture hygiene: clean dentures at least twice daily and leave them out overnight, soaking in a denture disinfectant.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diabetes well controlled and attend for screening if candidiasis is recurrent — it can be the first sign of diabetes or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teeth twice daily, treat dry mouth, and avoid unnecessary or prolonged broad-spectrum antibiotics.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Inhaled-steroid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living with HIV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infants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course of topical (nystatin, clotrimazole, miconazole gel) or systemic (fluconazole) antifungal, even after symptoms settle.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treatment, remove and disinfect dentures overnight and do not wear an unclean denture over infected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correct the precipitant — glycaemic control, inhaler technique, antibiotic review, or treatment of dry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if swallowing becomes painful or difficult, or if the infection recurs, so oesophageal spread or an underlying cause can be assessed.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oral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stomatitis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physical activity to support glycaemic control and general immune function, which indirectly lowers candidiasis risk in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activity with weight and blood-sugar management in metabolic-syndrome and prediabetic individuals.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at-risk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frequent refined-sugar and sugary-drink intake, which raises salivary glucose and feeds candidal biofilm.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iron-, B12- and folate-rich balanced diet (green leafy vegetables, pulses, dairy, eggs) to keep the oral mucosa healthy.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Rinse the mouth after sugary or sticky foods and maintain good hydration to support salivary flow.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sugar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Nutritionally deficient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acute infection take a soft, bland, non-irritant diet and avoid very hot, spicy or acidic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any documented iron, B12 or folate deficiency to help clear atrophic candidiasis and angular cheilitis.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Unsweetened curd/probiotics may support recovery of a healthy oral flora alongside antifungal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candidiasis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Angular cheilitis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 deficient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regular sleep (7–9 hours) to support normal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sleep disruption from chronic illness that can compound immune vulnerability.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Immunocompromised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Chronically ill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smokeless tobacco and areca-nut/gutka use, which raise candidal carriage and mucosal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and counselling; screen tobacco/areca users for oral submucous fibrosis and potentially malignant lesions.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&amp; areca-nut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OSMF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dries the mucosa, alters oral flora and impairs immunity and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combined heavy alcohol and tobacco use, which together worsen mucosal damage and malignancy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tobacco-and-alcohol users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oral self-care and nutrition in people with depression or cognitive impairment, in whom hygiene is often neglected.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psychotropic and anticholinergic drugs that cause dry mouth, and manage xerostomia proactively.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anticholinergic/psychotropic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Institutionalised elderly</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45282/" TargetMode="External"/><Relationship Id="rId10" Type="http://schemas.openxmlformats.org/officeDocument/2006/relationships/hyperlink" Target="https://pubmed.ncbi.nlm.nih.gov/34318770/" TargetMode="External"/><Relationship Id="rId11" Type="http://schemas.openxmlformats.org/officeDocument/2006/relationships/hyperlink" Target="https://pubmed.ncbi.nlm.nih.gov/34703123/" TargetMode="External"/><Relationship Id="rId12" Type="http://schemas.openxmlformats.org/officeDocument/2006/relationships/hyperlink" Target="https://pubmed.ncbi.nlm.nih.gov/30906728/" TargetMode="External"/><Relationship Id="rId13" Type="http://schemas.openxmlformats.org/officeDocument/2006/relationships/hyperlink" Target="https://pubmed.ncbi.nlm.nih.gov/9715634/" TargetMode="External"/><Relationship Id="rId14" Type="http://schemas.openxmlformats.org/officeDocument/2006/relationships/hyperlink" Target="https://pubmed.ncbi.nlm.nih.gov/25426899/" TargetMode="External"/><Relationship Id="rId15" Type="http://schemas.openxmlformats.org/officeDocument/2006/relationships/hyperlink" Target="https://pubmed.ncbi.nlm.nih.gov/36110628/" TargetMode="External"/><Relationship Id="rId16" Type="http://schemas.openxmlformats.org/officeDocument/2006/relationships/hyperlink" Target="https://pubmed.ncbi.nlm.nih.gov/36387671/" TargetMode="External"/><Relationship Id="rId17" Type="http://schemas.openxmlformats.org/officeDocument/2006/relationships/hyperlink" Target="https://pubmed.ncbi.nlm.nih.gov/35229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