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Oral Lichen Planus</w:t>
      </w:r>
    </w:p>
    <w:p>
      <w:pPr>
        <w:spacing w:before="0" w:after="160"/>
      </w:pPr>
      <w:r>
        <w:rPr>
          <w:rFonts w:ascii="Calibri" w:hAnsi="Calibri"/>
          <w:b/>
          <w:i w:val="0"/>
          <w:color w:val="212121"/>
          <w:sz w:val="22"/>
        </w:rPr>
        <w:t xml:space="preserve">AKA </w:t>
      </w:r>
      <w:r>
        <w:rPr>
          <w:rFonts w:ascii="Calibri" w:hAnsi="Calibri"/>
          <w:b w:val="0"/>
          <w:i w:val="0"/>
          <w:color w:val="212121"/>
          <w:sz w:val="22"/>
        </w:rPr>
        <w:t>i.e., OLP; Oral mucosal lichen planus; (erosive variant) Erosive/ulcerative lichen planus; related: Oral lichenoid lesions / reactions</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Oral lichen planus (OLP) is a chronic, T-cell–mediated inflammatory disorder of the oral mucosa characterised by bilateral, often symmetrical white reticular (lacy) striae — Wickham striae — with atrophic, erosive, plaque, papular or bullous variants. It is the mucosal counterpart of cutaneous lichen planus, follows a relapsing–remitting course over many years, and is classified as an oral potentially malignant disorder (OPMD) because a small proportion of lesions progress to oral squamous cell carcinoma.</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Oral lichen planus affects roughly 1–2% of adults (pooled estimates around 0.9–1%), with a female predominance (about 1.4:1 to 2:1) and peak onset in the fourth to sixth decades of life. In India — where smoked and smokeless tobacco, areca nut and betel-quid use are widespread and the oral-cancer burden is among the highest in the world — OLP is one of the more commonly encountered oral potentially malignant disorders in oral-medicine practice, so recognition and lifelong surveillance are clinically important.</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Oral lichen planus is a clinico-pathological diagnosis. Characteristic bilateral lesions are recognised clinically and confirmed — where atypical, unilateral or to exclude dysplasia/malignancy — by biopsy:</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Bilateral, more-or-less symmetrical white reticular lesions (Wickham striae), with or without atrophic, erosive, plaque or bullous components, involving the oral mucosa (modified WHO clinical criteria);</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Incisional biopsy showing a band-like (lichenoid) lymphocytic infiltrate confined to the superficial lamina propria, basal-cell liquefactive (hydropic) degeneration and Civatte (apoptotic) bodies, without epithelial dysplasia;</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Direct immunofluorescence showing shaggy fibrinogen deposition along the basement-membrane zone (negative for immunoglobulins and complement), helping to exclude autoimmune vesiculobullous disease;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Exclusion of a lichenoid drug reaction, oral lichenoid contact lesion (dental amalgam / flavouring agents), lupus erythematosus and graft-versus-host disease by history, drug review and clinico-pathological correlation;</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Any persistent solitary, indurated, non-healing or rapidly changing red/white lesion or ulcer should be (re-)biopsied to exclude oral squamous cell carcinoma.</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Oral lichen planus is classified by clinical morphology; several forms frequently coexist in the same patient, and the atrophic/erosive types are the most symptomatic and carry the greatest malignant-transformation risk:</w:t>
      </w:r>
    </w:p>
    <w:p>
      <w:pPr>
        <w:spacing w:before="0" w:after="80"/>
      </w:pPr>
      <w:r>
        <w:rPr>
          <w:rFonts w:ascii="Calibri" w:hAnsi="Calibri"/>
          <w:b w:val="0"/>
          <w:i w:val="0"/>
          <w:color w:val="212121"/>
          <w:sz w:val="21"/>
        </w:rPr>
        <w:t>(1) Reticular — the commonest form: asymptomatic interlacing white keratotic lines (Wickham striae), typically bilateral on the buccal mucosa;</w:t>
      </w:r>
    </w:p>
    <w:p>
      <w:pPr>
        <w:spacing w:before="0" w:after="80"/>
      </w:pPr>
      <w:r>
        <w:rPr>
          <w:rFonts w:ascii="Calibri" w:hAnsi="Calibri"/>
          <w:b w:val="0"/>
          <w:i w:val="0"/>
          <w:color w:val="212121"/>
          <w:sz w:val="21"/>
        </w:rPr>
        <w:t>(2) Papular — small white pinpoint papules, often admixed with reticular striae;</w:t>
      </w:r>
    </w:p>
    <w:p>
      <w:pPr>
        <w:spacing w:before="0" w:after="80"/>
      </w:pPr>
      <w:r>
        <w:rPr>
          <w:rFonts w:ascii="Calibri" w:hAnsi="Calibri"/>
          <w:b w:val="0"/>
          <w:i w:val="0"/>
          <w:color w:val="212121"/>
          <w:sz w:val="21"/>
        </w:rPr>
        <w:t>(3) Plaque-like — homogeneous white plaques resembling leukoplakia, favouring the dorsum of the tongue and seen more often in smokers;</w:t>
      </w:r>
    </w:p>
    <w:p>
      <w:pPr>
        <w:spacing w:before="0" w:after="80"/>
      </w:pPr>
      <w:r>
        <w:rPr>
          <w:rFonts w:ascii="Calibri" w:hAnsi="Calibri"/>
          <w:b w:val="0"/>
          <w:i w:val="0"/>
          <w:color w:val="212121"/>
          <w:sz w:val="21"/>
        </w:rPr>
        <w:t>(4) Atrophic (erythematous) — red, thinned mucosa with peripheral striae, frequently presenting as desquamative gingivitis;</w:t>
      </w:r>
    </w:p>
    <w:p>
      <w:pPr>
        <w:spacing w:before="0" w:after="80"/>
      </w:pPr>
      <w:r>
        <w:rPr>
          <w:rFonts w:ascii="Calibri" w:hAnsi="Calibri"/>
          <w:b w:val="0"/>
          <w:i w:val="0"/>
          <w:color w:val="212121"/>
          <w:sz w:val="21"/>
        </w:rPr>
        <w:t>(5) Erosive / ulcerative — painful erosions and ulcers with radiating peripheral striae; the most symptomatic form and the one most associated with malignant change; and</w:t>
      </w:r>
    </w:p>
    <w:p>
      <w:pPr>
        <w:spacing w:before="0" w:after="80"/>
      </w:pPr>
      <w:r>
        <w:rPr>
          <w:rFonts w:ascii="Calibri" w:hAnsi="Calibri"/>
          <w:b w:val="0"/>
          <w:i w:val="0"/>
          <w:color w:val="212121"/>
          <w:sz w:val="21"/>
        </w:rPr>
        <w:t>(6) Bullous — the rarest form, with fluid-filled blisters that rupture into erosions. (Oral lichenoid lesions — drug-, contact- and GVHD-related — are clinically and histologically similar but are distinct entities driven by an identifiable trigger.)</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Immune dysregulation: A cell-mediated (predominantly CD8+ cytotoxic T-cell) response against basal keratinocytes drives the chronic mucosal inflammation of OLP.</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Genetic predisposition: HLA-linked susceptibility and a family history of lichen planus or autoimmune disease increase risk.</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Viral / microbial association: Hepatitis C virus and dysbiosis of the oral microbiome are linked to OLP, particularly in HCV-endemic regions.</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Contact and drug triggers: Dental amalgam and flavouring agents (oral lichenoid contact lesions) and drugs such as antihypertensives, NSAIDs, antimalarials and gold can induce lichenoid reactions.</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Mechanical trauma: Sharp cusps, ill-fitting dentures and poor oral hygiene provoke Koebnerisation at sites of chronic friction.</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Psychological stress: Anxiety, depression and chronic stress precipitate and exacerbate flares through neuro-immune pathways.</w:t>
      </w:r>
    </w:p>
    <w:p>
      <w:pPr>
        <w:spacing w:after="60"/>
        <w:ind w:left="432" w:hanging="288"/>
      </w:pPr>
      <w:r>
        <w:rPr>
          <w:rFonts w:ascii="Calibri" w:hAnsi="Calibri"/>
          <w:b/>
          <w:i w:val="0"/>
          <w:color w:val="212121"/>
          <w:sz w:val="21"/>
        </w:rPr>
        <w:t xml:space="preserve">7. </w:t>
      </w:r>
      <w:r>
        <w:rPr>
          <w:rFonts w:ascii="Calibri" w:hAnsi="Calibri"/>
          <w:b w:val="0"/>
          <w:i w:val="0"/>
          <w:color w:val="212121"/>
          <w:sz w:val="21"/>
        </w:rPr>
        <w:t>Systemic modifiers: Thyroid autoimmunity, diabetes and hypertension (Grinspan syndrome) and micronutrient status (e.g., vitamin D) influence disease expression.</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Adults (30–60 years)</w:t>
            </w:r>
          </w:p>
        </w:tc>
        <w:tc>
          <w:tcPr>
            <w:tcW w:type="dxa" w:w="4276"/>
            <w:vAlign w:val="top"/>
          </w:tcPr>
          <w:p>
            <w:pPr>
              <w:spacing w:after="60" w:line="259" w:lineRule="auto"/>
            </w:pPr>
            <w:r>
              <w:rPr>
                <w:rFonts w:ascii="Calibri" w:hAnsi="Calibri"/>
                <w:b w:val="0"/>
                <w:i w:val="0"/>
                <w:color w:val="212121"/>
                <w:sz w:val="19"/>
              </w:rPr>
              <w:t>Peak onset is in middle age, when cumulative antigenic, mechanical and psychological exposures meet a susceptible cell-mediated immune response against basal keratinocytes.</w:t>
            </w:r>
          </w:p>
          <w:p>
            <w:pPr>
              <w:spacing w:after="40" w:before="60" w:line="259" w:lineRule="auto"/>
            </w:pPr>
            <w:r>
              <w:rPr>
                <w:rFonts w:ascii="Calibri" w:hAnsi="Calibri"/>
                <w:b w:val="0"/>
                <w:i w:val="0"/>
                <w:color w:val="212121"/>
                <w:sz w:val="19"/>
              </w:rPr>
              <w:t>OLP typically presents after age 45, with average diagnosis between 50 and 60 years.</w:t>
            </w:r>
          </w:p>
          <w:p>
            <w:pPr>
              <w:spacing w:after="40" w:line="252" w:lineRule="auto"/>
            </w:pPr>
            <w:hyperlink r:id="rId9">
              <w:r>
                <w:rPr>
                  <w:rFonts w:ascii="Calibri" w:hAnsi="Calibri" w:cs="Calibri"/>
                  <w:sz w:val="18"/>
                  <w:color w:val="1155CC"/>
                  <w:u w:val="single"/>
                </w:rPr>
                <w:t xml:space="preserve">dermnetnz.org — oral lichen planus</w:t>
              </w:r>
            </w:hyperlink>
          </w:p>
          <w:p>
            <w:pPr>
              <w:spacing w:before="60" w:after="40"/>
            </w:pPr>
            <w:r>
              <w:rPr>
                <w:rFonts w:ascii="Calibri" w:hAnsi="Calibri"/>
                <w:b w:val="0"/>
                <w:i w:val="0"/>
                <w:color w:val="5A5A5A"/>
                <w:sz w:val="18"/>
              </w:rPr>
              <w:t>#olp  #middleage  #wickham  #opmd</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 (&gt;60 years)</w:t>
            </w:r>
          </w:p>
        </w:tc>
        <w:tc>
          <w:tcPr>
            <w:tcW w:type="dxa" w:w="4276"/>
            <w:vAlign w:val="top"/>
          </w:tcPr>
          <w:p>
            <w:pPr>
              <w:spacing w:after="60" w:line="259" w:lineRule="auto"/>
            </w:pPr>
            <w:r>
              <w:rPr>
                <w:rFonts w:ascii="Calibri" w:hAnsi="Calibri"/>
                <w:b w:val="0"/>
                <w:i w:val="0"/>
                <w:color w:val="212121"/>
                <w:sz w:val="19"/>
              </w:rPr>
              <w:t>Longer disease duration, a higher proportion of erosive/atrophic disease, polypharmacy (lichenoid drug reactions) and cumulative carcinogen exposure raise the malignant-transformation risk.</w:t>
            </w:r>
          </w:p>
          <w:p>
            <w:pPr>
              <w:spacing w:after="40" w:before="60" w:line="259" w:lineRule="auto"/>
            </w:pPr>
            <w:r>
              <w:rPr>
                <w:rFonts w:ascii="Calibri" w:hAnsi="Calibri"/>
                <w:b w:val="0"/>
                <w:i w:val="0"/>
                <w:color w:val="212121"/>
                <w:sz w:val="19"/>
              </w:rPr>
              <w:t>OLP most often presents in the 5th–6th decades of life; malignant transformation risk rises with erosive/atrophic disease and age.</w:t>
            </w:r>
          </w:p>
          <w:p>
            <w:pPr>
              <w:spacing w:after="40" w:line="252" w:lineRule="auto"/>
            </w:pPr>
            <w:hyperlink r:id="rId10">
              <w:r>
                <w:rPr>
                  <w:rFonts w:ascii="Calibri" w:hAnsi="Calibri" w:cs="Calibri"/>
                  <w:sz w:val="18"/>
                  <w:color w:val="1155CC"/>
                  <w:u w:val="single"/>
                </w:rPr>
                <w:t xml:space="preserve">ncbi.nlm.nih.gov — StatPearls: Oral Lichen Planus</w:t>
              </w:r>
            </w:hyperlink>
          </w:p>
          <w:p>
            <w:pPr>
              <w:spacing w:before="60" w:after="40"/>
            </w:pPr>
            <w:r>
              <w:rPr>
                <w:rFonts w:ascii="Calibri" w:hAnsi="Calibri"/>
                <w:b w:val="0"/>
                <w:i w:val="0"/>
                <w:color w:val="5A5A5A"/>
                <w:sz w:val="18"/>
              </w:rPr>
              <w:t>#elderly  #erosive  #polypharmacy  #malignantrisk</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Women (peri-/post-menopausal)</w:t>
            </w:r>
          </w:p>
        </w:tc>
        <w:tc>
          <w:tcPr>
            <w:tcW w:type="dxa" w:w="4276"/>
            <w:vAlign w:val="top"/>
          </w:tcPr>
          <w:p>
            <w:pPr>
              <w:spacing w:after="60" w:line="259" w:lineRule="auto"/>
            </w:pPr>
            <w:r>
              <w:rPr>
                <w:rFonts w:ascii="Calibri" w:hAnsi="Calibri"/>
                <w:b w:val="0"/>
                <w:i w:val="0"/>
                <w:color w:val="212121"/>
                <w:sz w:val="19"/>
              </w:rPr>
              <w:t>Female predominance is consistent across studies, reflecting hormonal influences and greater susceptibility to cell-mediated autoimmune conditions.</w:t>
            </w:r>
          </w:p>
          <w:p>
            <w:pPr>
              <w:spacing w:after="40" w:before="60" w:line="259" w:lineRule="auto"/>
            </w:pPr>
            <w:r>
              <w:rPr>
                <w:rFonts w:ascii="Calibri" w:hAnsi="Calibri"/>
                <w:b w:val="0"/>
                <w:i w:val="0"/>
                <w:color w:val="212121"/>
                <w:sz w:val="19"/>
              </w:rPr>
              <w:t>Women are affected roughly twice as often as men, with a peak in the 5th–6th decades.</w:t>
            </w:r>
          </w:p>
          <w:p>
            <w:pPr>
              <w:spacing w:after="40" w:line="252" w:lineRule="auto"/>
            </w:pPr>
            <w:hyperlink r:id="rId10">
              <w:r>
                <w:rPr>
                  <w:rFonts w:ascii="Calibri" w:hAnsi="Calibri" w:cs="Calibri"/>
                  <w:sz w:val="18"/>
                  <w:color w:val="1155CC"/>
                  <w:u w:val="single"/>
                </w:rPr>
                <w:t xml:space="preserve">ncbi.nlm.nih.gov — StatPearls: Oral Lichen Planus</w:t>
              </w:r>
            </w:hyperlink>
          </w:p>
          <w:p>
            <w:pPr>
              <w:spacing w:before="60" w:after="40"/>
            </w:pPr>
            <w:r>
              <w:rPr>
                <w:rFonts w:ascii="Calibri" w:hAnsi="Calibri"/>
                <w:b w:val="0"/>
                <w:i w:val="0"/>
                <w:color w:val="5A5A5A"/>
                <w:sz w:val="18"/>
              </w:rPr>
              <w:t>#female  #menopause  #autoimmune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Lower-income tobacco / areca users</w:t>
            </w:r>
          </w:p>
        </w:tc>
        <w:tc>
          <w:tcPr>
            <w:tcW w:type="dxa" w:w="4276"/>
            <w:vAlign w:val="top"/>
          </w:tcPr>
          <w:p>
            <w:pPr>
              <w:spacing w:after="60" w:line="259" w:lineRule="auto"/>
            </w:pPr>
            <w:r>
              <w:rPr>
                <w:rFonts w:ascii="Calibri" w:hAnsi="Calibri"/>
                <w:b w:val="0"/>
                <w:i w:val="0"/>
                <w:color w:val="212121"/>
                <w:sz w:val="19"/>
              </w:rPr>
              <w:t>Higher exposure to smoked and smokeless tobacco, areca nut and betel quid, together with poorer access to oral care, increases the burden of oral potentially malignant disorders and the risk of transformation.</w:t>
            </w:r>
          </w:p>
          <w:p>
            <w:pPr>
              <w:spacing w:after="40" w:before="60" w:line="259" w:lineRule="auto"/>
            </w:pPr>
            <w:r>
              <w:rPr>
                <w:rFonts w:ascii="Calibri" w:hAnsi="Calibri"/>
                <w:b w:val="0"/>
                <w:i w:val="0"/>
                <w:color w:val="212121"/>
                <w:sz w:val="19"/>
              </w:rPr>
              <w:t>Tobacco, alcohol and areca nut (betel quid) are among the leading causes of oral cancer, which caused an estimated 188,438 deaths globally in 2022.</w:t>
            </w:r>
          </w:p>
          <w:p>
            <w:pPr>
              <w:spacing w:after="40" w:line="252" w:lineRule="auto"/>
            </w:pPr>
            <w:hyperlink r:id="rId11">
              <w:r>
                <w:rPr>
                  <w:rFonts w:ascii="Calibri" w:hAnsi="Calibri" w:cs="Calibri"/>
                  <w:sz w:val="18"/>
                  <w:color w:val="1155CC"/>
                  <w:u w:val="single"/>
                </w:rPr>
                <w:t xml:space="preserve">who.int — oral health fact sheet</w:t>
              </w:r>
            </w:hyperlink>
          </w:p>
          <w:p>
            <w:pPr>
              <w:spacing w:before="60" w:after="40"/>
            </w:pPr>
            <w:r>
              <w:rPr>
                <w:rFonts w:ascii="Calibri" w:hAnsi="Calibri"/>
                <w:b w:val="0"/>
                <w:i w:val="0"/>
                <w:color w:val="5A5A5A"/>
                <w:sz w:val="18"/>
              </w:rPr>
              <w:t>#tobacco  #arecanut  #accesstocare  #opmd</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Ethnicity / Region</w:t>
            </w:r>
          </w:p>
        </w:tc>
        <w:tc>
          <w:tcPr>
            <w:tcW w:type="dxa" w:w="2160"/>
            <w:vAlign w:val="top"/>
          </w:tcPr>
          <w:p>
            <w:pPr>
              <w:spacing w:after="40" w:before="0" w:line="259" w:lineRule="auto"/>
            </w:pPr>
            <w:r>
              <w:rPr>
                <w:rFonts w:ascii="Calibri" w:hAnsi="Calibri"/>
                <w:b w:val="0"/>
                <w:i w:val="0"/>
                <w:color w:val="212121"/>
                <w:sz w:val="19"/>
              </w:rPr>
              <w:t>Indian &amp; South Asian populations</w:t>
            </w:r>
          </w:p>
        </w:tc>
        <w:tc>
          <w:tcPr>
            <w:tcW w:type="dxa" w:w="4276"/>
            <w:vAlign w:val="top"/>
          </w:tcPr>
          <w:p>
            <w:pPr>
              <w:spacing w:after="60" w:line="259" w:lineRule="auto"/>
            </w:pPr>
            <w:r>
              <w:rPr>
                <w:rFonts w:ascii="Calibri" w:hAnsi="Calibri"/>
                <w:b w:val="0"/>
                <w:i w:val="0"/>
                <w:color w:val="212121"/>
                <w:sz w:val="19"/>
              </w:rPr>
              <w:t>Widespread smokeless-tobacco, areca-nut and betel-quid chewing create a very high regional burden of oral potentially malignant disorders and oral cancer, against which vigilant OLP surveillance is important.</w:t>
            </w:r>
          </w:p>
          <w:p>
            <w:pPr>
              <w:spacing w:after="40" w:before="60" w:line="259" w:lineRule="auto"/>
            </w:pPr>
            <w:r>
              <w:rPr>
                <w:rFonts w:ascii="Calibri" w:hAnsi="Calibri"/>
                <w:b w:val="0"/>
                <w:i w:val="0"/>
                <w:color w:val="212121"/>
                <w:sz w:val="19"/>
              </w:rPr>
              <w:t>There were an estimated 389,846 new oral-cancer cases globally in 2022, with tobacco, alcohol and areca nut (betel quid) among the leading causes.</w:t>
            </w:r>
          </w:p>
          <w:p>
            <w:pPr>
              <w:spacing w:after="40" w:line="252" w:lineRule="auto"/>
            </w:pPr>
            <w:hyperlink r:id="rId11">
              <w:r>
                <w:rPr>
                  <w:rFonts w:ascii="Calibri" w:hAnsi="Calibri" w:cs="Calibri"/>
                  <w:sz w:val="18"/>
                  <w:color w:val="1155CC"/>
                  <w:u w:val="single"/>
                </w:rPr>
                <w:t xml:space="preserve">who.int — oral health fact sheet</w:t>
              </w:r>
            </w:hyperlink>
          </w:p>
          <w:p>
            <w:pPr>
              <w:spacing w:before="60" w:after="40"/>
            </w:pPr>
            <w:r>
              <w:rPr>
                <w:rFonts w:ascii="Calibri" w:hAnsi="Calibri"/>
                <w:b w:val="0"/>
                <w:i w:val="0"/>
                <w:color w:val="5A5A5A"/>
                <w:sz w:val="18"/>
              </w:rPr>
              <w:t>#india  #southasia  #betelquid  #oralcancerburden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Local habits</w:t>
            </w:r>
          </w:p>
        </w:tc>
        <w:tc>
          <w:tcPr>
            <w:tcW w:type="dxa" w:w="2160"/>
            <w:vAlign w:val="top"/>
          </w:tcPr>
          <w:p>
            <w:pPr>
              <w:spacing w:after="40" w:before="0" w:line="259" w:lineRule="auto"/>
            </w:pPr>
            <w:r>
              <w:rPr>
                <w:rFonts w:ascii="Calibri" w:hAnsi="Calibri"/>
                <w:b w:val="0"/>
                <w:i w:val="0"/>
                <w:color w:val="212121"/>
                <w:sz w:val="19"/>
              </w:rPr>
              <w:t>Rural tobacco-belt / gutka-chewing communities</w:t>
            </w:r>
          </w:p>
        </w:tc>
        <w:tc>
          <w:tcPr>
            <w:tcW w:type="dxa" w:w="4276"/>
            <w:vAlign w:val="top"/>
          </w:tcPr>
          <w:p>
            <w:pPr>
              <w:spacing w:after="60" w:line="259" w:lineRule="auto"/>
            </w:pPr>
            <w:r>
              <w:rPr>
                <w:rFonts w:ascii="Calibri" w:hAnsi="Calibri"/>
                <w:b w:val="0"/>
                <w:i w:val="0"/>
                <w:color w:val="212121"/>
                <w:sz w:val="19"/>
              </w:rPr>
              <w:t>Chronic contact of smokeless tobacco, areca nut and slaked lime with the buccal mucosa perpetuates keratosis and lichenoid/OPMD lesions that overlap clinically with OLP and need biopsy to distinguish.</w:t>
            </w:r>
          </w:p>
          <w:p>
            <w:pPr>
              <w:spacing w:after="40" w:before="60" w:line="259" w:lineRule="auto"/>
            </w:pPr>
            <w:r>
              <w:rPr>
                <w:rFonts w:ascii="Calibri" w:hAnsi="Calibri"/>
                <w:b w:val="0"/>
                <w:i w:val="0"/>
                <w:color w:val="212121"/>
                <w:sz w:val="19"/>
              </w:rPr>
              <w:t>Stopping all forms of tobacco, including areca-nut chewing, is a core WHO recommendation for preventing oral cancer.</w:t>
            </w:r>
          </w:p>
          <w:p>
            <w:pPr>
              <w:spacing w:after="40" w:line="252" w:lineRule="auto"/>
            </w:pPr>
            <w:hyperlink r:id="rId11">
              <w:r>
                <w:rPr>
                  <w:rFonts w:ascii="Calibri" w:hAnsi="Calibri" w:cs="Calibri"/>
                  <w:sz w:val="18"/>
                  <w:color w:val="1155CC"/>
                  <w:u w:val="single"/>
                </w:rPr>
                <w:t xml:space="preserve">who.int — oral health fact sheet</w:t>
              </w:r>
            </w:hyperlink>
          </w:p>
          <w:p>
            <w:pPr>
              <w:spacing w:before="60" w:after="40"/>
            </w:pPr>
            <w:r>
              <w:rPr>
                <w:rFonts w:ascii="Calibri" w:hAnsi="Calibri"/>
                <w:b w:val="0"/>
                <w:i w:val="0"/>
                <w:color w:val="5A5A5A"/>
                <w:sz w:val="18"/>
              </w:rPr>
              <w:t>#gutka  #smokelesstobacco  #rural  #mucosalkeratosis</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Smoking / Tobacco</w:t>
            </w:r>
          </w:p>
        </w:tc>
        <w:tc>
          <w:tcPr>
            <w:tcW w:type="dxa" w:w="2160"/>
            <w:vAlign w:val="top"/>
          </w:tcPr>
          <w:p>
            <w:pPr>
              <w:spacing w:after="40" w:before="0" w:line="259" w:lineRule="auto"/>
            </w:pPr>
            <w:r>
              <w:rPr>
                <w:rFonts w:ascii="Calibri" w:hAnsi="Calibri"/>
                <w:b w:val="0"/>
                <w:i w:val="0"/>
                <w:color w:val="212121"/>
                <w:sz w:val="19"/>
              </w:rPr>
              <w:t>Smokers &amp; smokeless-tobacco users</w:t>
            </w:r>
          </w:p>
        </w:tc>
        <w:tc>
          <w:tcPr>
            <w:tcW w:type="dxa" w:w="4276"/>
            <w:vAlign w:val="top"/>
          </w:tcPr>
          <w:p>
            <w:pPr>
              <w:spacing w:after="60" w:line="259" w:lineRule="auto"/>
            </w:pPr>
            <w:r>
              <w:rPr>
                <w:rFonts w:ascii="Calibri" w:hAnsi="Calibri"/>
                <w:b w:val="0"/>
                <w:i w:val="0"/>
                <w:color w:val="212121"/>
                <w:sz w:val="19"/>
              </w:rPr>
              <w:t>Tobacco is linked to plaque-type OLP and accelerates malignant transformation through chronic carcinogen exposure and mucosal keratinocyte damage.</w:t>
            </w:r>
          </w:p>
          <w:p>
            <w:pPr>
              <w:spacing w:after="40" w:before="60" w:line="259" w:lineRule="auto"/>
            </w:pPr>
            <w:r>
              <w:rPr>
                <w:rFonts w:ascii="Calibri" w:hAnsi="Calibri"/>
                <w:b w:val="0"/>
                <w:i w:val="0"/>
                <w:color w:val="212121"/>
                <w:sz w:val="19"/>
              </w:rPr>
              <w:t>Plaque-type OLP is usually seen in smokers, and malignant-transformation risk increases with smoking.</w:t>
            </w:r>
          </w:p>
          <w:p>
            <w:pPr>
              <w:spacing w:after="40" w:line="252" w:lineRule="auto"/>
            </w:pPr>
            <w:hyperlink r:id="rId10">
              <w:r>
                <w:rPr>
                  <w:rFonts w:ascii="Calibri" w:hAnsi="Calibri" w:cs="Calibri"/>
                  <w:sz w:val="18"/>
                  <w:color w:val="1155CC"/>
                  <w:u w:val="single"/>
                </w:rPr>
                <w:t xml:space="preserve">ncbi.nlm.nih.gov — StatPearls: Oral Lichen Planus</w:t>
              </w:r>
            </w:hyperlink>
          </w:p>
          <w:p>
            <w:pPr>
              <w:spacing w:before="60" w:after="40"/>
            </w:pPr>
            <w:r>
              <w:rPr>
                <w:rFonts w:ascii="Calibri" w:hAnsi="Calibri"/>
                <w:b w:val="0"/>
                <w:i w:val="0"/>
                <w:color w:val="5A5A5A"/>
                <w:sz w:val="18"/>
              </w:rPr>
              <w:t>#smoking  #plaquetype  #carcinogen  #transformation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Alcohol</w:t>
            </w:r>
          </w:p>
        </w:tc>
        <w:tc>
          <w:tcPr>
            <w:tcW w:type="dxa" w:w="2160"/>
            <w:vAlign w:val="top"/>
          </w:tcPr>
          <w:p>
            <w:pPr>
              <w:spacing w:after="40" w:before="0" w:line="259" w:lineRule="auto"/>
            </w:pPr>
            <w:r>
              <w:rPr>
                <w:rFonts w:ascii="Calibri" w:hAnsi="Calibri"/>
                <w:b w:val="0"/>
                <w:i w:val="0"/>
                <w:color w:val="212121"/>
                <w:sz w:val="19"/>
              </w:rPr>
              <w:t>Regular / heavy drinkers</w:t>
            </w:r>
          </w:p>
        </w:tc>
        <w:tc>
          <w:tcPr>
            <w:tcW w:type="dxa" w:w="4276"/>
            <w:vAlign w:val="top"/>
          </w:tcPr>
          <w:p>
            <w:pPr>
              <w:spacing w:after="60" w:line="259" w:lineRule="auto"/>
            </w:pPr>
            <w:r>
              <w:rPr>
                <w:rFonts w:ascii="Calibri" w:hAnsi="Calibri"/>
                <w:b w:val="0"/>
                <w:i w:val="0"/>
                <w:color w:val="212121"/>
                <w:sz w:val="19"/>
              </w:rPr>
              <w:t>Alcohol is an independent driver of malignant transformation in OLP and directly irritates and thins the atrophic/erosive mucosa.</w:t>
            </w:r>
          </w:p>
          <w:p>
            <w:pPr>
              <w:spacing w:after="40" w:before="60" w:line="259" w:lineRule="auto"/>
            </w:pPr>
            <w:r>
              <w:rPr>
                <w:rFonts w:ascii="Calibri" w:hAnsi="Calibri"/>
                <w:b w:val="0"/>
                <w:i w:val="0"/>
                <w:color w:val="212121"/>
                <w:sz w:val="19"/>
              </w:rPr>
              <w:t>Malignant-transformation risk in OLP increases with alcohol use (alongside smoking and HCV).</w:t>
            </w:r>
          </w:p>
          <w:p>
            <w:pPr>
              <w:spacing w:after="40" w:line="252" w:lineRule="auto"/>
            </w:pPr>
            <w:hyperlink r:id="rId10">
              <w:r>
                <w:rPr>
                  <w:rFonts w:ascii="Calibri" w:hAnsi="Calibri" w:cs="Calibri"/>
                  <w:sz w:val="18"/>
                  <w:color w:val="1155CC"/>
                  <w:u w:val="single"/>
                </w:rPr>
                <w:t xml:space="preserve">ncbi.nlm.nih.gov — StatPearls: Oral Lichen Planus</w:t>
              </w:r>
            </w:hyperlink>
          </w:p>
          <w:p>
            <w:pPr>
              <w:spacing w:before="60" w:after="40"/>
            </w:pPr>
            <w:r>
              <w:rPr>
                <w:rFonts w:ascii="Calibri" w:hAnsi="Calibri"/>
                <w:b w:val="0"/>
                <w:i w:val="0"/>
                <w:color w:val="5A5A5A"/>
                <w:sz w:val="18"/>
              </w:rPr>
              <w:t>#alcohol  #mucosalirritation  #transformation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Areca nut / Betel quid</w:t>
            </w:r>
          </w:p>
        </w:tc>
        <w:tc>
          <w:tcPr>
            <w:tcW w:type="dxa" w:w="2160"/>
            <w:vAlign w:val="top"/>
          </w:tcPr>
          <w:p>
            <w:pPr>
              <w:spacing w:after="40" w:before="0" w:line="259" w:lineRule="auto"/>
            </w:pPr>
            <w:r>
              <w:rPr>
                <w:rFonts w:ascii="Calibri" w:hAnsi="Calibri"/>
                <w:b w:val="0"/>
                <w:i w:val="0"/>
                <w:color w:val="212121"/>
                <w:sz w:val="19"/>
              </w:rPr>
              <w:t>Areca-nut &amp; betel-quid chewers</w:t>
            </w:r>
          </w:p>
        </w:tc>
        <w:tc>
          <w:tcPr>
            <w:tcW w:type="dxa" w:w="4276"/>
            <w:vAlign w:val="top"/>
          </w:tcPr>
          <w:p>
            <w:pPr>
              <w:spacing w:after="60" w:line="259" w:lineRule="auto"/>
            </w:pPr>
            <w:r>
              <w:rPr>
                <w:rFonts w:ascii="Calibri" w:hAnsi="Calibri"/>
                <w:b w:val="0"/>
                <w:i w:val="0"/>
                <w:color w:val="212121"/>
                <w:sz w:val="19"/>
              </w:rPr>
              <w:t>Areca alkaloids and slaked lime cause chronic mucosal injury and fibrosis and are a major driver of oral potentially malignant disorders in South Asia.</w:t>
            </w:r>
          </w:p>
          <w:p>
            <w:pPr>
              <w:spacing w:after="40" w:before="60" w:line="259" w:lineRule="auto"/>
            </w:pPr>
            <w:r>
              <w:rPr>
                <w:rFonts w:ascii="Calibri" w:hAnsi="Calibri"/>
                <w:b w:val="0"/>
                <w:i w:val="0"/>
                <w:color w:val="212121"/>
                <w:sz w:val="19"/>
              </w:rPr>
              <w:t>Areca nut (betel quid) is named by WHO among the leading causes of oral cancer.</w:t>
            </w:r>
          </w:p>
          <w:p>
            <w:pPr>
              <w:spacing w:after="40" w:line="252" w:lineRule="auto"/>
            </w:pPr>
            <w:hyperlink r:id="rId11">
              <w:r>
                <w:rPr>
                  <w:rFonts w:ascii="Calibri" w:hAnsi="Calibri" w:cs="Calibri"/>
                  <w:sz w:val="18"/>
                  <w:color w:val="1155CC"/>
                  <w:u w:val="single"/>
                </w:rPr>
                <w:t xml:space="preserve">who.int — oral health fact sheet</w:t>
              </w:r>
            </w:hyperlink>
          </w:p>
          <w:p>
            <w:pPr>
              <w:spacing w:before="60" w:after="40"/>
            </w:pPr>
            <w:r>
              <w:rPr>
                <w:rFonts w:ascii="Calibri" w:hAnsi="Calibri"/>
                <w:b w:val="0"/>
                <w:i w:val="0"/>
                <w:color w:val="5A5A5A"/>
                <w:sz w:val="18"/>
              </w:rPr>
              <w:t>#arecanut  #betelquid  #opmd  #india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Psychological stress</w:t>
            </w:r>
          </w:p>
        </w:tc>
        <w:tc>
          <w:tcPr>
            <w:tcW w:type="dxa" w:w="2160"/>
            <w:vAlign w:val="top"/>
          </w:tcPr>
          <w:p>
            <w:pPr>
              <w:spacing w:after="40" w:before="0" w:line="259" w:lineRule="auto"/>
            </w:pPr>
            <w:r>
              <w:rPr>
                <w:rFonts w:ascii="Calibri" w:hAnsi="Calibri"/>
                <w:b w:val="0"/>
                <w:i w:val="0"/>
                <w:color w:val="212121"/>
                <w:sz w:val="19"/>
              </w:rPr>
              <w:t>High chronic-stress / anxious individuals</w:t>
            </w:r>
          </w:p>
        </w:tc>
        <w:tc>
          <w:tcPr>
            <w:tcW w:type="dxa" w:w="4276"/>
            <w:vAlign w:val="top"/>
          </w:tcPr>
          <w:p>
            <w:pPr>
              <w:spacing w:after="60" w:line="259" w:lineRule="auto"/>
            </w:pPr>
            <w:r>
              <w:rPr>
                <w:rFonts w:ascii="Calibri" w:hAnsi="Calibri"/>
                <w:b w:val="0"/>
                <w:i w:val="0"/>
                <w:color w:val="212121"/>
                <w:sz w:val="19"/>
              </w:rPr>
              <w:t>Psychosocial stress precipitates and exacerbates OLP flares through neuro-immune pathways, and the chronic painful disease in turn worsens anxiety and mood.</w:t>
            </w:r>
          </w:p>
          <w:p>
            <w:pPr>
              <w:spacing w:after="40" w:before="60" w:line="259" w:lineRule="auto"/>
            </w:pPr>
            <w:r>
              <w:rPr>
                <w:rFonts w:ascii="Calibri" w:hAnsi="Calibri"/>
                <w:b w:val="0"/>
                <w:i w:val="0"/>
                <w:color w:val="212121"/>
                <w:sz w:val="19"/>
              </w:rPr>
              <w:t>OLP is recognised to be precipitated by psychosocial stress.</w:t>
            </w:r>
          </w:p>
          <w:p>
            <w:pPr>
              <w:spacing w:after="40" w:line="252" w:lineRule="auto"/>
            </w:pPr>
            <w:hyperlink r:id="rId9">
              <w:r>
                <w:rPr>
                  <w:rFonts w:ascii="Calibri" w:hAnsi="Calibri" w:cs="Calibri"/>
                  <w:sz w:val="18"/>
                  <w:color w:val="1155CC"/>
                  <w:u w:val="single"/>
                </w:rPr>
                <w:t xml:space="preserve">dermnetnz.org — oral lichen planus</w:t>
              </w:r>
            </w:hyperlink>
          </w:p>
          <w:p>
            <w:pPr>
              <w:spacing w:before="60" w:after="40"/>
            </w:pPr>
            <w:r>
              <w:rPr>
                <w:rFonts w:ascii="Calibri" w:hAnsi="Calibri"/>
                <w:b w:val="0"/>
                <w:i w:val="0"/>
                <w:color w:val="5A5A5A"/>
                <w:sz w:val="18"/>
              </w:rPr>
              <w:t>#stress  #anxiety  #neuroimmune  #flare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Oral hygiene / Dental trauma</w:t>
            </w:r>
          </w:p>
        </w:tc>
        <w:tc>
          <w:tcPr>
            <w:tcW w:type="dxa" w:w="2160"/>
            <w:vAlign w:val="top"/>
          </w:tcPr>
          <w:p>
            <w:pPr>
              <w:spacing w:after="40" w:before="0" w:line="259" w:lineRule="auto"/>
            </w:pPr>
            <w:r>
              <w:rPr>
                <w:rFonts w:ascii="Calibri" w:hAnsi="Calibri"/>
                <w:b w:val="0"/>
                <w:i w:val="0"/>
                <w:color w:val="212121"/>
                <w:sz w:val="19"/>
              </w:rPr>
              <w:t>Poor hygiene, sharp cusps, ill-fitting dentures</w:t>
            </w:r>
          </w:p>
        </w:tc>
        <w:tc>
          <w:tcPr>
            <w:tcW w:type="dxa" w:w="4276"/>
            <w:vAlign w:val="top"/>
          </w:tcPr>
          <w:p>
            <w:pPr>
              <w:spacing w:after="60" w:line="259" w:lineRule="auto"/>
            </w:pPr>
            <w:r>
              <w:rPr>
                <w:rFonts w:ascii="Calibri" w:hAnsi="Calibri"/>
                <w:b w:val="0"/>
                <w:i w:val="0"/>
                <w:color w:val="212121"/>
                <w:sz w:val="19"/>
              </w:rPr>
              <w:t>Plaque, calculus, sharp restorations and denture trauma provoke Koebnerisation and perpetuate lesions; contact with dental materials can trigger oral lichenoid lesions clinically identical to OLP.</w:t>
            </w:r>
          </w:p>
          <w:p>
            <w:pPr>
              <w:spacing w:after="40" w:before="60" w:line="259" w:lineRule="auto"/>
            </w:pPr>
            <w:r>
              <w:rPr>
                <w:rFonts w:ascii="Calibri" w:hAnsi="Calibri"/>
                <w:b w:val="0"/>
                <w:i w:val="0"/>
                <w:color w:val="212121"/>
                <w:sz w:val="19"/>
              </w:rPr>
              <w:t>Dental trauma is a recognised contributing factor in OLP.</w:t>
            </w:r>
          </w:p>
          <w:p>
            <w:pPr>
              <w:spacing w:after="40" w:line="252" w:lineRule="auto"/>
            </w:pPr>
            <w:hyperlink r:id="rId10">
              <w:r>
                <w:rPr>
                  <w:rFonts w:ascii="Calibri" w:hAnsi="Calibri" w:cs="Calibri"/>
                  <w:sz w:val="18"/>
                  <w:color w:val="1155CC"/>
                  <w:u w:val="single"/>
                </w:rPr>
                <w:t xml:space="preserve">ncbi.nlm.nih.gov — StatPearls: Oral Lichen Planus</w:t>
              </w:r>
            </w:hyperlink>
          </w:p>
          <w:p>
            <w:pPr>
              <w:spacing w:before="60" w:after="40"/>
            </w:pPr>
            <w:r>
              <w:rPr>
                <w:rFonts w:ascii="Calibri" w:hAnsi="Calibri"/>
                <w:b w:val="0"/>
                <w:i w:val="0"/>
                <w:color w:val="5A5A5A"/>
                <w:sz w:val="18"/>
              </w:rPr>
              <w:t>#oralhygiene  #koebner  #dentaltrauma  #amalgam</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Dietary irritants</w:t>
            </w:r>
          </w:p>
        </w:tc>
        <w:tc>
          <w:tcPr>
            <w:tcW w:type="dxa" w:w="2160"/>
            <w:vAlign w:val="top"/>
          </w:tcPr>
          <w:p>
            <w:pPr>
              <w:spacing w:after="40" w:before="0" w:line="259" w:lineRule="auto"/>
            </w:pPr>
            <w:r>
              <w:rPr>
                <w:rFonts w:ascii="Calibri" w:hAnsi="Calibri"/>
                <w:b w:val="0"/>
                <w:i w:val="0"/>
                <w:color w:val="212121"/>
                <w:sz w:val="19"/>
              </w:rPr>
              <w:t>High spicy / acidic / hot-food intake</w:t>
            </w:r>
          </w:p>
        </w:tc>
        <w:tc>
          <w:tcPr>
            <w:tcW w:type="dxa" w:w="4276"/>
            <w:vAlign w:val="top"/>
          </w:tcPr>
          <w:p>
            <w:pPr>
              <w:spacing w:after="60" w:line="259" w:lineRule="auto"/>
            </w:pPr>
            <w:r>
              <w:rPr>
                <w:rFonts w:ascii="Calibri" w:hAnsi="Calibri"/>
                <w:b w:val="0"/>
                <w:i w:val="0"/>
                <w:color w:val="212121"/>
                <w:sz w:val="19"/>
              </w:rPr>
              <w:t>Irritant foods provoke burning and worsen erosive lesions; they are symptom triggers rather than a primary cause of the disease.</w:t>
            </w:r>
          </w:p>
          <w:p>
            <w:pPr>
              <w:spacing w:after="40" w:before="60" w:line="259" w:lineRule="auto"/>
            </w:pPr>
            <w:r>
              <w:rPr>
                <w:rFonts w:ascii="Calibri" w:hAnsi="Calibri"/>
                <w:b w:val="0"/>
                <w:i w:val="0"/>
                <w:color w:val="212121"/>
                <w:sz w:val="19"/>
              </w:rPr>
              <w:t>Patients report sensitivity to hot, acidic or spicy foods, with burning and pain.</w:t>
            </w:r>
          </w:p>
          <w:p>
            <w:pPr>
              <w:spacing w:after="40" w:line="252" w:lineRule="auto"/>
            </w:pPr>
            <w:hyperlink r:id="rId12">
              <w:r>
                <w:rPr>
                  <w:rFonts w:ascii="Calibri" w:hAnsi="Calibri" w:cs="Calibri"/>
                  <w:sz w:val="18"/>
                  <w:color w:val="1155CC"/>
                  <w:u w:val="single"/>
                </w:rPr>
                <w:t xml:space="preserve">mayoclinic.org — oral lichen planus</w:t>
              </w:r>
            </w:hyperlink>
          </w:p>
          <w:p>
            <w:pPr>
              <w:spacing w:before="60" w:after="40"/>
            </w:pPr>
            <w:r>
              <w:rPr>
                <w:rFonts w:ascii="Calibri" w:hAnsi="Calibri"/>
                <w:b w:val="0"/>
                <w:i w:val="0"/>
                <w:color w:val="5A5A5A"/>
                <w:sz w:val="18"/>
              </w:rPr>
              <w:t>#spicyfood  #acidic  #burning  #triggerfoods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Flavouring agents</w:t>
            </w:r>
          </w:p>
        </w:tc>
        <w:tc>
          <w:tcPr>
            <w:tcW w:type="dxa" w:w="2160"/>
            <w:vAlign w:val="top"/>
          </w:tcPr>
          <w:p>
            <w:pPr>
              <w:spacing w:after="40" w:before="0" w:line="259" w:lineRule="auto"/>
            </w:pPr>
            <w:r>
              <w:rPr>
                <w:rFonts w:ascii="Calibri" w:hAnsi="Calibri"/>
                <w:b w:val="0"/>
                <w:i w:val="0"/>
                <w:color w:val="212121"/>
                <w:sz w:val="19"/>
              </w:rPr>
              <w:t>Cinnamon/mint products &amp; alcohol-based mouthwash users</w:t>
            </w:r>
          </w:p>
        </w:tc>
        <w:tc>
          <w:tcPr>
            <w:tcW w:type="dxa" w:w="4276"/>
            <w:vAlign w:val="top"/>
          </w:tcPr>
          <w:p>
            <w:pPr>
              <w:spacing w:after="60" w:line="259" w:lineRule="auto"/>
            </w:pPr>
            <w:r>
              <w:rPr>
                <w:rFonts w:ascii="Calibri" w:hAnsi="Calibri"/>
                <w:b w:val="0"/>
                <w:i w:val="0"/>
                <w:color w:val="212121"/>
                <w:sz w:val="19"/>
              </w:rPr>
              <w:t>Cinnamaldehyde and other flavouring agents, and alcohol-containing mouthwashes, can cause oral lichenoid contact reactions that mimic OLP and resolve on avoidance.</w:t>
            </w:r>
          </w:p>
          <w:p>
            <w:pPr>
              <w:spacing w:after="40" w:before="60" w:line="259" w:lineRule="auto"/>
            </w:pPr>
            <w:r>
              <w:rPr>
                <w:rFonts w:ascii="Calibri" w:hAnsi="Calibri"/>
                <w:b w:val="0"/>
                <w:i w:val="0"/>
                <w:color w:val="212121"/>
                <w:sz w:val="19"/>
              </w:rPr>
              <w:t>Oral lichenoid contact lesions are a recognised look-alike driven by an identifiable contact trigger.</w:t>
            </w:r>
          </w:p>
          <w:p>
            <w:pPr>
              <w:spacing w:before="60" w:after="40"/>
            </w:pPr>
            <w:r>
              <w:rPr>
                <w:rFonts w:ascii="Calibri" w:hAnsi="Calibri"/>
                <w:b w:val="0"/>
                <w:i w:val="0"/>
                <w:color w:val="5A5A5A"/>
                <w:sz w:val="18"/>
              </w:rPr>
              <w:t>#cinnamaldehyde  #contactreaction  #mouthwash  #flavouring</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Micronutrient status</w:t>
            </w:r>
          </w:p>
        </w:tc>
        <w:tc>
          <w:tcPr>
            <w:tcW w:type="dxa" w:w="2160"/>
            <w:vAlign w:val="top"/>
          </w:tcPr>
          <w:p>
            <w:pPr>
              <w:spacing w:after="40" w:before="0" w:line="259" w:lineRule="auto"/>
            </w:pPr>
            <w:r>
              <w:rPr>
                <w:rFonts w:ascii="Calibri" w:hAnsi="Calibri"/>
                <w:b w:val="0"/>
                <w:i w:val="0"/>
                <w:color w:val="212121"/>
                <w:sz w:val="19"/>
              </w:rPr>
              <w:t>Vitamin D–deficient individuals</w:t>
            </w:r>
          </w:p>
        </w:tc>
        <w:tc>
          <w:tcPr>
            <w:tcW w:type="dxa" w:w="4276"/>
            <w:vAlign w:val="top"/>
          </w:tcPr>
          <w:p>
            <w:pPr>
              <w:spacing w:after="60" w:line="259" w:lineRule="auto"/>
            </w:pPr>
            <w:r>
              <w:rPr>
                <w:rFonts w:ascii="Calibri" w:hAnsi="Calibri"/>
                <w:b w:val="0"/>
                <w:i w:val="0"/>
                <w:color w:val="212121"/>
                <w:sz w:val="19"/>
              </w:rPr>
              <w:t>Lower serum vitamin D is observed in OLP patients and may modulate mucosal immune regulation; iron, B12 and folate deficiency also aggravate a sore mucosa.</w:t>
            </w:r>
          </w:p>
          <w:p>
            <w:pPr>
              <w:spacing w:after="40" w:before="60" w:line="259" w:lineRule="auto"/>
            </w:pPr>
            <w:r>
              <w:rPr>
                <w:rFonts w:ascii="Calibri" w:hAnsi="Calibri"/>
                <w:b w:val="0"/>
                <w:i w:val="0"/>
                <w:color w:val="212121"/>
                <w:sz w:val="19"/>
              </w:rPr>
              <w:t>Lower serum vitamin D levels have been observed in patients with oral lichen planus.</w:t>
            </w:r>
          </w:p>
          <w:p>
            <w:pPr>
              <w:spacing w:after="40" w:line="252" w:lineRule="auto"/>
            </w:pPr>
            <w:hyperlink r:id="rId9">
              <w:r>
                <w:rPr>
                  <w:rFonts w:ascii="Calibri" w:hAnsi="Calibri" w:cs="Calibri"/>
                  <w:sz w:val="18"/>
                  <w:color w:val="1155CC"/>
                  <w:u w:val="single"/>
                </w:rPr>
                <w:t xml:space="preserve">dermnetnz.org — oral lichen planus</w:t>
              </w:r>
            </w:hyperlink>
          </w:p>
          <w:p>
            <w:pPr>
              <w:spacing w:before="60" w:after="40"/>
            </w:pPr>
            <w:r>
              <w:rPr>
                <w:rFonts w:ascii="Calibri" w:hAnsi="Calibri"/>
                <w:b w:val="0"/>
                <w:i w:val="0"/>
                <w:color w:val="5A5A5A"/>
                <w:sz w:val="18"/>
              </w:rPr>
              <w:t>#vitamind  #micronutrient  #mucosalimmunity</w:t>
            </w:r>
          </w:p>
        </w:tc>
      </w:tr>
      <w:tr>
        <w:trPr>
          <w:cantSplit/>
        </w:trPr>
        <w:tc>
          <w:tcPr>
            <w:tcW w:type="dxa" w:w="1512"/>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w:t>
            </w:r>
          </w:p>
        </w:tc>
        <w:tc>
          <w:tcPr>
            <w:tcW w:type="dxa" w:w="2160"/>
            <w:vAlign w:val="top"/>
          </w:tcPr>
          <w:p>
            <w:pPr>
              <w:spacing w:after="40" w:before="0" w:line="259" w:lineRule="auto"/>
            </w:pPr>
            <w:r>
              <w:rPr>
                <w:rFonts w:ascii="Calibri" w:hAnsi="Calibri"/>
                <w:b w:val="0"/>
                <w:i w:val="0"/>
                <w:color w:val="212121"/>
                <w:sz w:val="19"/>
              </w:rPr>
              <w:t>Family history of lichen planus / autoimmune disease</w:t>
            </w:r>
          </w:p>
        </w:tc>
        <w:tc>
          <w:tcPr>
            <w:tcW w:type="dxa" w:w="4276"/>
            <w:vAlign w:val="top"/>
          </w:tcPr>
          <w:p>
            <w:pPr>
              <w:spacing w:after="60" w:line="259" w:lineRule="auto"/>
            </w:pPr>
            <w:r>
              <w:rPr>
                <w:rFonts w:ascii="Calibri" w:hAnsi="Calibri"/>
                <w:b w:val="0"/>
                <w:i w:val="0"/>
                <w:color w:val="212121"/>
                <w:sz w:val="19"/>
              </w:rPr>
              <w:t>HLA-linked genetic predisposition increases susceptibility to this T-cell-mediated disease, and familial clustering of lichen planus and autoimmune conditions is reported.</w:t>
            </w:r>
          </w:p>
          <w:p>
            <w:pPr>
              <w:spacing w:after="40" w:before="60" w:line="259" w:lineRule="auto"/>
            </w:pPr>
            <w:r>
              <w:rPr>
                <w:rFonts w:ascii="Calibri" w:hAnsi="Calibri"/>
                <w:b w:val="0"/>
                <w:i w:val="0"/>
                <w:color w:val="212121"/>
                <w:sz w:val="19"/>
              </w:rPr>
              <w:t>Genetic predisposition is a recognised etiologic factor in OLP.</w:t>
            </w:r>
          </w:p>
          <w:p>
            <w:pPr>
              <w:spacing w:after="40" w:line="252" w:lineRule="auto"/>
            </w:pPr>
            <w:hyperlink r:id="rId10">
              <w:r>
                <w:rPr>
                  <w:rFonts w:ascii="Calibri" w:hAnsi="Calibri" w:cs="Calibri"/>
                  <w:sz w:val="18"/>
                  <w:color w:val="1155CC"/>
                  <w:u w:val="single"/>
                </w:rPr>
                <w:t xml:space="preserve">ncbi.nlm.nih.gov — StatPearls: Oral Lichen Planus</w:t>
              </w:r>
            </w:hyperlink>
          </w:p>
          <w:p>
            <w:pPr>
              <w:spacing w:before="60" w:after="40"/>
            </w:pPr>
            <w:r>
              <w:rPr>
                <w:rFonts w:ascii="Calibri" w:hAnsi="Calibri"/>
                <w:b w:val="0"/>
                <w:i w:val="0"/>
                <w:color w:val="5A5A5A"/>
                <w:sz w:val="18"/>
              </w:rPr>
              <w:t>#genetics  #HLA  #familyhistory  #autoimmune</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Hepatitis C</w:t>
            </w:r>
          </w:p>
        </w:tc>
        <w:tc>
          <w:tcPr>
            <w:tcW w:type="dxa" w:w="2160"/>
            <w:vAlign w:val="top"/>
          </w:tcPr>
          <w:p>
            <w:pPr>
              <w:spacing w:after="40" w:before="0" w:line="259" w:lineRule="auto"/>
            </w:pPr>
            <w:r>
              <w:rPr>
                <w:rFonts w:ascii="Calibri" w:hAnsi="Calibri"/>
                <w:b w:val="0"/>
                <w:i w:val="0"/>
                <w:color w:val="212121"/>
                <w:sz w:val="19"/>
              </w:rPr>
              <w:t>Patients with chronic HCV infection</w:t>
            </w:r>
          </w:p>
        </w:tc>
        <w:tc>
          <w:tcPr>
            <w:tcW w:type="dxa" w:w="4276"/>
            <w:vAlign w:val="top"/>
          </w:tcPr>
          <w:p>
            <w:pPr>
              <w:spacing w:after="60" w:line="259" w:lineRule="auto"/>
            </w:pPr>
            <w:r>
              <w:rPr>
                <w:rFonts w:ascii="Calibri" w:hAnsi="Calibri"/>
                <w:b w:val="0"/>
                <w:i w:val="0"/>
                <w:color w:val="212121"/>
                <w:sz w:val="19"/>
              </w:rPr>
              <w:t>HCV is associated with lichen planus, especially in endemic regions, through shared immune mechanisms and virus-driven mucosal inflammation.</w:t>
            </w:r>
          </w:p>
          <w:p>
            <w:pPr>
              <w:spacing w:after="40" w:before="60" w:line="259" w:lineRule="auto"/>
            </w:pPr>
            <w:r>
              <w:rPr>
                <w:rFonts w:ascii="Calibri" w:hAnsi="Calibri"/>
                <w:b w:val="0"/>
                <w:i w:val="0"/>
                <w:color w:val="212121"/>
                <w:sz w:val="19"/>
              </w:rPr>
              <w:t>Patients with lichen planus are about 5 times more likely to test positive for hepatitis C virus.</w:t>
            </w:r>
          </w:p>
          <w:p>
            <w:pPr>
              <w:spacing w:after="40" w:line="252" w:lineRule="auto"/>
            </w:pPr>
            <w:hyperlink r:id="rId13">
              <w:r>
                <w:rPr>
                  <w:rFonts w:ascii="Calibri" w:hAnsi="Calibri" w:cs="Calibri"/>
                  <w:sz w:val="18"/>
                  <w:color w:val="1155CC"/>
                  <w:u w:val="single"/>
                </w:rPr>
                <w:t xml:space="preserve">ncbi.nlm.nih.gov — StatPearls: Lichen Planus</w:t>
              </w:r>
            </w:hyperlink>
          </w:p>
          <w:p>
            <w:pPr>
              <w:spacing w:before="60" w:after="40"/>
            </w:pPr>
            <w:r>
              <w:rPr>
                <w:rFonts w:ascii="Calibri" w:hAnsi="Calibri"/>
                <w:b w:val="0"/>
                <w:i w:val="0"/>
                <w:color w:val="5A5A5A"/>
                <w:sz w:val="18"/>
              </w:rPr>
              <w:t>#hepatitisC  #HCV  #autoimmune  #screen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Thyroid disease</w:t>
            </w:r>
          </w:p>
        </w:tc>
        <w:tc>
          <w:tcPr>
            <w:tcW w:type="dxa" w:w="2160"/>
            <w:vAlign w:val="top"/>
          </w:tcPr>
          <w:p>
            <w:pPr>
              <w:spacing w:after="40" w:before="0" w:line="259" w:lineRule="auto"/>
            </w:pPr>
            <w:r>
              <w:rPr>
                <w:rFonts w:ascii="Calibri" w:hAnsi="Calibri"/>
                <w:b w:val="0"/>
                <w:i w:val="0"/>
                <w:color w:val="212121"/>
                <w:sz w:val="19"/>
              </w:rPr>
              <w:t>Patients with autoimmune thyroid disease / hypothyroidism</w:t>
            </w:r>
          </w:p>
        </w:tc>
        <w:tc>
          <w:tcPr>
            <w:tcW w:type="dxa" w:w="4276"/>
            <w:vAlign w:val="top"/>
          </w:tcPr>
          <w:p>
            <w:pPr>
              <w:spacing w:after="60" w:line="259" w:lineRule="auto"/>
            </w:pPr>
            <w:r>
              <w:rPr>
                <w:rFonts w:ascii="Calibri" w:hAnsi="Calibri"/>
                <w:b w:val="0"/>
                <w:i w:val="0"/>
                <w:color w:val="212121"/>
                <w:sz w:val="19"/>
              </w:rPr>
              <w:t>Shared autoimmunity underlies an over-representation of thyroid dysfunction (notably Hashimoto thyroiditis) among OLP patients.</w:t>
            </w:r>
          </w:p>
          <w:p>
            <w:pPr>
              <w:spacing w:after="40" w:before="60" w:line="259" w:lineRule="auto"/>
            </w:pPr>
            <w:r>
              <w:rPr>
                <w:rFonts w:ascii="Calibri" w:hAnsi="Calibri"/>
                <w:b w:val="0"/>
                <w:i w:val="0"/>
                <w:color w:val="212121"/>
                <w:sz w:val="19"/>
              </w:rPr>
              <w:t>OLP is associated with thyroid dysfunction.</w:t>
            </w:r>
          </w:p>
          <w:p>
            <w:pPr>
              <w:spacing w:after="40" w:line="252" w:lineRule="auto"/>
            </w:pPr>
            <w:hyperlink r:id="rId10">
              <w:r>
                <w:rPr>
                  <w:rFonts w:ascii="Calibri" w:hAnsi="Calibri" w:cs="Calibri"/>
                  <w:sz w:val="18"/>
                  <w:color w:val="1155CC"/>
                  <w:u w:val="single"/>
                </w:rPr>
                <w:t xml:space="preserve">ncbi.nlm.nih.gov — StatPearls: Oral Lichen Planus</w:t>
              </w:r>
            </w:hyperlink>
          </w:p>
          <w:p>
            <w:pPr>
              <w:spacing w:before="60" w:after="40"/>
            </w:pPr>
            <w:r>
              <w:rPr>
                <w:rFonts w:ascii="Calibri" w:hAnsi="Calibri"/>
                <w:b w:val="0"/>
                <w:i w:val="0"/>
                <w:color w:val="5A5A5A"/>
                <w:sz w:val="18"/>
              </w:rPr>
              <w:t>#thyroid  #hashimoto  #autoimmune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Diabetes &amp; Hypertension (Grinspan)</w:t>
            </w:r>
          </w:p>
        </w:tc>
        <w:tc>
          <w:tcPr>
            <w:tcW w:type="dxa" w:w="2160"/>
            <w:vAlign w:val="top"/>
          </w:tcPr>
          <w:p>
            <w:pPr>
              <w:spacing w:after="40" w:before="0" w:line="259" w:lineRule="auto"/>
            </w:pPr>
            <w:r>
              <w:rPr>
                <w:rFonts w:ascii="Calibri" w:hAnsi="Calibri"/>
                <w:b w:val="0"/>
                <w:i w:val="0"/>
                <w:color w:val="212121"/>
                <w:sz w:val="19"/>
              </w:rPr>
              <w:t>Patients with diabetes and hypertension</w:t>
            </w:r>
          </w:p>
        </w:tc>
        <w:tc>
          <w:tcPr>
            <w:tcW w:type="dxa" w:w="4276"/>
            <w:vAlign w:val="top"/>
          </w:tcPr>
          <w:p>
            <w:pPr>
              <w:spacing w:after="60" w:line="259" w:lineRule="auto"/>
            </w:pPr>
            <w:r>
              <w:rPr>
                <w:rFonts w:ascii="Calibri" w:hAnsi="Calibri"/>
                <w:b w:val="0"/>
                <w:i w:val="0"/>
                <w:color w:val="212121"/>
                <w:sz w:val="19"/>
              </w:rPr>
              <w:t>The classic Grinspan-syndrome triad links OLP with diabetes and hypertension; several antidiabetic and antihypertensive drugs also cause lichenoid reactions, making the association partly drug-related.</w:t>
            </w:r>
          </w:p>
          <w:p>
            <w:pPr>
              <w:spacing w:after="40" w:before="60" w:line="259" w:lineRule="auto"/>
            </w:pPr>
            <w:r>
              <w:rPr>
                <w:rFonts w:ascii="Calibri" w:hAnsi="Calibri"/>
                <w:b w:val="0"/>
                <w:i w:val="0"/>
                <w:color w:val="212121"/>
                <w:sz w:val="19"/>
              </w:rPr>
              <w:t>Grinspan syndrome describes the co-occurrence of oral lichen planus, diabetes mellitus and hypertension.</w:t>
            </w:r>
          </w:p>
          <w:p>
            <w:pPr>
              <w:spacing w:before="60" w:after="40"/>
            </w:pPr>
            <w:r>
              <w:rPr>
                <w:rFonts w:ascii="Calibri" w:hAnsi="Calibri"/>
                <w:b w:val="0"/>
                <w:i w:val="0"/>
                <w:color w:val="5A5A5A"/>
                <w:sz w:val="18"/>
              </w:rPr>
              <w:t>#grinspan  #diabetes  #hypertension  #lichenoiddrug</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Extra-oral lichen planus</w:t>
            </w:r>
          </w:p>
        </w:tc>
        <w:tc>
          <w:tcPr>
            <w:tcW w:type="dxa" w:w="2160"/>
            <w:vAlign w:val="top"/>
          </w:tcPr>
          <w:p>
            <w:pPr>
              <w:spacing w:after="40" w:before="0" w:line="259" w:lineRule="auto"/>
            </w:pPr>
            <w:r>
              <w:rPr>
                <w:rFonts w:ascii="Calibri" w:hAnsi="Calibri"/>
                <w:b w:val="0"/>
                <w:i w:val="0"/>
                <w:color w:val="212121"/>
                <w:sz w:val="19"/>
              </w:rPr>
              <w:t>Patients with skin / genital / nail lichen planus</w:t>
            </w:r>
          </w:p>
        </w:tc>
        <w:tc>
          <w:tcPr>
            <w:tcW w:type="dxa" w:w="4276"/>
            <w:vAlign w:val="top"/>
          </w:tcPr>
          <w:p>
            <w:pPr>
              <w:spacing w:after="60" w:line="259" w:lineRule="auto"/>
            </w:pPr>
            <w:r>
              <w:rPr>
                <w:rFonts w:ascii="Calibri" w:hAnsi="Calibri"/>
                <w:b w:val="0"/>
                <w:i w:val="0"/>
                <w:color w:val="212121"/>
                <w:sz w:val="19"/>
              </w:rPr>
              <w:t>OLP frequently coexists with lichen planus at other sites, and cutaneous disease is commonly accompanied by oral involvement.</w:t>
            </w:r>
          </w:p>
          <w:p>
            <w:pPr>
              <w:spacing w:after="40" w:before="60" w:line="259" w:lineRule="auto"/>
            </w:pPr>
            <w:r>
              <w:rPr>
                <w:rFonts w:ascii="Calibri" w:hAnsi="Calibri"/>
                <w:b w:val="0"/>
                <w:i w:val="0"/>
                <w:color w:val="212121"/>
                <w:sz w:val="19"/>
              </w:rPr>
              <w:t>About 50% of patients with cutaneous lichen planus have oral involvement.</w:t>
            </w:r>
          </w:p>
          <w:p>
            <w:pPr>
              <w:spacing w:after="40" w:line="252" w:lineRule="auto"/>
            </w:pPr>
            <w:hyperlink r:id="rId9">
              <w:r>
                <w:rPr>
                  <w:rFonts w:ascii="Calibri" w:hAnsi="Calibri" w:cs="Calibri"/>
                  <w:sz w:val="18"/>
                  <w:color w:val="1155CC"/>
                  <w:u w:val="single"/>
                </w:rPr>
                <w:t xml:space="preserve">dermnetnz.org — oral lichen planus</w:t>
              </w:r>
            </w:hyperlink>
          </w:p>
          <w:p>
            <w:pPr>
              <w:spacing w:before="60" w:after="40"/>
            </w:pPr>
            <w:r>
              <w:rPr>
                <w:rFonts w:ascii="Calibri" w:hAnsi="Calibri"/>
                <w:b w:val="0"/>
                <w:i w:val="0"/>
                <w:color w:val="5A5A5A"/>
                <w:sz w:val="18"/>
              </w:rPr>
              <w:t>#cutaneousLP  #genitalLP  #nailLP  #multisite</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direct causal link to OLP; regular activity supports immune balance and reduces psychological stress, an established trigger, so it plays an indirect supportive role.</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Spicy, acidic, hot and coarse foods and flavouring agents (cinnamaldehyde) provoke burning and aggravate erosive lesions; micronutrient deficiency (vitamin D, iron, B12, folate) worsens a sore mucosa.</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Poor sleep amplifies stress and immune dysregulation, which can worsen flares, but there is no strong direct evidence linking sleep to OLP onset.</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Tobacco is associated with plaque-type OLP and, together with alcohol and HCV, increases the risk of malignant transformation to oral squamous cell carcinoma.</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Alcohol is an independent contributor to malignant transformation in OLP and directly irritates atrophic/erosive mucosa.</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Psychosocial stress, anxiety and depression precipitate and exacerbate OLP; the relationship is bidirectional, with chronic painful disease worsening mood.</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Adequate hydration and management of dry mouth (xerostomia) ease symptoms, but there is no established role in disease causation.</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meaningful direct association with OLP; excessive intake may heighten anxiety, indirectly affecting flares.</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Poor oral hygiene, plaque, calculus, sharp restorations and denture trauma perpetuate lesions via Koebnerisation; meticulous hygiene and professional cleaning improve gingival OLP and desquamative gingivitis.</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Dental amalgam and flavouring agents (oral lichenoid contact lesions) and drugs — antihypertensives, NSAIDs, antimalarials, gold — trigger clinically identical lichenoid reactions; mechanical trauma Koebnerises lesions.</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Tobacco use (cigarettes/day; smokeless / areca frequency)</w:t>
            </w:r>
          </w:p>
        </w:tc>
        <w:tc>
          <w:tcPr>
            <w:tcW w:type="dxa" w:w="1655"/>
            <w:vAlign w:val="top"/>
          </w:tcPr>
          <w:p>
            <w:pPr>
              <w:spacing w:after="40" w:before="0" w:line="259" w:lineRule="auto"/>
            </w:pPr>
            <w:r>
              <w:rPr>
                <w:rFonts w:ascii="Calibri" w:hAnsi="Calibri"/>
                <w:b w:val="0"/>
                <w:i w:val="0"/>
                <w:color w:val="212121"/>
                <w:sz w:val="19"/>
              </w:rPr>
              <w:t>All OLP patients</w:t>
            </w:r>
          </w:p>
        </w:tc>
        <w:tc>
          <w:tcPr>
            <w:tcW w:type="dxa" w:w="1512"/>
            <w:vAlign w:val="top"/>
          </w:tcPr>
          <w:p>
            <w:pPr>
              <w:spacing w:after="40" w:before="0" w:line="259" w:lineRule="auto"/>
            </w:pPr>
            <w:r>
              <w:rPr>
                <w:rFonts w:ascii="Calibri" w:hAnsi="Calibri"/>
                <w:b w:val="0"/>
                <w:i w:val="0"/>
                <w:color w:val="212121"/>
                <w:sz w:val="19"/>
              </w:rPr>
              <w:t>0 — complete cessation of all tobacco &amp; areca</w:t>
            </w:r>
          </w:p>
        </w:tc>
        <w:tc>
          <w:tcPr>
            <w:tcW w:type="dxa" w:w="1512"/>
            <w:vAlign w:val="top"/>
          </w:tcPr>
          <w:p>
            <w:pPr>
              <w:spacing w:after="40" w:before="0" w:line="259" w:lineRule="auto"/>
            </w:pPr>
            <w:r>
              <w:rPr>
                <w:rFonts w:ascii="Calibri" w:hAnsi="Calibri"/>
                <w:b w:val="0"/>
                <w:i w:val="0"/>
                <w:color w:val="212121"/>
                <w:sz w:val="19"/>
              </w:rPr>
              <w:t>Any smoked or smokeless tobacco / areca use</w:t>
            </w:r>
          </w:p>
        </w:tc>
        <w:tc>
          <w:tcPr>
            <w:tcW w:type="dxa" w:w="1468"/>
            <w:vAlign w:val="top"/>
          </w:tcPr>
          <w:p>
            <w:pPr>
              <w:spacing w:after="60" w:line="259" w:lineRule="auto"/>
            </w:pPr>
            <w:r>
              <w:rPr>
                <w:rFonts w:ascii="Calibri" w:hAnsi="Calibri"/>
                <w:b w:val="0"/>
                <w:i w:val="0"/>
                <w:color w:val="212121"/>
                <w:sz w:val="19"/>
              </w:rPr>
              <w:t>Associated with plaque-type OLP and higher malignant transformation risk.</w:t>
            </w:r>
          </w:p>
          <w:p>
            <w:pPr>
              <w:spacing w:after="40" w:line="252" w:lineRule="auto"/>
            </w:pPr>
            <w:hyperlink r:id="rId10">
              <w:r>
                <w:rPr>
                  <w:rFonts w:ascii="Calibri" w:hAnsi="Calibri" w:cs="Calibri"/>
                  <w:sz w:val="18"/>
                  <w:color w:val="1155CC"/>
                  <w:u w:val="single"/>
                </w:rPr>
                <w:t xml:space="preserve">https://www.ncbi.nlm.nih.gov/books/NBK578201/</w:t>
              </w:r>
            </w:hyperlink>
          </w:p>
        </w:tc>
      </w:tr>
      <w:tr>
        <w:trPr>
          <w:cantSplit/>
        </w:trPr>
        <w:tc>
          <w:tcPr>
            <w:tcW w:type="dxa" w:w="1512"/>
            <w:vAlign w:val="center"/>
          </w:tcPr>
          <w:p>
            <w:pPr>
              <w:spacing w:after="40"/>
            </w:pPr>
            <w:r>
              <w:rPr>
                <w:rFonts w:ascii="Calibri" w:hAnsi="Calibri"/>
                <w:b w:val="0"/>
                <w:i w:val="0"/>
                <w:color w:val="212121"/>
                <w:sz w:val="19"/>
              </w:rPr>
              <w:t>Alcohol</w:t>
            </w:r>
          </w:p>
        </w:tc>
        <w:tc>
          <w:tcPr>
            <w:tcW w:type="dxa" w:w="1944"/>
            <w:vAlign w:val="top"/>
          </w:tcPr>
          <w:p>
            <w:pPr>
              <w:spacing w:after="40" w:before="0" w:line="259" w:lineRule="auto"/>
            </w:pPr>
            <w:r>
              <w:rPr>
                <w:rFonts w:ascii="Calibri" w:hAnsi="Calibri"/>
                <w:b w:val="0"/>
                <w:i w:val="0"/>
                <w:color w:val="212121"/>
                <w:sz w:val="19"/>
              </w:rPr>
              <w:t>Alcohol intake (drinks/week)</w:t>
            </w:r>
          </w:p>
        </w:tc>
        <w:tc>
          <w:tcPr>
            <w:tcW w:type="dxa" w:w="1655"/>
            <w:vAlign w:val="top"/>
          </w:tcPr>
          <w:p>
            <w:pPr>
              <w:spacing w:after="40" w:before="0" w:line="259" w:lineRule="auto"/>
            </w:pPr>
            <w:r>
              <w:rPr>
                <w:rFonts w:ascii="Calibri" w:hAnsi="Calibri"/>
                <w:b w:val="0"/>
                <w:i w:val="0"/>
                <w:color w:val="212121"/>
                <w:sz w:val="19"/>
              </w:rPr>
              <w:t>OLP patients, erosive disease</w:t>
            </w:r>
          </w:p>
        </w:tc>
        <w:tc>
          <w:tcPr>
            <w:tcW w:type="dxa" w:w="1512"/>
            <w:vAlign w:val="top"/>
          </w:tcPr>
          <w:p>
            <w:pPr>
              <w:spacing w:after="40" w:before="0" w:line="259" w:lineRule="auto"/>
            </w:pPr>
            <w:r>
              <w:rPr>
                <w:rFonts w:ascii="Calibri" w:hAnsi="Calibri"/>
                <w:b w:val="0"/>
                <w:i w:val="0"/>
                <w:color w:val="212121"/>
                <w:sz w:val="19"/>
              </w:rPr>
              <w:t>None to minimal</w:t>
            </w:r>
          </w:p>
        </w:tc>
        <w:tc>
          <w:tcPr>
            <w:tcW w:type="dxa" w:w="1512"/>
            <w:vAlign w:val="top"/>
          </w:tcPr>
          <w:p>
            <w:pPr>
              <w:spacing w:after="40" w:before="0" w:line="259" w:lineRule="auto"/>
            </w:pPr>
            <w:r>
              <w:rPr>
                <w:rFonts w:ascii="Calibri" w:hAnsi="Calibri"/>
                <w:b w:val="0"/>
                <w:i w:val="0"/>
                <w:color w:val="212121"/>
                <w:sz w:val="19"/>
              </w:rPr>
              <w:t>Regular / heavy drinking</w:t>
            </w:r>
          </w:p>
        </w:tc>
        <w:tc>
          <w:tcPr>
            <w:tcW w:type="dxa" w:w="1468"/>
            <w:vAlign w:val="top"/>
          </w:tcPr>
          <w:p>
            <w:pPr>
              <w:spacing w:after="60" w:line="259" w:lineRule="auto"/>
            </w:pPr>
            <w:r>
              <w:rPr>
                <w:rFonts w:ascii="Calibri" w:hAnsi="Calibri"/>
                <w:b w:val="0"/>
                <w:i w:val="0"/>
                <w:color w:val="212121"/>
                <w:sz w:val="19"/>
              </w:rPr>
              <w:t>Independent contributor to malignant transformation and mucosal irritation.</w:t>
            </w:r>
          </w:p>
          <w:p>
            <w:pPr>
              <w:spacing w:after="40" w:line="252" w:lineRule="auto"/>
            </w:pPr>
            <w:hyperlink r:id="rId10">
              <w:r>
                <w:rPr>
                  <w:rFonts w:ascii="Calibri" w:hAnsi="Calibri" w:cs="Calibri"/>
                  <w:sz w:val="18"/>
                  <w:color w:val="1155CC"/>
                  <w:u w:val="single"/>
                </w:rPr>
                <w:t xml:space="preserve">https://www.ncbi.nlm.nih.gov/books/NBK578201/</w:t>
              </w:r>
            </w:hyperlink>
          </w:p>
        </w:tc>
      </w:tr>
      <w:tr>
        <w:trPr>
          <w:cantSplit/>
        </w:trPr>
        <w:tc>
          <w:tcPr>
            <w:tcW w:type="dxa" w:w="1512"/>
            <w:vMerge w:val="restart"/>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Serum 25-hydroxy vitamin D (ng/mL)</w:t>
            </w:r>
          </w:p>
        </w:tc>
        <w:tc>
          <w:tcPr>
            <w:tcW w:type="dxa" w:w="1655"/>
            <w:vAlign w:val="top"/>
          </w:tcPr>
          <w:p>
            <w:pPr>
              <w:spacing w:after="40" w:before="0" w:line="259" w:lineRule="auto"/>
            </w:pPr>
            <w:r>
              <w:rPr>
                <w:rFonts w:ascii="Calibri" w:hAnsi="Calibri"/>
                <w:b w:val="0"/>
                <w:i w:val="0"/>
                <w:color w:val="212121"/>
                <w:sz w:val="19"/>
              </w:rPr>
              <w:t>Adults with OLP</w:t>
            </w:r>
          </w:p>
        </w:tc>
        <w:tc>
          <w:tcPr>
            <w:tcW w:type="dxa" w:w="1512"/>
            <w:vAlign w:val="top"/>
          </w:tcPr>
          <w:p>
            <w:pPr>
              <w:spacing w:after="40" w:before="0" w:line="259" w:lineRule="auto"/>
            </w:pPr>
            <w:r>
              <w:rPr>
                <w:rFonts w:ascii="Calibri" w:hAnsi="Calibri"/>
                <w:b w:val="0"/>
                <w:i w:val="0"/>
                <w:color w:val="212121"/>
                <w:sz w:val="19"/>
              </w:rPr>
              <w:t>≥ 30 ng/mL (sufficient)</w:t>
            </w:r>
          </w:p>
        </w:tc>
        <w:tc>
          <w:tcPr>
            <w:tcW w:type="dxa" w:w="1512"/>
            <w:vAlign w:val="top"/>
          </w:tcPr>
          <w:p>
            <w:pPr>
              <w:spacing w:after="40" w:before="0" w:line="259" w:lineRule="auto"/>
            </w:pPr>
            <w:r>
              <w:rPr>
                <w:rFonts w:ascii="Calibri" w:hAnsi="Calibri"/>
                <w:b w:val="0"/>
                <w:i w:val="0"/>
                <w:color w:val="212121"/>
                <w:sz w:val="19"/>
              </w:rPr>
              <w:t>&lt; 20 ng/mL (deficient)</w:t>
            </w:r>
          </w:p>
        </w:tc>
        <w:tc>
          <w:tcPr>
            <w:tcW w:type="dxa" w:w="1468"/>
            <w:vAlign w:val="top"/>
          </w:tcPr>
          <w:p>
            <w:pPr>
              <w:spacing w:after="60" w:line="259" w:lineRule="auto"/>
            </w:pPr>
            <w:r>
              <w:rPr>
                <w:rFonts w:ascii="Calibri" w:hAnsi="Calibri"/>
                <w:b w:val="0"/>
                <w:i w:val="0"/>
                <w:color w:val="212121"/>
                <w:sz w:val="19"/>
              </w:rPr>
              <w:t>Lower vitamin D levels observed in OLP; correct with diet/supplementation.</w:t>
            </w:r>
          </w:p>
          <w:p>
            <w:pPr>
              <w:spacing w:after="40" w:line="252" w:lineRule="auto"/>
            </w:pPr>
            <w:hyperlink r:id="rId9">
              <w:r>
                <w:rPr>
                  <w:rFonts w:ascii="Calibri" w:hAnsi="Calibri" w:cs="Calibri"/>
                  <w:sz w:val="18"/>
                  <w:color w:val="1155CC"/>
                  <w:u w:val="single"/>
                </w:rPr>
                <w:t xml:space="preserve">https://dermnetnz.org/topics/oral-lichen-planus</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Dietary irritant exposure (spicy/acidic/hot)</w:t>
            </w:r>
          </w:p>
        </w:tc>
        <w:tc>
          <w:tcPr>
            <w:tcW w:type="dxa" w:w="1655"/>
            <w:vAlign w:val="top"/>
          </w:tcPr>
          <w:p>
            <w:pPr>
              <w:spacing w:after="40" w:before="0" w:line="259" w:lineRule="auto"/>
            </w:pPr>
            <w:r>
              <w:rPr>
                <w:rFonts w:ascii="Calibri" w:hAnsi="Calibri"/>
                <w:b w:val="0"/>
                <w:i w:val="0"/>
                <w:color w:val="212121"/>
                <w:sz w:val="19"/>
              </w:rPr>
              <w:t>Symptomatic erosive/atrophic OLP</w:t>
            </w:r>
          </w:p>
        </w:tc>
        <w:tc>
          <w:tcPr>
            <w:tcW w:type="dxa" w:w="1512"/>
            <w:vAlign w:val="top"/>
          </w:tcPr>
          <w:p>
            <w:pPr>
              <w:spacing w:after="40" w:before="0" w:line="259" w:lineRule="auto"/>
            </w:pPr>
            <w:r>
              <w:rPr>
                <w:rFonts w:ascii="Calibri" w:hAnsi="Calibri"/>
                <w:b w:val="0"/>
                <w:i w:val="0"/>
                <w:color w:val="212121"/>
                <w:sz w:val="19"/>
              </w:rPr>
              <w:t>Bland, non-irritant diet during flares</w:t>
            </w:r>
          </w:p>
        </w:tc>
        <w:tc>
          <w:tcPr>
            <w:tcW w:type="dxa" w:w="1512"/>
            <w:vAlign w:val="top"/>
          </w:tcPr>
          <w:p>
            <w:pPr>
              <w:spacing w:after="40" w:before="0" w:line="259" w:lineRule="auto"/>
            </w:pPr>
            <w:r>
              <w:rPr>
                <w:rFonts w:ascii="Calibri" w:hAnsi="Calibri"/>
                <w:b w:val="0"/>
                <w:i w:val="0"/>
                <w:color w:val="212121"/>
                <w:sz w:val="19"/>
              </w:rPr>
              <w:t>Frequent spicy/acidic/hot foods</w:t>
            </w:r>
          </w:p>
        </w:tc>
        <w:tc>
          <w:tcPr>
            <w:tcW w:type="dxa" w:w="1468"/>
            <w:vAlign w:val="top"/>
          </w:tcPr>
          <w:p>
            <w:pPr>
              <w:spacing w:after="60" w:line="259" w:lineRule="auto"/>
            </w:pPr>
            <w:r>
              <w:rPr>
                <w:rFonts w:ascii="Calibri" w:hAnsi="Calibri"/>
                <w:b w:val="0"/>
                <w:i w:val="0"/>
                <w:color w:val="212121"/>
                <w:sz w:val="19"/>
              </w:rPr>
              <w:t>Provokes burning and pain; symptom trigger, not a cause.</w:t>
            </w:r>
          </w:p>
          <w:p>
            <w:pPr>
              <w:spacing w:after="40" w:line="252" w:lineRule="auto"/>
            </w:pPr>
            <w:hyperlink r:id="rId12">
              <w:r>
                <w:rPr>
                  <w:rFonts w:ascii="Calibri" w:hAnsi="Calibri" w:cs="Calibri"/>
                  <w:sz w:val="18"/>
                  <w:color w:val="1155CC"/>
                  <w:u w:val="single"/>
                </w:rPr>
                <w:t xml:space="preserve">https://www.mayoclinic.org/diseases-conditions/oral-lichen-planus/symptoms-causes/syc-20350869</w:t>
              </w:r>
            </w:hyperlink>
          </w:p>
        </w:tc>
      </w:tr>
      <w:tr>
        <w:trPr>
          <w:cantSplit/>
        </w:trPr>
        <w:tc>
          <w:tcPr>
            <w:tcW w:type="dxa" w:w="1512"/>
            <w:vAlign w:val="center"/>
          </w:tcPr>
          <w:p>
            <w:pPr>
              <w:spacing w:after="40"/>
            </w:pPr>
            <w:r>
              <w:rPr>
                <w:rFonts w:ascii="Calibri" w:hAnsi="Calibri"/>
                <w:b w:val="0"/>
                <w:i w:val="0"/>
                <w:color w:val="212121"/>
                <w:sz w:val="19"/>
              </w:rPr>
              <w:t>Mental health</w:t>
            </w:r>
          </w:p>
        </w:tc>
        <w:tc>
          <w:tcPr>
            <w:tcW w:type="dxa" w:w="1944"/>
            <w:vAlign w:val="top"/>
          </w:tcPr>
          <w:p>
            <w:pPr>
              <w:spacing w:after="40" w:before="0" w:line="259" w:lineRule="auto"/>
            </w:pPr>
            <w:r>
              <w:rPr>
                <w:rFonts w:ascii="Calibri" w:hAnsi="Calibri"/>
                <w:b w:val="0"/>
                <w:i w:val="0"/>
                <w:color w:val="212121"/>
                <w:sz w:val="19"/>
              </w:rPr>
              <w:t>Anxiety/stress score (e.g., HADS / DASS-21)</w:t>
            </w:r>
          </w:p>
        </w:tc>
        <w:tc>
          <w:tcPr>
            <w:tcW w:type="dxa" w:w="1655"/>
            <w:vAlign w:val="top"/>
          </w:tcPr>
          <w:p>
            <w:pPr>
              <w:spacing w:after="40" w:before="0" w:line="259" w:lineRule="auto"/>
            </w:pPr>
            <w:r>
              <w:rPr>
                <w:rFonts w:ascii="Calibri" w:hAnsi="Calibri"/>
                <w:b w:val="0"/>
                <w:i w:val="0"/>
                <w:color w:val="212121"/>
                <w:sz w:val="19"/>
              </w:rPr>
              <w:t>OLP patients</w:t>
            </w:r>
          </w:p>
        </w:tc>
        <w:tc>
          <w:tcPr>
            <w:tcW w:type="dxa" w:w="1512"/>
            <w:vAlign w:val="top"/>
          </w:tcPr>
          <w:p>
            <w:pPr>
              <w:spacing w:after="40" w:before="0" w:line="259" w:lineRule="auto"/>
            </w:pPr>
            <w:r>
              <w:rPr>
                <w:rFonts w:ascii="Calibri" w:hAnsi="Calibri"/>
                <w:b w:val="0"/>
                <w:i w:val="0"/>
                <w:color w:val="212121"/>
                <w:sz w:val="19"/>
              </w:rPr>
              <w:t>Within normal range</w:t>
            </w:r>
          </w:p>
        </w:tc>
        <w:tc>
          <w:tcPr>
            <w:tcW w:type="dxa" w:w="1512"/>
            <w:vAlign w:val="top"/>
          </w:tcPr>
          <w:p>
            <w:pPr>
              <w:spacing w:after="40" w:before="0" w:line="259" w:lineRule="auto"/>
            </w:pPr>
            <w:r>
              <w:rPr>
                <w:rFonts w:ascii="Calibri" w:hAnsi="Calibri"/>
                <w:b w:val="0"/>
                <w:i w:val="0"/>
                <w:color w:val="212121"/>
                <w:sz w:val="19"/>
              </w:rPr>
              <w:t>Elevated anxiety/stress</w:t>
            </w:r>
          </w:p>
        </w:tc>
        <w:tc>
          <w:tcPr>
            <w:tcW w:type="dxa" w:w="1468"/>
            <w:vAlign w:val="top"/>
          </w:tcPr>
          <w:p>
            <w:pPr>
              <w:spacing w:after="60" w:line="259" w:lineRule="auto"/>
            </w:pPr>
            <w:r>
              <w:rPr>
                <w:rFonts w:ascii="Calibri" w:hAnsi="Calibri"/>
                <w:b w:val="0"/>
                <w:i w:val="0"/>
                <w:color w:val="212121"/>
                <w:sz w:val="19"/>
              </w:rPr>
              <w:t>Psychosocial stress precipitates and exacerbates OLP flares.</w:t>
            </w:r>
          </w:p>
          <w:p>
            <w:pPr>
              <w:spacing w:after="40" w:line="252" w:lineRule="auto"/>
            </w:pPr>
            <w:hyperlink r:id="rId9">
              <w:r>
                <w:rPr>
                  <w:rFonts w:ascii="Calibri" w:hAnsi="Calibri" w:cs="Calibri"/>
                  <w:sz w:val="18"/>
                  <w:color w:val="1155CC"/>
                  <w:u w:val="single"/>
                </w:rPr>
                <w:t xml:space="preserve">https://dermnetnz.org/topics/oral-lichen-planus</w:t>
              </w:r>
            </w:hyperlink>
          </w:p>
        </w:tc>
      </w:tr>
      <w:tr>
        <w:trPr>
          <w:cantSplit/>
        </w:trPr>
        <w:tc>
          <w:tcPr>
            <w:tcW w:type="dxa" w:w="1512"/>
            <w:vAlign w:val="center"/>
          </w:tcPr>
          <w:p>
            <w:pPr>
              <w:spacing w:after="40"/>
            </w:pPr>
            <w:r>
              <w:rPr>
                <w:rFonts w:ascii="Calibri" w:hAnsi="Calibri"/>
                <w:b w:val="0"/>
                <w:i w:val="0"/>
                <w:color w:val="212121"/>
                <w:sz w:val="19"/>
              </w:rPr>
              <w:t>Hygiene</w:t>
            </w:r>
          </w:p>
        </w:tc>
        <w:tc>
          <w:tcPr>
            <w:tcW w:type="dxa" w:w="1944"/>
            <w:vAlign w:val="top"/>
          </w:tcPr>
          <w:p>
            <w:pPr>
              <w:spacing w:after="40" w:before="0" w:line="259" w:lineRule="auto"/>
            </w:pPr>
            <w:r>
              <w:rPr>
                <w:rFonts w:ascii="Calibri" w:hAnsi="Calibri"/>
                <w:b w:val="0"/>
                <w:i w:val="0"/>
                <w:color w:val="212121"/>
                <w:sz w:val="19"/>
              </w:rPr>
              <w:t>Oral hygiene / plaque control &amp; sharp-edge check</w:t>
            </w:r>
          </w:p>
        </w:tc>
        <w:tc>
          <w:tcPr>
            <w:tcW w:type="dxa" w:w="1655"/>
            <w:vAlign w:val="top"/>
          </w:tcPr>
          <w:p>
            <w:pPr>
              <w:spacing w:after="40" w:before="0" w:line="259" w:lineRule="auto"/>
            </w:pPr>
            <w:r>
              <w:rPr>
                <w:rFonts w:ascii="Calibri" w:hAnsi="Calibri"/>
                <w:b w:val="0"/>
                <w:i w:val="0"/>
                <w:color w:val="212121"/>
                <w:sz w:val="19"/>
              </w:rPr>
              <w:t>Gingival &amp; plaque-type OLP</w:t>
            </w:r>
          </w:p>
        </w:tc>
        <w:tc>
          <w:tcPr>
            <w:tcW w:type="dxa" w:w="1512"/>
            <w:vAlign w:val="top"/>
          </w:tcPr>
          <w:p>
            <w:pPr>
              <w:spacing w:after="40" w:before="0" w:line="259" w:lineRule="auto"/>
            </w:pPr>
            <w:r>
              <w:rPr>
                <w:rFonts w:ascii="Calibri" w:hAnsi="Calibri"/>
                <w:b w:val="0"/>
                <w:i w:val="0"/>
                <w:color w:val="212121"/>
                <w:sz w:val="19"/>
              </w:rPr>
              <w:t>Good hygiene; no sharp cusps or denture trauma</w:t>
            </w:r>
          </w:p>
        </w:tc>
        <w:tc>
          <w:tcPr>
            <w:tcW w:type="dxa" w:w="1512"/>
            <w:vAlign w:val="top"/>
          </w:tcPr>
          <w:p>
            <w:pPr>
              <w:spacing w:after="40" w:before="0" w:line="259" w:lineRule="auto"/>
            </w:pPr>
            <w:r>
              <w:rPr>
                <w:rFonts w:ascii="Calibri" w:hAnsi="Calibri"/>
                <w:b w:val="0"/>
                <w:i w:val="0"/>
                <w:color w:val="212121"/>
                <w:sz w:val="19"/>
              </w:rPr>
              <w:t>Poor hygiene; traumatic restorations/dentures</w:t>
            </w:r>
          </w:p>
        </w:tc>
        <w:tc>
          <w:tcPr>
            <w:tcW w:type="dxa" w:w="1468"/>
            <w:vAlign w:val="top"/>
          </w:tcPr>
          <w:p>
            <w:pPr>
              <w:spacing w:after="60" w:line="259" w:lineRule="auto"/>
            </w:pPr>
            <w:r>
              <w:rPr>
                <w:rFonts w:ascii="Calibri" w:hAnsi="Calibri"/>
                <w:b w:val="0"/>
                <w:i w:val="0"/>
                <w:color w:val="212121"/>
                <w:sz w:val="19"/>
              </w:rPr>
              <w:t>Trauma Koebnerises lesions; professional cleaning improves desquamative gingivitis.</w:t>
            </w:r>
          </w:p>
          <w:p>
            <w:pPr>
              <w:spacing w:after="40" w:line="252" w:lineRule="auto"/>
            </w:pPr>
            <w:hyperlink r:id="rId10">
              <w:r>
                <w:rPr>
                  <w:rFonts w:ascii="Calibri" w:hAnsi="Calibri" w:cs="Calibri"/>
                  <w:sz w:val="18"/>
                  <w:color w:val="1155CC"/>
                  <w:u w:val="single"/>
                </w:rPr>
                <w:t xml:space="preserve">https://www.ncbi.nlm.nih.gov/books/NBK578201/</w:t>
              </w:r>
            </w:hyperlink>
          </w:p>
        </w:tc>
      </w:tr>
      <w:tr>
        <w:trPr>
          <w:cantSplit/>
        </w:trPr>
        <w:tc>
          <w:tcPr>
            <w:tcW w:type="dxa" w:w="1512"/>
            <w:vMerge w:val="restart"/>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Lichenoid-associated drugs &amp; amalgam contact</w:t>
            </w:r>
          </w:p>
        </w:tc>
        <w:tc>
          <w:tcPr>
            <w:tcW w:type="dxa" w:w="1655"/>
            <w:vAlign w:val="top"/>
          </w:tcPr>
          <w:p>
            <w:pPr>
              <w:spacing w:after="40" w:before="0" w:line="259" w:lineRule="auto"/>
            </w:pPr>
            <w:r>
              <w:rPr>
                <w:rFonts w:ascii="Calibri" w:hAnsi="Calibri"/>
                <w:b w:val="0"/>
                <w:i w:val="0"/>
                <w:color w:val="212121"/>
                <w:sz w:val="19"/>
              </w:rPr>
              <w:t>Unilateral / amalgam-adjacent lesions</w:t>
            </w:r>
          </w:p>
        </w:tc>
        <w:tc>
          <w:tcPr>
            <w:tcW w:type="dxa" w:w="1512"/>
            <w:vAlign w:val="top"/>
          </w:tcPr>
          <w:p>
            <w:pPr>
              <w:spacing w:after="40" w:before="0" w:line="259" w:lineRule="auto"/>
            </w:pPr>
            <w:r>
              <w:rPr>
                <w:rFonts w:ascii="Calibri" w:hAnsi="Calibri"/>
                <w:b w:val="0"/>
                <w:i w:val="0"/>
                <w:color w:val="212121"/>
                <w:sz w:val="19"/>
              </w:rPr>
              <w:t>No culprit drug or contact material adjacent to lesion</w:t>
            </w:r>
          </w:p>
        </w:tc>
        <w:tc>
          <w:tcPr>
            <w:tcW w:type="dxa" w:w="1512"/>
            <w:vAlign w:val="top"/>
          </w:tcPr>
          <w:p>
            <w:pPr>
              <w:spacing w:after="40" w:before="0" w:line="259" w:lineRule="auto"/>
            </w:pPr>
            <w:r>
              <w:rPr>
                <w:rFonts w:ascii="Calibri" w:hAnsi="Calibri"/>
                <w:b w:val="0"/>
                <w:i w:val="0"/>
                <w:color w:val="212121"/>
                <w:sz w:val="19"/>
              </w:rPr>
              <w:t>Antihypertensive/NSAID/antimalarial/gold use; amalgam contact</w:t>
            </w:r>
          </w:p>
        </w:tc>
        <w:tc>
          <w:tcPr>
            <w:tcW w:type="dxa" w:w="1468"/>
            <w:vAlign w:val="top"/>
          </w:tcPr>
          <w:p>
            <w:pPr>
              <w:spacing w:after="60" w:line="259" w:lineRule="auto"/>
            </w:pPr>
            <w:r>
              <w:rPr>
                <w:rFonts w:ascii="Calibri" w:hAnsi="Calibri"/>
                <w:b w:val="0"/>
                <w:i w:val="0"/>
                <w:color w:val="212121"/>
                <w:sz w:val="19"/>
              </w:rPr>
              <w:t>Suggests lichenoid drug reaction or oral lichenoid contact lesion; consider substitution / patch testing.</w:t>
            </w:r>
          </w:p>
          <w:p>
            <w:pPr>
              <w:spacing w:after="40" w:line="252" w:lineRule="auto"/>
            </w:pPr>
            <w:hyperlink r:id="rId9">
              <w:r>
                <w:rPr>
                  <w:rFonts w:ascii="Calibri" w:hAnsi="Calibri" w:cs="Calibri"/>
                  <w:sz w:val="18"/>
                  <w:color w:val="1155CC"/>
                  <w:u w:val="single"/>
                </w:rPr>
                <w:t xml:space="preserve">https://dermnetnz.org/topics/oral-lichen-planus</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Hepatitis C serology (anti-HCV)</w:t>
            </w:r>
          </w:p>
        </w:tc>
        <w:tc>
          <w:tcPr>
            <w:tcW w:type="dxa" w:w="1655"/>
            <w:vAlign w:val="top"/>
          </w:tcPr>
          <w:p>
            <w:pPr>
              <w:spacing w:after="40" w:before="0" w:line="259" w:lineRule="auto"/>
            </w:pPr>
            <w:r>
              <w:rPr>
                <w:rFonts w:ascii="Calibri" w:hAnsi="Calibri"/>
                <w:b w:val="0"/>
                <w:i w:val="0"/>
                <w:color w:val="212121"/>
                <w:sz w:val="19"/>
              </w:rPr>
              <w:t>OLP patients (HCV-endemic areas)</w:t>
            </w:r>
          </w:p>
        </w:tc>
        <w:tc>
          <w:tcPr>
            <w:tcW w:type="dxa" w:w="1512"/>
            <w:vAlign w:val="top"/>
          </w:tcPr>
          <w:p>
            <w:pPr>
              <w:spacing w:after="40" w:before="0" w:line="259" w:lineRule="auto"/>
            </w:pPr>
            <w:r>
              <w:rPr>
                <w:rFonts w:ascii="Calibri" w:hAnsi="Calibri"/>
                <w:b w:val="0"/>
                <w:i w:val="0"/>
                <w:color w:val="212121"/>
                <w:sz w:val="19"/>
              </w:rPr>
              <w:t>Negative</w:t>
            </w:r>
          </w:p>
        </w:tc>
        <w:tc>
          <w:tcPr>
            <w:tcW w:type="dxa" w:w="1512"/>
            <w:vAlign w:val="top"/>
          </w:tcPr>
          <w:p>
            <w:pPr>
              <w:spacing w:after="40" w:before="0" w:line="259" w:lineRule="auto"/>
            </w:pPr>
            <w:r>
              <w:rPr>
                <w:rFonts w:ascii="Calibri" w:hAnsi="Calibri"/>
                <w:b w:val="0"/>
                <w:i w:val="0"/>
                <w:color w:val="212121"/>
                <w:sz w:val="19"/>
              </w:rPr>
              <w:t>Positive</w:t>
            </w:r>
          </w:p>
        </w:tc>
        <w:tc>
          <w:tcPr>
            <w:tcW w:type="dxa" w:w="1468"/>
            <w:vAlign w:val="top"/>
          </w:tcPr>
          <w:p>
            <w:pPr>
              <w:spacing w:after="60" w:line="259" w:lineRule="auto"/>
            </w:pPr>
            <w:r>
              <w:rPr>
                <w:rFonts w:ascii="Calibri" w:hAnsi="Calibri"/>
                <w:b w:val="0"/>
                <w:i w:val="0"/>
                <w:color w:val="212121"/>
                <w:sz w:val="19"/>
              </w:rPr>
              <w:t>LP patients are about 5x more likely to be HCV positive.</w:t>
            </w:r>
          </w:p>
          <w:p>
            <w:pPr>
              <w:spacing w:after="40" w:line="252" w:lineRule="auto"/>
            </w:pPr>
            <w:hyperlink r:id="rId13">
              <w:r>
                <w:rPr>
                  <w:rFonts w:ascii="Calibri" w:hAnsi="Calibri" w:cs="Calibri"/>
                  <w:sz w:val="18"/>
                  <w:color w:val="1155CC"/>
                  <w:u w:val="single"/>
                </w:rPr>
                <w:t xml:space="preserve">https://www.ncbi.nlm.nih.gov/books/NBK526126/</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Thyroid function (TSH, anti-TPO)</w:t>
            </w:r>
          </w:p>
        </w:tc>
        <w:tc>
          <w:tcPr>
            <w:tcW w:type="dxa" w:w="1655"/>
            <w:vAlign w:val="top"/>
          </w:tcPr>
          <w:p>
            <w:pPr>
              <w:spacing w:after="40" w:before="0" w:line="259" w:lineRule="auto"/>
            </w:pPr>
            <w:r>
              <w:rPr>
                <w:rFonts w:ascii="Calibri" w:hAnsi="Calibri"/>
                <w:b w:val="0"/>
                <w:i w:val="0"/>
                <w:color w:val="212121"/>
                <w:sz w:val="19"/>
              </w:rPr>
              <w:t>OLP patients</w:t>
            </w:r>
          </w:p>
        </w:tc>
        <w:tc>
          <w:tcPr>
            <w:tcW w:type="dxa" w:w="1512"/>
            <w:vAlign w:val="top"/>
          </w:tcPr>
          <w:p>
            <w:pPr>
              <w:spacing w:after="40" w:before="0" w:line="259" w:lineRule="auto"/>
            </w:pPr>
            <w:r>
              <w:rPr>
                <w:rFonts w:ascii="Calibri" w:hAnsi="Calibri"/>
                <w:b w:val="0"/>
                <w:i w:val="0"/>
                <w:color w:val="212121"/>
                <w:sz w:val="19"/>
              </w:rPr>
              <w:t>Euthyroid; anti-TPO negative</w:t>
            </w:r>
          </w:p>
        </w:tc>
        <w:tc>
          <w:tcPr>
            <w:tcW w:type="dxa" w:w="1512"/>
            <w:vAlign w:val="top"/>
          </w:tcPr>
          <w:p>
            <w:pPr>
              <w:spacing w:after="40" w:before="0" w:line="259" w:lineRule="auto"/>
            </w:pPr>
            <w:r>
              <w:rPr>
                <w:rFonts w:ascii="Calibri" w:hAnsi="Calibri"/>
                <w:b w:val="0"/>
                <w:i w:val="0"/>
                <w:color w:val="212121"/>
                <w:sz w:val="19"/>
              </w:rPr>
              <w:t>Abnormal TSH / positive anti-TPO</w:t>
            </w:r>
          </w:p>
        </w:tc>
        <w:tc>
          <w:tcPr>
            <w:tcW w:type="dxa" w:w="1468"/>
            <w:vAlign w:val="top"/>
          </w:tcPr>
          <w:p>
            <w:pPr>
              <w:spacing w:after="60" w:line="259" w:lineRule="auto"/>
            </w:pPr>
            <w:r>
              <w:rPr>
                <w:rFonts w:ascii="Calibri" w:hAnsi="Calibri"/>
                <w:b w:val="0"/>
                <w:i w:val="0"/>
                <w:color w:val="212121"/>
                <w:sz w:val="19"/>
              </w:rPr>
              <w:t>Screen for associated autoimmune thyroid disease.</w:t>
            </w:r>
          </w:p>
          <w:p>
            <w:pPr>
              <w:spacing w:after="40" w:line="252" w:lineRule="auto"/>
            </w:pPr>
            <w:hyperlink r:id="rId10">
              <w:r>
                <w:rPr>
                  <w:rFonts w:ascii="Calibri" w:hAnsi="Calibri" w:cs="Calibri"/>
                  <w:sz w:val="18"/>
                  <w:color w:val="1155CC"/>
                  <w:u w:val="single"/>
                </w:rPr>
                <w:t xml:space="preserve">https://www.ncbi.nlm.nih.gov/books/NBK578201/</w:t>
              </w:r>
            </w:hyperlink>
          </w:p>
        </w:tc>
      </w:tr>
      <w:tr>
        <w:trPr>
          <w:cantSplit/>
        </w:trPr>
        <w:tc>
          <w:tcPr>
            <w:tcW w:type="dxa" w:w="1512"/>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Glycaemic status (HbA1c, %)</w:t>
            </w:r>
          </w:p>
        </w:tc>
        <w:tc>
          <w:tcPr>
            <w:tcW w:type="dxa" w:w="1655"/>
            <w:vAlign w:val="top"/>
          </w:tcPr>
          <w:p>
            <w:pPr>
              <w:spacing w:after="40" w:before="0" w:line="259" w:lineRule="auto"/>
            </w:pPr>
            <w:r>
              <w:rPr>
                <w:rFonts w:ascii="Calibri" w:hAnsi="Calibri"/>
                <w:b w:val="0"/>
                <w:i w:val="0"/>
                <w:color w:val="212121"/>
                <w:sz w:val="19"/>
              </w:rPr>
              <w:t>OLP with Grinspan features</w:t>
            </w:r>
          </w:p>
        </w:tc>
        <w:tc>
          <w:tcPr>
            <w:tcW w:type="dxa" w:w="1512"/>
            <w:vAlign w:val="top"/>
          </w:tcPr>
          <w:p>
            <w:pPr>
              <w:spacing w:after="40" w:before="0" w:line="259" w:lineRule="auto"/>
            </w:pPr>
            <w:r>
              <w:rPr>
                <w:rFonts w:ascii="Calibri" w:hAnsi="Calibri"/>
                <w:b w:val="0"/>
                <w:i w:val="0"/>
                <w:color w:val="212121"/>
                <w:sz w:val="19"/>
              </w:rPr>
              <w:t>&lt; 5.7%</w:t>
            </w:r>
          </w:p>
        </w:tc>
        <w:tc>
          <w:tcPr>
            <w:tcW w:type="dxa" w:w="1512"/>
            <w:vAlign w:val="top"/>
          </w:tcPr>
          <w:p>
            <w:pPr>
              <w:spacing w:after="40" w:before="0" w:line="259" w:lineRule="auto"/>
            </w:pPr>
            <w:r>
              <w:rPr>
                <w:rFonts w:ascii="Calibri" w:hAnsi="Calibri"/>
                <w:b w:val="0"/>
                <w:i w:val="0"/>
                <w:color w:val="212121"/>
                <w:sz w:val="19"/>
              </w:rPr>
              <w:t>≥ 6.5% (diabetes)</w:t>
            </w:r>
          </w:p>
        </w:tc>
        <w:tc>
          <w:tcPr>
            <w:tcW w:type="dxa" w:w="1468"/>
            <w:vAlign w:val="top"/>
          </w:tcPr>
          <w:p>
            <w:pPr>
              <w:spacing w:after="40" w:before="0" w:line="259" w:lineRule="auto"/>
            </w:pPr>
            <w:r>
              <w:rPr>
                <w:rFonts w:ascii="Calibri" w:hAnsi="Calibri"/>
                <w:b w:val="0"/>
                <w:i w:val="0"/>
                <w:color w:val="212121"/>
                <w:sz w:val="19"/>
              </w:rPr>
              <w:t>Screen for diabetes (Grinspan syndrome); optimise glycaemic control.</w:t>
            </w:r>
          </w:p>
        </w:tc>
      </w:tr>
      <w:tr>
        <w:trPr>
          <w:cantSplit/>
        </w:trPr>
        <w:tc>
          <w:tcPr>
            <w:tcW w:type="dxa" w:w="1512"/>
            <w:vAlign w:val="center"/>
          </w:tcPr>
          <w:p>
            <w:pPr>
              <w:spacing w:after="40"/>
            </w:pPr>
            <w:r>
              <w:rPr>
                <w:rFonts w:ascii="Calibri" w:hAnsi="Calibri"/>
                <w:b w:val="0"/>
                <w:i w:val="0"/>
                <w:color w:val="212121"/>
                <w:sz w:val="19"/>
              </w:rPr>
              <w:t>Mental health</w:t>
            </w:r>
          </w:p>
        </w:tc>
        <w:tc>
          <w:tcPr>
            <w:tcW w:type="dxa" w:w="1944"/>
            <w:vAlign w:val="top"/>
          </w:tcPr>
          <w:p>
            <w:pPr>
              <w:spacing w:after="40" w:before="0" w:line="259" w:lineRule="auto"/>
            </w:pPr>
            <w:r>
              <w:rPr>
                <w:rFonts w:ascii="Calibri" w:hAnsi="Calibri"/>
                <w:b w:val="0"/>
                <w:i w:val="0"/>
                <w:color w:val="212121"/>
                <w:sz w:val="19"/>
              </w:rPr>
              <w:t>Lesion pain / severity (VAS 0–10; REU or Thongprasom score)</w:t>
            </w:r>
          </w:p>
        </w:tc>
        <w:tc>
          <w:tcPr>
            <w:tcW w:type="dxa" w:w="1655"/>
            <w:vAlign w:val="top"/>
          </w:tcPr>
          <w:p>
            <w:pPr>
              <w:spacing w:after="40" w:before="0" w:line="259" w:lineRule="auto"/>
            </w:pPr>
            <w:r>
              <w:rPr>
                <w:rFonts w:ascii="Calibri" w:hAnsi="Calibri"/>
                <w:b w:val="0"/>
                <w:i w:val="0"/>
                <w:color w:val="212121"/>
                <w:sz w:val="19"/>
              </w:rPr>
              <w:t>Erosive/atrophic OLP</w:t>
            </w:r>
          </w:p>
        </w:tc>
        <w:tc>
          <w:tcPr>
            <w:tcW w:type="dxa" w:w="1512"/>
            <w:vAlign w:val="top"/>
          </w:tcPr>
          <w:p>
            <w:pPr>
              <w:spacing w:after="40" w:before="0" w:line="259" w:lineRule="auto"/>
            </w:pPr>
            <w:r>
              <w:rPr>
                <w:rFonts w:ascii="Calibri" w:hAnsi="Calibri"/>
                <w:b w:val="0"/>
                <w:i w:val="0"/>
                <w:color w:val="212121"/>
                <w:sz w:val="19"/>
              </w:rPr>
              <w:t>Low score, reticular only</w:t>
            </w:r>
          </w:p>
        </w:tc>
        <w:tc>
          <w:tcPr>
            <w:tcW w:type="dxa" w:w="1512"/>
            <w:vAlign w:val="top"/>
          </w:tcPr>
          <w:p>
            <w:pPr>
              <w:spacing w:after="40" w:before="0" w:line="259" w:lineRule="auto"/>
            </w:pPr>
            <w:r>
              <w:rPr>
                <w:rFonts w:ascii="Calibri" w:hAnsi="Calibri"/>
                <w:b w:val="0"/>
                <w:i w:val="0"/>
                <w:color w:val="212121"/>
                <w:sz w:val="19"/>
              </w:rPr>
              <w:t>High score, erosion/ulceration</w:t>
            </w:r>
          </w:p>
        </w:tc>
        <w:tc>
          <w:tcPr>
            <w:tcW w:type="dxa" w:w="1468"/>
            <w:vAlign w:val="top"/>
          </w:tcPr>
          <w:p>
            <w:pPr>
              <w:spacing w:after="40" w:before="0" w:line="259" w:lineRule="auto"/>
            </w:pPr>
            <w:r>
              <w:rPr>
                <w:rFonts w:ascii="Calibri" w:hAnsi="Calibri"/>
                <w:b w:val="0"/>
                <w:i w:val="0"/>
                <w:color w:val="212121"/>
                <w:sz w:val="19"/>
              </w:rPr>
              <w:t>Objective tracking of symptom burden and treatment response.</w:t>
            </w:r>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Histopathology</w:t>
            </w:r>
          </w:p>
        </w:tc>
        <w:tc>
          <w:tcPr>
            <w:tcW w:type="dxa" w:w="1036"/>
            <w:vAlign w:val="top"/>
          </w:tcPr>
          <w:p>
            <w:pPr>
              <w:spacing w:after="40" w:before="0" w:line="259" w:lineRule="auto"/>
            </w:pPr>
            <w:r>
              <w:rPr>
                <w:rFonts w:ascii="Calibri" w:hAnsi="Calibri"/>
                <w:b w:val="0"/>
                <w:i w:val="0"/>
                <w:color w:val="212121"/>
                <w:sz w:val="16"/>
              </w:rPr>
              <w:t>Incisional biopsy (H&amp;E)</w:t>
            </w:r>
          </w:p>
        </w:tc>
        <w:tc>
          <w:tcPr>
            <w:tcW w:type="dxa" w:w="892"/>
            <w:vAlign w:val="top"/>
          </w:tcPr>
          <w:p>
            <w:pPr>
              <w:spacing w:after="40" w:before="0" w:line="259" w:lineRule="auto"/>
            </w:pPr>
            <w:r>
              <w:rPr>
                <w:rFonts w:ascii="Calibri" w:hAnsi="Calibri"/>
                <w:b w:val="0"/>
                <w:i w:val="0"/>
                <w:color w:val="212121"/>
                <w:sz w:val="16"/>
              </w:rPr>
              <w:t>Oral mucosal biopsy</w:t>
            </w:r>
          </w:p>
        </w:tc>
        <w:tc>
          <w:tcPr>
            <w:tcW w:type="dxa" w:w="950"/>
            <w:vAlign w:val="top"/>
          </w:tcPr>
          <w:p>
            <w:pPr>
              <w:spacing w:after="40" w:before="0" w:line="259" w:lineRule="auto"/>
            </w:pPr>
            <w:r>
              <w:rPr>
                <w:rFonts w:ascii="Calibri" w:hAnsi="Calibri"/>
                <w:b w:val="0"/>
                <w:i w:val="0"/>
                <w:color w:val="212121"/>
                <w:sz w:val="16"/>
              </w:rPr>
              <w:t>Normal stratified squamous epithelium; no lichenoid infiltrate</w:t>
            </w:r>
          </w:p>
        </w:tc>
        <w:tc>
          <w:tcPr>
            <w:tcW w:type="dxa" w:w="950"/>
            <w:vAlign w:val="top"/>
          </w:tcPr>
          <w:p>
            <w:pPr>
              <w:spacing w:after="40" w:before="0" w:line="259" w:lineRule="auto"/>
            </w:pPr>
            <w:r>
              <w:rPr>
                <w:rFonts w:ascii="Calibri" w:hAnsi="Calibri"/>
                <w:b w:val="0"/>
                <w:i w:val="0"/>
                <w:color w:val="212121"/>
                <w:sz w:val="16"/>
              </w:rPr>
              <w:t>Band-like lymphocytic infiltrate at the epithelial–connective interface, basal-cell liquefactive degeneration, Civatte bodies, saw-tooth rete ridges; no dysplasia</w:t>
            </w:r>
          </w:p>
        </w:tc>
        <w:tc>
          <w:tcPr>
            <w:tcW w:type="dxa" w:w="1036"/>
            <w:vAlign w:val="top"/>
          </w:tcPr>
          <w:p>
            <w:pPr>
              <w:spacing w:after="40" w:before="0" w:line="259" w:lineRule="auto"/>
            </w:pPr>
            <w:r>
              <w:rPr>
                <w:rFonts w:ascii="Calibri" w:hAnsi="Calibri"/>
                <w:b w:val="0"/>
                <w:i w:val="0"/>
                <w:color w:val="212121"/>
                <w:sz w:val="16"/>
              </w:rPr>
              <w:t>Confirms OLP and, critically, excludes epithelial dysplasia/malignancy</w:t>
            </w:r>
          </w:p>
        </w:tc>
        <w:tc>
          <w:tcPr>
            <w:tcW w:type="dxa" w:w="1036"/>
            <w:vAlign w:val="top"/>
          </w:tcPr>
          <w:p>
            <w:pPr>
              <w:spacing w:after="40" w:before="0" w:line="259" w:lineRule="auto"/>
            </w:pPr>
            <w:r>
              <w:rPr>
                <w:rFonts w:ascii="Calibri" w:hAnsi="Calibri"/>
                <w:b w:val="0"/>
                <w:i w:val="0"/>
                <w:color w:val="212121"/>
                <w:sz w:val="16"/>
              </w:rPr>
              <w:t>All suspected OLP, atypical/erosive lesions, non-healing ulcers</w:t>
            </w:r>
          </w:p>
        </w:tc>
        <w:tc>
          <w:tcPr>
            <w:tcW w:type="dxa" w:w="720"/>
            <w:vAlign w:val="top"/>
          </w:tcPr>
          <w:p>
            <w:pPr>
              <w:spacing w:after="40" w:before="0" w:line="259" w:lineRule="auto"/>
            </w:pPr>
            <w:r>
              <w:rPr>
                <w:rFonts w:ascii="Calibri" w:hAnsi="Calibri"/>
                <w:b w:val="0"/>
                <w:i w:val="0"/>
                <w:color w:val="212121"/>
                <w:sz w:val="16"/>
              </w:rPr>
              <w:t>Provoking factors; Hygiene</w:t>
            </w:r>
          </w:p>
        </w:tc>
        <w:tc>
          <w:tcPr>
            <w:tcW w:type="dxa" w:w="720"/>
            <w:vAlign w:val="top"/>
          </w:tcPr>
          <w:p>
            <w:pPr>
              <w:spacing w:after="40" w:before="0" w:line="259" w:lineRule="auto"/>
            </w:pPr>
            <w:r>
              <w:rPr>
                <w:rFonts w:ascii="Calibri" w:hAnsi="Calibri"/>
                <w:b w:val="0"/>
                <w:i w:val="0"/>
                <w:color w:val="212121"/>
                <w:sz w:val="16"/>
              </w:rPr>
              <w:t>Gold standard</w:t>
            </w:r>
          </w:p>
        </w:tc>
        <w:tc>
          <w:tcPr>
            <w:tcW w:type="dxa" w:w="720"/>
            <w:vAlign w:val="top"/>
          </w:tcPr>
          <w:p>
            <w:pPr>
              <w:spacing w:after="40" w:before="0" w:line="259" w:lineRule="auto"/>
            </w:pPr>
            <w:r>
              <w:rPr>
                <w:rFonts w:ascii="Calibri" w:hAnsi="Calibri"/>
                <w:b w:val="0"/>
                <w:i w:val="0"/>
                <w:color w:val="212121"/>
                <w:sz w:val="16"/>
              </w:rPr>
              <w:t>Biopsy a representative, non-ulcerated striated area; avoid necrotic centre.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Immunopathology</w:t>
            </w:r>
          </w:p>
        </w:tc>
        <w:tc>
          <w:tcPr>
            <w:tcW w:type="dxa" w:w="1036"/>
            <w:vAlign w:val="top"/>
          </w:tcPr>
          <w:p>
            <w:pPr>
              <w:spacing w:after="40" w:before="0" w:line="259" w:lineRule="auto"/>
            </w:pPr>
            <w:r>
              <w:rPr>
                <w:rFonts w:ascii="Calibri" w:hAnsi="Calibri"/>
                <w:b w:val="0"/>
                <w:i w:val="0"/>
                <w:color w:val="212121"/>
                <w:sz w:val="16"/>
              </w:rPr>
              <w:t>Direct immunofluorescence (DIF)</w:t>
            </w:r>
          </w:p>
        </w:tc>
        <w:tc>
          <w:tcPr>
            <w:tcW w:type="dxa" w:w="892"/>
            <w:vAlign w:val="top"/>
          </w:tcPr>
          <w:p>
            <w:pPr>
              <w:spacing w:after="40" w:before="0" w:line="259" w:lineRule="auto"/>
            </w:pPr>
            <w:r>
              <w:rPr>
                <w:rFonts w:ascii="Calibri" w:hAnsi="Calibri"/>
                <w:b w:val="0"/>
                <w:i w:val="0"/>
                <w:color w:val="212121"/>
                <w:sz w:val="16"/>
              </w:rPr>
              <w:t>Perilesional mucosal biopsy</w:t>
            </w:r>
          </w:p>
        </w:tc>
        <w:tc>
          <w:tcPr>
            <w:tcW w:type="dxa" w:w="950"/>
            <w:vAlign w:val="top"/>
          </w:tcPr>
          <w:p>
            <w:pPr>
              <w:spacing w:after="40" w:before="0" w:line="259" w:lineRule="auto"/>
            </w:pPr>
            <w:r>
              <w:rPr>
                <w:rFonts w:ascii="Calibri" w:hAnsi="Calibri"/>
                <w:b w:val="0"/>
                <w:i w:val="0"/>
                <w:color w:val="212121"/>
                <w:sz w:val="16"/>
              </w:rPr>
              <w:t>No immunoreactant deposition</w:t>
            </w:r>
          </w:p>
        </w:tc>
        <w:tc>
          <w:tcPr>
            <w:tcW w:type="dxa" w:w="950"/>
            <w:vAlign w:val="top"/>
          </w:tcPr>
          <w:p>
            <w:pPr>
              <w:spacing w:after="40" w:before="0" w:line="259" w:lineRule="auto"/>
            </w:pPr>
            <w:r>
              <w:rPr>
                <w:rFonts w:ascii="Calibri" w:hAnsi="Calibri"/>
                <w:b w:val="0"/>
                <w:i w:val="0"/>
                <w:color w:val="212121"/>
                <w:sz w:val="16"/>
              </w:rPr>
              <w:t>Shaggy fibrinogen deposition along the basement-membrane zone; negative for IgG/IgA/C3</w:t>
            </w:r>
          </w:p>
        </w:tc>
        <w:tc>
          <w:tcPr>
            <w:tcW w:type="dxa" w:w="1036"/>
            <w:vAlign w:val="top"/>
          </w:tcPr>
          <w:p>
            <w:pPr>
              <w:spacing w:after="40" w:before="0" w:line="259" w:lineRule="auto"/>
            </w:pPr>
            <w:r>
              <w:rPr>
                <w:rFonts w:ascii="Calibri" w:hAnsi="Calibri"/>
                <w:b w:val="0"/>
                <w:i w:val="0"/>
                <w:color w:val="212121"/>
                <w:sz w:val="16"/>
              </w:rPr>
              <w:t>Supports OLP and helps exclude pemphigus, mucous membrane pemphigoid and lupus</w:t>
            </w:r>
          </w:p>
        </w:tc>
        <w:tc>
          <w:tcPr>
            <w:tcW w:type="dxa" w:w="1036"/>
            <w:vAlign w:val="top"/>
          </w:tcPr>
          <w:p>
            <w:pPr>
              <w:spacing w:after="40" w:before="0" w:line="259" w:lineRule="auto"/>
            </w:pPr>
            <w:r>
              <w:rPr>
                <w:rFonts w:ascii="Calibri" w:hAnsi="Calibri"/>
                <w:b w:val="0"/>
                <w:i w:val="0"/>
                <w:color w:val="212121"/>
                <w:sz w:val="16"/>
              </w:rPr>
              <w:t>Desquamative gingivitis, bullous/erosive disease, diagnostic doubt</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Confirmatory</w:t>
            </w:r>
          </w:p>
        </w:tc>
        <w:tc>
          <w:tcPr>
            <w:tcW w:type="dxa" w:w="720"/>
            <w:vAlign w:val="top"/>
          </w:tcPr>
          <w:p>
            <w:pPr>
              <w:spacing w:after="40" w:before="0" w:line="259" w:lineRule="auto"/>
            </w:pPr>
            <w:r>
              <w:rPr>
                <w:rFonts w:ascii="Calibri" w:hAnsi="Calibri"/>
                <w:b w:val="0"/>
                <w:i w:val="0"/>
                <w:color w:val="212121"/>
                <w:sz w:val="16"/>
              </w:rPr>
              <w:t>Take perilesional tissue in Michel's/transport medium.</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Serology</w:t>
            </w:r>
          </w:p>
        </w:tc>
        <w:tc>
          <w:tcPr>
            <w:tcW w:type="dxa" w:w="1036"/>
            <w:vAlign w:val="top"/>
          </w:tcPr>
          <w:p>
            <w:pPr>
              <w:spacing w:after="40" w:before="0" w:line="259" w:lineRule="auto"/>
            </w:pPr>
            <w:r>
              <w:rPr>
                <w:rFonts w:ascii="Calibri" w:hAnsi="Calibri"/>
                <w:b w:val="0"/>
                <w:i w:val="0"/>
                <w:color w:val="212121"/>
                <w:sz w:val="16"/>
              </w:rPr>
              <w:t>Hepatitis C antibody (anti-HCV)</w:t>
            </w:r>
          </w:p>
        </w:tc>
        <w:tc>
          <w:tcPr>
            <w:tcW w:type="dxa" w:w="892"/>
            <w:vAlign w:val="top"/>
          </w:tcPr>
          <w:p>
            <w:pPr>
              <w:spacing w:after="40" w:before="0" w:line="259" w:lineRule="auto"/>
            </w:pPr>
            <w:r>
              <w:rPr>
                <w:rFonts w:ascii="Calibri" w:hAnsi="Calibri"/>
                <w:b w:val="0"/>
                <w:i w:val="0"/>
                <w:color w:val="212121"/>
                <w:sz w:val="16"/>
              </w:rPr>
              <w:t>Blood test</w:t>
            </w:r>
          </w:p>
        </w:tc>
        <w:tc>
          <w:tcPr>
            <w:tcW w:type="dxa" w:w="950"/>
            <w:vAlign w:val="top"/>
          </w:tcPr>
          <w:p>
            <w:pPr>
              <w:spacing w:after="40" w:before="0" w:line="259" w:lineRule="auto"/>
            </w:pPr>
            <w:r>
              <w:rPr>
                <w:rFonts w:ascii="Calibri" w:hAnsi="Calibri"/>
                <w:b w:val="0"/>
                <w:i w:val="0"/>
                <w:color w:val="212121"/>
                <w:sz w:val="16"/>
              </w:rPr>
              <w:t>Negative</w:t>
            </w:r>
          </w:p>
        </w:tc>
        <w:tc>
          <w:tcPr>
            <w:tcW w:type="dxa" w:w="950"/>
            <w:vAlign w:val="top"/>
          </w:tcPr>
          <w:p>
            <w:pPr>
              <w:spacing w:after="40" w:before="0" w:line="259" w:lineRule="auto"/>
            </w:pPr>
            <w:r>
              <w:rPr>
                <w:rFonts w:ascii="Calibri" w:hAnsi="Calibri"/>
                <w:b w:val="0"/>
                <w:i w:val="0"/>
                <w:color w:val="212121"/>
                <w:sz w:val="16"/>
              </w:rPr>
              <w:t>Positive</w:t>
            </w:r>
          </w:p>
        </w:tc>
        <w:tc>
          <w:tcPr>
            <w:tcW w:type="dxa" w:w="1036"/>
            <w:vAlign w:val="top"/>
          </w:tcPr>
          <w:p>
            <w:pPr>
              <w:spacing w:after="40" w:before="0" w:line="259" w:lineRule="auto"/>
            </w:pPr>
            <w:r>
              <w:rPr>
                <w:rFonts w:ascii="Calibri" w:hAnsi="Calibri"/>
                <w:b w:val="0"/>
                <w:i w:val="0"/>
                <w:color w:val="212121"/>
                <w:sz w:val="16"/>
              </w:rPr>
              <w:t>Screens for the recognised HCV–lichen planus association</w:t>
            </w:r>
          </w:p>
        </w:tc>
        <w:tc>
          <w:tcPr>
            <w:tcW w:type="dxa" w:w="1036"/>
            <w:vAlign w:val="top"/>
          </w:tcPr>
          <w:p>
            <w:pPr>
              <w:spacing w:after="40" w:before="0" w:line="259" w:lineRule="auto"/>
            </w:pPr>
            <w:r>
              <w:rPr>
                <w:rFonts w:ascii="Calibri" w:hAnsi="Calibri"/>
                <w:b w:val="0"/>
                <w:i w:val="0"/>
                <w:color w:val="212121"/>
                <w:sz w:val="16"/>
              </w:rPr>
              <w:t>OLP patients, especially in HCV-endemic settings or with risk factors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LP patients are about 5x more likely to be HCV positive.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Endocrine</w:t>
            </w:r>
          </w:p>
        </w:tc>
        <w:tc>
          <w:tcPr>
            <w:tcW w:type="dxa" w:w="1036"/>
            <w:vAlign w:val="top"/>
          </w:tcPr>
          <w:p>
            <w:pPr>
              <w:spacing w:after="40" w:before="0" w:line="259" w:lineRule="auto"/>
            </w:pPr>
            <w:r>
              <w:rPr>
                <w:rFonts w:ascii="Calibri" w:hAnsi="Calibri"/>
                <w:b w:val="0"/>
                <w:i w:val="0"/>
                <w:color w:val="212121"/>
                <w:sz w:val="16"/>
              </w:rPr>
              <w:t>Thyroid function (TSH, anti-TPO)</w:t>
            </w:r>
          </w:p>
        </w:tc>
        <w:tc>
          <w:tcPr>
            <w:tcW w:type="dxa" w:w="892"/>
            <w:vAlign w:val="top"/>
          </w:tcPr>
          <w:p>
            <w:pPr>
              <w:spacing w:after="40" w:before="0" w:line="259" w:lineRule="auto"/>
            </w:pPr>
            <w:r>
              <w:rPr>
                <w:rFonts w:ascii="Calibri" w:hAnsi="Calibri"/>
                <w:b w:val="0"/>
                <w:i w:val="0"/>
                <w:color w:val="212121"/>
                <w:sz w:val="16"/>
              </w:rPr>
              <w:t>Blood test</w:t>
            </w:r>
          </w:p>
        </w:tc>
        <w:tc>
          <w:tcPr>
            <w:tcW w:type="dxa" w:w="950"/>
            <w:vAlign w:val="top"/>
          </w:tcPr>
          <w:p>
            <w:pPr>
              <w:spacing w:after="40" w:before="0" w:line="259" w:lineRule="auto"/>
            </w:pPr>
            <w:r>
              <w:rPr>
                <w:rFonts w:ascii="Calibri" w:hAnsi="Calibri"/>
                <w:b w:val="0"/>
                <w:i w:val="0"/>
                <w:color w:val="212121"/>
                <w:sz w:val="16"/>
              </w:rPr>
              <w:t>Euthyroid; anti-TPO negative</w:t>
            </w:r>
          </w:p>
        </w:tc>
        <w:tc>
          <w:tcPr>
            <w:tcW w:type="dxa" w:w="950"/>
            <w:vAlign w:val="top"/>
          </w:tcPr>
          <w:p>
            <w:pPr>
              <w:spacing w:after="40" w:before="0" w:line="259" w:lineRule="auto"/>
            </w:pPr>
            <w:r>
              <w:rPr>
                <w:rFonts w:ascii="Calibri" w:hAnsi="Calibri"/>
                <w:b w:val="0"/>
                <w:i w:val="0"/>
                <w:color w:val="212121"/>
                <w:sz w:val="16"/>
              </w:rPr>
              <w:t>Raised/low TSH; positive anti-TPO</w:t>
            </w:r>
          </w:p>
        </w:tc>
        <w:tc>
          <w:tcPr>
            <w:tcW w:type="dxa" w:w="1036"/>
            <w:vAlign w:val="top"/>
          </w:tcPr>
          <w:p>
            <w:pPr>
              <w:spacing w:after="40" w:before="0" w:line="259" w:lineRule="auto"/>
            </w:pPr>
            <w:r>
              <w:rPr>
                <w:rFonts w:ascii="Calibri" w:hAnsi="Calibri"/>
                <w:b w:val="0"/>
                <w:i w:val="0"/>
                <w:color w:val="212121"/>
                <w:sz w:val="16"/>
              </w:rPr>
              <w:t>Detects associated autoimmune thyroid disease</w:t>
            </w:r>
          </w:p>
        </w:tc>
        <w:tc>
          <w:tcPr>
            <w:tcW w:type="dxa" w:w="1036"/>
            <w:vAlign w:val="top"/>
          </w:tcPr>
          <w:p>
            <w:pPr>
              <w:spacing w:after="40" w:before="0" w:line="259" w:lineRule="auto"/>
            </w:pPr>
            <w:r>
              <w:rPr>
                <w:rFonts w:ascii="Calibri" w:hAnsi="Calibri"/>
                <w:b w:val="0"/>
                <w:i w:val="0"/>
                <w:color w:val="212121"/>
                <w:sz w:val="16"/>
              </w:rPr>
              <w:t>OLP patients, especially women</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Hashimoto thyroiditis is over-represented in OLP.</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Fasting glucose / HbA1c</w:t>
            </w:r>
          </w:p>
        </w:tc>
        <w:tc>
          <w:tcPr>
            <w:tcW w:type="dxa" w:w="892"/>
            <w:vAlign w:val="top"/>
          </w:tcPr>
          <w:p>
            <w:pPr>
              <w:spacing w:after="40" w:before="0" w:line="259" w:lineRule="auto"/>
            </w:pPr>
            <w:r>
              <w:rPr>
                <w:rFonts w:ascii="Calibri" w:hAnsi="Calibri"/>
                <w:b w:val="0"/>
                <w:i w:val="0"/>
                <w:color w:val="212121"/>
                <w:sz w:val="16"/>
              </w:rPr>
              <w:t>Blood test</w:t>
            </w:r>
          </w:p>
        </w:tc>
        <w:tc>
          <w:tcPr>
            <w:tcW w:type="dxa" w:w="950"/>
            <w:vAlign w:val="top"/>
          </w:tcPr>
          <w:p>
            <w:pPr>
              <w:spacing w:after="40" w:before="0" w:line="259" w:lineRule="auto"/>
            </w:pPr>
            <w:r>
              <w:rPr>
                <w:rFonts w:ascii="Calibri" w:hAnsi="Calibri"/>
                <w:b w:val="0"/>
                <w:i w:val="0"/>
                <w:color w:val="212121"/>
                <w:sz w:val="16"/>
              </w:rPr>
              <w:t>HbA1c &lt; 5.7%</w:t>
            </w:r>
          </w:p>
        </w:tc>
        <w:tc>
          <w:tcPr>
            <w:tcW w:type="dxa" w:w="950"/>
            <w:vAlign w:val="top"/>
          </w:tcPr>
          <w:p>
            <w:pPr>
              <w:spacing w:after="40" w:before="0" w:line="259" w:lineRule="auto"/>
            </w:pPr>
            <w:r>
              <w:rPr>
                <w:rFonts w:ascii="Calibri" w:hAnsi="Calibri"/>
                <w:b w:val="0"/>
                <w:i w:val="0"/>
                <w:color w:val="212121"/>
                <w:sz w:val="16"/>
              </w:rPr>
              <w:t>HbA1c ≥ 6.5%</w:t>
            </w:r>
          </w:p>
        </w:tc>
        <w:tc>
          <w:tcPr>
            <w:tcW w:type="dxa" w:w="1036"/>
            <w:vAlign w:val="top"/>
          </w:tcPr>
          <w:p>
            <w:pPr>
              <w:spacing w:after="40" w:before="0" w:line="259" w:lineRule="auto"/>
            </w:pPr>
            <w:r>
              <w:rPr>
                <w:rFonts w:ascii="Calibri" w:hAnsi="Calibri"/>
                <w:b w:val="0"/>
                <w:i w:val="0"/>
                <w:color w:val="212121"/>
                <w:sz w:val="16"/>
              </w:rPr>
              <w:t>Screens for diabetes (Grinspan syndrome) that coexists with OLP</w:t>
            </w:r>
          </w:p>
        </w:tc>
        <w:tc>
          <w:tcPr>
            <w:tcW w:type="dxa" w:w="1036"/>
            <w:vAlign w:val="top"/>
          </w:tcPr>
          <w:p>
            <w:pPr>
              <w:spacing w:after="40" w:before="0" w:line="259" w:lineRule="auto"/>
            </w:pPr>
            <w:r>
              <w:rPr>
                <w:rFonts w:ascii="Calibri" w:hAnsi="Calibri"/>
                <w:b w:val="0"/>
                <w:i w:val="0"/>
                <w:color w:val="212121"/>
                <w:sz w:val="16"/>
              </w:rPr>
              <w:t>OLP with hypertension / metabolic features</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Uncontrolled diabetes also predisposes to secondary candidiasis.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Haematology / Nutrition</w:t>
            </w:r>
          </w:p>
        </w:tc>
        <w:tc>
          <w:tcPr>
            <w:tcW w:type="dxa" w:w="1036"/>
            <w:vAlign w:val="top"/>
          </w:tcPr>
          <w:p>
            <w:pPr>
              <w:spacing w:after="40" w:before="0" w:line="259" w:lineRule="auto"/>
            </w:pPr>
            <w:r>
              <w:rPr>
                <w:rFonts w:ascii="Calibri" w:hAnsi="Calibri"/>
                <w:b w:val="0"/>
                <w:i w:val="0"/>
                <w:color w:val="212121"/>
                <w:sz w:val="16"/>
              </w:rPr>
              <w:t>Vitamin D, B12, folate, ferritin, CBC</w:t>
            </w:r>
          </w:p>
        </w:tc>
        <w:tc>
          <w:tcPr>
            <w:tcW w:type="dxa" w:w="892"/>
            <w:vAlign w:val="top"/>
          </w:tcPr>
          <w:p>
            <w:pPr>
              <w:spacing w:after="40" w:before="0" w:line="259" w:lineRule="auto"/>
            </w:pPr>
            <w:r>
              <w:rPr>
                <w:rFonts w:ascii="Calibri" w:hAnsi="Calibri"/>
                <w:b w:val="0"/>
                <w:i w:val="0"/>
                <w:color w:val="212121"/>
                <w:sz w:val="16"/>
              </w:rPr>
              <w:t>Blood test</w:t>
            </w:r>
          </w:p>
        </w:tc>
        <w:tc>
          <w:tcPr>
            <w:tcW w:type="dxa" w:w="950"/>
            <w:vAlign w:val="top"/>
          </w:tcPr>
          <w:p>
            <w:pPr>
              <w:spacing w:after="40" w:before="0" w:line="259" w:lineRule="auto"/>
            </w:pPr>
            <w:r>
              <w:rPr>
                <w:rFonts w:ascii="Calibri" w:hAnsi="Calibri"/>
                <w:b w:val="0"/>
                <w:i w:val="0"/>
                <w:color w:val="212121"/>
                <w:sz w:val="16"/>
              </w:rPr>
              <w:t>Within reference ranges</w:t>
            </w:r>
          </w:p>
        </w:tc>
        <w:tc>
          <w:tcPr>
            <w:tcW w:type="dxa" w:w="950"/>
            <w:vAlign w:val="top"/>
          </w:tcPr>
          <w:p>
            <w:pPr>
              <w:spacing w:after="40" w:before="0" w:line="259" w:lineRule="auto"/>
            </w:pPr>
            <w:r>
              <w:rPr>
                <w:rFonts w:ascii="Calibri" w:hAnsi="Calibri"/>
                <w:b w:val="0"/>
                <w:i w:val="0"/>
                <w:color w:val="212121"/>
                <w:sz w:val="16"/>
              </w:rPr>
              <w:t>Deficiency of vitamin D / B12 / folate / iron</w:t>
            </w:r>
          </w:p>
        </w:tc>
        <w:tc>
          <w:tcPr>
            <w:tcW w:type="dxa" w:w="1036"/>
            <w:vAlign w:val="top"/>
          </w:tcPr>
          <w:p>
            <w:pPr>
              <w:spacing w:after="40" w:before="0" w:line="259" w:lineRule="auto"/>
            </w:pPr>
            <w:r>
              <w:rPr>
                <w:rFonts w:ascii="Calibri" w:hAnsi="Calibri"/>
                <w:b w:val="0"/>
                <w:i w:val="0"/>
                <w:color w:val="212121"/>
                <w:sz w:val="16"/>
              </w:rPr>
              <w:t>Identifies deficiencies that aggravate a sore mucosa and mimic atrophic disease</w:t>
            </w:r>
          </w:p>
        </w:tc>
        <w:tc>
          <w:tcPr>
            <w:tcW w:type="dxa" w:w="1036"/>
            <w:vAlign w:val="top"/>
          </w:tcPr>
          <w:p>
            <w:pPr>
              <w:spacing w:after="40" w:before="0" w:line="259" w:lineRule="auto"/>
            </w:pPr>
            <w:r>
              <w:rPr>
                <w:rFonts w:ascii="Calibri" w:hAnsi="Calibri"/>
                <w:b w:val="0"/>
                <w:i w:val="0"/>
                <w:color w:val="212121"/>
                <w:sz w:val="16"/>
              </w:rPr>
              <w:t>Symptomatic/atrophic OLP, poor diet</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Lower serum vitamin D is observed in OLP.</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Allergology</w:t>
            </w:r>
          </w:p>
        </w:tc>
        <w:tc>
          <w:tcPr>
            <w:tcW w:type="dxa" w:w="1036"/>
            <w:vAlign w:val="top"/>
          </w:tcPr>
          <w:p>
            <w:pPr>
              <w:spacing w:after="40" w:before="0" w:line="259" w:lineRule="auto"/>
            </w:pPr>
            <w:r>
              <w:rPr>
                <w:rFonts w:ascii="Calibri" w:hAnsi="Calibri"/>
                <w:b w:val="0"/>
                <w:i w:val="0"/>
                <w:color w:val="212121"/>
                <w:sz w:val="16"/>
              </w:rPr>
              <w:t>Cutaneous patch testing</w:t>
            </w:r>
          </w:p>
        </w:tc>
        <w:tc>
          <w:tcPr>
            <w:tcW w:type="dxa" w:w="892"/>
            <w:vAlign w:val="top"/>
          </w:tcPr>
          <w:p>
            <w:pPr>
              <w:spacing w:after="40" w:before="0" w:line="259" w:lineRule="auto"/>
            </w:pPr>
            <w:r>
              <w:rPr>
                <w:rFonts w:ascii="Calibri" w:hAnsi="Calibri"/>
                <w:b w:val="0"/>
                <w:i w:val="0"/>
                <w:color w:val="212121"/>
                <w:sz w:val="16"/>
              </w:rPr>
              <w:t>Patch test (metals / flavourings)</w:t>
            </w:r>
          </w:p>
        </w:tc>
        <w:tc>
          <w:tcPr>
            <w:tcW w:type="dxa" w:w="950"/>
            <w:vAlign w:val="top"/>
          </w:tcPr>
          <w:p>
            <w:pPr>
              <w:spacing w:after="40" w:before="0" w:line="259" w:lineRule="auto"/>
            </w:pPr>
            <w:r>
              <w:rPr>
                <w:rFonts w:ascii="Calibri" w:hAnsi="Calibri"/>
                <w:b w:val="0"/>
                <w:i w:val="0"/>
                <w:color w:val="212121"/>
                <w:sz w:val="16"/>
              </w:rPr>
              <w:t>No relevant contact allergy</w:t>
            </w:r>
          </w:p>
        </w:tc>
        <w:tc>
          <w:tcPr>
            <w:tcW w:type="dxa" w:w="950"/>
            <w:vAlign w:val="top"/>
          </w:tcPr>
          <w:p>
            <w:pPr>
              <w:spacing w:after="40" w:before="0" w:line="259" w:lineRule="auto"/>
            </w:pPr>
            <w:r>
              <w:rPr>
                <w:rFonts w:ascii="Calibri" w:hAnsi="Calibri"/>
                <w:b w:val="0"/>
                <w:i w:val="0"/>
                <w:color w:val="212121"/>
                <w:sz w:val="16"/>
              </w:rPr>
              <w:t>Positive to amalgam/mercury, gold or flavouring agents</w:t>
            </w:r>
          </w:p>
        </w:tc>
        <w:tc>
          <w:tcPr>
            <w:tcW w:type="dxa" w:w="1036"/>
            <w:vAlign w:val="top"/>
          </w:tcPr>
          <w:p>
            <w:pPr>
              <w:spacing w:after="40" w:before="0" w:line="259" w:lineRule="auto"/>
            </w:pPr>
            <w:r>
              <w:rPr>
                <w:rFonts w:ascii="Calibri" w:hAnsi="Calibri"/>
                <w:b w:val="0"/>
                <w:i w:val="0"/>
                <w:color w:val="212121"/>
                <w:sz w:val="16"/>
              </w:rPr>
              <w:t>Identifies an oral lichenoid contact lesion amenable to material replacement</w:t>
            </w:r>
          </w:p>
        </w:tc>
        <w:tc>
          <w:tcPr>
            <w:tcW w:type="dxa" w:w="1036"/>
            <w:vAlign w:val="top"/>
          </w:tcPr>
          <w:p>
            <w:pPr>
              <w:spacing w:after="40" w:before="0" w:line="259" w:lineRule="auto"/>
            </w:pPr>
            <w:r>
              <w:rPr>
                <w:rFonts w:ascii="Calibri" w:hAnsi="Calibri"/>
                <w:b w:val="0"/>
                <w:i w:val="0"/>
                <w:color w:val="212121"/>
                <w:sz w:val="16"/>
              </w:rPr>
              <w:t>Lesions topographically related to amalgam/restorations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Replacement of the culprit restoration can resolve contact lesions.</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complaints</w:t>
            </w:r>
          </w:p>
        </w:tc>
        <w:tc>
          <w:tcPr>
            <w:tcW w:type="dxa" w:w="979"/>
            <w:vAlign w:val="top"/>
          </w:tcPr>
          <w:p>
            <w:pPr>
              <w:spacing w:after="40" w:before="0" w:line="259" w:lineRule="auto"/>
            </w:pPr>
            <w:r>
              <w:rPr>
                <w:rFonts w:ascii="Calibri" w:hAnsi="Calibri"/>
                <w:b w:val="0"/>
                <w:i w:val="0"/>
                <w:color w:val="212121"/>
                <w:sz w:val="16"/>
              </w:rPr>
              <w:t>Burning, soreness, white patches, bleeding on brushing</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Any one or more present, often worse with spicy/acidic/hot foods</w:t>
            </w:r>
          </w:p>
        </w:tc>
        <w:tc>
          <w:tcPr>
            <w:tcW w:type="dxa" w:w="1036"/>
            <w:vAlign w:val="top"/>
          </w:tcPr>
          <w:p>
            <w:pPr>
              <w:spacing w:after="40" w:before="0" w:line="259" w:lineRule="auto"/>
            </w:pPr>
            <w:r>
              <w:rPr>
                <w:rFonts w:ascii="Calibri" w:hAnsi="Calibri"/>
                <w:b w:val="0"/>
                <w:i w:val="0"/>
                <w:color w:val="212121"/>
                <w:sz w:val="16"/>
              </w:rPr>
              <w:t>Symptom pattern typical of OLP; erosive disease is most painful</w:t>
            </w:r>
          </w:p>
        </w:tc>
        <w:tc>
          <w:tcPr>
            <w:tcW w:type="dxa" w:w="1036"/>
            <w:vAlign w:val="top"/>
          </w:tcPr>
          <w:p>
            <w:pPr>
              <w:spacing w:after="40" w:before="0" w:line="259" w:lineRule="auto"/>
            </w:pPr>
            <w:r>
              <w:rPr>
                <w:rFonts w:ascii="Calibri" w:hAnsi="Calibri"/>
                <w:b w:val="0"/>
                <w:i w:val="0"/>
                <w:color w:val="212121"/>
                <w:sz w:val="16"/>
              </w:rPr>
              <w:t>Symptomatic adults, women, erosive/atrophic OLP</w:t>
            </w:r>
          </w:p>
        </w:tc>
        <w:tc>
          <w:tcPr>
            <w:tcW w:type="dxa" w:w="720"/>
            <w:vAlign w:val="top"/>
          </w:tcPr>
          <w:p>
            <w:pPr>
              <w:spacing w:after="40" w:before="0" w:line="259" w:lineRule="auto"/>
            </w:pPr>
            <w:r>
              <w:rPr>
                <w:rFonts w:ascii="Calibri" w:hAnsi="Calibri"/>
                <w:b w:val="0"/>
                <w:i w:val="0"/>
                <w:color w:val="212121"/>
                <w:sz w:val="16"/>
              </w:rPr>
              <w:t>Food; Mental health</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Reticular disease is frequently asymptomatic and found incidentally.</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Examination</w:t>
            </w:r>
          </w:p>
        </w:tc>
        <w:tc>
          <w:tcPr>
            <w:tcW w:type="dxa" w:w="950"/>
            <w:vAlign w:val="top"/>
          </w:tcPr>
          <w:p>
            <w:pPr>
              <w:spacing w:after="40" w:before="0" w:line="259" w:lineRule="auto"/>
            </w:pPr>
            <w:r>
              <w:rPr>
                <w:rFonts w:ascii="Calibri" w:hAnsi="Calibri"/>
                <w:b w:val="0"/>
                <w:i w:val="0"/>
                <w:color w:val="212121"/>
                <w:sz w:val="16"/>
              </w:rPr>
              <w:t>Intraoral mucosal exam</w:t>
            </w:r>
          </w:p>
        </w:tc>
        <w:tc>
          <w:tcPr>
            <w:tcW w:type="dxa" w:w="979"/>
            <w:vAlign w:val="top"/>
          </w:tcPr>
          <w:p>
            <w:pPr>
              <w:spacing w:after="40" w:before="0" w:line="259" w:lineRule="auto"/>
            </w:pPr>
            <w:r>
              <w:rPr>
                <w:rFonts w:ascii="Calibri" w:hAnsi="Calibri"/>
                <w:b w:val="0"/>
                <w:i w:val="0"/>
                <w:color w:val="212121"/>
                <w:sz w:val="16"/>
              </w:rPr>
              <w:t>Bilateral Wickham striae; reticular/atrophic/erosive pattern; desquamative gingivitis</w:t>
            </w:r>
          </w:p>
        </w:tc>
        <w:tc>
          <w:tcPr>
            <w:tcW w:type="dxa" w:w="950"/>
            <w:vAlign w:val="top"/>
          </w:tcPr>
          <w:p>
            <w:pPr>
              <w:spacing w:after="40" w:before="0" w:line="259" w:lineRule="auto"/>
            </w:pPr>
            <w:r>
              <w:rPr>
                <w:rFonts w:ascii="Calibri" w:hAnsi="Calibri"/>
                <w:b w:val="0"/>
                <w:i w:val="0"/>
                <w:color w:val="212121"/>
                <w:sz w:val="16"/>
              </w:rPr>
              <w:t>Healthy mucosa</w:t>
            </w:r>
          </w:p>
        </w:tc>
        <w:tc>
          <w:tcPr>
            <w:tcW w:type="dxa" w:w="950"/>
            <w:vAlign w:val="top"/>
          </w:tcPr>
          <w:p>
            <w:pPr>
              <w:spacing w:after="40" w:before="0" w:line="259" w:lineRule="auto"/>
            </w:pPr>
            <w:r>
              <w:rPr>
                <w:rFonts w:ascii="Calibri" w:hAnsi="Calibri"/>
                <w:b w:val="0"/>
                <w:i w:val="0"/>
                <w:color w:val="212121"/>
                <w:sz w:val="16"/>
              </w:rPr>
              <w:t>Bilateral, symmetrical lacy white striae ± erythema, erosions or peeling gingiva</w:t>
            </w:r>
          </w:p>
        </w:tc>
        <w:tc>
          <w:tcPr>
            <w:tcW w:type="dxa" w:w="1036"/>
            <w:vAlign w:val="top"/>
          </w:tcPr>
          <w:p>
            <w:pPr>
              <w:spacing w:after="40" w:before="0" w:line="259" w:lineRule="auto"/>
            </w:pPr>
            <w:r>
              <w:rPr>
                <w:rFonts w:ascii="Calibri" w:hAnsi="Calibri"/>
                <w:b w:val="0"/>
                <w:i w:val="0"/>
                <w:color w:val="212121"/>
                <w:sz w:val="16"/>
              </w:rPr>
              <w:t>Bilaterality and Wickham striae are the clinical hallmarks of OLP</w:t>
            </w:r>
          </w:p>
        </w:tc>
        <w:tc>
          <w:tcPr>
            <w:tcW w:type="dxa" w:w="1036"/>
            <w:vAlign w:val="top"/>
          </w:tcPr>
          <w:p>
            <w:pPr>
              <w:spacing w:after="40" w:before="0" w:line="259" w:lineRule="auto"/>
            </w:pPr>
            <w:r>
              <w:rPr>
                <w:rFonts w:ascii="Calibri" w:hAnsi="Calibri"/>
                <w:b w:val="0"/>
                <w:i w:val="0"/>
                <w:color w:val="212121"/>
                <w:sz w:val="16"/>
              </w:rPr>
              <w:t>All suspected OLP</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Buccal mucosa is the commonest site, then tongue, gingiva and lips.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Examination</w:t>
            </w:r>
          </w:p>
        </w:tc>
        <w:tc>
          <w:tcPr>
            <w:tcW w:type="dxa" w:w="950"/>
            <w:vAlign w:val="top"/>
          </w:tcPr>
          <w:p>
            <w:pPr>
              <w:spacing w:after="40" w:before="0" w:line="259" w:lineRule="auto"/>
            </w:pPr>
            <w:r>
              <w:rPr>
                <w:rFonts w:ascii="Calibri" w:hAnsi="Calibri"/>
                <w:b w:val="0"/>
                <w:i w:val="0"/>
                <w:color w:val="212121"/>
                <w:sz w:val="16"/>
              </w:rPr>
              <w:t>Lesion character / red-flag check</w:t>
            </w:r>
          </w:p>
        </w:tc>
        <w:tc>
          <w:tcPr>
            <w:tcW w:type="dxa" w:w="979"/>
            <w:vAlign w:val="top"/>
          </w:tcPr>
          <w:p>
            <w:pPr>
              <w:spacing w:after="40" w:before="0" w:line="259" w:lineRule="auto"/>
            </w:pPr>
            <w:r>
              <w:rPr>
                <w:rFonts w:ascii="Calibri" w:hAnsi="Calibri"/>
                <w:b w:val="0"/>
                <w:i w:val="0"/>
                <w:color w:val="212121"/>
                <w:sz w:val="16"/>
              </w:rPr>
              <w:t>Induration, solitary non-healing ulcer, exophytic or rapidly changing lesion</w:t>
            </w:r>
          </w:p>
        </w:tc>
        <w:tc>
          <w:tcPr>
            <w:tcW w:type="dxa" w:w="950"/>
            <w:vAlign w:val="top"/>
          </w:tcPr>
          <w:p>
            <w:pPr>
              <w:spacing w:after="40" w:before="0" w:line="259" w:lineRule="auto"/>
            </w:pPr>
            <w:r>
              <w:rPr>
                <w:rFonts w:ascii="Calibri" w:hAnsi="Calibri"/>
                <w:b w:val="0"/>
                <w:i w:val="0"/>
                <w:color w:val="212121"/>
                <w:sz w:val="16"/>
              </w:rPr>
              <w:t>Soft, striated, bilateral lesions</w:t>
            </w:r>
          </w:p>
        </w:tc>
        <w:tc>
          <w:tcPr>
            <w:tcW w:type="dxa" w:w="950"/>
            <w:vAlign w:val="top"/>
          </w:tcPr>
          <w:p>
            <w:pPr>
              <w:spacing w:after="40" w:before="0" w:line="259" w:lineRule="auto"/>
            </w:pPr>
            <w:r>
              <w:rPr>
                <w:rFonts w:ascii="Calibri" w:hAnsi="Calibri"/>
                <w:b w:val="0"/>
                <w:i w:val="0"/>
                <w:color w:val="212121"/>
                <w:sz w:val="16"/>
              </w:rPr>
              <w:t>Indurated, ulcerated, unilateral or enlarging lesion</w:t>
            </w:r>
          </w:p>
        </w:tc>
        <w:tc>
          <w:tcPr>
            <w:tcW w:type="dxa" w:w="1036"/>
            <w:vAlign w:val="top"/>
          </w:tcPr>
          <w:p>
            <w:pPr>
              <w:spacing w:after="40" w:before="0" w:line="259" w:lineRule="auto"/>
            </w:pPr>
            <w:r>
              <w:rPr>
                <w:rFonts w:ascii="Calibri" w:hAnsi="Calibri"/>
                <w:b w:val="0"/>
                <w:i w:val="0"/>
                <w:color w:val="212121"/>
                <w:sz w:val="16"/>
              </w:rPr>
              <w:t>Raises suspicion of malignant transformation and mandates (re-)biopsy</w:t>
            </w:r>
          </w:p>
        </w:tc>
        <w:tc>
          <w:tcPr>
            <w:tcW w:type="dxa" w:w="1036"/>
            <w:vAlign w:val="top"/>
          </w:tcPr>
          <w:p>
            <w:pPr>
              <w:spacing w:after="40" w:before="0" w:line="259" w:lineRule="auto"/>
            </w:pPr>
            <w:r>
              <w:rPr>
                <w:rFonts w:ascii="Calibri" w:hAnsi="Calibri"/>
                <w:b w:val="0"/>
                <w:i w:val="0"/>
                <w:color w:val="212121"/>
                <w:sz w:val="16"/>
              </w:rPr>
              <w:t>Long-standing/erosive OLP, tobacco/alcohol/areca users</w:t>
            </w:r>
          </w:p>
        </w:tc>
        <w:tc>
          <w:tcPr>
            <w:tcW w:type="dxa" w:w="720"/>
            <w:vAlign w:val="top"/>
          </w:tcPr>
          <w:p>
            <w:pPr>
              <w:spacing w:after="40" w:before="0" w:line="259" w:lineRule="auto"/>
            </w:pPr>
            <w:r>
              <w:rPr>
                <w:rFonts w:ascii="Calibri" w:hAnsi="Calibri"/>
                <w:b w:val="0"/>
                <w:i w:val="0"/>
                <w:color w:val="212121"/>
                <w:sz w:val="16"/>
              </w:rPr>
              <w:t>Smoking; Alcohol</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OPMD status requires lifelong periodic review.</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Examination</w:t>
            </w:r>
          </w:p>
        </w:tc>
        <w:tc>
          <w:tcPr>
            <w:tcW w:type="dxa" w:w="950"/>
            <w:vAlign w:val="top"/>
          </w:tcPr>
          <w:p>
            <w:pPr>
              <w:spacing w:after="40" w:before="0" w:line="259" w:lineRule="auto"/>
            </w:pPr>
            <w:r>
              <w:rPr>
                <w:rFonts w:ascii="Calibri" w:hAnsi="Calibri"/>
                <w:b w:val="0"/>
                <w:i w:val="0"/>
                <w:color w:val="212121"/>
                <w:sz w:val="16"/>
              </w:rPr>
              <w:t>Extra-oral / mucocutaneous exam</w:t>
            </w:r>
          </w:p>
        </w:tc>
        <w:tc>
          <w:tcPr>
            <w:tcW w:type="dxa" w:w="979"/>
            <w:vAlign w:val="top"/>
          </w:tcPr>
          <w:p>
            <w:pPr>
              <w:spacing w:after="40" w:before="0" w:line="259" w:lineRule="auto"/>
            </w:pPr>
            <w:r>
              <w:rPr>
                <w:rFonts w:ascii="Calibri" w:hAnsi="Calibri"/>
                <w:b w:val="0"/>
                <w:i w:val="0"/>
                <w:color w:val="212121"/>
                <w:sz w:val="16"/>
              </w:rPr>
              <w:t>Skin (violaceous papules), genital, nail and scalp lesions</w:t>
            </w:r>
          </w:p>
        </w:tc>
        <w:tc>
          <w:tcPr>
            <w:tcW w:type="dxa" w:w="950"/>
            <w:vAlign w:val="top"/>
          </w:tcPr>
          <w:p>
            <w:pPr>
              <w:spacing w:after="40" w:before="0" w:line="259" w:lineRule="auto"/>
            </w:pPr>
            <w:r>
              <w:rPr>
                <w:rFonts w:ascii="Calibri" w:hAnsi="Calibri"/>
                <w:b w:val="0"/>
                <w:i w:val="0"/>
                <w:color w:val="212121"/>
                <w:sz w:val="16"/>
              </w:rPr>
              <w:t>No extra-oral lesions</w:t>
            </w:r>
          </w:p>
        </w:tc>
        <w:tc>
          <w:tcPr>
            <w:tcW w:type="dxa" w:w="950"/>
            <w:vAlign w:val="top"/>
          </w:tcPr>
          <w:p>
            <w:pPr>
              <w:spacing w:after="40" w:before="0" w:line="259" w:lineRule="auto"/>
            </w:pPr>
            <w:r>
              <w:rPr>
                <w:rFonts w:ascii="Calibri" w:hAnsi="Calibri"/>
                <w:b w:val="0"/>
                <w:i w:val="0"/>
                <w:color w:val="212121"/>
                <w:sz w:val="16"/>
              </w:rPr>
              <w:t>Concurrent cutaneous, genital, nail or scalp lichen planus</w:t>
            </w:r>
          </w:p>
        </w:tc>
        <w:tc>
          <w:tcPr>
            <w:tcW w:type="dxa" w:w="1036"/>
            <w:vAlign w:val="top"/>
          </w:tcPr>
          <w:p>
            <w:pPr>
              <w:spacing w:after="40" w:before="0" w:line="259" w:lineRule="auto"/>
            </w:pPr>
            <w:r>
              <w:rPr>
                <w:rFonts w:ascii="Calibri" w:hAnsi="Calibri"/>
                <w:b w:val="0"/>
                <w:i w:val="0"/>
                <w:color w:val="212121"/>
                <w:sz w:val="16"/>
              </w:rPr>
              <w:t>Confirms multi-site lichen planus and supports the diagnosis</w:t>
            </w:r>
          </w:p>
        </w:tc>
        <w:tc>
          <w:tcPr>
            <w:tcW w:type="dxa" w:w="1036"/>
            <w:vAlign w:val="top"/>
          </w:tcPr>
          <w:p>
            <w:pPr>
              <w:spacing w:after="40" w:before="0" w:line="259" w:lineRule="auto"/>
            </w:pPr>
            <w:r>
              <w:rPr>
                <w:rFonts w:ascii="Calibri" w:hAnsi="Calibri"/>
                <w:b w:val="0"/>
                <w:i w:val="0"/>
                <w:color w:val="212121"/>
                <w:sz w:val="16"/>
              </w:rPr>
              <w:t>Patients with cutaneous/genital LP</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About 50% of cutaneous LP patients have oral involvement.</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Drug history</w:t>
            </w:r>
          </w:p>
        </w:tc>
        <w:tc>
          <w:tcPr>
            <w:tcW w:type="dxa" w:w="979"/>
            <w:vAlign w:val="top"/>
          </w:tcPr>
          <w:p>
            <w:pPr>
              <w:spacing w:after="40" w:before="0" w:line="259" w:lineRule="auto"/>
            </w:pPr>
            <w:r>
              <w:rPr>
                <w:rFonts w:ascii="Calibri" w:hAnsi="Calibri"/>
                <w:b w:val="0"/>
                <w:i w:val="0"/>
                <w:color w:val="212121"/>
                <w:sz w:val="16"/>
              </w:rPr>
              <w:t>Antihypertensives, NSAIDs, antimalarials, gold, oral hypoglycaemics</w:t>
            </w:r>
          </w:p>
        </w:tc>
        <w:tc>
          <w:tcPr>
            <w:tcW w:type="dxa" w:w="950"/>
            <w:vAlign w:val="top"/>
          </w:tcPr>
          <w:p>
            <w:pPr>
              <w:spacing w:after="40" w:before="0" w:line="259" w:lineRule="auto"/>
            </w:pPr>
            <w:r>
              <w:rPr>
                <w:rFonts w:ascii="Calibri" w:hAnsi="Calibri"/>
                <w:b w:val="0"/>
                <w:i w:val="0"/>
                <w:color w:val="212121"/>
                <w:sz w:val="16"/>
              </w:rPr>
              <w:t>No culprit drug</w:t>
            </w:r>
          </w:p>
        </w:tc>
        <w:tc>
          <w:tcPr>
            <w:tcW w:type="dxa" w:w="950"/>
            <w:vAlign w:val="top"/>
          </w:tcPr>
          <w:p>
            <w:pPr>
              <w:spacing w:after="40" w:before="0" w:line="259" w:lineRule="auto"/>
            </w:pPr>
            <w:r>
              <w:rPr>
                <w:rFonts w:ascii="Calibri" w:hAnsi="Calibri"/>
                <w:b w:val="0"/>
                <w:i w:val="0"/>
                <w:color w:val="212121"/>
                <w:sz w:val="16"/>
              </w:rPr>
              <w:t>Temporal link between drug and lesion onset</w:t>
            </w:r>
          </w:p>
        </w:tc>
        <w:tc>
          <w:tcPr>
            <w:tcW w:type="dxa" w:w="1036"/>
            <w:vAlign w:val="top"/>
          </w:tcPr>
          <w:p>
            <w:pPr>
              <w:spacing w:after="40" w:before="0" w:line="259" w:lineRule="auto"/>
            </w:pPr>
            <w:r>
              <w:rPr>
                <w:rFonts w:ascii="Calibri" w:hAnsi="Calibri"/>
                <w:b w:val="0"/>
                <w:i w:val="0"/>
                <w:color w:val="212121"/>
                <w:sz w:val="16"/>
              </w:rPr>
              <w:t>Suggests a lichenoid drug reaction rather than idiopathic OLP</w:t>
            </w:r>
          </w:p>
        </w:tc>
        <w:tc>
          <w:tcPr>
            <w:tcW w:type="dxa" w:w="1036"/>
            <w:vAlign w:val="top"/>
          </w:tcPr>
          <w:p>
            <w:pPr>
              <w:spacing w:after="40" w:before="0" w:line="259" w:lineRule="auto"/>
            </w:pPr>
            <w:r>
              <w:rPr>
                <w:rFonts w:ascii="Calibri" w:hAnsi="Calibri"/>
                <w:b w:val="0"/>
                <w:i w:val="0"/>
                <w:color w:val="212121"/>
                <w:sz w:val="16"/>
              </w:rPr>
              <w:t>Older/polypharmacy patients, unilateral lesions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Rechallenge/substitution with the prescriber where feasible.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Examination</w:t>
            </w:r>
          </w:p>
        </w:tc>
        <w:tc>
          <w:tcPr>
            <w:tcW w:type="dxa" w:w="950"/>
            <w:vAlign w:val="top"/>
          </w:tcPr>
          <w:p>
            <w:pPr>
              <w:spacing w:after="40" w:before="0" w:line="259" w:lineRule="auto"/>
            </w:pPr>
            <w:r>
              <w:rPr>
                <w:rFonts w:ascii="Calibri" w:hAnsi="Calibri"/>
                <w:b w:val="0"/>
                <w:i w:val="0"/>
                <w:color w:val="212121"/>
                <w:sz w:val="16"/>
              </w:rPr>
              <w:t>Dental / prosthetic assessment</w:t>
            </w:r>
          </w:p>
        </w:tc>
        <w:tc>
          <w:tcPr>
            <w:tcW w:type="dxa" w:w="979"/>
            <w:vAlign w:val="top"/>
          </w:tcPr>
          <w:p>
            <w:pPr>
              <w:spacing w:after="40" w:before="0" w:line="259" w:lineRule="auto"/>
            </w:pPr>
            <w:r>
              <w:rPr>
                <w:rFonts w:ascii="Calibri" w:hAnsi="Calibri"/>
                <w:b w:val="0"/>
                <w:i w:val="0"/>
                <w:color w:val="212121"/>
                <w:sz w:val="16"/>
              </w:rPr>
              <w:t>Amalgam restorations, sharp cusps, ill-fitting dentures adjacent to lesion</w:t>
            </w:r>
          </w:p>
        </w:tc>
        <w:tc>
          <w:tcPr>
            <w:tcW w:type="dxa" w:w="950"/>
            <w:vAlign w:val="top"/>
          </w:tcPr>
          <w:p>
            <w:pPr>
              <w:spacing w:after="40" w:before="0" w:line="259" w:lineRule="auto"/>
            </w:pPr>
            <w:r>
              <w:rPr>
                <w:rFonts w:ascii="Calibri" w:hAnsi="Calibri"/>
                <w:b w:val="0"/>
                <w:i w:val="0"/>
                <w:color w:val="212121"/>
                <w:sz w:val="16"/>
              </w:rPr>
              <w:t>No local irritant</w:t>
            </w:r>
          </w:p>
        </w:tc>
        <w:tc>
          <w:tcPr>
            <w:tcW w:type="dxa" w:w="950"/>
            <w:vAlign w:val="top"/>
          </w:tcPr>
          <w:p>
            <w:pPr>
              <w:spacing w:after="40" w:before="0" w:line="259" w:lineRule="auto"/>
            </w:pPr>
            <w:r>
              <w:rPr>
                <w:rFonts w:ascii="Calibri" w:hAnsi="Calibri"/>
                <w:b w:val="0"/>
                <w:i w:val="0"/>
                <w:color w:val="212121"/>
                <w:sz w:val="16"/>
              </w:rPr>
              <w:t>Lesion topographically related to amalgam or trauma</w:t>
            </w:r>
          </w:p>
        </w:tc>
        <w:tc>
          <w:tcPr>
            <w:tcW w:type="dxa" w:w="1036"/>
            <w:vAlign w:val="top"/>
          </w:tcPr>
          <w:p>
            <w:pPr>
              <w:spacing w:after="40" w:before="0" w:line="259" w:lineRule="auto"/>
            </w:pPr>
            <w:r>
              <w:rPr>
                <w:rFonts w:ascii="Calibri" w:hAnsi="Calibri"/>
                <w:b w:val="0"/>
                <w:i w:val="0"/>
                <w:color w:val="212121"/>
                <w:sz w:val="16"/>
              </w:rPr>
              <w:t>Points to an oral lichenoid contact lesion or Koebnerised OLP</w:t>
            </w:r>
          </w:p>
        </w:tc>
        <w:tc>
          <w:tcPr>
            <w:tcW w:type="dxa" w:w="1036"/>
            <w:vAlign w:val="top"/>
          </w:tcPr>
          <w:p>
            <w:pPr>
              <w:spacing w:after="40" w:before="0" w:line="259" w:lineRule="auto"/>
            </w:pPr>
            <w:r>
              <w:rPr>
                <w:rFonts w:ascii="Calibri" w:hAnsi="Calibri"/>
                <w:b w:val="0"/>
                <w:i w:val="0"/>
                <w:color w:val="212121"/>
                <w:sz w:val="16"/>
              </w:rPr>
              <w:t>Lesions on buccal mucosa/lateral tongue against restorations</w:t>
            </w:r>
          </w:p>
        </w:tc>
        <w:tc>
          <w:tcPr>
            <w:tcW w:type="dxa" w:w="720"/>
            <w:vAlign w:val="top"/>
          </w:tcPr>
          <w:p>
            <w:pPr>
              <w:spacing w:after="40" w:before="0" w:line="259" w:lineRule="auto"/>
            </w:pPr>
            <w:r>
              <w:rPr>
                <w:rFonts w:ascii="Calibri" w:hAnsi="Calibri"/>
                <w:b w:val="0"/>
                <w:i w:val="0"/>
                <w:color w:val="212121"/>
                <w:sz w:val="16"/>
              </w:rPr>
              <w:t>Hygiene; 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Consider patch testing and material replacement.</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Psychosocial &amp; family/autoimmune history</w:t>
            </w:r>
          </w:p>
        </w:tc>
        <w:tc>
          <w:tcPr>
            <w:tcW w:type="dxa" w:w="979"/>
            <w:vAlign w:val="top"/>
          </w:tcPr>
          <w:p>
            <w:pPr>
              <w:spacing w:after="40" w:before="0" w:line="259" w:lineRule="auto"/>
            </w:pPr>
            <w:r>
              <w:rPr>
                <w:rFonts w:ascii="Calibri" w:hAnsi="Calibri"/>
                <w:b w:val="0"/>
                <w:i w:val="0"/>
                <w:color w:val="212121"/>
                <w:sz w:val="16"/>
              </w:rPr>
              <w:t>Chronic stress, anxiety/depression; family LP or autoimmune disease</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Significant stress/mood disturbance or positive family/autoimmune history</w:t>
            </w:r>
          </w:p>
        </w:tc>
        <w:tc>
          <w:tcPr>
            <w:tcW w:type="dxa" w:w="1036"/>
            <w:vAlign w:val="top"/>
          </w:tcPr>
          <w:p>
            <w:pPr>
              <w:spacing w:after="40" w:before="0" w:line="259" w:lineRule="auto"/>
            </w:pPr>
            <w:r>
              <w:rPr>
                <w:rFonts w:ascii="Calibri" w:hAnsi="Calibri"/>
                <w:b w:val="0"/>
                <w:i w:val="0"/>
                <w:color w:val="212121"/>
                <w:sz w:val="16"/>
              </w:rPr>
              <w:t>Identifies trigger factors and genetic/autoimmune predisposition</w:t>
            </w:r>
          </w:p>
        </w:tc>
        <w:tc>
          <w:tcPr>
            <w:tcW w:type="dxa" w:w="1036"/>
            <w:vAlign w:val="top"/>
          </w:tcPr>
          <w:p>
            <w:pPr>
              <w:spacing w:after="40" w:before="0" w:line="259" w:lineRule="auto"/>
            </w:pPr>
            <w:r>
              <w:rPr>
                <w:rFonts w:ascii="Calibri" w:hAnsi="Calibri"/>
                <w:b w:val="0"/>
                <w:i w:val="0"/>
                <w:color w:val="212121"/>
                <w:sz w:val="16"/>
              </w:rPr>
              <w:t>High-stress individuals, positive family history</w:t>
            </w:r>
          </w:p>
        </w:tc>
        <w:tc>
          <w:tcPr>
            <w:tcW w:type="dxa" w:w="720"/>
            <w:vAlign w:val="top"/>
          </w:tcPr>
          <w:p>
            <w:pPr>
              <w:spacing w:after="40" w:before="0" w:line="259" w:lineRule="auto"/>
            </w:pPr>
            <w:r>
              <w:rPr>
                <w:rFonts w:ascii="Calibri" w:hAnsi="Calibri"/>
                <w:b w:val="0"/>
                <w:i w:val="0"/>
                <w:color w:val="212121"/>
                <w:sz w:val="16"/>
              </w:rPr>
              <w:t>Mental health</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Address stress and screen for associated autoimmune disease.</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Burning sensation of the mouth (oral dysaesthesia)</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Hallmark symptom, typically worse with spicy, acidic or hot foods.</w:t>
            </w:r>
          </w:p>
        </w:tc>
      </w:tr>
      <w:tr>
        <w:trPr>
          <w:cantSplit/>
        </w:trPr>
        <w:tc>
          <w:tcPr>
            <w:tcW w:type="dxa" w:w="2304"/>
            <w:vAlign w:val="top"/>
          </w:tcPr>
          <w:p>
            <w:pPr>
              <w:spacing w:after="40" w:before="0" w:line="259" w:lineRule="auto"/>
            </w:pPr>
            <w:r>
              <w:rPr>
                <w:rFonts w:ascii="Calibri" w:hAnsi="Calibri"/>
                <w:b/>
                <w:i w:val="0"/>
                <w:color w:val="212121"/>
                <w:sz w:val="19"/>
              </w:rPr>
              <w:t>White lacy patches (reticular striae)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Often asymptomatic and noticed incidentally on the inner cheeks.</w:t>
            </w:r>
          </w:p>
        </w:tc>
      </w:tr>
      <w:tr>
        <w:trPr>
          <w:cantSplit/>
        </w:trPr>
        <w:tc>
          <w:tcPr>
            <w:tcW w:type="dxa" w:w="2304"/>
            <w:vAlign w:val="top"/>
          </w:tcPr>
          <w:p>
            <w:pPr>
              <w:spacing w:after="40" w:before="0" w:line="259" w:lineRule="auto"/>
            </w:pPr>
            <w:r>
              <w:rPr>
                <w:rFonts w:ascii="Calibri" w:hAnsi="Calibri"/>
                <w:b/>
                <w:i w:val="0"/>
                <w:color w:val="212121"/>
                <w:sz w:val="19"/>
              </w:rPr>
              <w:t>Oral soreness / pain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Especially in atrophic and erosive disease; may interfere with oral function.</w:t>
            </w:r>
          </w:p>
        </w:tc>
      </w:tr>
      <w:tr>
        <w:trPr>
          <w:cantSplit/>
        </w:trPr>
        <w:tc>
          <w:tcPr>
            <w:tcW w:type="dxa" w:w="2304"/>
            <w:vAlign w:val="top"/>
          </w:tcPr>
          <w:p>
            <w:pPr>
              <w:spacing w:after="40" w:before="0" w:line="259" w:lineRule="auto"/>
            </w:pPr>
            <w:r>
              <w:rPr>
                <w:rFonts w:ascii="Calibri" w:hAnsi="Calibri"/>
                <w:b/>
                <w:i w:val="0"/>
                <w:color w:val="212121"/>
                <w:sz w:val="19"/>
              </w:rPr>
              <w:t>Mucosal sensitivity to hot / acidic / spicy foods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Foods and drinks that are hot, acidic or spicy provoke discomfort.</w:t>
            </w:r>
          </w:p>
        </w:tc>
      </w:tr>
      <w:tr>
        <w:trPr>
          <w:cantSplit/>
        </w:trPr>
        <w:tc>
          <w:tcPr>
            <w:tcW w:type="dxa" w:w="2304"/>
            <w:vAlign w:val="top"/>
          </w:tcPr>
          <w:p>
            <w:pPr>
              <w:spacing w:after="40" w:before="0" w:line="259" w:lineRule="auto"/>
            </w:pPr>
            <w:r>
              <w:rPr>
                <w:rFonts w:ascii="Calibri" w:hAnsi="Calibri"/>
                <w:b/>
                <w:i w:val="0"/>
                <w:color w:val="212121"/>
                <w:sz w:val="19"/>
              </w:rPr>
              <w:t>Sore, bleeding gums (desquamative gingivitis)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Gingival involvement causes soreness and bleeding on tooth-brushing.</w:t>
            </w:r>
          </w:p>
        </w:tc>
      </w:tr>
      <w:tr>
        <w:trPr>
          <w:cantSplit/>
        </w:trPr>
        <w:tc>
          <w:tcPr>
            <w:tcW w:type="dxa" w:w="2304"/>
            <w:vAlign w:val="top"/>
          </w:tcPr>
          <w:p>
            <w:pPr>
              <w:spacing w:after="40" w:before="0" w:line="259" w:lineRule="auto"/>
            </w:pPr>
            <w:r>
              <w:rPr>
                <w:rFonts w:ascii="Calibri" w:hAnsi="Calibri"/>
                <w:b/>
                <w:i w:val="0"/>
                <w:color w:val="212121"/>
                <w:sz w:val="19"/>
              </w:rPr>
              <w:t>Rough or dry feeling of the mucosa</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Keratotic striae and associated dry mouth give a rough texture.</w:t>
            </w:r>
          </w:p>
        </w:tc>
      </w:tr>
      <w:tr>
        <w:trPr>
          <w:cantSplit/>
        </w:trPr>
        <w:tc>
          <w:tcPr>
            <w:tcW w:type="dxa" w:w="2304"/>
            <w:vAlign w:val="top"/>
          </w:tcPr>
          <w:p>
            <w:pPr>
              <w:spacing w:after="40" w:before="0" w:line="259" w:lineRule="auto"/>
            </w:pPr>
            <w:r>
              <w:rPr>
                <w:rFonts w:ascii="Calibri" w:hAnsi="Calibri"/>
                <w:b/>
                <w:i w:val="0"/>
                <w:color w:val="212121"/>
                <w:sz w:val="19"/>
              </w:rPr>
              <w:t>Painful erosions and ulcers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Characterise the erosive/ulcerative form; the most disabling symptom.</w:t>
            </w:r>
          </w:p>
        </w:tc>
      </w:tr>
      <w:tr>
        <w:trPr>
          <w:cantSplit/>
        </w:trPr>
        <w:tc>
          <w:tcPr>
            <w:tcW w:type="dxa" w:w="2304"/>
            <w:vAlign w:val="top"/>
          </w:tcPr>
          <w:p>
            <w:pPr>
              <w:spacing w:after="40" w:before="0" w:line="259" w:lineRule="auto"/>
            </w:pPr>
            <w:r>
              <w:rPr>
                <w:rFonts w:ascii="Calibri" w:hAnsi="Calibri"/>
                <w:b/>
                <w:i w:val="0"/>
                <w:color w:val="212121"/>
                <w:sz w:val="19"/>
              </w:rPr>
              <w:t>Difficulty eating, speaking or swallowing</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Pain from extensive erosive disease limits oral function and nutrition.</w:t>
            </w:r>
          </w:p>
        </w:tc>
      </w:tr>
      <w:tr>
        <w:trPr>
          <w:cantSplit/>
        </w:trPr>
        <w:tc>
          <w:tcPr>
            <w:tcW w:type="dxa" w:w="2304"/>
            <w:vAlign w:val="top"/>
          </w:tcPr>
          <w:p>
            <w:pPr>
              <w:spacing w:after="40" w:before="0" w:line="259" w:lineRule="auto"/>
            </w:pPr>
            <w:r>
              <w:rPr>
                <w:rFonts w:ascii="Calibri" w:hAnsi="Calibri"/>
                <w:b/>
                <w:i w:val="0"/>
                <w:color w:val="212121"/>
                <w:sz w:val="19"/>
              </w:rPr>
              <w:t>Altered or metallic taste</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May accompany erosive disease or amalgam-related lichenoid lesions.</w:t>
            </w:r>
          </w:p>
        </w:tc>
      </w:tr>
      <w:tr>
        <w:trPr>
          <w:cantSplit/>
        </w:trPr>
        <w:tc>
          <w:tcPr>
            <w:tcW w:type="dxa" w:w="2304"/>
            <w:vAlign w:val="top"/>
          </w:tcPr>
          <w:p>
            <w:pPr>
              <w:spacing w:after="40" w:before="0" w:line="259" w:lineRule="auto"/>
            </w:pPr>
            <w:r>
              <w:rPr>
                <w:rFonts w:ascii="Calibri" w:hAnsi="Calibri"/>
                <w:b/>
                <w:i w:val="0"/>
                <w:color w:val="212121"/>
                <w:sz w:val="19"/>
              </w:rPr>
              <w:t>Mucosal bleeding</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From eroded, friable mucosa, particularly the gingivae.</w:t>
            </w:r>
          </w:p>
        </w:tc>
      </w:tr>
      <w:tr>
        <w:trPr>
          <w:cantSplit/>
        </w:trPr>
        <w:tc>
          <w:tcPr>
            <w:tcW w:type="dxa" w:w="2304"/>
            <w:vAlign w:val="top"/>
          </w:tcPr>
          <w:p>
            <w:pPr>
              <w:spacing w:after="40" w:before="0" w:line="259" w:lineRule="auto"/>
            </w:pPr>
            <w:r>
              <w:rPr>
                <w:rFonts w:ascii="Calibri" w:hAnsi="Calibri"/>
                <w:b/>
                <w:i w:val="0"/>
                <w:color w:val="212121"/>
                <w:sz w:val="19"/>
              </w:rPr>
              <w:t>Dysphagia from oesophageal involvement</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Extra-oral lichen planus of the oesophagus can cause strictures and dysphagia.</w:t>
            </w:r>
          </w:p>
        </w:tc>
      </w:tr>
      <w:tr>
        <w:trPr>
          <w:cantSplit/>
        </w:trPr>
        <w:tc>
          <w:tcPr>
            <w:tcW w:type="dxa" w:w="2304"/>
            <w:vAlign w:val="top"/>
          </w:tcPr>
          <w:p>
            <w:pPr>
              <w:spacing w:after="40" w:before="0" w:line="259" w:lineRule="auto"/>
            </w:pPr>
            <w:r>
              <w:rPr>
                <w:rFonts w:ascii="Calibri" w:hAnsi="Calibri"/>
                <w:b/>
                <w:i w:val="0"/>
                <w:color w:val="212121"/>
                <w:sz w:val="19"/>
              </w:rPr>
              <w:t>Genital soreness (vulvovaginal-gingival / peno-gingival syndrome)</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Simultaneous erosive genital and gingival lichen planus in a minority of patients.</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Wickham striae (white reticular network)</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Interlacing white keratotic lines, most often bilateral on the buccal mucosa — the clinical hallmark.</w:t>
            </w:r>
          </w:p>
        </w:tc>
      </w:tr>
      <w:tr>
        <w:trPr>
          <w:cantSplit/>
        </w:trPr>
        <w:tc>
          <w:tcPr>
            <w:tcW w:type="dxa" w:w="3456"/>
            <w:vAlign w:val="top"/>
          </w:tcPr>
          <w:p>
            <w:pPr>
              <w:spacing w:after="40" w:before="0" w:line="259" w:lineRule="auto"/>
            </w:pPr>
            <w:r>
              <w:rPr>
                <w:rFonts w:ascii="Calibri" w:hAnsi="Calibri"/>
                <w:b/>
                <w:i w:val="0"/>
                <w:color w:val="212121"/>
                <w:sz w:val="19"/>
              </w:rPr>
              <w:t>Bilateral, symmetrical distribution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Symmetry distinguishes OLP from most look-alikes and from a solitary suspicious lesion.</w:t>
            </w:r>
          </w:p>
        </w:tc>
      </w:tr>
      <w:tr>
        <w:trPr>
          <w:cantSplit/>
        </w:trPr>
        <w:tc>
          <w:tcPr>
            <w:tcW w:type="dxa" w:w="3456"/>
            <w:vAlign w:val="top"/>
          </w:tcPr>
          <w:p>
            <w:pPr>
              <w:spacing w:after="40" w:before="0" w:line="259" w:lineRule="auto"/>
            </w:pPr>
            <w:r>
              <w:rPr>
                <w:rFonts w:ascii="Calibri" w:hAnsi="Calibri"/>
                <w:b/>
                <w:i w:val="0"/>
                <w:color w:val="212121"/>
                <w:sz w:val="19"/>
              </w:rPr>
              <w:t>Erythematous atrophic mucosa</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Thinned, red mucosa with surrounding striae in the atrophic form.</w:t>
            </w:r>
          </w:p>
        </w:tc>
      </w:tr>
      <w:tr>
        <w:trPr>
          <w:cantSplit/>
        </w:trPr>
        <w:tc>
          <w:tcPr>
            <w:tcW w:type="dxa" w:w="3456"/>
            <w:vAlign w:val="top"/>
          </w:tcPr>
          <w:p>
            <w:pPr>
              <w:spacing w:after="40" w:before="0" w:line="259" w:lineRule="auto"/>
            </w:pPr>
            <w:r>
              <w:rPr>
                <w:rFonts w:ascii="Calibri" w:hAnsi="Calibri"/>
                <w:b/>
                <w:i w:val="0"/>
                <w:color w:val="212121"/>
                <w:sz w:val="19"/>
              </w:rPr>
              <w:t>Erosions/ulcers with radiating peripheral striae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Shallow erosions rimmed by white striae characterise the erosive form.</w:t>
            </w:r>
          </w:p>
        </w:tc>
      </w:tr>
      <w:tr>
        <w:trPr>
          <w:cantSplit/>
        </w:trPr>
        <w:tc>
          <w:tcPr>
            <w:tcW w:type="dxa" w:w="3456"/>
            <w:vAlign w:val="top"/>
          </w:tcPr>
          <w:p>
            <w:pPr>
              <w:spacing w:after="40" w:before="0" w:line="259" w:lineRule="auto"/>
            </w:pPr>
            <w:r>
              <w:rPr>
                <w:rFonts w:ascii="Calibri" w:hAnsi="Calibri"/>
                <w:b/>
                <w:i w:val="0"/>
                <w:color w:val="212121"/>
                <w:sz w:val="19"/>
              </w:rPr>
              <w:t>Desquamative gingivitis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Fiery-red, peeling, tender attached gingiva; a common gingival presentation of OLP.</w:t>
            </w:r>
          </w:p>
        </w:tc>
      </w:tr>
      <w:tr>
        <w:trPr>
          <w:cantSplit/>
        </w:trPr>
        <w:tc>
          <w:tcPr>
            <w:tcW w:type="dxa" w:w="3456"/>
            <w:vAlign w:val="top"/>
          </w:tcPr>
          <w:p>
            <w:pPr>
              <w:spacing w:after="40" w:before="0" w:line="259" w:lineRule="auto"/>
            </w:pPr>
            <w:r>
              <w:rPr>
                <w:rFonts w:ascii="Calibri" w:hAnsi="Calibri"/>
                <w:b/>
                <w:i w:val="0"/>
                <w:color w:val="212121"/>
                <w:sz w:val="19"/>
              </w:rPr>
              <w:t>Plaque-type white patches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Homogeneous white plaques resembling leukoplakia, favouring the dorsal tongue and smokers.</w:t>
            </w:r>
          </w:p>
        </w:tc>
      </w:tr>
      <w:tr>
        <w:trPr>
          <w:cantSplit/>
        </w:trPr>
        <w:tc>
          <w:tcPr>
            <w:tcW w:type="dxa" w:w="3456"/>
            <w:vAlign w:val="top"/>
          </w:tcPr>
          <w:p>
            <w:pPr>
              <w:spacing w:after="40" w:before="0" w:line="259" w:lineRule="auto"/>
            </w:pPr>
            <w:r>
              <w:rPr>
                <w:rFonts w:ascii="Calibri" w:hAnsi="Calibri"/>
                <w:b/>
                <w:i w:val="0"/>
                <w:color w:val="212121"/>
                <w:sz w:val="19"/>
              </w:rPr>
              <w:t>Superimposed pseudomembranous candidiasis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Removable white curd-like plaques, often after topical corticosteroid therapy.</w:t>
            </w:r>
          </w:p>
        </w:tc>
      </w:tr>
      <w:tr>
        <w:trPr>
          <w:cantSplit/>
        </w:trPr>
        <w:tc>
          <w:tcPr>
            <w:tcW w:type="dxa" w:w="3456"/>
            <w:vAlign w:val="top"/>
          </w:tcPr>
          <w:p>
            <w:pPr>
              <w:spacing w:after="40" w:before="0" w:line="259" w:lineRule="auto"/>
            </w:pPr>
            <w:r>
              <w:rPr>
                <w:rFonts w:ascii="Calibri" w:hAnsi="Calibri"/>
                <w:b/>
                <w:i w:val="0"/>
                <w:color w:val="212121"/>
                <w:sz w:val="19"/>
              </w:rPr>
              <w:t>Bullae / vesicles</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Fluid-filled blisters of the rare bullous form that rupture into painful erosions.</w:t>
            </w:r>
          </w:p>
        </w:tc>
      </w:tr>
      <w:tr>
        <w:trPr>
          <w:cantSplit/>
        </w:trPr>
        <w:tc>
          <w:tcPr>
            <w:tcW w:type="dxa" w:w="3456"/>
            <w:vAlign w:val="top"/>
          </w:tcPr>
          <w:p>
            <w:pPr>
              <w:spacing w:after="40" w:before="0" w:line="259" w:lineRule="auto"/>
            </w:pPr>
            <w:r>
              <w:rPr>
                <w:rFonts w:ascii="Calibri" w:hAnsi="Calibri"/>
                <w:b/>
                <w:i w:val="0"/>
                <w:color w:val="212121"/>
                <w:sz w:val="19"/>
              </w:rPr>
              <w:t>Induration / non-healing solitary ulcer</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Red-flag sign suggesting malignant transformation to oral squamous cell carcinoma — biopsy.</w:t>
            </w:r>
          </w:p>
        </w:tc>
      </w:tr>
      <w:tr>
        <w:trPr>
          <w:cantSplit/>
        </w:trPr>
        <w:tc>
          <w:tcPr>
            <w:tcW w:type="dxa" w:w="3456"/>
            <w:vAlign w:val="top"/>
          </w:tcPr>
          <w:p>
            <w:pPr>
              <w:spacing w:after="40" w:before="0" w:line="259" w:lineRule="auto"/>
            </w:pPr>
            <w:r>
              <w:rPr>
                <w:rFonts w:ascii="Calibri" w:hAnsi="Calibri"/>
                <w:b/>
                <w:i w:val="0"/>
                <w:color w:val="212121"/>
                <w:sz w:val="19"/>
              </w:rPr>
              <w:t>Extra-oral lichen planus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Violaceous flat-topped skin papules, nail dystrophy or scalp scarring point to multi-site disease.</w:t>
            </w:r>
          </w:p>
        </w:tc>
      </w:tr>
      <w:tr>
        <w:trPr>
          <w:cantSplit/>
        </w:trPr>
        <w:tc>
          <w:tcPr>
            <w:tcW w:type="dxa" w:w="3456"/>
            <w:vAlign w:val="top"/>
          </w:tcPr>
          <w:p>
            <w:pPr>
              <w:spacing w:after="40" w:before="0" w:line="259" w:lineRule="auto"/>
            </w:pPr>
            <w:r>
              <w:rPr>
                <w:rFonts w:ascii="Calibri" w:hAnsi="Calibri"/>
                <w:b/>
                <w:i w:val="0"/>
                <w:color w:val="212121"/>
                <w:sz w:val="19"/>
              </w:rPr>
              <w:t>Post-inflammatory mucosal pigmentation</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Brown-grey pigmentation may follow resolving lesions, especially in darker-skinned patients.</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mucosal burning and pain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Erosions and ulcerations (erosive/atrophic form)</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Secondary oral candidiasis (often steroid-related)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Impaired eating with weight loss / malnutrition</w:t>
            </w:r>
          </w:p>
        </w:tc>
        <w:tc>
          <w:tcPr>
            <w:tcW w:type="dxa" w:w="2980"/>
            <w:vAlign w:val="top"/>
          </w:tcPr>
          <w:p>
            <w:pPr>
              <w:spacing w:after="40" w:before="0" w:line="259" w:lineRule="auto"/>
            </w:pPr>
            <w:r>
              <w:rPr>
                <w:rFonts w:ascii="Calibri" w:hAnsi="Calibri"/>
                <w:b w:val="0"/>
                <w:i w:val="0"/>
                <w:color w:val="212121"/>
                <w:sz w:val="19"/>
              </w:rPr>
              <w:t>Direct consequences of chronic mucosal inflammation and epithelial breakdown.</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Reduced quality of life with anxiety, stress and depression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Desquamative gingivitis with periodontal deterioration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Recurrent, relapsing–remitting flares requiring long-term therapy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Oral lichenoid drug / contact reactions perpetuating disease</w:t>
            </w:r>
          </w:p>
        </w:tc>
        <w:tc>
          <w:tcPr>
            <w:tcW w:type="dxa" w:w="2980"/>
            <w:vAlign w:val="top"/>
          </w:tcPr>
          <w:p>
            <w:pPr>
              <w:spacing w:after="40" w:before="0" w:line="259" w:lineRule="auto"/>
            </w:pPr>
            <w:r>
              <w:rPr>
                <w:rFonts w:ascii="Calibri" w:hAnsi="Calibri"/>
                <w:b w:val="0"/>
                <w:i w:val="0"/>
                <w:color w:val="212121"/>
                <w:sz w:val="19"/>
              </w:rPr>
              <w:t>Downstream effects on function, periodontium and psychological wellbeing.</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Malignant transformation to oral squamous cell carcinoma (OPMD; roughly 0.4–2%, higher with erosive/atrophic disease, tongue site, tobacco, alcohol and HCV)</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Scarring / oesophageal strictures in extra-oral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Corticosteroid-related adverse effects from prolonged therapy</w:t>
            </w:r>
          </w:p>
        </w:tc>
        <w:tc>
          <w:tcPr>
            <w:tcW w:type="dxa" w:w="2980"/>
            <w:vAlign w:val="top"/>
          </w:tcPr>
          <w:p>
            <w:pPr>
              <w:spacing w:after="40" w:before="0" w:line="259" w:lineRule="auto"/>
            </w:pPr>
            <w:r>
              <w:rPr>
                <w:rFonts w:ascii="Calibri" w:hAnsi="Calibri"/>
                <w:b w:val="0"/>
                <w:i w:val="0"/>
                <w:color w:val="212121"/>
                <w:sz w:val="19"/>
              </w:rPr>
              <w:t>Irreversible or serious outcomes of longstanding disease; a meta-analysis estimate of transformation is about 0.44%.</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Oral squamous cell carcinoma</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OLP is an oral potentially malignant disorder; a small proportion of lesions transform, with a meta-analysis estimate around 0.44% and higher risk in erosive/atrophic disease, tongue site, and with tobacco, alcohol or HCV.</w:t>
            </w:r>
          </w:p>
          <w:p>
            <w:pPr>
              <w:spacing w:after="40" w:before="0" w:line="259" w:lineRule="auto"/>
            </w:pPr>
            <w:r>
              <w:rPr>
                <w:rFonts w:ascii="Calibri" w:hAnsi="Calibri"/>
                <w:b/>
                <w:i w:val="0"/>
                <w:color w:val="212121"/>
                <w:sz w:val="19"/>
              </w:rPr>
              <w:t>~0.4–2%</w:t>
            </w:r>
          </w:p>
        </w:tc>
      </w:tr>
      <w:tr>
        <w:trPr>
          <w:cantSplit/>
        </w:trPr>
        <w:tc>
          <w:tcPr>
            <w:tcW w:type="dxa" w:w="2232"/>
            <w:vAlign w:val="top"/>
          </w:tcPr>
          <w:p>
            <w:pPr>
              <w:spacing w:after="40" w:before="0" w:line="259" w:lineRule="auto"/>
            </w:pPr>
            <w:r>
              <w:rPr>
                <w:rFonts w:ascii="Calibri" w:hAnsi="Calibri"/>
                <w:b/>
                <w:i w:val="0"/>
                <w:color w:val="212121"/>
                <w:sz w:val="19"/>
              </w:rPr>
              <w:t>Hepatitis C virus infection</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tc>
        <w:tc>
          <w:tcPr>
            <w:tcW w:type="dxa" w:w="4852"/>
            <w:vAlign w:val="top"/>
          </w:tcPr>
          <w:p>
            <w:pPr>
              <w:spacing w:after="40" w:before="0" w:line="259" w:lineRule="auto"/>
            </w:pPr>
            <w:r>
              <w:rPr>
                <w:rFonts w:ascii="Calibri" w:hAnsi="Calibri"/>
                <w:b w:val="0"/>
                <w:i w:val="0"/>
                <w:color w:val="212121"/>
                <w:sz w:val="19"/>
              </w:rPr>
              <w:t>Lichen planus patients are about 5 times more likely to be HCV positive; shared immune mechanisms and virus-driven inflammation link the two, with regional variation.</w:t>
            </w:r>
          </w:p>
        </w:tc>
      </w:tr>
      <w:tr>
        <w:trPr>
          <w:cantSplit/>
        </w:trPr>
        <w:tc>
          <w:tcPr>
            <w:tcW w:type="dxa" w:w="2232"/>
            <w:vAlign w:val="top"/>
          </w:tcPr>
          <w:p>
            <w:pPr>
              <w:spacing w:after="40" w:before="0" w:line="259" w:lineRule="auto"/>
            </w:pPr>
            <w:r>
              <w:rPr>
                <w:rFonts w:ascii="Calibri" w:hAnsi="Calibri"/>
                <w:b/>
                <w:i w:val="0"/>
                <w:color w:val="212121"/>
                <w:sz w:val="19"/>
              </w:rPr>
              <w:t>Autoimmune thyroid disease / hypothyroidism</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Thyroid dysfunction (notably Hashimoto thyroiditis) is over-represented in OLP through shared autoimmunity; screening is worthwhile, especially in women.</w:t>
            </w:r>
          </w:p>
        </w:tc>
      </w:tr>
      <w:tr>
        <w:trPr>
          <w:cantSplit/>
        </w:trPr>
        <w:tc>
          <w:tcPr>
            <w:tcW w:type="dxa" w:w="2232"/>
            <w:vAlign w:val="top"/>
          </w:tcPr>
          <w:p>
            <w:pPr>
              <w:spacing w:after="40" w:before="0" w:line="259" w:lineRule="auto"/>
            </w:pPr>
            <w:r>
              <w:rPr>
                <w:rFonts w:ascii="Calibri" w:hAnsi="Calibri"/>
                <w:b/>
                <w:i w:val="0"/>
                <w:color w:val="212121"/>
                <w:sz w:val="19"/>
              </w:rPr>
              <w:t>Diabetes mellitus</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p>
            <w:pPr>
              <w:spacing w:after="40" w:before="0" w:line="259" w:lineRule="auto"/>
            </w:pPr>
            <w:r>
              <w:rPr>
                <w:rFonts w:ascii="Calibri" w:hAnsi="Calibri"/>
                <w:b w:val="0"/>
                <w:i w:val="0"/>
                <w:color w:val="212121"/>
                <w:sz w:val="18"/>
              </w:rPr>
              <w:t>• Treatment Interaction</w:t>
            </w:r>
          </w:p>
        </w:tc>
        <w:tc>
          <w:tcPr>
            <w:tcW w:type="dxa" w:w="4852"/>
            <w:vAlign w:val="top"/>
          </w:tcPr>
          <w:p>
            <w:pPr>
              <w:spacing w:after="40" w:before="0" w:line="259" w:lineRule="auto"/>
            </w:pPr>
            <w:r>
              <w:rPr>
                <w:rFonts w:ascii="Calibri" w:hAnsi="Calibri"/>
                <w:b w:val="0"/>
                <w:i w:val="0"/>
                <w:color w:val="212121"/>
                <w:sz w:val="19"/>
              </w:rPr>
              <w:t>Part of the Grinspan-syndrome triad with OLP and hypertension; some antidiabetic drugs cause lichenoid reactions, and diabetes predisposes to secondary candidiasis complicating OLP.</w:t>
            </w:r>
          </w:p>
        </w:tc>
      </w:tr>
      <w:tr>
        <w:trPr>
          <w:cantSplit/>
        </w:trPr>
        <w:tc>
          <w:tcPr>
            <w:tcW w:type="dxa" w:w="2232"/>
            <w:vAlign w:val="top"/>
          </w:tcPr>
          <w:p>
            <w:pPr>
              <w:spacing w:after="40" w:before="0" w:line="259" w:lineRule="auto"/>
            </w:pPr>
            <w:r>
              <w:rPr>
                <w:rFonts w:ascii="Calibri" w:hAnsi="Calibri"/>
                <w:b/>
                <w:i w:val="0"/>
                <w:color w:val="212121"/>
                <w:sz w:val="19"/>
              </w:rPr>
              <w:t>Hypertension</w:t>
            </w:r>
          </w:p>
        </w:tc>
        <w:tc>
          <w:tcPr>
            <w:tcW w:type="dxa" w:w="2520"/>
            <w:vAlign w:val="top"/>
          </w:tcPr>
          <w:p>
            <w:pPr>
              <w:spacing w:after="40" w:before="0" w:line="259" w:lineRule="auto"/>
            </w:pPr>
            <w:r>
              <w:rPr>
                <w:rFonts w:ascii="Calibri" w:hAnsi="Calibri"/>
                <w:b w:val="0"/>
                <w:i w:val="0"/>
                <w:color w:val="212121"/>
                <w:sz w:val="18"/>
              </w:rPr>
              <w:t>• Clinical Management Impact</w:t>
            </w:r>
          </w:p>
          <w:p>
            <w:pPr>
              <w:spacing w:after="40" w:before="0" w:line="259" w:lineRule="auto"/>
            </w:pPr>
            <w:r>
              <w:rPr>
                <w:rFonts w:ascii="Calibri" w:hAnsi="Calibri"/>
                <w:b w:val="0"/>
                <w:i w:val="0"/>
                <w:color w:val="212121"/>
                <w:sz w:val="18"/>
              </w:rPr>
              <w:t>• Treatment Interaction</w:t>
            </w:r>
          </w:p>
        </w:tc>
        <w:tc>
          <w:tcPr>
            <w:tcW w:type="dxa" w:w="4852"/>
            <w:vAlign w:val="top"/>
          </w:tcPr>
          <w:p>
            <w:pPr>
              <w:spacing w:after="40" w:before="0" w:line="259" w:lineRule="auto"/>
            </w:pPr>
            <w:r>
              <w:rPr>
                <w:rFonts w:ascii="Calibri" w:hAnsi="Calibri"/>
                <w:b w:val="0"/>
                <w:i w:val="0"/>
                <w:color w:val="212121"/>
                <w:sz w:val="19"/>
              </w:rPr>
              <w:t>Completes the Grinspan triad; several antihypertensives (ACE inhibitors, thiazides, beta-blockers) cause oral lichenoid drug reactions clinically identical to OLP.</w:t>
            </w:r>
          </w:p>
        </w:tc>
      </w:tr>
      <w:tr>
        <w:trPr>
          <w:cantSplit/>
        </w:trPr>
        <w:tc>
          <w:tcPr>
            <w:tcW w:type="dxa" w:w="2232"/>
            <w:vAlign w:val="top"/>
          </w:tcPr>
          <w:p>
            <w:pPr>
              <w:spacing w:after="40" w:before="0" w:line="259" w:lineRule="auto"/>
            </w:pPr>
            <w:r>
              <w:rPr>
                <w:rFonts w:ascii="Calibri" w:hAnsi="Calibri"/>
                <w:b/>
                <w:i w:val="0"/>
                <w:color w:val="212121"/>
                <w:sz w:val="19"/>
              </w:rPr>
              <w:t>Anxiety and depression</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Psychosocial stress precipitates and exacerbates OLP, while chronic painful disease worsens mood — a bidirectional relationship that affects treatment response.</w:t>
            </w:r>
          </w:p>
        </w:tc>
      </w:tr>
      <w:tr>
        <w:trPr>
          <w:cantSplit/>
        </w:trPr>
        <w:tc>
          <w:tcPr>
            <w:tcW w:type="dxa" w:w="2232"/>
            <w:vAlign w:val="top"/>
          </w:tcPr>
          <w:p>
            <w:pPr>
              <w:spacing w:after="40" w:before="0" w:line="259" w:lineRule="auto"/>
            </w:pPr>
            <w:r>
              <w:rPr>
                <w:rFonts w:ascii="Calibri" w:hAnsi="Calibri"/>
                <w:b/>
                <w:i w:val="0"/>
                <w:color w:val="212121"/>
                <w:sz w:val="19"/>
              </w:rPr>
              <w:t>Oral candidiasis</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Treatment Interaction</w:t>
            </w:r>
          </w:p>
        </w:tc>
        <w:tc>
          <w:tcPr>
            <w:tcW w:type="dxa" w:w="4852"/>
            <w:vAlign w:val="top"/>
          </w:tcPr>
          <w:p>
            <w:pPr>
              <w:spacing w:after="40" w:before="0" w:line="259" w:lineRule="auto"/>
            </w:pPr>
            <w:r>
              <w:rPr>
                <w:rFonts w:ascii="Calibri" w:hAnsi="Calibri"/>
                <w:b w:val="0"/>
                <w:i w:val="0"/>
                <w:color w:val="212121"/>
                <w:sz w:val="19"/>
              </w:rPr>
              <w:t>A common secondary infection of eroded mucosa, frequently precipitated by the topical corticosteroids used to treat OLP; antifungal cover is often required.</w:t>
            </w:r>
          </w:p>
        </w:tc>
      </w:tr>
      <w:tr>
        <w:trPr>
          <w:cantSplit/>
        </w:trPr>
        <w:tc>
          <w:tcPr>
            <w:tcW w:type="dxa" w:w="2232"/>
            <w:vAlign w:val="top"/>
          </w:tcPr>
          <w:p>
            <w:pPr>
              <w:spacing w:after="40" w:before="0" w:line="259" w:lineRule="auto"/>
            </w:pPr>
            <w:r>
              <w:rPr>
                <w:rFonts w:ascii="Calibri" w:hAnsi="Calibri"/>
                <w:b/>
                <w:i w:val="0"/>
                <w:color w:val="212121"/>
                <w:sz w:val="19"/>
              </w:rPr>
              <w:t>Cutaneous / genital / nail lichen planus</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tc>
        <w:tc>
          <w:tcPr>
            <w:tcW w:type="dxa" w:w="4852"/>
            <w:vAlign w:val="top"/>
          </w:tcPr>
          <w:p>
            <w:pPr>
              <w:spacing w:after="40" w:before="0" w:line="259" w:lineRule="auto"/>
            </w:pPr>
            <w:r>
              <w:rPr>
                <w:rFonts w:ascii="Calibri" w:hAnsi="Calibri"/>
                <w:b w:val="0"/>
                <w:i w:val="0"/>
                <w:color w:val="212121"/>
                <w:sz w:val="19"/>
              </w:rPr>
              <w:t>OLP frequently coexists with lichen planus at other sites; about half of patients with skin lichen planus have oral involvement.</w:t>
            </w:r>
          </w:p>
          <w:p>
            <w:pPr>
              <w:spacing w:after="40" w:before="0" w:line="259" w:lineRule="auto"/>
            </w:pPr>
            <w:r>
              <w:rPr>
                <w:rFonts w:ascii="Calibri" w:hAnsi="Calibri"/>
                <w:b/>
                <w:i w:val="0"/>
                <w:color w:val="212121"/>
                <w:sz w:val="19"/>
              </w:rPr>
              <w:t>~50% (cutaneous → oral)</w:t>
            </w:r>
          </w:p>
        </w:tc>
      </w:tr>
      <w:tr>
        <w:trPr>
          <w:cantSplit/>
        </w:trPr>
        <w:tc>
          <w:tcPr>
            <w:tcW w:type="dxa" w:w="2232"/>
            <w:vAlign w:val="top"/>
          </w:tcPr>
          <w:p>
            <w:pPr>
              <w:spacing w:after="40" w:before="0" w:line="259" w:lineRule="auto"/>
            </w:pPr>
            <w:r>
              <w:rPr>
                <w:rFonts w:ascii="Calibri" w:hAnsi="Calibri"/>
                <w:b/>
                <w:i w:val="0"/>
                <w:color w:val="212121"/>
                <w:sz w:val="19"/>
              </w:rPr>
              <w:t>Graft-versus-host disease (chronic)</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Chronic GVHD produces oral lichenoid lesions that closely mimic OLP through a shared T-cell-mediated mechanism; context (prior transplant) distinguishes them and alters management.</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Merge w:val="restart"/>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OLP is a chronic, relapsing condition that can be controlled but not cured, and that it is an oral potentially malignant disorder needing lifelong periodic review.</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Perform monthly oral self-examination and report any non-healing ulcer, lump, or red/white patch lasting more than 2–3 weeks.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Completely stop all tobacco (smoked and smokeless), areca nut and betel quid, and avoid alcohol, to reduce malignant-transformation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meticulous oral hygiene and attend regular dental review; have sharp cusps and ill-fitting dentures corrected.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and avoid personal symptom triggers (spicy, acidic, hot, crunchy foods; cinnamon/mint-flavoured products; alcohol-based mouthwashes).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OLP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Tobacco/areca users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Erosive/atrophic OLP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High-risk / OPMD surveillance</w:t>
            </w:r>
          </w:p>
        </w:tc>
        <w:tc>
          <w:tcPr>
            <w:tcW w:type="dxa" w:w="1036"/>
            <w:vAlign w:val="top"/>
          </w:tcPr>
          <w:p>
            <w:pPr>
              <w:spacing w:after="40" w:before="0" w:line="259" w:lineRule="auto"/>
            </w:pPr>
            <w:r>
              <w:rPr>
                <w:rFonts w:ascii="Calibri" w:hAnsi="Calibri"/>
                <w:b w:val="0"/>
                <w:i w:val="0"/>
                <w:color w:val="212121"/>
                <w:sz w:val="19"/>
              </w:rPr>
              <w:t>NA</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Attend scheduled follow-up (typically every 3–6 months for symptomatic/erosive disease, 6–12 months when stable) for malignant-change surveillance.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prescribed topical corticosteroids correctly and complete antifungal cover when advised to prevent secondary candidiasis.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Report drugs that may cause lichenoid reactions (antihypertensives, NSAIDs, antimalarials) so alternatives can be considered with the prescriber.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Return promptly if lesions become indurated, ulcerated, unilateral or rapidly enlarging so re-biopsy can be arranged.</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Diagnosed OLP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Erosive/ulcerative OLP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Polypharmacy / lichenoid-drug users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spicy, acidic, salty, hot and coarse/crunchy foods during flares to reduce burning and pain.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cinnamon- and mint-flavoured toothpastes/products and alcohol-containing mouthwashes that can trigger lichenoid reactions.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Choose a soft, bland, well-balanced diet and stay well hydrated to protect an inflamed mucosa.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adequate vitamin D, vitamin B12, folate and iron intake, correcting any deficiency.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Symptomatic OLP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Erosive/atrophic OLP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Vitamin D–deficient patients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all forms of tobacco — cigarettes, bidis, and smokeless products — and all areca nut / betel quid.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structured cessation support (counselling, quitlines, nicotine-replacement or pharmacotherapy) to sustain abstinence.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cessation lowers malignant-transformation risk and can improve plaque-type lesions.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Re-inforce cessation at every review as part of OPMD management.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OLP smokers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Smokeless-tobacco / areca users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Plaque-type OLP</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or minimise alcohol, which independently raises malignant-transformation risk and irritates eroded mucosa.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alcohol-based mouthwashes, substituting alcohol-free antiseptic or bland rinses.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Combine alcohol reduction with tobacco cessation for the greatest reduction in oral-cancer risk.</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OLP patients who drink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Erosive OLP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Combined tobacco-and-alcohol users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stress-reduction techniques (relaxation, breathing, mindfulness, yoga) to reduce the frequency and severity of flares.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treatment for anxiety and depression, which are both triggers and consequences of chronic OLP.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Consider counselling or cognitive-behavioural therapy for persistent psychological distress.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good sleep and paced activity to support immune and stress regulation.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High-stress / anxious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Recurrent flares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painful erosive OLP</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Undertake regular moderate activity (e.g., ≥150 minutes/week) to lower stress and support immune balance.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physical activity as part of a broader stress-management and general-wellbeing plan.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a healthy weight and manage coexisting diabetes/hypertension (Grinspan features).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OLP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Stress-driven flares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metabolic comorbidity</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Aim for 7–9 hours of good-quality sleep to limit stress-related immune dysregulation.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 consistent sleep schedule and good sleep hygiene, especially during symptomatic periods.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Manage nocturnal dry mouth (sips of water, humidification) that can worsen mucosal discomfort.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OLP patients with poor sleep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Stress-driven flares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Hygiene</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Brush gently twice daily with a soft brush and a mild (SLS-free, non-flavoured) toothpaste to reduce gingival trauma.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professional cleaning and plaque control, which improves desquamative gingivitis and gingival OLP.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Have sharp cusps, overhanging or amalgam restorations and ill-fitting dentures corrected to remove mechanical/contact triggers.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alcohol-free antiseptic or bland rinses; add antifungal measures when candidiasis is superimposed.</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Gingival / desquamative OLP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Denture wearers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Amalgam-related lichenoid lesions</w:t>
            </w:r>
          </w:p>
        </w:tc>
        <w:tc>
          <w:tcPr>
            <w:tcW w:type="dxa" w:w="1036"/>
            <w:vAlign w:val="top"/>
          </w:tcPr>
          <w:p>
            <w:pPr>
              <w:spacing w:after="40" w:before="0" w:line="259" w:lineRule="auto"/>
            </w:pPr>
            <w:r>
              <w:rPr>
                <w:rFonts w:ascii="Calibri" w:hAnsi="Calibri"/>
                <w:b w:val="0"/>
                <w:i w:val="0"/>
                <w:color w:val="212121"/>
                <w:sz w:val="19"/>
              </w:rPr>
              <w:t>High</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ermnetnz.org/topics/oral-lichen-planus" TargetMode="External"/><Relationship Id="rId10" Type="http://schemas.openxmlformats.org/officeDocument/2006/relationships/hyperlink" Target="https://www.ncbi.nlm.nih.gov/books/NBK578201/" TargetMode="External"/><Relationship Id="rId11" Type="http://schemas.openxmlformats.org/officeDocument/2006/relationships/hyperlink" Target="https://www.who.int/news-room/fact-sheets/detail/oral-health" TargetMode="External"/><Relationship Id="rId12" Type="http://schemas.openxmlformats.org/officeDocument/2006/relationships/hyperlink" Target="https://www.mayoclinic.org/diseases-conditions/oral-lichen-planus/symptoms-causes/syc-20350869" TargetMode="External"/><Relationship Id="rId13" Type="http://schemas.openxmlformats.org/officeDocument/2006/relationships/hyperlink" Target="https://www.ncbi.nlm.nih.gov/books/NBK5261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