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Xerostomia (dry mouth)</w:t>
      </w:r>
    </w:p>
    <w:p>
      <w:pPr>
        <w:spacing w:before="0" w:after="160"/>
      </w:pPr>
      <w:r>
        <w:rPr>
          <w:rFonts w:ascii="Calibri" w:hAnsi="Calibri"/>
          <w:b/>
          <w:i w:val="0"/>
          <w:color w:val="212121"/>
          <w:sz w:val="22"/>
        </w:rPr>
        <w:t xml:space="preserve">AKA </w:t>
      </w:r>
      <w:r>
        <w:rPr>
          <w:rFonts w:ascii="Calibri" w:hAnsi="Calibri"/>
          <w:b w:val="0"/>
          <w:i w:val="0"/>
          <w:color w:val="212121"/>
          <w:sz w:val="22"/>
        </w:rPr>
        <w:t>i.e., Dry mouth, Hyposalivation, Salivary gland hypofunction, Cottonmouth, Pasties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Xerostomia is the subjective sensation of a persistently dry mouth, most often (but not always) arising from reduced or altered salivary secretion, termed salivary gland hypofunction or hyposalivation. Saliva is essential for lubrication, taste, chewing and swallowing, acid buffering, remineralisation of enamel and antimicrobial defence, so its deficiency causes oral discomfort, difficulty eating and speaking, rampant dental caries, mucosal infection and impaired quality of life. Xerostomia is a symptom rather than a disease in itself, most commonly driven by medications (anticholinergic burden and polypharmacy), diabetes mellitus, Sjogren's syndrome, dehydration and head-and-neck radiotherapy.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Xerostomia is common and strongly age-related: roughly 1 in 5 people report dry mouth, with estimates of about 10% of the general population rising to around 25% of older adults. In India the burden is likely higher and rising, driven by a rapidly ageing population, one of the world's largest diabetic populations (over 100 million adults per ICMR-INDIAB estimates), widespread polypharmacy among the elderly, and very high use of tobacco and areca/betel-nut products, all of which are recognised contributors to reduced salivary flow.</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Xerostomia is primarily a clinical diagnosis based on symptoms and oral examination; objective salivary gland hypofunction (hyposalivation) is confirmed by measuring salivary flow (sialometry), and the underlying cause is then investigated: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positive symptom screen (e.g., Fox questionnaire: dryness while eating a meal, needing to sip liquids to swallow dry food, difficulty swallowing dry food, or a sensation of too little saliva);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unstimulated whole salivary flow rate (UWSFR) ≤ 0.1 mL/min (normal ≈ 0.3–0.4 mL/min) confirms hyposalivation;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stimulated whole salivary flow rate (SWSFR) ≤ 0.5–0.7 mL/min indicates reduced glandular reserve;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signs — tongue depressor or mouth mirror adheres to the buccal mucosa, absent/frothy pooled saliva in the floor of mouth, dry lobulated or depapillated tongue, and the Challacombe Clinical Oral Dryness Score (CODS 1–10);</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cause-directed workup — fasting glucose/HbA1c (diabetes), anti-Ro/SSA and anti-La/SSB, ANA, RF, ESR (Sjogren's), salivary gland ultrasound/sialography/scintigraphy, and labial minor salivary gland biopsy (focus score) where autoimmune disease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Xerostomia is best classified by underlying mechanism, which also guides management; it is additionally described as true xerostomia (with measurable hyposalivation) versus symptomatic xerostomia (dry sensation with normal flow, often sensory/neuropathic or anxiety-related):</w:t>
      </w:r>
    </w:p>
    <w:p>
      <w:pPr>
        <w:spacing w:before="0" w:after="80"/>
      </w:pPr>
      <w:r>
        <w:rPr>
          <w:rFonts w:ascii="Calibri" w:hAnsi="Calibri"/>
          <w:b w:val="0"/>
          <w:i w:val="0"/>
          <w:color w:val="212121"/>
          <w:sz w:val="21"/>
        </w:rPr>
        <w:t>(1) Medication-induced xerostomia, the most common cause in the community, due to anticholinergic, sympathomimetic or diuretic effects of drugs such as antidepressants, antipsychotics, antihistamines, antihypertensives, diuretics, opioids and bladder antimuscarinics; typically dose-dependent and reversible;</w:t>
      </w:r>
    </w:p>
    <w:p>
      <w:pPr>
        <w:spacing w:before="0" w:after="80"/>
      </w:pPr>
      <w:r>
        <w:rPr>
          <w:rFonts w:ascii="Calibri" w:hAnsi="Calibri"/>
          <w:b w:val="0"/>
          <w:i w:val="0"/>
          <w:color w:val="212121"/>
          <w:sz w:val="21"/>
        </w:rPr>
        <w:t>(2) Disease-associated xerostomia — Sjogren's syndrome and other autoimmune disease, diabetes mellitus, sarcoidosis, HIV, amyloidosis, chronic hepatitis C and graft-versus-host disease;</w:t>
      </w:r>
    </w:p>
    <w:p>
      <w:pPr>
        <w:spacing w:before="0" w:after="80"/>
      </w:pPr>
      <w:r>
        <w:rPr>
          <w:rFonts w:ascii="Calibri" w:hAnsi="Calibri"/>
          <w:b w:val="0"/>
          <w:i w:val="0"/>
          <w:color w:val="212121"/>
          <w:sz w:val="21"/>
        </w:rPr>
        <w:t>(3) Radiation- and oncology-induced xerostomia — head-and-neck external-beam radiotherapy, radioiodine therapy and chemotherapy; often permanent when salivary glands receive high radiation doses (roughly &gt;50–60 Gy);</w:t>
      </w:r>
    </w:p>
    <w:p>
      <w:pPr>
        <w:spacing w:before="0" w:after="80"/>
      </w:pPr>
      <w:r>
        <w:rPr>
          <w:rFonts w:ascii="Calibri" w:hAnsi="Calibri"/>
          <w:b w:val="0"/>
          <w:i w:val="0"/>
          <w:color w:val="212121"/>
          <w:sz w:val="21"/>
        </w:rPr>
        <w:t>(4) Dehydration and functional xerostomia — inadequate fluid intake, habitual mouth breathing, uncontrolled diabetes (osmotic diuresis), fever, vomiting, dialysis and haemorrhage; and</w:t>
      </w:r>
    </w:p>
    <w:p>
      <w:pPr>
        <w:spacing w:before="0" w:after="80"/>
      </w:pPr>
      <w:r>
        <w:rPr>
          <w:rFonts w:ascii="Calibri" w:hAnsi="Calibri"/>
          <w:b w:val="0"/>
          <w:i w:val="0"/>
          <w:color w:val="212121"/>
          <w:sz w:val="21"/>
        </w:rPr>
        <w:t>(5) Age-related and idiopathic xerostomia — acinar atrophy and reduced functional reserve with ageing (ageing alone has a modest effect; the picture is usually multifactorial with medication and comorbidity).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Medications / anticholinergic burden: The leading community cause; about 600 drugs (antidepressants, antihistamines, antihypertensives, diuretics, antipsychotics, opioids, bladder antimuscarinics) reduce salivary output, and polypharmacy in the elderly is additive.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Diabetes mellitus: Chronic hyperglycaemia, osmotic diuresis with dehydration and diabetic autonomic neuropathy reduce salivary flow; a major systemic driver given India's very large diabetic population.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Sjogren's syndrome and autoimmune disease: Lymphocytic infiltration and destruction of salivary and lacrimal glands produce progressive, often irreversible hyposalivation with dry eyes.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Head-and-neck radiotherapy / cancer therapy: Radiation and chemotherapy damage acinar cells, frequently causing severe and permanent xerostomia when the parotid and submandibular glands are irradiated.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Dehydration and systemic factors: Low water intake, mouth breathing, fever, vomiting, renal disease and dialysis reduce the water available for salivary secretion.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Tobacco, areca/betel nut and alcohol: Smoked and smokeless tobacco, areca-nut/gutkha and alcohol (including alcohol-based mouthwashes) irritate and desiccate the mucosa and reduce salivary function.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Anxiety and psychogenic factors: Acute sympathetic activation causes transient dry mouth, and chronic anxiety/depression plus their drug treatments contribute to persistent symptoms.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accumulate chronic diseases and prescriptions (antidepressants, antihypertensives, antihistamines) and lifestyle exposures that reduce salivary flow, so dry mouth is common well before old age.</w:t>
            </w:r>
          </w:p>
          <w:p>
            <w:pPr>
              <w:spacing w:after="40" w:before="60" w:line="259" w:lineRule="auto"/>
            </w:pPr>
            <w:r>
              <w:rPr>
                <w:rFonts w:ascii="Calibri" w:hAnsi="Calibri"/>
                <w:b w:val="0"/>
                <w:i w:val="0"/>
                <w:color w:val="212121"/>
                <w:sz w:val="19"/>
              </w:rPr>
              <w:t>Dry mouth affects approximately 1 in 5 people, and about 10% of the general population experience it.</w:t>
            </w:r>
          </w:p>
          <w:p>
            <w:pPr>
              <w:spacing w:after="40" w:line="252" w:lineRule="auto"/>
            </w:pPr>
            <w:hyperlink r:id="rId9">
              <w:r>
                <w:rPr>
                  <w:rFonts w:ascii="Calibri" w:hAnsi="Calibri" w:cs="Calibri"/>
                  <w:sz w:val="18"/>
                  <w:color w:val="1155CC"/>
                  <w:u w:val="single"/>
                </w:rPr>
                <w:t xml:space="preserve">my.clevelandclinic.org — dry mouth (xerostomia)</w:t>
              </w:r>
            </w:hyperlink>
          </w:p>
          <w:p>
            <w:pPr>
              <w:spacing w:before="60" w:after="40"/>
            </w:pPr>
            <w:r>
              <w:rPr>
                <w:rFonts w:ascii="Calibri" w:hAnsi="Calibri"/>
                <w:b w:val="0"/>
                <w:i w:val="0"/>
                <w:color w:val="5A5A5A"/>
                <w:sz w:val="18"/>
              </w:rPr>
              <w:t>#xerostomia  #drymouth  #polypharmacy  #hyposalivation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Ageing brings acinar atrophy and reduced salivary reserve, compounded by polypharmacy, multiple comorbidities, denture use and reduced thirst/hydration, making the elderly the highest-risk group.</w:t>
            </w:r>
          </w:p>
          <w:p>
            <w:pPr>
              <w:spacing w:after="40" w:before="60" w:line="259" w:lineRule="auto"/>
            </w:pPr>
            <w:r>
              <w:rPr>
                <w:rFonts w:ascii="Calibri" w:hAnsi="Calibri"/>
                <w:b w:val="0"/>
                <w:i w:val="0"/>
                <w:color w:val="212121"/>
                <w:sz w:val="19"/>
              </w:rPr>
              <w:t>About 25% of older people experience dry mouth, and the risk rises with age.</w:t>
            </w:r>
          </w:p>
          <w:p>
            <w:pPr>
              <w:spacing w:after="40" w:line="252" w:lineRule="auto"/>
            </w:pPr>
            <w:hyperlink r:id="rId10">
              <w:r>
                <w:rPr>
                  <w:rFonts w:ascii="Calibri" w:hAnsi="Calibri" w:cs="Calibri"/>
                  <w:sz w:val="18"/>
                  <w:color w:val="1155CC"/>
                  <w:u w:val="single"/>
                </w:rPr>
                <w:t xml:space="preserve">betterhealth.vic.gov.au — dry mouth syndrome</w:t>
              </w:r>
            </w:hyperlink>
          </w:p>
          <w:p>
            <w:pPr>
              <w:spacing w:before="60" w:after="40"/>
            </w:pPr>
            <w:r>
              <w:rPr>
                <w:rFonts w:ascii="Calibri" w:hAnsi="Calibri"/>
                <w:b w:val="0"/>
                <w:i w:val="0"/>
                <w:color w:val="5A5A5A"/>
                <w:sz w:val="18"/>
              </w:rPr>
              <w:t>#elderly  #ageing  #polypharmacy  #dentures  #geriatricoralhealth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(esp. peri/post-menopausal)</w:t>
            </w:r>
          </w:p>
        </w:tc>
        <w:tc>
          <w:tcPr>
            <w:tcW w:type="dxa" w:w="4276"/>
            <w:vAlign w:val="top"/>
          </w:tcPr>
          <w:p>
            <w:pPr>
              <w:spacing w:after="60" w:line="259" w:lineRule="auto"/>
            </w:pPr>
            <w:r>
              <w:rPr>
                <w:rFonts w:ascii="Calibri" w:hAnsi="Calibri"/>
                <w:b w:val="0"/>
                <w:i w:val="0"/>
                <w:color w:val="212121"/>
                <w:sz w:val="19"/>
              </w:rPr>
              <w:t>Women bear the great majority of Sjogren's syndrome (a leading autoimmune cause of dry mouth) and report more hormone-related oral dryness around menopause, giving a female predominance.</w:t>
            </w:r>
          </w:p>
          <w:p>
            <w:pPr>
              <w:spacing w:after="40" w:before="60" w:line="259" w:lineRule="auto"/>
            </w:pPr>
            <w:r>
              <w:rPr>
                <w:rFonts w:ascii="Calibri" w:hAnsi="Calibri"/>
                <w:b w:val="0"/>
                <w:i w:val="0"/>
                <w:color w:val="212121"/>
                <w:sz w:val="19"/>
              </w:rPr>
              <w:t>Sjogren's syndrome, a defining cause of chronic dry mouth, overwhelmingly affects women.</w:t>
            </w:r>
          </w:p>
          <w:p>
            <w:pPr>
              <w:spacing w:after="40" w:line="252" w:lineRule="auto"/>
            </w:pPr>
            <w:hyperlink r:id="rId10">
              <w:r>
                <w:rPr>
                  <w:rFonts w:ascii="Calibri" w:hAnsi="Calibri" w:cs="Calibri"/>
                  <w:sz w:val="18"/>
                  <w:color w:val="1155CC"/>
                  <w:u w:val="single"/>
                </w:rPr>
                <w:t xml:space="preserve">betterhealth.vic.gov.au — dry mouth syndrome (Sjogren's)</w:t>
              </w:r>
            </w:hyperlink>
          </w:p>
          <w:p>
            <w:pPr>
              <w:spacing w:before="60" w:after="40"/>
            </w:pPr>
            <w:r>
              <w:rPr>
                <w:rFonts w:ascii="Calibri" w:hAnsi="Calibri"/>
                <w:b w:val="0"/>
                <w:i w:val="0"/>
                <w:color w:val="5A5A5A"/>
                <w:sz w:val="18"/>
              </w:rPr>
              <w:t>#female  #sjogrens  #menopause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and rural populations</w:t>
            </w:r>
          </w:p>
        </w:tc>
        <w:tc>
          <w:tcPr>
            <w:tcW w:type="dxa" w:w="4276"/>
            <w:vAlign w:val="top"/>
          </w:tcPr>
          <w:p>
            <w:pPr>
              <w:spacing w:after="60" w:line="259" w:lineRule="auto"/>
            </w:pPr>
            <w:r>
              <w:rPr>
                <w:rFonts w:ascii="Calibri" w:hAnsi="Calibri"/>
                <w:b w:val="0"/>
                <w:i w:val="0"/>
                <w:color w:val="212121"/>
                <w:sz w:val="19"/>
              </w:rPr>
              <w:t>Limited access to dental care, medication review and fluoride means dry mouth is detected late and its consequences (rampant caries, infection, tooth loss) are more severe in underserved and rural Indian communities.</w:t>
            </w:r>
          </w:p>
          <w:p>
            <w:pPr>
              <w:spacing w:after="40" w:before="60" w:line="259" w:lineRule="auto"/>
            </w:pPr>
            <w:r>
              <w:rPr>
                <w:rFonts w:ascii="Calibri" w:hAnsi="Calibri"/>
                <w:b w:val="0"/>
                <w:i w:val="0"/>
                <w:color w:val="212121"/>
                <w:sz w:val="19"/>
              </w:rPr>
              <w:t>Untreated caries and tooth loss, both accelerated by dry mouth, are more common where dental access is poor.</w:t>
            </w:r>
          </w:p>
          <w:p>
            <w:pPr>
              <w:spacing w:after="40" w:line="252" w:lineRule="auto"/>
            </w:pPr>
            <w:hyperlink r:id="rId11">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#accesstocare  #ruralindia  #healthequity  #untreatedcaries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tobacco &amp; areca-nut (gutkha/betel-quid) belt</w:t>
            </w:r>
          </w:p>
        </w:tc>
        <w:tc>
          <w:tcPr>
            <w:tcW w:type="dxa" w:w="4276"/>
            <w:vAlign w:val="top"/>
          </w:tcPr>
          <w:p>
            <w:pPr>
              <w:spacing w:after="60" w:line="259" w:lineRule="auto"/>
            </w:pPr>
            <w:r>
              <w:rPr>
                <w:rFonts w:ascii="Calibri" w:hAnsi="Calibri"/>
                <w:b w:val="0"/>
                <w:i w:val="0"/>
                <w:color w:val="212121"/>
                <w:sz w:val="19"/>
              </w:rPr>
              <w:t>Very high consumption of smokeless tobacco, areca nut, gutkha and betel quid across India irritates the oral mucosa, promotes oral submucous fibrosis and reduces salivary function, adding to medication- and disease-related dryness.</w:t>
            </w:r>
          </w:p>
          <w:p>
            <w:pPr>
              <w:spacing w:after="40" w:before="60" w:line="259" w:lineRule="auto"/>
            </w:pPr>
            <w:r>
              <w:rPr>
                <w:rFonts w:ascii="Calibri" w:hAnsi="Calibri"/>
                <w:b w:val="0"/>
                <w:i w:val="0"/>
                <w:color w:val="212121"/>
                <w:sz w:val="19"/>
              </w:rPr>
              <w:t>Tobacco and alcohol use are recognised causes of dry mouth and oral disease.</w:t>
            </w:r>
          </w:p>
          <w:p>
            <w:pPr>
              <w:spacing w:after="40" w:line="252" w:lineRule="auto"/>
            </w:pPr>
            <w:hyperlink r:id="rId12">
              <w:r>
                <w:rPr>
                  <w:rFonts w:ascii="Calibri" w:hAnsi="Calibri" w:cs="Calibri"/>
                  <w:sz w:val="18"/>
                  <w:color w:val="1155CC"/>
                  <w:u w:val="single"/>
                </w:rPr>
                <w:t xml:space="preserve">mayoclinic.org — dry mouth causes (tobacco/alcohol)</w:t>
              </w:r>
            </w:hyperlink>
          </w:p>
          <w:p>
            <w:pPr>
              <w:spacing w:before="60" w:after="40"/>
            </w:pPr>
            <w:r>
              <w:rPr>
                <w:rFonts w:ascii="Calibri" w:hAnsi="Calibri"/>
                <w:b w:val="0"/>
                <w:i w:val="0"/>
                <w:color w:val="5A5A5A"/>
                <w:sz w:val="18"/>
              </w:rPr>
              <w:t>#tobacco  #arecanut  #gutkha  #betelquid  #OSMF  #indiaoralhealth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occupation</w:t>
            </w:r>
          </w:p>
        </w:tc>
        <w:tc>
          <w:tcPr>
            <w:tcW w:type="dxa" w:w="2160"/>
            <w:vAlign w:val="top"/>
          </w:tcPr>
          <w:p>
            <w:pPr>
              <w:spacing w:after="40" w:before="0" w:line="259" w:lineRule="auto"/>
            </w:pPr>
            <w:r>
              <w:rPr>
                <w:rFonts w:ascii="Calibri" w:hAnsi="Calibri"/>
                <w:b w:val="0"/>
                <w:i w:val="0"/>
                <w:color w:val="212121"/>
                <w:sz w:val="19"/>
              </w:rPr>
              <w:t>Outdoor labourers in hot, arid regions</w:t>
            </w:r>
          </w:p>
        </w:tc>
        <w:tc>
          <w:tcPr>
            <w:tcW w:type="dxa" w:w="4276"/>
            <w:vAlign w:val="top"/>
          </w:tcPr>
          <w:p>
            <w:pPr>
              <w:spacing w:after="60" w:line="259" w:lineRule="auto"/>
            </w:pPr>
            <w:r>
              <w:rPr>
                <w:rFonts w:ascii="Calibri" w:hAnsi="Calibri"/>
                <w:b w:val="0"/>
                <w:i w:val="0"/>
                <w:color w:val="212121"/>
                <w:sz w:val="19"/>
              </w:rPr>
              <w:t>Manual workers in hot, dry climates (e.g., parts of Rajasthan and central India) lose fluid through sweating and often under-hydrate, reducing the water available for saliva and causing dehydration-related dry mouth.</w:t>
            </w:r>
          </w:p>
          <w:p>
            <w:pPr>
              <w:spacing w:after="40" w:before="60" w:line="259" w:lineRule="auto"/>
            </w:pPr>
            <w:r>
              <w:rPr>
                <w:rFonts w:ascii="Calibri" w:hAnsi="Calibri"/>
                <w:b w:val="0"/>
                <w:i w:val="0"/>
                <w:color w:val="212121"/>
                <w:sz w:val="19"/>
              </w:rPr>
              <w:t>Dehydration and inadequate fluid intake are direct, reversible causes of dry mouth.</w:t>
            </w:r>
          </w:p>
          <w:p>
            <w:pPr>
              <w:spacing w:after="40" w:line="252" w:lineRule="auto"/>
            </w:pPr>
            <w:hyperlink r:id="rId9">
              <w:r>
                <w:rPr>
                  <w:rFonts w:ascii="Calibri" w:hAnsi="Calibri" w:cs="Calibri"/>
                  <w:sz w:val="18"/>
                  <w:color w:val="1155CC"/>
                  <w:u w:val="single"/>
                </w:rPr>
                <w:t xml:space="preserve">my.clevelandclinic.org — dry mouth (dehydration)</w:t>
              </w:r>
            </w:hyperlink>
          </w:p>
          <w:p>
            <w:pPr>
              <w:spacing w:before="60" w:after="40"/>
            </w:pPr>
            <w:r>
              <w:rPr>
                <w:rFonts w:ascii="Calibri" w:hAnsi="Calibri"/>
                <w:b w:val="0"/>
                <w:i w:val="0"/>
                <w:color w:val="5A5A5A"/>
                <w:sz w:val="18"/>
              </w:rPr>
              <w:t>#dehydration  #heat  #hydration  #occupational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and bidi smokers</w:t>
            </w:r>
          </w:p>
        </w:tc>
        <w:tc>
          <w:tcPr>
            <w:tcW w:type="dxa" w:w="4276"/>
            <w:vAlign w:val="top"/>
          </w:tcPr>
          <w:p>
            <w:pPr>
              <w:spacing w:after="60" w:line="259" w:lineRule="auto"/>
            </w:pPr>
            <w:r>
              <w:rPr>
                <w:rFonts w:ascii="Calibri" w:hAnsi="Calibri"/>
                <w:b w:val="0"/>
                <w:i w:val="0"/>
                <w:color w:val="212121"/>
                <w:sz w:val="19"/>
              </w:rPr>
              <w:t>Tobacco smoke reduces salivary flow, thickens secretions and alters the oral mucosa, and combines with nicotine's vasoactive effects to worsen the sensation of dryness.</w:t>
            </w:r>
          </w:p>
          <w:p>
            <w:pPr>
              <w:spacing w:after="40" w:before="60" w:line="259" w:lineRule="auto"/>
            </w:pPr>
            <w:r>
              <w:rPr>
                <w:rFonts w:ascii="Calibri" w:hAnsi="Calibri"/>
                <w:b w:val="0"/>
                <w:i w:val="0"/>
                <w:color w:val="212121"/>
                <w:sz w:val="19"/>
              </w:rPr>
              <w:t>Tobacco use is listed among the causes of dry mouth.</w:t>
            </w:r>
          </w:p>
          <w:p>
            <w:pPr>
              <w:spacing w:after="40" w:line="252" w:lineRule="auto"/>
            </w:pPr>
            <w:hyperlink r:id="rId13">
              <w:r>
                <w:rPr>
                  <w:rFonts w:ascii="Calibri" w:hAnsi="Calibri" w:cs="Calibri"/>
                  <w:sz w:val="18"/>
                  <w:color w:val="1155CC"/>
                  <w:u w:val="single"/>
                </w:rPr>
                <w:t xml:space="preserve">medlineplus.gov — dry mouth (tobacco)</w:t>
              </w:r>
            </w:hyperlink>
          </w:p>
          <w:p>
            <w:pPr>
              <w:spacing w:before="60" w:after="40"/>
            </w:pPr>
            <w:r>
              <w:rPr>
                <w:rFonts w:ascii="Calibri" w:hAnsi="Calibri"/>
                <w:b w:val="0"/>
                <w:i w:val="0"/>
                <w:color w:val="5A5A5A"/>
                <w:sz w:val="18"/>
              </w:rPr>
              <w:t>#smoking  #tobacco  #bidi  #salivaryflow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 &amp; alcohol-mouthwash users</w:t>
            </w:r>
          </w:p>
        </w:tc>
        <w:tc>
          <w:tcPr>
            <w:tcW w:type="dxa" w:w="4276"/>
            <w:vAlign w:val="top"/>
          </w:tcPr>
          <w:p>
            <w:pPr>
              <w:spacing w:after="60" w:line="259" w:lineRule="auto"/>
            </w:pPr>
            <w:r>
              <w:rPr>
                <w:rFonts w:ascii="Calibri" w:hAnsi="Calibri"/>
                <w:b w:val="0"/>
                <w:i w:val="0"/>
                <w:color w:val="212121"/>
                <w:sz w:val="19"/>
              </w:rPr>
              <w:t>Alcohol is a diuretic and mucosal desiccant; chronic intake and daily use of alcohol-containing mouthwashes dry and irritate the oral tissues and can worsen xerostomia.</w:t>
            </w:r>
          </w:p>
          <w:p>
            <w:pPr>
              <w:spacing w:after="40" w:before="60" w:line="259" w:lineRule="auto"/>
            </w:pPr>
            <w:r>
              <w:rPr>
                <w:rFonts w:ascii="Calibri" w:hAnsi="Calibri"/>
                <w:b w:val="0"/>
                <w:i w:val="0"/>
                <w:color w:val="212121"/>
                <w:sz w:val="19"/>
              </w:rPr>
              <w:t>Alcohol and tobacco use are recognised contributors to dry mouth.</w:t>
            </w:r>
          </w:p>
          <w:p>
            <w:pPr>
              <w:spacing w:after="40" w:line="252" w:lineRule="auto"/>
            </w:pPr>
            <w:hyperlink r:id="rId12">
              <w:r>
                <w:rPr>
                  <w:rFonts w:ascii="Calibri" w:hAnsi="Calibri" w:cs="Calibri"/>
                  <w:sz w:val="18"/>
                  <w:color w:val="1155CC"/>
                  <w:u w:val="single"/>
                </w:rPr>
                <w:t xml:space="preserve">mayoclinic.org — dry mouth (alcohol)</w:t>
              </w:r>
            </w:hyperlink>
          </w:p>
          <w:p>
            <w:pPr>
              <w:spacing w:before="60" w:after="40"/>
            </w:pPr>
            <w:r>
              <w:rPr>
                <w:rFonts w:ascii="Calibri" w:hAnsi="Calibri"/>
                <w:b w:val="0"/>
                <w:i w:val="0"/>
                <w:color w:val="5A5A5A"/>
                <w:sz w:val="18"/>
              </w:rPr>
              <w:t>#alcohol  #mouthwash  #dehydration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Recreational drug use</w:t>
            </w:r>
          </w:p>
        </w:tc>
        <w:tc>
          <w:tcPr>
            <w:tcW w:type="dxa" w:w="2160"/>
            <w:vAlign w:val="top"/>
          </w:tcPr>
          <w:p>
            <w:pPr>
              <w:spacing w:after="40" w:before="0" w:line="259" w:lineRule="auto"/>
            </w:pPr>
            <w:r>
              <w:rPr>
                <w:rFonts w:ascii="Calibri" w:hAnsi="Calibri"/>
                <w:b w:val="0"/>
                <w:i w:val="0"/>
                <w:color w:val="212121"/>
                <w:sz w:val="19"/>
              </w:rPr>
              <w:t>Cannabis and methamphetamine users</w:t>
            </w:r>
          </w:p>
        </w:tc>
        <w:tc>
          <w:tcPr>
            <w:tcW w:type="dxa" w:w="4276"/>
            <w:vAlign w:val="top"/>
          </w:tcPr>
          <w:p>
            <w:pPr>
              <w:spacing w:after="60" w:line="259" w:lineRule="auto"/>
            </w:pPr>
            <w:r>
              <w:rPr>
                <w:rFonts w:ascii="Calibri" w:hAnsi="Calibri"/>
                <w:b w:val="0"/>
                <w:i w:val="0"/>
                <w:color w:val="212121"/>
                <w:sz w:val="19"/>
              </w:rPr>
              <w:t>Street drugs such as methamphetamine and cannabis markedly reduce salivary flow; methamphetamine is associated with the rampant decay pattern known as 'meth mouth'.</w:t>
            </w:r>
          </w:p>
          <w:p>
            <w:pPr>
              <w:spacing w:after="40" w:before="60" w:line="259" w:lineRule="auto"/>
            </w:pPr>
            <w:r>
              <w:rPr>
                <w:rFonts w:ascii="Calibri" w:hAnsi="Calibri"/>
                <w:b w:val="0"/>
                <w:i w:val="0"/>
                <w:color w:val="212121"/>
                <w:sz w:val="19"/>
              </w:rPr>
              <w:t>Street drugs including methamphetamine and marijuana are recognised causes of dry mouth.</w:t>
            </w:r>
          </w:p>
          <w:p>
            <w:pPr>
              <w:spacing w:after="40" w:line="252" w:lineRule="auto"/>
            </w:pPr>
            <w:hyperlink r:id="rId12">
              <w:r>
                <w:rPr>
                  <w:rFonts w:ascii="Calibri" w:hAnsi="Calibri" w:cs="Calibri"/>
                  <w:sz w:val="18"/>
                  <w:color w:val="1155CC"/>
                  <w:u w:val="single"/>
                </w:rPr>
                <w:t xml:space="preserve">mayoclinic.org — dry mouth (street drugs)</w:t>
              </w:r>
            </w:hyperlink>
          </w:p>
          <w:p>
            <w:pPr>
              <w:spacing w:before="60" w:after="40"/>
            </w:pPr>
            <w:r>
              <w:rPr>
                <w:rFonts w:ascii="Calibri" w:hAnsi="Calibri"/>
                <w:b w:val="0"/>
                <w:i w:val="0"/>
                <w:color w:val="5A5A5A"/>
                <w:sz w:val="18"/>
              </w:rPr>
              <w:t>#methmouth  #cannabis  #substanceuse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Mouth breathing</w:t>
            </w:r>
          </w:p>
        </w:tc>
        <w:tc>
          <w:tcPr>
            <w:tcW w:type="dxa" w:w="2160"/>
            <w:vAlign w:val="top"/>
          </w:tcPr>
          <w:p>
            <w:pPr>
              <w:spacing w:after="40" w:before="0" w:line="259" w:lineRule="auto"/>
            </w:pPr>
            <w:r>
              <w:rPr>
                <w:rFonts w:ascii="Calibri" w:hAnsi="Calibri"/>
                <w:b w:val="0"/>
                <w:i w:val="0"/>
                <w:color w:val="212121"/>
                <w:sz w:val="19"/>
              </w:rPr>
              <w:t>Habitual mouth breathers, snorers, CPAP users</w:t>
            </w:r>
          </w:p>
        </w:tc>
        <w:tc>
          <w:tcPr>
            <w:tcW w:type="dxa" w:w="4276"/>
            <w:vAlign w:val="top"/>
          </w:tcPr>
          <w:p>
            <w:pPr>
              <w:spacing w:after="60" w:line="259" w:lineRule="auto"/>
            </w:pPr>
            <w:r>
              <w:rPr>
                <w:rFonts w:ascii="Calibri" w:hAnsi="Calibri"/>
                <w:b w:val="0"/>
                <w:i w:val="0"/>
                <w:color w:val="212121"/>
                <w:sz w:val="19"/>
              </w:rPr>
              <w:t>Breathing through the mouth (from nasal obstruction, snoring or continuous positive airway pressure without humidification) dries the oral mucosa, especially overnight, producing nocturnal and morning xerostomia.</w:t>
            </w:r>
          </w:p>
          <w:p>
            <w:pPr>
              <w:spacing w:after="40" w:before="60" w:line="259" w:lineRule="auto"/>
            </w:pPr>
            <w:r>
              <w:rPr>
                <w:rFonts w:ascii="Calibri" w:hAnsi="Calibri"/>
                <w:b w:val="0"/>
                <w:i w:val="0"/>
                <w:color w:val="212121"/>
                <w:sz w:val="19"/>
              </w:rPr>
              <w:t>Mouth breathing and snoring are listed among the causes of dry mouth.</w:t>
            </w:r>
          </w:p>
          <w:p>
            <w:pPr>
              <w:spacing w:after="40" w:line="252" w:lineRule="auto"/>
            </w:pPr>
            <w:hyperlink r:id="rId12">
              <w:r>
                <w:rPr>
                  <w:rFonts w:ascii="Calibri" w:hAnsi="Calibri" w:cs="Calibri"/>
                  <w:sz w:val="18"/>
                  <w:color w:val="1155CC"/>
                  <w:u w:val="single"/>
                </w:rPr>
                <w:t xml:space="preserve">mayoclinic.org — dry mouth (mouth breathing/snoring)</w:t>
              </w:r>
            </w:hyperlink>
          </w:p>
          <w:p>
            <w:pPr>
              <w:spacing w:before="60" w:after="40"/>
            </w:pPr>
            <w:r>
              <w:rPr>
                <w:rFonts w:ascii="Calibri" w:hAnsi="Calibri"/>
                <w:b w:val="0"/>
                <w:i w:val="0"/>
                <w:color w:val="5A5A5A"/>
                <w:sz w:val="18"/>
              </w:rPr>
              <w:t>#mouthbreathing  #snoring  #CPAP  #nocturnalxerostomia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Fluid &amp; caffeine intake</w:t>
            </w:r>
          </w:p>
        </w:tc>
        <w:tc>
          <w:tcPr>
            <w:tcW w:type="dxa" w:w="2160"/>
            <w:vAlign w:val="top"/>
          </w:tcPr>
          <w:p>
            <w:pPr>
              <w:spacing w:after="40" w:before="0" w:line="259" w:lineRule="auto"/>
            </w:pPr>
            <w:r>
              <w:rPr>
                <w:rFonts w:ascii="Calibri" w:hAnsi="Calibri"/>
                <w:b w:val="0"/>
                <w:i w:val="0"/>
                <w:color w:val="212121"/>
                <w:sz w:val="19"/>
              </w:rPr>
              <w:t>Low water intake, high caffeine consumers</w:t>
            </w:r>
          </w:p>
        </w:tc>
        <w:tc>
          <w:tcPr>
            <w:tcW w:type="dxa" w:w="4276"/>
            <w:vAlign w:val="top"/>
          </w:tcPr>
          <w:p>
            <w:pPr>
              <w:spacing w:after="60" w:line="259" w:lineRule="auto"/>
            </w:pPr>
            <w:r>
              <w:rPr>
                <w:rFonts w:ascii="Calibri" w:hAnsi="Calibri"/>
                <w:b w:val="0"/>
                <w:i w:val="0"/>
                <w:color w:val="212121"/>
                <w:sz w:val="19"/>
              </w:rPr>
              <w:t>Inadequate daily fluid intake and heavy caffeine (strong tea, coffee, cola) with its mild diuretic effect reduce hydration and the water available for salivary secretion.</w:t>
            </w:r>
          </w:p>
          <w:p>
            <w:pPr>
              <w:spacing w:after="40" w:before="60" w:line="259" w:lineRule="auto"/>
            </w:pPr>
            <w:r>
              <w:rPr>
                <w:rFonts w:ascii="Calibri" w:hAnsi="Calibri"/>
                <w:b w:val="0"/>
                <w:i w:val="0"/>
                <w:color w:val="212121"/>
                <w:sz w:val="19"/>
              </w:rPr>
              <w:t>Dehydration is a direct and reversible cause of dry mouth.</w:t>
            </w:r>
          </w:p>
          <w:p>
            <w:pPr>
              <w:spacing w:after="40" w:line="252" w:lineRule="auto"/>
            </w:pPr>
            <w:hyperlink r:id="rId9">
              <w:r>
                <w:rPr>
                  <w:rFonts w:ascii="Calibri" w:hAnsi="Calibri" w:cs="Calibri"/>
                  <w:sz w:val="18"/>
                  <w:color w:val="1155CC"/>
                  <w:u w:val="single"/>
                </w:rPr>
                <w:t xml:space="preserve">my.clevelandclinic.org — dry mouth (dehydration)</w:t>
              </w:r>
            </w:hyperlink>
          </w:p>
          <w:p>
            <w:pPr>
              <w:spacing w:before="60" w:after="40"/>
            </w:pPr>
            <w:r>
              <w:rPr>
                <w:rFonts w:ascii="Calibri" w:hAnsi="Calibri"/>
                <w:b w:val="0"/>
                <w:i w:val="0"/>
                <w:color w:val="5A5A5A"/>
                <w:sz w:val="18"/>
              </w:rPr>
              <w:t>#hydration  #caffeine  #water  #dehydration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Frequent sugary &amp; acidic diets</w:t>
            </w:r>
          </w:p>
        </w:tc>
        <w:tc>
          <w:tcPr>
            <w:tcW w:type="dxa" w:w="4276"/>
            <w:vAlign w:val="top"/>
          </w:tcPr>
          <w:p>
            <w:pPr>
              <w:spacing w:after="60" w:line="259" w:lineRule="auto"/>
            </w:pPr>
            <w:r>
              <w:rPr>
                <w:rFonts w:ascii="Calibri" w:hAnsi="Calibri"/>
                <w:b w:val="0"/>
                <w:i w:val="0"/>
                <w:color w:val="212121"/>
                <w:sz w:val="19"/>
              </w:rPr>
              <w:t>When salivary buffering and clearance are already reduced, frequent sugary and acidic foods and drinks dramatically accelerate demineralisation and caries in the dry mouth.</w:t>
            </w:r>
          </w:p>
          <w:p>
            <w:pPr>
              <w:spacing w:after="40" w:before="60" w:line="259" w:lineRule="auto"/>
            </w:pPr>
            <w:r>
              <w:rPr>
                <w:rFonts w:ascii="Calibri" w:hAnsi="Calibri"/>
                <w:b w:val="0"/>
                <w:i w:val="0"/>
                <w:color w:val="212121"/>
                <w:sz w:val="19"/>
              </w:rPr>
              <w:t>Consuming sugary or acidic foods is a recognised risk factor that compounds dry-mouth damage.</w:t>
            </w:r>
          </w:p>
          <w:p>
            <w:pPr>
              <w:spacing w:after="40" w:line="252" w:lineRule="auto"/>
            </w:pPr>
            <w:hyperlink r:id="rId12">
              <w:r>
                <w:rPr>
                  <w:rFonts w:ascii="Calibri" w:hAnsi="Calibri" w:cs="Calibri"/>
                  <w:sz w:val="18"/>
                  <w:color w:val="1155CC"/>
                  <w:u w:val="single"/>
                </w:rPr>
                <w:t xml:space="preserve">mayoclinic.org — dry mouth risk factors</w:t>
              </w:r>
            </w:hyperlink>
          </w:p>
          <w:p>
            <w:pPr>
              <w:spacing w:before="60" w:after="40"/>
            </w:pPr>
            <w:r>
              <w:rPr>
                <w:rFonts w:ascii="Calibri" w:hAnsi="Calibri"/>
                <w:b w:val="0"/>
                <w:i w:val="0"/>
                <w:color w:val="5A5A5A"/>
                <w:sz w:val="18"/>
              </w:rPr>
              <w:t>#sugar  #acidicdiet  #caries  #demineralisation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inherited</w:t>
            </w:r>
          </w:p>
        </w:tc>
        <w:tc>
          <w:tcPr>
            <w:tcW w:type="dxa" w:w="2160"/>
            <w:vAlign w:val="top"/>
          </w:tcPr>
          <w:p>
            <w:pPr>
              <w:spacing w:after="40" w:before="0" w:line="259" w:lineRule="auto"/>
            </w:pPr>
            <w:r>
              <w:rPr>
                <w:rFonts w:ascii="Calibri" w:hAnsi="Calibri"/>
                <w:b w:val="0"/>
                <w:i w:val="0"/>
                <w:color w:val="212121"/>
                <w:sz w:val="19"/>
              </w:rPr>
              <w:t>Autoimmune predisposition; congenital salivary hypoplasia/ectodermal dysplasia</w:t>
            </w:r>
          </w:p>
        </w:tc>
        <w:tc>
          <w:tcPr>
            <w:tcW w:type="dxa" w:w="4276"/>
            <w:vAlign w:val="top"/>
          </w:tcPr>
          <w:p>
            <w:pPr>
              <w:spacing w:after="60" w:line="259" w:lineRule="auto"/>
            </w:pPr>
            <w:r>
              <w:rPr>
                <w:rFonts w:ascii="Calibri" w:hAnsi="Calibri"/>
                <w:b w:val="0"/>
                <w:i w:val="0"/>
                <w:color w:val="212121"/>
                <w:sz w:val="19"/>
              </w:rPr>
              <w:t>A family history of autoimmune disease (Sjogren's, lupus, thyroid disease) raises the risk of autoimmune sicca, while rare inherited conditions such as ectodermal dysplasia or salivary gland aplasia and cystic fibrosis cause structural hyposalivation.</w:t>
            </w:r>
          </w:p>
          <w:p>
            <w:pPr>
              <w:spacing w:after="40" w:before="60" w:line="259" w:lineRule="auto"/>
            </w:pPr>
            <w:r>
              <w:rPr>
                <w:rFonts w:ascii="Calibri" w:hAnsi="Calibri"/>
                <w:b w:val="0"/>
                <w:i w:val="0"/>
                <w:color w:val="212121"/>
                <w:sz w:val="19"/>
              </w:rPr>
              <w:t>Sjogren's disease and lupus, which cluster with autoimmune family history, are listed causes of dry mouth.</w:t>
            </w:r>
          </w:p>
          <w:p>
            <w:pPr>
              <w:spacing w:after="40" w:line="252" w:lineRule="auto"/>
            </w:pPr>
            <w:hyperlink r:id="rId10">
              <w:r>
                <w:rPr>
                  <w:rFonts w:ascii="Calibri" w:hAnsi="Calibri" w:cs="Calibri"/>
                  <w:sz w:val="18"/>
                  <w:color w:val="1155CC"/>
                  <w:u w:val="single"/>
                </w:rPr>
                <w:t xml:space="preserve">betterhealth.vic.gov.au — dry mouth (autoimmune causes)</w:t>
              </w:r>
            </w:hyperlink>
          </w:p>
          <w:p>
            <w:pPr>
              <w:spacing w:before="60" w:after="40"/>
            </w:pPr>
            <w:r>
              <w:rPr>
                <w:rFonts w:ascii="Calibri" w:hAnsi="Calibri"/>
                <w:b w:val="0"/>
                <w:i w:val="0"/>
                <w:color w:val="5A5A5A"/>
                <w:sz w:val="18"/>
              </w:rPr>
              <w:t>#autoimmune  #sjogrens  #ectodermaldysplasia  #geneticrisk</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diabetes (esp. poorly controlled)</w:t>
            </w:r>
          </w:p>
        </w:tc>
        <w:tc>
          <w:tcPr>
            <w:tcW w:type="dxa" w:w="4276"/>
            <w:vAlign w:val="top"/>
          </w:tcPr>
          <w:p>
            <w:pPr>
              <w:spacing w:after="60" w:line="259" w:lineRule="auto"/>
            </w:pPr>
            <w:r>
              <w:rPr>
                <w:rFonts w:ascii="Calibri" w:hAnsi="Calibri"/>
                <w:b w:val="0"/>
                <w:i w:val="0"/>
                <w:color w:val="212121"/>
                <w:sz w:val="19"/>
              </w:rPr>
              <w:t>Hyperglycaemia with osmotic diuresis and dehydration, plus diabetic autonomic neuropathy affecting the salivary glands, reduce salivary flow; dry mouth is a frequent and under-recognised oral complication of diabetes.</w:t>
            </w:r>
          </w:p>
          <w:p>
            <w:pPr>
              <w:spacing w:after="40" w:before="60" w:line="259" w:lineRule="auto"/>
            </w:pPr>
            <w:r>
              <w:rPr>
                <w:rFonts w:ascii="Calibri" w:hAnsi="Calibri"/>
                <w:b w:val="0"/>
                <w:i w:val="0"/>
                <w:color w:val="212121"/>
                <w:sz w:val="19"/>
              </w:rPr>
              <w:t>Diabetes is listed among the diseases that cause dry mouth.</w:t>
            </w:r>
          </w:p>
          <w:p>
            <w:pPr>
              <w:spacing w:after="40" w:line="252" w:lineRule="auto"/>
            </w:pPr>
            <w:hyperlink r:id="rId14">
              <w:r>
                <w:rPr>
                  <w:rFonts w:ascii="Calibri" w:hAnsi="Calibri" w:cs="Calibri"/>
                  <w:sz w:val="18"/>
                  <w:color w:val="1155CC"/>
                  <w:u w:val="single"/>
                </w:rPr>
                <w:t xml:space="preserve">nidcr.nih.gov — dry mouth (diabetes)</w:t>
              </w:r>
            </w:hyperlink>
          </w:p>
          <w:p>
            <w:pPr>
              <w:spacing w:before="60" w:after="40"/>
            </w:pPr>
            <w:r>
              <w:rPr>
                <w:rFonts w:ascii="Calibri" w:hAnsi="Calibri"/>
                <w:b w:val="0"/>
                <w:i w:val="0"/>
                <w:color w:val="5A5A5A"/>
                <w:sz w:val="18"/>
              </w:rPr>
              <w:t>#diabetes  #hyperglycaemia  #autonomicneuropathy  #osmoticdiuresis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Sjogren's syndrome</w:t>
            </w:r>
          </w:p>
        </w:tc>
        <w:tc>
          <w:tcPr>
            <w:tcW w:type="dxa" w:w="2160"/>
            <w:vAlign w:val="top"/>
          </w:tcPr>
          <w:p>
            <w:pPr>
              <w:spacing w:after="40" w:before="0" w:line="259" w:lineRule="auto"/>
            </w:pPr>
            <w:r>
              <w:rPr>
                <w:rFonts w:ascii="Calibri" w:hAnsi="Calibri"/>
                <w:b w:val="0"/>
                <w:i w:val="0"/>
                <w:color w:val="212121"/>
                <w:sz w:val="19"/>
              </w:rPr>
              <w:t>Patients with Sjogren's / autoimmune sicca</w:t>
            </w:r>
          </w:p>
        </w:tc>
        <w:tc>
          <w:tcPr>
            <w:tcW w:type="dxa" w:w="4276"/>
            <w:vAlign w:val="top"/>
          </w:tcPr>
          <w:p>
            <w:pPr>
              <w:spacing w:after="60" w:line="259" w:lineRule="auto"/>
            </w:pPr>
            <w:r>
              <w:rPr>
                <w:rFonts w:ascii="Calibri" w:hAnsi="Calibri"/>
                <w:b w:val="0"/>
                <w:i w:val="0"/>
                <w:color w:val="212121"/>
                <w:sz w:val="19"/>
              </w:rPr>
              <w:t>Autoimmune lymphocytic destruction of the salivary and lacrimal glands causes progressive, often severe and irreversible hyposalivation together with dry eyes, and defines primary/secondary Sjogren's syndrome.</w:t>
            </w:r>
          </w:p>
          <w:p>
            <w:pPr>
              <w:spacing w:after="40" w:before="60" w:line="259" w:lineRule="auto"/>
            </w:pPr>
            <w:r>
              <w:rPr>
                <w:rFonts w:ascii="Calibri" w:hAnsi="Calibri"/>
                <w:b w:val="0"/>
                <w:i w:val="0"/>
                <w:color w:val="212121"/>
                <w:sz w:val="19"/>
              </w:rPr>
              <w:t>Sjogren's disease is a defining autoimmune cause of chronic dry mouth.</w:t>
            </w:r>
          </w:p>
          <w:p>
            <w:pPr>
              <w:spacing w:after="40" w:line="252" w:lineRule="auto"/>
            </w:pPr>
            <w:hyperlink r:id="rId10">
              <w:r>
                <w:rPr>
                  <w:rFonts w:ascii="Calibri" w:hAnsi="Calibri" w:cs="Calibri"/>
                  <w:sz w:val="18"/>
                  <w:color w:val="1155CC"/>
                  <w:u w:val="single"/>
                </w:rPr>
                <w:t xml:space="preserve">betterhealth.vic.gov.au — dry mouth (Sjogren's)</w:t>
              </w:r>
            </w:hyperlink>
          </w:p>
          <w:p>
            <w:pPr>
              <w:spacing w:before="60" w:after="40"/>
            </w:pPr>
            <w:r>
              <w:rPr>
                <w:rFonts w:ascii="Calibri" w:hAnsi="Calibri"/>
                <w:b w:val="0"/>
                <w:i w:val="0"/>
                <w:color w:val="5A5A5A"/>
                <w:sz w:val="18"/>
              </w:rPr>
              <w:t>#sjogrens  #sicca  #autoimmune  #dryeyes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Head &amp; neck cancer therapy</w:t>
            </w:r>
          </w:p>
        </w:tc>
        <w:tc>
          <w:tcPr>
            <w:tcW w:type="dxa" w:w="2160"/>
            <w:vAlign w:val="top"/>
          </w:tcPr>
          <w:p>
            <w:pPr>
              <w:spacing w:after="40" w:before="0" w:line="259" w:lineRule="auto"/>
            </w:pPr>
            <w:r>
              <w:rPr>
                <w:rFonts w:ascii="Calibri" w:hAnsi="Calibri"/>
                <w:b w:val="0"/>
                <w:i w:val="0"/>
                <w:color w:val="212121"/>
                <w:sz w:val="19"/>
              </w:rPr>
              <w:t>Patients after head-and-neck radiotherapy / radioiodine</w:t>
            </w:r>
          </w:p>
        </w:tc>
        <w:tc>
          <w:tcPr>
            <w:tcW w:type="dxa" w:w="4276"/>
            <w:vAlign w:val="top"/>
          </w:tcPr>
          <w:p>
            <w:pPr>
              <w:spacing w:after="60" w:line="259" w:lineRule="auto"/>
            </w:pPr>
            <w:r>
              <w:rPr>
                <w:rFonts w:ascii="Calibri" w:hAnsi="Calibri"/>
                <w:b w:val="0"/>
                <w:i w:val="0"/>
                <w:color w:val="212121"/>
                <w:sz w:val="19"/>
              </w:rPr>
              <w:t>Radiotherapy to the head and neck, radioiodine for thyroid cancer and chemotherapy damage salivary acinar cells; when the major glands are irradiated at high doses the resulting xerostomia is often severe and permanent.</w:t>
            </w:r>
          </w:p>
          <w:p>
            <w:pPr>
              <w:spacing w:after="40" w:before="60" w:line="259" w:lineRule="auto"/>
            </w:pPr>
            <w:r>
              <w:rPr>
                <w:rFonts w:ascii="Calibri" w:hAnsi="Calibri"/>
                <w:b w:val="0"/>
                <w:i w:val="0"/>
                <w:color w:val="212121"/>
                <w:sz w:val="19"/>
              </w:rPr>
              <w:t>Radiation therapy to the head and neck can permanently damage the salivary glands.</w:t>
            </w:r>
          </w:p>
          <w:p>
            <w:pPr>
              <w:spacing w:after="40" w:line="252" w:lineRule="auto"/>
            </w:pPr>
            <w:hyperlink r:id="rId12">
              <w:r>
                <w:rPr>
                  <w:rFonts w:ascii="Calibri" w:hAnsi="Calibri" w:cs="Calibri"/>
                  <w:sz w:val="18"/>
                  <w:color w:val="1155CC"/>
                  <w:u w:val="single"/>
                </w:rPr>
                <w:t xml:space="preserve">mayoclinic.org — dry mouth (cancer therapy)</w:t>
              </w:r>
            </w:hyperlink>
          </w:p>
          <w:p>
            <w:pPr>
              <w:spacing w:before="60" w:after="40"/>
            </w:pPr>
            <w:r>
              <w:rPr>
                <w:rFonts w:ascii="Calibri" w:hAnsi="Calibri"/>
                <w:b w:val="0"/>
                <w:i w:val="0"/>
                <w:color w:val="5A5A5A"/>
                <w:sz w:val="18"/>
              </w:rPr>
              <w:t>#radiotherapy  #radioiodine  #cancer  #permanentxerostomia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Polypharmacy</w:t>
            </w:r>
          </w:p>
        </w:tc>
        <w:tc>
          <w:tcPr>
            <w:tcW w:type="dxa" w:w="2160"/>
            <w:vAlign w:val="top"/>
          </w:tcPr>
          <w:p>
            <w:pPr>
              <w:spacing w:after="40" w:before="0" w:line="259" w:lineRule="auto"/>
            </w:pPr>
            <w:r>
              <w:rPr>
                <w:rFonts w:ascii="Calibri" w:hAnsi="Calibri"/>
                <w:b w:val="0"/>
                <w:i w:val="0"/>
                <w:color w:val="212121"/>
                <w:sz w:val="19"/>
              </w:rPr>
              <w:t>Elderly on multiple xerogenic drugs</w:t>
            </w:r>
          </w:p>
        </w:tc>
        <w:tc>
          <w:tcPr>
            <w:tcW w:type="dxa" w:w="4276"/>
            <w:vAlign w:val="top"/>
          </w:tcPr>
          <w:p>
            <w:pPr>
              <w:spacing w:after="60" w:line="259" w:lineRule="auto"/>
            </w:pPr>
            <w:r>
              <w:rPr>
                <w:rFonts w:ascii="Calibri" w:hAnsi="Calibri"/>
                <w:b w:val="0"/>
                <w:i w:val="0"/>
                <w:color w:val="212121"/>
                <w:sz w:val="19"/>
              </w:rPr>
              <w:t>Older adults on several dry-mouth-inducing medications (antidepressants, antihypertensives, diuretics, antihistamines, antipsychotics, bladder antimuscarinics, opioids) accumulate anticholinergic burden, the single most common and modifiable cause of xerostomia.</w:t>
            </w:r>
          </w:p>
          <w:p>
            <w:pPr>
              <w:spacing w:after="40" w:before="60" w:line="259" w:lineRule="auto"/>
            </w:pPr>
            <w:r>
              <w:rPr>
                <w:rFonts w:ascii="Calibri" w:hAnsi="Calibri"/>
                <w:b w:val="0"/>
                <w:i w:val="0"/>
                <w:color w:val="212121"/>
                <w:sz w:val="19"/>
              </w:rPr>
              <w:t>About 600 drugs are known to cause dry mouth, and hundreds of medicines can reduce saliva.</w:t>
            </w:r>
          </w:p>
          <w:p>
            <w:pPr>
              <w:spacing w:after="40" w:line="252" w:lineRule="auto"/>
            </w:pPr>
            <w:hyperlink r:id="rId10">
              <w:r>
                <w:rPr>
                  <w:rFonts w:ascii="Calibri" w:hAnsi="Calibri" w:cs="Calibri"/>
                  <w:sz w:val="18"/>
                  <w:color w:val="1155CC"/>
                  <w:u w:val="single"/>
                </w:rPr>
                <w:t xml:space="preserve">betterhealth.vic.gov.au — dry mouth (~600 drugs)</w:t>
              </w:r>
            </w:hyperlink>
          </w:p>
          <w:p>
            <w:pPr>
              <w:spacing w:before="60" w:after="40"/>
            </w:pPr>
            <w:r>
              <w:rPr>
                <w:rFonts w:ascii="Calibri" w:hAnsi="Calibri"/>
                <w:b w:val="0"/>
                <w:i w:val="0"/>
                <w:color w:val="5A5A5A"/>
                <w:sz w:val="18"/>
              </w:rPr>
              <w:t>#polypharmacy  #anticholinergicburden  #deprescribing  #elderly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OSA</w:t>
            </w:r>
          </w:p>
        </w:tc>
        <w:tc>
          <w:tcPr>
            <w:tcW w:type="dxa" w:w="2160"/>
            <w:vAlign w:val="top"/>
          </w:tcPr>
          <w:p>
            <w:pPr>
              <w:spacing w:after="40" w:before="0" w:line="259" w:lineRule="auto"/>
            </w:pPr>
            <w:r>
              <w:rPr>
                <w:rFonts w:ascii="Calibri" w:hAnsi="Calibri"/>
                <w:b w:val="0"/>
                <w:i w:val="0"/>
                <w:color w:val="212121"/>
                <w:sz w:val="19"/>
              </w:rPr>
              <w:t>Obese adults with obstructive sleep apnoea</w:t>
            </w:r>
          </w:p>
        </w:tc>
        <w:tc>
          <w:tcPr>
            <w:tcW w:type="dxa" w:w="4276"/>
            <w:vAlign w:val="top"/>
          </w:tcPr>
          <w:p>
            <w:pPr>
              <w:spacing w:after="60" w:line="259" w:lineRule="auto"/>
            </w:pPr>
            <w:r>
              <w:rPr>
                <w:rFonts w:ascii="Calibri" w:hAnsi="Calibri"/>
                <w:b w:val="0"/>
                <w:i w:val="0"/>
                <w:color w:val="212121"/>
                <w:sz w:val="19"/>
              </w:rPr>
              <w:t>Obesity predisposes to obstructive sleep apnoea and habitual mouth breathing (with or without CPAP) that dry the mouth overnight, and to type 2 diabetes, layering several mechanisms of xerostomia in the same patient.</w:t>
            </w:r>
          </w:p>
          <w:p>
            <w:pPr>
              <w:spacing w:after="40" w:before="60" w:line="259" w:lineRule="auto"/>
            </w:pPr>
            <w:r>
              <w:rPr>
                <w:rFonts w:ascii="Calibri" w:hAnsi="Calibri"/>
                <w:b w:val="0"/>
                <w:i w:val="0"/>
                <w:color w:val="212121"/>
                <w:sz w:val="19"/>
              </w:rPr>
              <w:t>Mouth breathing and snoring, common in obesity and sleep apnoea, are recognised causes of dry mouth.</w:t>
            </w:r>
          </w:p>
          <w:p>
            <w:pPr>
              <w:spacing w:after="40" w:line="252" w:lineRule="auto"/>
            </w:pPr>
            <w:hyperlink r:id="rId12">
              <w:r>
                <w:rPr>
                  <w:rFonts w:ascii="Calibri" w:hAnsi="Calibri" w:cs="Calibri"/>
                  <w:sz w:val="18"/>
                  <w:color w:val="1155CC"/>
                  <w:u w:val="single"/>
                </w:rPr>
                <w:t xml:space="preserve">mayoclinic.org — dry mouth (mouth breathing/snoring)</w:t>
              </w:r>
            </w:hyperlink>
          </w:p>
          <w:p>
            <w:pPr>
              <w:spacing w:before="60" w:after="40"/>
            </w:pPr>
            <w:r>
              <w:rPr>
                <w:rFonts w:ascii="Calibri" w:hAnsi="Calibri"/>
                <w:b w:val="0"/>
                <w:i w:val="0"/>
                <w:color w:val="5A5A5A"/>
                <w:sz w:val="18"/>
              </w:rPr>
              <w:t>#obesity  #OSA  #mouthbreathing  #type2diabetes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itself is not a direct cause, but vigorous activity in heat without adequate rehydration can transiently reduce salivary flow; regular activity mainly helps indirectly by improving glycaemic control and reducing xerogenic comorbidity.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Dry, salty, spicy, sugary and acidic foods aggravate symptoms and accelerate caries in a dry mouth, whereas moist foods, sugar-free chewing gum and xylitol lozenges stimulate residual salivary flow and relieve dryness.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salivary flow is physiologically lowest, so mouth breathing, snoring, CPAP without humidification and bedtime dosing of xerogenic drugs make dryness worst overnight and on waking.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Smoked and smokeless tobacco reduce salivary flow, thicken secretions and damage the oral mucosa; tobacco is a well-recognised cause of dry mouth and oral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is a diuretic and mucosal desiccant; heavy intake and daily alcohol-containing mouthwashes dry the oral tissues and worsen xerostomia.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Acute anxiety causes transient sympathetic dry mouth, and antidepressants, anxiolytics and antipsychotics are among the most common medications that reduce salivary flow; chronic dry mouth in turn lowers quality of life and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Hydration status directly determines the water available for secretion; dehydration from low intake, heat, fever or osmotic diuresis is a direct and readily reversible cause of dry mouth.</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Caffeine's mild diuretic effect and the tannins in strong tea and coffee can add to dehydration and a dry-mouth sensation, especially with high daily intake.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 dry mouth loses saliva's cleansing and antimicrobial action, so meticulous oral hygiene, fluoride and alcohol-free rinses are essential to prevent the caries, candidiasis and halitosis that follow hyposalivation.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Starting a new anticholinergic or diuretic drug, head-and-neck radiotherapy, acute dehydration/fever, mouth breathing and cannabis or methamphetamine use can each provoke or abruptly worsen dry mouth.</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Unstimulated whole salivary flow rate (UWSFR)</w:t>
            </w:r>
          </w:p>
        </w:tc>
        <w:tc>
          <w:tcPr>
            <w:tcW w:type="dxa" w:w="1655"/>
            <w:vAlign w:val="top"/>
          </w:tcPr>
          <w:p>
            <w:pPr>
              <w:spacing w:after="40" w:before="0" w:line="259" w:lineRule="auto"/>
            </w:pPr>
            <w:r>
              <w:rPr>
                <w:rFonts w:ascii="Calibri" w:hAnsi="Calibri"/>
                <w:b w:val="0"/>
                <w:i w:val="0"/>
                <w:color w:val="212121"/>
                <w:sz w:val="19"/>
              </w:rPr>
              <w:t>Adults with dry-mouth symptoms</w:t>
            </w:r>
          </w:p>
        </w:tc>
        <w:tc>
          <w:tcPr>
            <w:tcW w:type="dxa" w:w="1512"/>
            <w:vAlign w:val="top"/>
          </w:tcPr>
          <w:p>
            <w:pPr>
              <w:spacing w:after="40" w:before="0" w:line="259" w:lineRule="auto"/>
            </w:pPr>
            <w:r>
              <w:rPr>
                <w:rFonts w:ascii="Calibri" w:hAnsi="Calibri"/>
                <w:b w:val="0"/>
                <w:i w:val="0"/>
                <w:color w:val="212121"/>
                <w:sz w:val="19"/>
              </w:rPr>
              <w:t>≈ 0.3–0.4 mL/min</w:t>
            </w:r>
          </w:p>
        </w:tc>
        <w:tc>
          <w:tcPr>
            <w:tcW w:type="dxa" w:w="1512"/>
            <w:vAlign w:val="top"/>
          </w:tcPr>
          <w:p>
            <w:pPr>
              <w:spacing w:after="40" w:before="0" w:line="259" w:lineRule="auto"/>
            </w:pPr>
            <w:r>
              <w:rPr>
                <w:rFonts w:ascii="Calibri" w:hAnsi="Calibri"/>
                <w:b w:val="0"/>
                <w:i w:val="0"/>
                <w:color w:val="212121"/>
                <w:sz w:val="19"/>
              </w:rPr>
              <w:t>≤ 0.1 mL/min</w:t>
            </w:r>
          </w:p>
        </w:tc>
        <w:tc>
          <w:tcPr>
            <w:tcW w:type="dxa" w:w="1468"/>
            <w:vAlign w:val="top"/>
          </w:tcPr>
          <w:p>
            <w:pPr>
              <w:spacing w:after="40" w:before="0" w:line="259" w:lineRule="auto"/>
            </w:pPr>
            <w:r>
              <w:rPr>
                <w:rFonts w:ascii="Calibri" w:hAnsi="Calibri"/>
                <w:b w:val="0"/>
                <w:i w:val="0"/>
                <w:color w:val="212121"/>
                <w:sz w:val="19"/>
              </w:rPr>
              <w:t>Objective threshold for hyposalivation (true xerostomia)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Stimulated whole salivary flow rate (SWSFR)</w:t>
            </w:r>
          </w:p>
        </w:tc>
        <w:tc>
          <w:tcPr>
            <w:tcW w:type="dxa" w:w="1655"/>
            <w:vAlign w:val="top"/>
          </w:tcPr>
          <w:p>
            <w:pPr>
              <w:spacing w:after="40" w:before="0" w:line="259" w:lineRule="auto"/>
            </w:pPr>
            <w:r>
              <w:rPr>
                <w:rFonts w:ascii="Calibri" w:hAnsi="Calibri"/>
                <w:b w:val="0"/>
                <w:i w:val="0"/>
                <w:color w:val="212121"/>
                <w:sz w:val="19"/>
              </w:rPr>
              <w:t>Adults with dry-mouth symptoms</w:t>
            </w:r>
          </w:p>
        </w:tc>
        <w:tc>
          <w:tcPr>
            <w:tcW w:type="dxa" w:w="1512"/>
            <w:vAlign w:val="top"/>
          </w:tcPr>
          <w:p>
            <w:pPr>
              <w:spacing w:after="40" w:before="0" w:line="259" w:lineRule="auto"/>
            </w:pPr>
            <w:r>
              <w:rPr>
                <w:rFonts w:ascii="Calibri" w:hAnsi="Calibri"/>
                <w:b w:val="0"/>
                <w:i w:val="0"/>
                <w:color w:val="212121"/>
                <w:sz w:val="19"/>
              </w:rPr>
              <w:t>≥ 1.0 mL/min</w:t>
            </w:r>
          </w:p>
        </w:tc>
        <w:tc>
          <w:tcPr>
            <w:tcW w:type="dxa" w:w="1512"/>
            <w:vAlign w:val="top"/>
          </w:tcPr>
          <w:p>
            <w:pPr>
              <w:spacing w:after="40" w:before="0" w:line="259" w:lineRule="auto"/>
            </w:pPr>
            <w:r>
              <w:rPr>
                <w:rFonts w:ascii="Calibri" w:hAnsi="Calibri"/>
                <w:b w:val="0"/>
                <w:i w:val="0"/>
                <w:color w:val="212121"/>
                <w:sz w:val="19"/>
              </w:rPr>
              <w:t>≤ 0.5–0.7 mL/min</w:t>
            </w:r>
          </w:p>
        </w:tc>
        <w:tc>
          <w:tcPr>
            <w:tcW w:type="dxa" w:w="1468"/>
            <w:vAlign w:val="top"/>
          </w:tcPr>
          <w:p>
            <w:pPr>
              <w:spacing w:after="40" w:before="0" w:line="259" w:lineRule="auto"/>
            </w:pPr>
            <w:r>
              <w:rPr>
                <w:rFonts w:ascii="Calibri" w:hAnsi="Calibri"/>
                <w:b w:val="0"/>
                <w:i w:val="0"/>
                <w:color w:val="212121"/>
                <w:sz w:val="19"/>
              </w:rPr>
              <w:t>Reflects residual glandular reserve on stimulation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water intake</w:t>
            </w:r>
          </w:p>
        </w:tc>
        <w:tc>
          <w:tcPr>
            <w:tcW w:type="dxa" w:w="1655"/>
            <w:vAlign w:val="top"/>
          </w:tcPr>
          <w:p>
            <w:pPr>
              <w:spacing w:after="40" w:before="0" w:line="259" w:lineRule="auto"/>
            </w:pPr>
            <w:r>
              <w:rPr>
                <w:rFonts w:ascii="Calibri" w:hAnsi="Calibri"/>
                <w:b w:val="0"/>
                <w:i w:val="0"/>
                <w:color w:val="212121"/>
                <w:sz w:val="19"/>
              </w:rPr>
              <w:t>Adults, elderly, outdoor workers</w:t>
            </w:r>
          </w:p>
        </w:tc>
        <w:tc>
          <w:tcPr>
            <w:tcW w:type="dxa" w:w="1512"/>
            <w:vAlign w:val="top"/>
          </w:tcPr>
          <w:p>
            <w:pPr>
              <w:spacing w:after="40" w:before="0" w:line="259" w:lineRule="auto"/>
            </w:pPr>
            <w:r>
              <w:rPr>
                <w:rFonts w:ascii="Calibri" w:hAnsi="Calibri"/>
                <w:b w:val="0"/>
                <w:i w:val="0"/>
                <w:color w:val="212121"/>
                <w:sz w:val="19"/>
              </w:rPr>
              <w:t>≈ 30 mL/kg/day (≈ 2–3 L)</w:t>
            </w:r>
          </w:p>
        </w:tc>
        <w:tc>
          <w:tcPr>
            <w:tcW w:type="dxa" w:w="1512"/>
            <w:vAlign w:val="top"/>
          </w:tcPr>
          <w:p>
            <w:pPr>
              <w:spacing w:after="40" w:before="0" w:line="259" w:lineRule="auto"/>
            </w:pPr>
            <w:r>
              <w:rPr>
                <w:rFonts w:ascii="Calibri" w:hAnsi="Calibri"/>
                <w:b w:val="0"/>
                <w:i w:val="0"/>
                <w:color w:val="212121"/>
                <w:sz w:val="19"/>
              </w:rPr>
              <w:t>&lt; 1.5 L/day or clinical dehydration</w:t>
            </w:r>
          </w:p>
        </w:tc>
        <w:tc>
          <w:tcPr>
            <w:tcW w:type="dxa" w:w="1468"/>
            <w:vAlign w:val="top"/>
          </w:tcPr>
          <w:p>
            <w:pPr>
              <w:spacing w:after="40" w:before="0" w:line="259" w:lineRule="auto"/>
            </w:pPr>
            <w:r>
              <w:rPr>
                <w:rFonts w:ascii="Calibri" w:hAnsi="Calibri"/>
                <w:b w:val="0"/>
                <w:i w:val="0"/>
                <w:color w:val="212121"/>
                <w:sz w:val="19"/>
              </w:rPr>
              <w:t>Under-hydration reduces salivary volume</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Challacombe Clinical Oral Dryness Score (CODS)</w:t>
            </w:r>
          </w:p>
        </w:tc>
        <w:tc>
          <w:tcPr>
            <w:tcW w:type="dxa" w:w="1655"/>
            <w:vAlign w:val="top"/>
          </w:tcPr>
          <w:p>
            <w:pPr>
              <w:spacing w:after="40" w:before="0" w:line="259" w:lineRule="auto"/>
            </w:pPr>
            <w:r>
              <w:rPr>
                <w:rFonts w:ascii="Calibri" w:hAnsi="Calibri"/>
                <w:b w:val="0"/>
                <w:i w:val="0"/>
                <w:color w:val="212121"/>
                <w:sz w:val="19"/>
              </w:rPr>
              <w:t>Patients examined for dry mouth</w:t>
            </w:r>
          </w:p>
        </w:tc>
        <w:tc>
          <w:tcPr>
            <w:tcW w:type="dxa" w:w="1512"/>
            <w:vAlign w:val="top"/>
          </w:tcPr>
          <w:p>
            <w:pPr>
              <w:spacing w:after="40" w:before="0" w:line="259" w:lineRule="auto"/>
            </w:pPr>
            <w:r>
              <w:rPr>
                <w:rFonts w:ascii="Calibri" w:hAnsi="Calibri"/>
                <w:b w:val="0"/>
                <w:i w:val="0"/>
                <w:color w:val="212121"/>
                <w:sz w:val="19"/>
              </w:rPr>
              <w:t>1–3 (mild)</w:t>
            </w:r>
          </w:p>
        </w:tc>
        <w:tc>
          <w:tcPr>
            <w:tcW w:type="dxa" w:w="1512"/>
            <w:vAlign w:val="top"/>
          </w:tcPr>
          <w:p>
            <w:pPr>
              <w:spacing w:after="40" w:before="0" w:line="259" w:lineRule="auto"/>
            </w:pPr>
            <w:r>
              <w:rPr>
                <w:rFonts w:ascii="Calibri" w:hAnsi="Calibri"/>
                <w:b w:val="0"/>
                <w:i w:val="0"/>
                <w:color w:val="212121"/>
                <w:sz w:val="19"/>
              </w:rPr>
              <w:t>7–10 (severe, needs intervention)</w:t>
            </w:r>
          </w:p>
        </w:tc>
        <w:tc>
          <w:tcPr>
            <w:tcW w:type="dxa" w:w="1468"/>
            <w:vAlign w:val="top"/>
          </w:tcPr>
          <w:p>
            <w:pPr>
              <w:spacing w:after="40" w:before="0" w:line="259" w:lineRule="auto"/>
            </w:pPr>
            <w:r>
              <w:rPr>
                <w:rFonts w:ascii="Calibri" w:hAnsi="Calibri"/>
                <w:b w:val="0"/>
                <w:i w:val="0"/>
                <w:color w:val="212121"/>
                <w:sz w:val="19"/>
              </w:rPr>
              <w:t>Additive 10-point clinical dryness scale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Anticholinergic burden (ACB) score</w:t>
            </w:r>
          </w:p>
        </w:tc>
        <w:tc>
          <w:tcPr>
            <w:tcW w:type="dxa" w:w="1655"/>
            <w:vAlign w:val="top"/>
          </w:tcPr>
          <w:p>
            <w:pPr>
              <w:spacing w:after="40" w:before="0" w:line="259" w:lineRule="auto"/>
            </w:pPr>
            <w:r>
              <w:rPr>
                <w:rFonts w:ascii="Calibri" w:hAnsi="Calibri"/>
                <w:b w:val="0"/>
                <w:i w:val="0"/>
                <w:color w:val="212121"/>
                <w:sz w:val="19"/>
              </w:rPr>
              <w:t>Elderly on multiple medications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 3 (high anticholinergic load)</w:t>
            </w:r>
          </w:p>
        </w:tc>
        <w:tc>
          <w:tcPr>
            <w:tcW w:type="dxa" w:w="1468"/>
            <w:vAlign w:val="top"/>
          </w:tcPr>
          <w:p>
            <w:pPr>
              <w:spacing w:after="60" w:line="259" w:lineRule="auto"/>
            </w:pPr>
            <w:r>
              <w:rPr>
                <w:rFonts w:ascii="Calibri" w:hAnsi="Calibri"/>
                <w:b w:val="0"/>
                <w:i w:val="0"/>
                <w:color w:val="212121"/>
                <w:sz w:val="19"/>
              </w:rPr>
              <w:t>Higher burden strongly linked to dry mouth; target for deprescribing</w:t>
            </w:r>
          </w:p>
          <w:p>
            <w:pPr>
              <w:spacing w:after="40" w:line="252" w:lineRule="auto"/>
            </w:pPr>
            <w:hyperlink r:id="rId10">
              <w:r>
                <w:rPr>
                  <w:rFonts w:ascii="Calibri" w:hAnsi="Calibri" w:cs="Calibri"/>
                  <w:sz w:val="18"/>
                  <w:color w:val="1155CC"/>
                  <w:u w:val="single"/>
                </w:rPr>
                <w:t xml:space="preserve">https://www.betterhealth.vic.gov.au/health/conditionsandtreatments/dry-mouth-syndrome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(cigarettes/bidi per day; smokeless)</w:t>
            </w:r>
          </w:p>
        </w:tc>
        <w:tc>
          <w:tcPr>
            <w:tcW w:type="dxa" w:w="1655"/>
            <w:vAlign w:val="top"/>
          </w:tcPr>
          <w:p>
            <w:pPr>
              <w:spacing w:after="40" w:before="0" w:line="259" w:lineRule="auto"/>
            </w:pPr>
            <w:r>
              <w:rPr>
                <w:rFonts w:ascii="Calibri" w:hAnsi="Calibri"/>
                <w:b w:val="0"/>
                <w:i w:val="0"/>
                <w:color w:val="212121"/>
                <w:sz w:val="19"/>
              </w:rPr>
              <w:t>Smokers, tobacco/areca users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any daily use</w:t>
            </w:r>
          </w:p>
        </w:tc>
        <w:tc>
          <w:tcPr>
            <w:tcW w:type="dxa" w:w="1468"/>
            <w:vAlign w:val="top"/>
          </w:tcPr>
          <w:p>
            <w:pPr>
              <w:spacing w:after="60" w:line="259" w:lineRule="auto"/>
            </w:pPr>
            <w:r>
              <w:rPr>
                <w:rFonts w:ascii="Calibri" w:hAnsi="Calibri"/>
                <w:b w:val="0"/>
                <w:i w:val="0"/>
                <w:color w:val="212121"/>
                <w:sz w:val="19"/>
              </w:rPr>
              <w:t>Any tobacco use reduces salivary flow and mucosal health</w:t>
            </w:r>
          </w:p>
          <w:p>
            <w:pPr>
              <w:spacing w:after="40" w:line="252" w:lineRule="auto"/>
            </w:pPr>
            <w:hyperlink r:id="rId13">
              <w:r>
                <w:rPr>
                  <w:rFonts w:ascii="Calibri" w:hAnsi="Calibri" w:cs="Calibri"/>
                  <w:sz w:val="18"/>
                  <w:color w:val="1155CC"/>
                  <w:u w:val="single"/>
                </w:rPr>
                <w:t xml:space="preserve">https://medlineplus.gov/drymouth.html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&amp; alcohol mouthwash use</w:t>
            </w:r>
          </w:p>
        </w:tc>
        <w:tc>
          <w:tcPr>
            <w:tcW w:type="dxa" w:w="1655"/>
            <w:vAlign w:val="top"/>
          </w:tcPr>
          <w:p>
            <w:pPr>
              <w:spacing w:after="40" w:before="0" w:line="259" w:lineRule="auto"/>
            </w:pPr>
            <w:r>
              <w:rPr>
                <w:rFonts w:ascii="Calibri" w:hAnsi="Calibri"/>
                <w:b w:val="0"/>
                <w:i w:val="0"/>
                <w:color w:val="212121"/>
                <w:sz w:val="19"/>
              </w:rPr>
              <w:t>Heavy drinkers, mouthwash users</w:t>
            </w:r>
          </w:p>
        </w:tc>
        <w:tc>
          <w:tcPr>
            <w:tcW w:type="dxa" w:w="1512"/>
            <w:vAlign w:val="top"/>
          </w:tcPr>
          <w:p>
            <w:pPr>
              <w:spacing w:after="40" w:before="0" w:line="259" w:lineRule="auto"/>
            </w:pPr>
            <w:r>
              <w:rPr>
                <w:rFonts w:ascii="Calibri" w:hAnsi="Calibri"/>
                <w:b w:val="0"/>
                <w:i w:val="0"/>
                <w:color w:val="212121"/>
                <w:sz w:val="19"/>
              </w:rPr>
              <w:t>minimal; alcohol-free rinses</w:t>
            </w:r>
          </w:p>
        </w:tc>
        <w:tc>
          <w:tcPr>
            <w:tcW w:type="dxa" w:w="1512"/>
            <w:vAlign w:val="top"/>
          </w:tcPr>
          <w:p>
            <w:pPr>
              <w:spacing w:after="40" w:before="0" w:line="259" w:lineRule="auto"/>
            </w:pPr>
            <w:r>
              <w:rPr>
                <w:rFonts w:ascii="Calibri" w:hAnsi="Calibri"/>
                <w:b w:val="0"/>
                <w:i w:val="0"/>
                <w:color w:val="212121"/>
                <w:sz w:val="19"/>
              </w:rPr>
              <w:t>heavy intake or daily alcohol mouthwash</w:t>
            </w:r>
          </w:p>
        </w:tc>
        <w:tc>
          <w:tcPr>
            <w:tcW w:type="dxa" w:w="1468"/>
            <w:vAlign w:val="top"/>
          </w:tcPr>
          <w:p>
            <w:pPr>
              <w:spacing w:after="60" w:line="259" w:lineRule="auto"/>
            </w:pPr>
            <w:r>
              <w:rPr>
                <w:rFonts w:ascii="Calibri" w:hAnsi="Calibri"/>
                <w:b w:val="0"/>
                <w:i w:val="0"/>
                <w:color w:val="212121"/>
                <w:sz w:val="19"/>
              </w:rPr>
              <w:t>Alcohol desiccates and irritates oral mucosa</w:t>
            </w:r>
          </w:p>
          <w:p>
            <w:pPr>
              <w:spacing w:after="40" w:line="252" w:lineRule="auto"/>
            </w:pPr>
            <w:hyperlink r:id="rId12">
              <w:r>
                <w:rPr>
                  <w:rFonts w:ascii="Calibri" w:hAnsi="Calibri" w:cs="Calibri"/>
                  <w:sz w:val="18"/>
                  <w:color w:val="1155CC"/>
                  <w:u w:val="single"/>
                </w:rPr>
                <w:t xml:space="preserve">https://www.mayoclinic.org/diseases-conditions/dry-mouth/symptoms-causes/syc-20356048</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w:t>
            </w:r>
          </w:p>
        </w:tc>
        <w:tc>
          <w:tcPr>
            <w:tcW w:type="dxa" w:w="1655"/>
            <w:vAlign w:val="top"/>
          </w:tcPr>
          <w:p>
            <w:pPr>
              <w:spacing w:after="40" w:before="0" w:line="259" w:lineRule="auto"/>
            </w:pPr>
            <w:r>
              <w:rPr>
                <w:rFonts w:ascii="Calibri" w:hAnsi="Calibri"/>
                <w:b w:val="0"/>
                <w:i w:val="0"/>
                <w:color w:val="212121"/>
                <w:sz w:val="19"/>
              </w:rPr>
              <w:t>High tea/coffee/cola consumers</w:t>
            </w:r>
          </w:p>
        </w:tc>
        <w:tc>
          <w:tcPr>
            <w:tcW w:type="dxa" w:w="1512"/>
            <w:vAlign w:val="top"/>
          </w:tcPr>
          <w:p>
            <w:pPr>
              <w:spacing w:after="40" w:before="0" w:line="259" w:lineRule="auto"/>
            </w:pPr>
            <w:r>
              <w:rPr>
                <w:rFonts w:ascii="Calibri" w:hAnsi="Calibri"/>
                <w:b w:val="0"/>
                <w:i w:val="0"/>
                <w:color w:val="212121"/>
                <w:sz w:val="19"/>
              </w:rPr>
              <w:t>≤ 400 mg/day</w:t>
            </w:r>
          </w:p>
        </w:tc>
        <w:tc>
          <w:tcPr>
            <w:tcW w:type="dxa" w:w="1512"/>
            <w:vAlign w:val="top"/>
          </w:tcPr>
          <w:p>
            <w:pPr>
              <w:spacing w:after="40" w:before="0" w:line="259" w:lineRule="auto"/>
            </w:pPr>
            <w:r>
              <w:rPr>
                <w:rFonts w:ascii="Calibri" w:hAnsi="Calibri"/>
                <w:b w:val="0"/>
                <w:i w:val="0"/>
                <w:color w:val="212121"/>
                <w:sz w:val="19"/>
              </w:rPr>
              <w:t>&gt; 400 mg/day</w:t>
            </w:r>
          </w:p>
        </w:tc>
        <w:tc>
          <w:tcPr>
            <w:tcW w:type="dxa" w:w="1468"/>
            <w:vAlign w:val="top"/>
          </w:tcPr>
          <w:p>
            <w:pPr>
              <w:spacing w:after="40" w:before="0" w:line="259" w:lineRule="auto"/>
            </w:pPr>
            <w:r>
              <w:rPr>
                <w:rFonts w:ascii="Calibri" w:hAnsi="Calibri"/>
                <w:b w:val="0"/>
                <w:i w:val="0"/>
                <w:color w:val="212121"/>
                <w:sz w:val="19"/>
              </w:rPr>
              <w:t>Excess caffeine adds mild diuresis and dryness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HbA1c (diabetes control)</w:t>
            </w:r>
          </w:p>
        </w:tc>
        <w:tc>
          <w:tcPr>
            <w:tcW w:type="dxa" w:w="1655"/>
            <w:vAlign w:val="top"/>
          </w:tcPr>
          <w:p>
            <w:pPr>
              <w:spacing w:after="40" w:before="0" w:line="259" w:lineRule="auto"/>
            </w:pPr>
            <w:r>
              <w:rPr>
                <w:rFonts w:ascii="Calibri" w:hAnsi="Calibri"/>
                <w:b w:val="0"/>
                <w:i w:val="0"/>
                <w:color w:val="212121"/>
                <w:sz w:val="19"/>
              </w:rPr>
              <w:t>Diabetic patients with dry mouth</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 6.5% / poor control</w:t>
            </w:r>
          </w:p>
        </w:tc>
        <w:tc>
          <w:tcPr>
            <w:tcW w:type="dxa" w:w="1468"/>
            <w:vAlign w:val="top"/>
          </w:tcPr>
          <w:p>
            <w:pPr>
              <w:spacing w:after="60" w:line="259" w:lineRule="auto"/>
            </w:pPr>
            <w:r>
              <w:rPr>
                <w:rFonts w:ascii="Calibri" w:hAnsi="Calibri"/>
                <w:b w:val="0"/>
                <w:i w:val="0"/>
                <w:color w:val="212121"/>
                <w:sz w:val="19"/>
              </w:rPr>
              <w:t>Poor glycaemic control worsens dehydration-related xerostomia</w:t>
            </w:r>
          </w:p>
          <w:p>
            <w:pPr>
              <w:spacing w:after="40" w:line="252" w:lineRule="auto"/>
            </w:pPr>
            <w:hyperlink r:id="rId14">
              <w:r>
                <w:rPr>
                  <w:rFonts w:ascii="Calibri" w:hAnsi="Calibri" w:cs="Calibri"/>
                  <w:sz w:val="18"/>
                  <w:color w:val="1155CC"/>
                  <w:u w:val="single"/>
                </w:rPr>
                <w:t xml:space="preserve">https://www.nidcr.nih.gov/health-info/dry-mouth</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Nocturnal mouth breathing / CPAP humidification</w:t>
            </w:r>
          </w:p>
        </w:tc>
        <w:tc>
          <w:tcPr>
            <w:tcW w:type="dxa" w:w="1655"/>
            <w:vAlign w:val="top"/>
          </w:tcPr>
          <w:p>
            <w:pPr>
              <w:spacing w:after="40" w:before="0" w:line="259" w:lineRule="auto"/>
            </w:pPr>
            <w:r>
              <w:rPr>
                <w:rFonts w:ascii="Calibri" w:hAnsi="Calibri"/>
                <w:b w:val="0"/>
                <w:i w:val="0"/>
                <w:color w:val="212121"/>
                <w:sz w:val="19"/>
              </w:rPr>
              <w:t>Snorers, mouth breathers, CPAP users</w:t>
            </w:r>
          </w:p>
        </w:tc>
        <w:tc>
          <w:tcPr>
            <w:tcW w:type="dxa" w:w="1512"/>
            <w:vAlign w:val="top"/>
          </w:tcPr>
          <w:p>
            <w:pPr>
              <w:spacing w:after="40" w:before="0" w:line="259" w:lineRule="auto"/>
            </w:pPr>
            <w:r>
              <w:rPr>
                <w:rFonts w:ascii="Calibri" w:hAnsi="Calibri"/>
                <w:b w:val="0"/>
                <w:i w:val="0"/>
                <w:color w:val="212121"/>
                <w:sz w:val="19"/>
              </w:rPr>
              <w:t>nasal breathing; humidified CPAP</w:t>
            </w:r>
          </w:p>
        </w:tc>
        <w:tc>
          <w:tcPr>
            <w:tcW w:type="dxa" w:w="1512"/>
            <w:vAlign w:val="top"/>
          </w:tcPr>
          <w:p>
            <w:pPr>
              <w:spacing w:after="40" w:before="0" w:line="259" w:lineRule="auto"/>
            </w:pPr>
            <w:r>
              <w:rPr>
                <w:rFonts w:ascii="Calibri" w:hAnsi="Calibri"/>
                <w:b w:val="0"/>
                <w:i w:val="0"/>
                <w:color w:val="212121"/>
                <w:sz w:val="19"/>
              </w:rPr>
              <w:t>habitual mouth breathing / dry CPAP airflow</w:t>
            </w:r>
          </w:p>
        </w:tc>
        <w:tc>
          <w:tcPr>
            <w:tcW w:type="dxa" w:w="1468"/>
            <w:vAlign w:val="top"/>
          </w:tcPr>
          <w:p>
            <w:pPr>
              <w:spacing w:after="60" w:line="259" w:lineRule="auto"/>
            </w:pPr>
            <w:r>
              <w:rPr>
                <w:rFonts w:ascii="Calibri" w:hAnsi="Calibri"/>
                <w:b w:val="0"/>
                <w:i w:val="0"/>
                <w:color w:val="212121"/>
                <w:sz w:val="19"/>
              </w:rPr>
              <w:t>Overnight airflow drying causes morning xerostomia</w:t>
            </w:r>
          </w:p>
          <w:p>
            <w:pPr>
              <w:spacing w:after="40" w:line="252" w:lineRule="auto"/>
            </w:pPr>
            <w:hyperlink r:id="rId12">
              <w:r>
                <w:rPr>
                  <w:rFonts w:ascii="Calibri" w:hAnsi="Calibri" w:cs="Calibri"/>
                  <w:sz w:val="18"/>
                  <w:color w:val="1155CC"/>
                  <w:u w:val="single"/>
                </w:rPr>
                <w:t xml:space="preserve">https://www.mayoclinic.org/diseases-conditions/dry-mouth/symptoms-causes/syc-20356048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Sialometry</w:t>
            </w:r>
          </w:p>
        </w:tc>
        <w:tc>
          <w:tcPr>
            <w:tcW w:type="dxa" w:w="1036"/>
            <w:vAlign w:val="top"/>
          </w:tcPr>
          <w:p>
            <w:pPr>
              <w:spacing w:after="40" w:before="0" w:line="259" w:lineRule="auto"/>
            </w:pPr>
            <w:r>
              <w:rPr>
                <w:rFonts w:ascii="Calibri" w:hAnsi="Calibri"/>
                <w:b w:val="0"/>
                <w:i w:val="0"/>
                <w:color w:val="212121"/>
                <w:sz w:val="16"/>
              </w:rPr>
              <w:t>Unstimulated whole salivary flow rate</w:t>
            </w:r>
          </w:p>
        </w:tc>
        <w:tc>
          <w:tcPr>
            <w:tcW w:type="dxa" w:w="892"/>
            <w:vAlign w:val="top"/>
          </w:tcPr>
          <w:p>
            <w:pPr>
              <w:spacing w:after="40" w:before="0" w:line="259" w:lineRule="auto"/>
            </w:pPr>
            <w:r>
              <w:rPr>
                <w:rFonts w:ascii="Calibri" w:hAnsi="Calibri"/>
                <w:b w:val="0"/>
                <w:i w:val="0"/>
                <w:color w:val="212121"/>
                <w:sz w:val="16"/>
              </w:rPr>
              <w:t>Salivary flow test</w:t>
            </w:r>
          </w:p>
        </w:tc>
        <w:tc>
          <w:tcPr>
            <w:tcW w:type="dxa" w:w="950"/>
            <w:vAlign w:val="top"/>
          </w:tcPr>
          <w:p>
            <w:pPr>
              <w:spacing w:after="40" w:before="0" w:line="259" w:lineRule="auto"/>
            </w:pPr>
            <w:r>
              <w:rPr>
                <w:rFonts w:ascii="Calibri" w:hAnsi="Calibri"/>
                <w:b w:val="0"/>
                <w:i w:val="0"/>
                <w:color w:val="212121"/>
                <w:sz w:val="16"/>
              </w:rPr>
              <w:t>≈ 0.3–0.4 mL/min</w:t>
            </w:r>
          </w:p>
        </w:tc>
        <w:tc>
          <w:tcPr>
            <w:tcW w:type="dxa" w:w="950"/>
            <w:vAlign w:val="top"/>
          </w:tcPr>
          <w:p>
            <w:pPr>
              <w:spacing w:after="40" w:before="0" w:line="259" w:lineRule="auto"/>
            </w:pPr>
            <w:r>
              <w:rPr>
                <w:rFonts w:ascii="Calibri" w:hAnsi="Calibri"/>
                <w:b w:val="0"/>
                <w:i w:val="0"/>
                <w:color w:val="212121"/>
                <w:sz w:val="16"/>
              </w:rPr>
              <w:t>≤ 0.1 mL/min</w:t>
            </w:r>
          </w:p>
        </w:tc>
        <w:tc>
          <w:tcPr>
            <w:tcW w:type="dxa" w:w="1036"/>
            <w:vAlign w:val="top"/>
          </w:tcPr>
          <w:p>
            <w:pPr>
              <w:spacing w:after="40" w:before="0" w:line="259" w:lineRule="auto"/>
            </w:pPr>
            <w:r>
              <w:rPr>
                <w:rFonts w:ascii="Calibri" w:hAnsi="Calibri"/>
                <w:b w:val="0"/>
                <w:i w:val="0"/>
                <w:color w:val="212121"/>
                <w:sz w:val="16"/>
              </w:rPr>
              <w:t>Confirms objective hyposalivation (true xerostomia)</w:t>
            </w:r>
          </w:p>
        </w:tc>
        <w:tc>
          <w:tcPr>
            <w:tcW w:type="dxa" w:w="1036"/>
            <w:vAlign w:val="top"/>
          </w:tcPr>
          <w:p>
            <w:pPr>
              <w:spacing w:after="40" w:before="0" w:line="259" w:lineRule="auto"/>
            </w:pPr>
            <w:r>
              <w:rPr>
                <w:rFonts w:ascii="Calibri" w:hAnsi="Calibri"/>
                <w:b w:val="0"/>
                <w:i w:val="0"/>
                <w:color w:val="212121"/>
                <w:sz w:val="16"/>
              </w:rPr>
              <w:t>Adults/elderly with dry mouth, Sjogren's, post-radiotherapy</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Collect at rest, standardized time of day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Sialometry</w:t>
            </w:r>
          </w:p>
        </w:tc>
        <w:tc>
          <w:tcPr>
            <w:tcW w:type="dxa" w:w="1036"/>
            <w:vAlign w:val="top"/>
          </w:tcPr>
          <w:p>
            <w:pPr>
              <w:spacing w:after="40" w:before="0" w:line="259" w:lineRule="auto"/>
            </w:pPr>
            <w:r>
              <w:rPr>
                <w:rFonts w:ascii="Calibri" w:hAnsi="Calibri"/>
                <w:b w:val="0"/>
                <w:i w:val="0"/>
                <w:color w:val="212121"/>
                <w:sz w:val="16"/>
              </w:rPr>
              <w:t>Stimulated whole salivary flow rate</w:t>
            </w:r>
          </w:p>
        </w:tc>
        <w:tc>
          <w:tcPr>
            <w:tcW w:type="dxa" w:w="892"/>
            <w:vAlign w:val="top"/>
          </w:tcPr>
          <w:p>
            <w:pPr>
              <w:spacing w:after="40" w:before="0" w:line="259" w:lineRule="auto"/>
            </w:pPr>
            <w:r>
              <w:rPr>
                <w:rFonts w:ascii="Calibri" w:hAnsi="Calibri"/>
                <w:b w:val="0"/>
                <w:i w:val="0"/>
                <w:color w:val="212121"/>
                <w:sz w:val="16"/>
              </w:rPr>
              <w:t>Salivary flow test</w:t>
            </w:r>
          </w:p>
        </w:tc>
        <w:tc>
          <w:tcPr>
            <w:tcW w:type="dxa" w:w="950"/>
            <w:vAlign w:val="top"/>
          </w:tcPr>
          <w:p>
            <w:pPr>
              <w:spacing w:after="40" w:before="0" w:line="259" w:lineRule="auto"/>
            </w:pPr>
            <w:r>
              <w:rPr>
                <w:rFonts w:ascii="Calibri" w:hAnsi="Calibri"/>
                <w:b w:val="0"/>
                <w:i w:val="0"/>
                <w:color w:val="212121"/>
                <w:sz w:val="16"/>
              </w:rPr>
              <w:t>≥ 1.0 mL/min</w:t>
            </w:r>
          </w:p>
        </w:tc>
        <w:tc>
          <w:tcPr>
            <w:tcW w:type="dxa" w:w="950"/>
            <w:vAlign w:val="top"/>
          </w:tcPr>
          <w:p>
            <w:pPr>
              <w:spacing w:after="40" w:before="0" w:line="259" w:lineRule="auto"/>
            </w:pPr>
            <w:r>
              <w:rPr>
                <w:rFonts w:ascii="Calibri" w:hAnsi="Calibri"/>
                <w:b w:val="0"/>
                <w:i w:val="0"/>
                <w:color w:val="212121"/>
                <w:sz w:val="16"/>
              </w:rPr>
              <w:t>≤ 0.5–0.7 mL/min</w:t>
            </w:r>
          </w:p>
        </w:tc>
        <w:tc>
          <w:tcPr>
            <w:tcW w:type="dxa" w:w="1036"/>
            <w:vAlign w:val="top"/>
          </w:tcPr>
          <w:p>
            <w:pPr>
              <w:spacing w:after="40" w:before="0" w:line="259" w:lineRule="auto"/>
            </w:pPr>
            <w:r>
              <w:rPr>
                <w:rFonts w:ascii="Calibri" w:hAnsi="Calibri"/>
                <w:b w:val="0"/>
                <w:i w:val="0"/>
                <w:color w:val="212121"/>
                <w:sz w:val="16"/>
              </w:rPr>
              <w:t>Assesses residual reserve; guides sialogogue response</w:t>
            </w:r>
          </w:p>
        </w:tc>
        <w:tc>
          <w:tcPr>
            <w:tcW w:type="dxa" w:w="1036"/>
            <w:vAlign w:val="top"/>
          </w:tcPr>
          <w:p>
            <w:pPr>
              <w:spacing w:after="40" w:before="0" w:line="259" w:lineRule="auto"/>
            </w:pPr>
            <w:r>
              <w:rPr>
                <w:rFonts w:ascii="Calibri" w:hAnsi="Calibri"/>
                <w:b w:val="0"/>
                <w:i w:val="0"/>
                <w:color w:val="212121"/>
                <w:sz w:val="16"/>
              </w:rPr>
              <w:t>Suspected Sjogren's, radiotherapy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 citric acid or paraffin/gum stimulation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Blood glucose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Screens for diabetes as a systemic cause of dry mouth</w:t>
            </w:r>
          </w:p>
        </w:tc>
        <w:tc>
          <w:tcPr>
            <w:tcW w:type="dxa" w:w="1036"/>
            <w:vAlign w:val="top"/>
          </w:tcPr>
          <w:p>
            <w:pPr>
              <w:spacing w:after="40" w:before="0" w:line="259" w:lineRule="auto"/>
            </w:pPr>
            <w:r>
              <w:rPr>
                <w:rFonts w:ascii="Calibri" w:hAnsi="Calibri"/>
                <w:b w:val="0"/>
                <w:i w:val="0"/>
                <w:color w:val="212121"/>
                <w:sz w:val="16"/>
              </w:rPr>
              <w:t>Diabetic and at-risk adults, obese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relevant in India's large diabetic population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Anti-Ro/SSA, Anti-La/SSB, ANA, RF</w:t>
            </w:r>
          </w:p>
        </w:tc>
        <w:tc>
          <w:tcPr>
            <w:tcW w:type="dxa" w:w="892"/>
            <w:vAlign w:val="top"/>
          </w:tcPr>
          <w:p>
            <w:pPr>
              <w:spacing w:after="40" w:before="0" w:line="259" w:lineRule="auto"/>
            </w:pPr>
            <w:r>
              <w:rPr>
                <w:rFonts w:ascii="Calibri" w:hAnsi="Calibri"/>
                <w:b w:val="0"/>
                <w:i w:val="0"/>
                <w:color w:val="212121"/>
                <w:sz w:val="16"/>
              </w:rPr>
              <w:t>Autoimmune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(esp. anti-SSA/SSB)</w:t>
            </w:r>
          </w:p>
        </w:tc>
        <w:tc>
          <w:tcPr>
            <w:tcW w:type="dxa" w:w="1036"/>
            <w:vAlign w:val="top"/>
          </w:tcPr>
          <w:p>
            <w:pPr>
              <w:spacing w:after="40" w:before="0" w:line="259" w:lineRule="auto"/>
            </w:pPr>
            <w:r>
              <w:rPr>
                <w:rFonts w:ascii="Calibri" w:hAnsi="Calibri"/>
                <w:b w:val="0"/>
                <w:i w:val="0"/>
                <w:color w:val="212121"/>
                <w:sz w:val="16"/>
              </w:rPr>
              <w:t>Supports Sjogren's syndrome / autoimmune sicca</w:t>
            </w:r>
          </w:p>
        </w:tc>
        <w:tc>
          <w:tcPr>
            <w:tcW w:type="dxa" w:w="1036"/>
            <w:vAlign w:val="top"/>
          </w:tcPr>
          <w:p>
            <w:pPr>
              <w:spacing w:after="40" w:before="0" w:line="259" w:lineRule="auto"/>
            </w:pPr>
            <w:r>
              <w:rPr>
                <w:rFonts w:ascii="Calibri" w:hAnsi="Calibri"/>
                <w:b w:val="0"/>
                <w:i w:val="0"/>
                <w:color w:val="212121"/>
                <w:sz w:val="16"/>
              </w:rPr>
              <w:t>Women with sicca symptoms, autoimmune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Combine with ESR/CRP and salivary flow</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marker of autoimmune/inflammatory activity</w:t>
            </w:r>
          </w:p>
        </w:tc>
        <w:tc>
          <w:tcPr>
            <w:tcW w:type="dxa" w:w="1036"/>
            <w:vAlign w:val="top"/>
          </w:tcPr>
          <w:p>
            <w:pPr>
              <w:spacing w:after="40" w:before="0" w:line="259" w:lineRule="auto"/>
            </w:pPr>
            <w:r>
              <w:rPr>
                <w:rFonts w:ascii="Calibri" w:hAnsi="Calibri"/>
                <w:b w:val="0"/>
                <w:i w:val="0"/>
                <w:color w:val="212121"/>
                <w:sz w:val="16"/>
              </w:rPr>
              <w:t>Suspected Sjogren's or connective tissue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serology and clinical picture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Salivary gland ultrasound / sialography / scintigraphy</w:t>
            </w:r>
          </w:p>
        </w:tc>
        <w:tc>
          <w:tcPr>
            <w:tcW w:type="dxa" w:w="892"/>
            <w:vAlign w:val="top"/>
          </w:tcPr>
          <w:p>
            <w:pPr>
              <w:spacing w:after="40" w:before="0" w:line="259" w:lineRule="auto"/>
            </w:pPr>
            <w:r>
              <w:rPr>
                <w:rFonts w:ascii="Calibri" w:hAnsi="Calibri"/>
                <w:b w:val="0"/>
                <w:i w:val="0"/>
                <w:color w:val="212121"/>
                <w:sz w:val="16"/>
              </w:rPr>
              <w:t>Salivary gland imaging</w:t>
            </w:r>
          </w:p>
        </w:tc>
        <w:tc>
          <w:tcPr>
            <w:tcW w:type="dxa" w:w="950"/>
            <w:vAlign w:val="top"/>
          </w:tcPr>
          <w:p>
            <w:pPr>
              <w:spacing w:after="40" w:before="0" w:line="259" w:lineRule="auto"/>
            </w:pPr>
            <w:r>
              <w:rPr>
                <w:rFonts w:ascii="Calibri" w:hAnsi="Calibri"/>
                <w:b w:val="0"/>
                <w:i w:val="0"/>
                <w:color w:val="212121"/>
                <w:sz w:val="16"/>
              </w:rPr>
              <w:t>Homogeneous glands, normal uptake</w:t>
            </w:r>
          </w:p>
        </w:tc>
        <w:tc>
          <w:tcPr>
            <w:tcW w:type="dxa" w:w="950"/>
            <w:vAlign w:val="top"/>
          </w:tcPr>
          <w:p>
            <w:pPr>
              <w:spacing w:after="40" w:before="0" w:line="259" w:lineRule="auto"/>
            </w:pPr>
            <w:r>
              <w:rPr>
                <w:rFonts w:ascii="Calibri" w:hAnsi="Calibri"/>
                <w:b w:val="0"/>
                <w:i w:val="0"/>
                <w:color w:val="212121"/>
                <w:sz w:val="16"/>
              </w:rPr>
              <w:t>Heterogeneous 'salt-and-pepper', reduced uptake/flow</w:t>
            </w:r>
          </w:p>
        </w:tc>
        <w:tc>
          <w:tcPr>
            <w:tcW w:type="dxa" w:w="1036"/>
            <w:vAlign w:val="top"/>
          </w:tcPr>
          <w:p>
            <w:pPr>
              <w:spacing w:after="40" w:before="0" w:line="259" w:lineRule="auto"/>
            </w:pPr>
            <w:r>
              <w:rPr>
                <w:rFonts w:ascii="Calibri" w:hAnsi="Calibri"/>
                <w:b w:val="0"/>
                <w:i w:val="0"/>
                <w:color w:val="212121"/>
                <w:sz w:val="16"/>
              </w:rPr>
              <w:t>Detects glandular structural damage and hypofunction</w:t>
            </w:r>
          </w:p>
        </w:tc>
        <w:tc>
          <w:tcPr>
            <w:tcW w:type="dxa" w:w="1036"/>
            <w:vAlign w:val="top"/>
          </w:tcPr>
          <w:p>
            <w:pPr>
              <w:spacing w:after="40" w:before="0" w:line="259" w:lineRule="auto"/>
            </w:pPr>
            <w:r>
              <w:rPr>
                <w:rFonts w:ascii="Calibri" w:hAnsi="Calibri"/>
                <w:b w:val="0"/>
                <w:i w:val="0"/>
                <w:color w:val="212121"/>
                <w:sz w:val="16"/>
              </w:rPr>
              <w:t>Sjogren's, obstructive sialadenitis, post-radiotherapy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Ultrasound is first-line and non-invasive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Labial minor salivary gland biopsy (focus score)</w:t>
            </w:r>
          </w:p>
        </w:tc>
        <w:tc>
          <w:tcPr>
            <w:tcW w:type="dxa" w:w="892"/>
            <w:vAlign w:val="top"/>
          </w:tcPr>
          <w:p>
            <w:pPr>
              <w:spacing w:after="40" w:before="0" w:line="259" w:lineRule="auto"/>
            </w:pPr>
            <w:r>
              <w:rPr>
                <w:rFonts w:ascii="Calibri" w:hAnsi="Calibri"/>
                <w:b w:val="0"/>
                <w:i w:val="0"/>
                <w:color w:val="212121"/>
                <w:sz w:val="16"/>
              </w:rPr>
              <w:t>Minor gland biopsy</w:t>
            </w:r>
          </w:p>
        </w:tc>
        <w:tc>
          <w:tcPr>
            <w:tcW w:type="dxa" w:w="950"/>
            <w:vAlign w:val="top"/>
          </w:tcPr>
          <w:p>
            <w:pPr>
              <w:spacing w:after="40" w:before="0" w:line="259" w:lineRule="auto"/>
            </w:pPr>
            <w:r>
              <w:rPr>
                <w:rFonts w:ascii="Calibri" w:hAnsi="Calibri"/>
                <w:b w:val="0"/>
                <w:i w:val="0"/>
                <w:color w:val="212121"/>
                <w:sz w:val="16"/>
              </w:rPr>
              <w:t>Focus score &lt; 1</w:t>
            </w:r>
          </w:p>
        </w:tc>
        <w:tc>
          <w:tcPr>
            <w:tcW w:type="dxa" w:w="950"/>
            <w:vAlign w:val="top"/>
          </w:tcPr>
          <w:p>
            <w:pPr>
              <w:spacing w:after="40" w:before="0" w:line="259" w:lineRule="auto"/>
            </w:pPr>
            <w:r>
              <w:rPr>
                <w:rFonts w:ascii="Calibri" w:hAnsi="Calibri"/>
                <w:b w:val="0"/>
                <w:i w:val="0"/>
                <w:color w:val="212121"/>
                <w:sz w:val="16"/>
              </w:rPr>
              <w:t>Focus score ≥ 1 focus/4 mm²</w:t>
            </w:r>
          </w:p>
        </w:tc>
        <w:tc>
          <w:tcPr>
            <w:tcW w:type="dxa" w:w="1036"/>
            <w:vAlign w:val="top"/>
          </w:tcPr>
          <w:p>
            <w:pPr>
              <w:spacing w:after="40" w:before="0" w:line="259" w:lineRule="auto"/>
            </w:pPr>
            <w:r>
              <w:rPr>
                <w:rFonts w:ascii="Calibri" w:hAnsi="Calibri"/>
                <w:b w:val="0"/>
                <w:i w:val="0"/>
                <w:color w:val="212121"/>
                <w:sz w:val="16"/>
              </w:rPr>
              <w:t>Confirms focal lymphocytic sialadenitis of Sjogren's</w:t>
            </w:r>
          </w:p>
        </w:tc>
        <w:tc>
          <w:tcPr>
            <w:tcW w:type="dxa" w:w="1036"/>
            <w:vAlign w:val="top"/>
          </w:tcPr>
          <w:p>
            <w:pPr>
              <w:spacing w:after="40" w:before="0" w:line="259" w:lineRule="auto"/>
            </w:pPr>
            <w:r>
              <w:rPr>
                <w:rFonts w:ascii="Calibri" w:hAnsi="Calibri"/>
                <w:b w:val="0"/>
                <w:i w:val="0"/>
                <w:color w:val="212121"/>
                <w:sz w:val="16"/>
              </w:rPr>
              <w:t>Seronegative but clinically suspected Sjogren's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Reserved for diagnostic uncertainty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screen (Fox questionnaire)</w:t>
            </w:r>
          </w:p>
        </w:tc>
        <w:tc>
          <w:tcPr>
            <w:tcW w:type="dxa" w:w="979"/>
            <w:vAlign w:val="top"/>
          </w:tcPr>
          <w:p>
            <w:pPr>
              <w:spacing w:after="40" w:before="0" w:line="259" w:lineRule="auto"/>
            </w:pPr>
            <w:r>
              <w:rPr>
                <w:rFonts w:ascii="Calibri" w:hAnsi="Calibri"/>
                <w:b w:val="0"/>
                <w:i w:val="0"/>
                <w:color w:val="212121"/>
                <w:sz w:val="16"/>
              </w:rPr>
              <w:t>Dryness at meals, sipping to swallow, difficulty with dry food</w:t>
            </w:r>
          </w:p>
        </w:tc>
        <w:tc>
          <w:tcPr>
            <w:tcW w:type="dxa" w:w="950"/>
            <w:vAlign w:val="top"/>
          </w:tcPr>
          <w:p>
            <w:pPr>
              <w:spacing w:after="40" w:before="0" w:line="259" w:lineRule="auto"/>
            </w:pPr>
            <w:r>
              <w:rPr>
                <w:rFonts w:ascii="Calibri" w:hAnsi="Calibri"/>
                <w:b w:val="0"/>
                <w:i w:val="0"/>
                <w:color w:val="212121"/>
                <w:sz w:val="16"/>
              </w:rPr>
              <w:t>No dryness symptoms</w:t>
            </w:r>
          </w:p>
        </w:tc>
        <w:tc>
          <w:tcPr>
            <w:tcW w:type="dxa" w:w="950"/>
            <w:vAlign w:val="top"/>
          </w:tcPr>
          <w:p>
            <w:pPr>
              <w:spacing w:after="40" w:before="0" w:line="259" w:lineRule="auto"/>
            </w:pPr>
            <w:r>
              <w:rPr>
                <w:rFonts w:ascii="Calibri" w:hAnsi="Calibri"/>
                <w:b w:val="0"/>
                <w:i w:val="0"/>
                <w:color w:val="212121"/>
                <w:sz w:val="16"/>
              </w:rPr>
              <w:t>Positive to one or more items</w:t>
            </w:r>
          </w:p>
        </w:tc>
        <w:tc>
          <w:tcPr>
            <w:tcW w:type="dxa" w:w="1036"/>
            <w:vAlign w:val="top"/>
          </w:tcPr>
          <w:p>
            <w:pPr>
              <w:spacing w:after="40" w:before="0" w:line="259" w:lineRule="auto"/>
            </w:pPr>
            <w:r>
              <w:rPr>
                <w:rFonts w:ascii="Calibri" w:hAnsi="Calibri"/>
                <w:b w:val="0"/>
                <w:i w:val="0"/>
                <w:color w:val="212121"/>
                <w:sz w:val="16"/>
              </w:rPr>
              <w:t>Identifies clinically significant xerostomia</w:t>
            </w:r>
          </w:p>
        </w:tc>
        <w:tc>
          <w:tcPr>
            <w:tcW w:type="dxa" w:w="1036"/>
            <w:vAlign w:val="top"/>
          </w:tcPr>
          <w:p>
            <w:pPr>
              <w:spacing w:after="40" w:before="0" w:line="259" w:lineRule="auto"/>
            </w:pPr>
            <w:r>
              <w:rPr>
                <w:rFonts w:ascii="Calibri" w:hAnsi="Calibri"/>
                <w:b w:val="0"/>
                <w:i w:val="0"/>
                <w:color w:val="212121"/>
                <w:sz w:val="16"/>
              </w:rPr>
              <w:t>Adults/elderly, diabetics, patients on multiple drugs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Subjective dryness may precede measurable hyposalivation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anticholinergic review</w:t>
            </w:r>
          </w:p>
        </w:tc>
        <w:tc>
          <w:tcPr>
            <w:tcW w:type="dxa" w:w="979"/>
            <w:vAlign w:val="top"/>
          </w:tcPr>
          <w:p>
            <w:pPr>
              <w:spacing w:after="40" w:before="0" w:line="259" w:lineRule="auto"/>
            </w:pPr>
            <w:r>
              <w:rPr>
                <w:rFonts w:ascii="Calibri" w:hAnsi="Calibri"/>
                <w:b w:val="0"/>
                <w:i w:val="0"/>
                <w:color w:val="212121"/>
                <w:sz w:val="16"/>
              </w:rPr>
              <w:t>Number and type of xerogenic drugs / ACB score</w:t>
            </w:r>
          </w:p>
        </w:tc>
        <w:tc>
          <w:tcPr>
            <w:tcW w:type="dxa" w:w="950"/>
            <w:vAlign w:val="top"/>
          </w:tcPr>
          <w:p>
            <w:pPr>
              <w:spacing w:after="40" w:before="0" w:line="259" w:lineRule="auto"/>
            </w:pPr>
            <w:r>
              <w:rPr>
                <w:rFonts w:ascii="Calibri" w:hAnsi="Calibri"/>
                <w:b w:val="0"/>
                <w:i w:val="0"/>
                <w:color w:val="212121"/>
                <w:sz w:val="16"/>
              </w:rPr>
              <w:t>No xerogenic drugs</w:t>
            </w:r>
          </w:p>
        </w:tc>
        <w:tc>
          <w:tcPr>
            <w:tcW w:type="dxa" w:w="950"/>
            <w:vAlign w:val="top"/>
          </w:tcPr>
          <w:p>
            <w:pPr>
              <w:spacing w:after="40" w:before="0" w:line="259" w:lineRule="auto"/>
            </w:pPr>
            <w:r>
              <w:rPr>
                <w:rFonts w:ascii="Calibri" w:hAnsi="Calibri"/>
                <w:b w:val="0"/>
                <w:i w:val="0"/>
                <w:color w:val="212121"/>
                <w:sz w:val="16"/>
              </w:rPr>
              <w:t>≥ 1 xerogenic drug; high ACB</w:t>
            </w:r>
          </w:p>
        </w:tc>
        <w:tc>
          <w:tcPr>
            <w:tcW w:type="dxa" w:w="1036"/>
            <w:vAlign w:val="top"/>
          </w:tcPr>
          <w:p>
            <w:pPr>
              <w:spacing w:after="40" w:before="0" w:line="259" w:lineRule="auto"/>
            </w:pPr>
            <w:r>
              <w:rPr>
                <w:rFonts w:ascii="Calibri" w:hAnsi="Calibri"/>
                <w:b w:val="0"/>
                <w:i w:val="0"/>
                <w:color w:val="212121"/>
                <w:sz w:val="16"/>
              </w:rPr>
              <w:t>Identifies the commonest, modifiable cause</w:t>
            </w:r>
          </w:p>
        </w:tc>
        <w:tc>
          <w:tcPr>
            <w:tcW w:type="dxa" w:w="1036"/>
            <w:vAlign w:val="top"/>
          </w:tcPr>
          <w:p>
            <w:pPr>
              <w:spacing w:after="40" w:before="0" w:line="259" w:lineRule="auto"/>
            </w:pPr>
            <w:r>
              <w:rPr>
                <w:rFonts w:ascii="Calibri" w:hAnsi="Calibri"/>
                <w:b w:val="0"/>
                <w:i w:val="0"/>
                <w:color w:val="212121"/>
                <w:sz w:val="16"/>
              </w:rPr>
              <w:t>Elderly on polypharmacy, psychiatric and cardiac patients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Key</w:t>
            </w:r>
          </w:p>
        </w:tc>
        <w:tc>
          <w:tcPr>
            <w:tcW w:type="dxa" w:w="720"/>
            <w:vAlign w:val="top"/>
          </w:tcPr>
          <w:p>
            <w:pPr>
              <w:spacing w:after="40" w:before="0" w:line="259" w:lineRule="auto"/>
            </w:pPr>
            <w:r>
              <w:rPr>
                <w:rFonts w:ascii="Calibri" w:hAnsi="Calibri"/>
                <w:b w:val="0"/>
                <w:i w:val="0"/>
                <w:color w:val="212121"/>
                <w:sz w:val="16"/>
              </w:rPr>
              <w:t>Basis for deprescribing / substitution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risk review</w:t>
            </w:r>
          </w:p>
        </w:tc>
        <w:tc>
          <w:tcPr>
            <w:tcW w:type="dxa" w:w="979"/>
            <w:vAlign w:val="top"/>
          </w:tcPr>
          <w:p>
            <w:pPr>
              <w:spacing w:after="40" w:before="0" w:line="259" w:lineRule="auto"/>
            </w:pPr>
            <w:r>
              <w:rPr>
                <w:rFonts w:ascii="Calibri" w:hAnsi="Calibri"/>
                <w:b w:val="0"/>
                <w:i w:val="0"/>
                <w:color w:val="212121"/>
                <w:sz w:val="16"/>
              </w:rPr>
              <w:t>Diabetes, autoimmune disease, radiotherapy, dehydration, tobacco/areca, mouth breathing</w:t>
            </w:r>
          </w:p>
        </w:tc>
        <w:tc>
          <w:tcPr>
            <w:tcW w:type="dxa" w:w="950"/>
            <w:vAlign w:val="top"/>
          </w:tcPr>
          <w:p>
            <w:pPr>
              <w:spacing w:after="40" w:before="0" w:line="259" w:lineRule="auto"/>
            </w:pPr>
            <w:r>
              <w:rPr>
                <w:rFonts w:ascii="Calibri" w:hAnsi="Calibri"/>
                <w:b w:val="0"/>
                <w:i w:val="0"/>
                <w:color w:val="212121"/>
                <w:sz w:val="16"/>
              </w:rPr>
              <w:t>None present</w:t>
            </w:r>
          </w:p>
        </w:tc>
        <w:tc>
          <w:tcPr>
            <w:tcW w:type="dxa" w:w="950"/>
            <w:vAlign w:val="top"/>
          </w:tcPr>
          <w:p>
            <w:pPr>
              <w:spacing w:after="40" w:before="0" w:line="259" w:lineRule="auto"/>
            </w:pPr>
            <w:r>
              <w:rPr>
                <w:rFonts w:ascii="Calibri" w:hAnsi="Calibri"/>
                <w:b w:val="0"/>
                <w:i w:val="0"/>
                <w:color w:val="212121"/>
                <w:sz w:val="16"/>
              </w:rPr>
              <w:t>Any risk factor present</w:t>
            </w:r>
          </w:p>
        </w:tc>
        <w:tc>
          <w:tcPr>
            <w:tcW w:type="dxa" w:w="1036"/>
            <w:vAlign w:val="top"/>
          </w:tcPr>
          <w:p>
            <w:pPr>
              <w:spacing w:after="40" w:before="0" w:line="259" w:lineRule="auto"/>
            </w:pPr>
            <w:r>
              <w:rPr>
                <w:rFonts w:ascii="Calibri" w:hAnsi="Calibri"/>
                <w:b w:val="0"/>
                <w:i w:val="0"/>
                <w:color w:val="212121"/>
                <w:sz w:val="16"/>
              </w:rPr>
              <w:t>Directs cause-specific investigation and counselling</w:t>
            </w:r>
          </w:p>
        </w:tc>
        <w:tc>
          <w:tcPr>
            <w:tcW w:type="dxa" w:w="1036"/>
            <w:vAlign w:val="top"/>
          </w:tcPr>
          <w:p>
            <w:pPr>
              <w:spacing w:after="40" w:before="0" w:line="259" w:lineRule="auto"/>
            </w:pPr>
            <w:r>
              <w:rPr>
                <w:rFonts w:ascii="Calibri" w:hAnsi="Calibri"/>
                <w:b w:val="0"/>
                <w:i w:val="0"/>
                <w:color w:val="212121"/>
                <w:sz w:val="16"/>
              </w:rPr>
              <w:t>Diabetics, Sjogren's, cancer survivors, tobacco/areca users</w:t>
            </w:r>
          </w:p>
        </w:tc>
        <w:tc>
          <w:tcPr>
            <w:tcW w:type="dxa" w:w="720"/>
            <w:vAlign w:val="top"/>
          </w:tcPr>
          <w:p>
            <w:pPr>
              <w:spacing w:after="40" w:before="0" w:line="259" w:lineRule="auto"/>
            </w:pPr>
            <w:r>
              <w:rPr>
                <w:rFonts w:ascii="Calibri" w:hAnsi="Calibri"/>
                <w:b w:val="0"/>
                <w:i w:val="0"/>
                <w:color w:val="212121"/>
                <w:sz w:val="16"/>
              </w:rPr>
              <w:t>Smoking; Alcohol; Water</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India-first: ask about gutkha/betel-quid and hydration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Oral dryness assessment (CODS)</w:t>
            </w:r>
          </w:p>
        </w:tc>
        <w:tc>
          <w:tcPr>
            <w:tcW w:type="dxa" w:w="979"/>
            <w:vAlign w:val="top"/>
          </w:tcPr>
          <w:p>
            <w:pPr>
              <w:spacing w:after="40" w:before="0" w:line="259" w:lineRule="auto"/>
            </w:pPr>
            <w:r>
              <w:rPr>
                <w:rFonts w:ascii="Calibri" w:hAnsi="Calibri"/>
                <w:b w:val="0"/>
                <w:i w:val="0"/>
                <w:color w:val="212121"/>
                <w:sz w:val="16"/>
              </w:rPr>
              <w:t>Mirror/tongue-depressor stick test; Challacombe score</w:t>
            </w:r>
          </w:p>
        </w:tc>
        <w:tc>
          <w:tcPr>
            <w:tcW w:type="dxa" w:w="950"/>
            <w:vAlign w:val="top"/>
          </w:tcPr>
          <w:p>
            <w:pPr>
              <w:spacing w:after="40" w:before="0" w:line="259" w:lineRule="auto"/>
            </w:pPr>
            <w:r>
              <w:rPr>
                <w:rFonts w:ascii="Calibri" w:hAnsi="Calibri"/>
                <w:b w:val="0"/>
                <w:i w:val="0"/>
                <w:color w:val="212121"/>
                <w:sz w:val="16"/>
              </w:rPr>
              <w:t>CODS 1–3; no adhesion</w:t>
            </w:r>
          </w:p>
        </w:tc>
        <w:tc>
          <w:tcPr>
            <w:tcW w:type="dxa" w:w="950"/>
            <w:vAlign w:val="top"/>
          </w:tcPr>
          <w:p>
            <w:pPr>
              <w:spacing w:after="40" w:before="0" w:line="259" w:lineRule="auto"/>
            </w:pPr>
            <w:r>
              <w:rPr>
                <w:rFonts w:ascii="Calibri" w:hAnsi="Calibri"/>
                <w:b w:val="0"/>
                <w:i w:val="0"/>
                <w:color w:val="212121"/>
                <w:sz w:val="16"/>
              </w:rPr>
              <w:t>CODS 7–10; mirror adheres to mucosa</w:t>
            </w:r>
          </w:p>
        </w:tc>
        <w:tc>
          <w:tcPr>
            <w:tcW w:type="dxa" w:w="1036"/>
            <w:vAlign w:val="top"/>
          </w:tcPr>
          <w:p>
            <w:pPr>
              <w:spacing w:after="40" w:before="0" w:line="259" w:lineRule="auto"/>
            </w:pPr>
            <w:r>
              <w:rPr>
                <w:rFonts w:ascii="Calibri" w:hAnsi="Calibri"/>
                <w:b w:val="0"/>
                <w:i w:val="0"/>
                <w:color w:val="212121"/>
                <w:sz w:val="16"/>
              </w:rPr>
              <w:t>Grades clinical severity of dryness</w:t>
            </w:r>
          </w:p>
        </w:tc>
        <w:tc>
          <w:tcPr>
            <w:tcW w:type="dxa" w:w="1036"/>
            <w:vAlign w:val="top"/>
          </w:tcPr>
          <w:p>
            <w:pPr>
              <w:spacing w:after="40" w:before="0" w:line="259" w:lineRule="auto"/>
            </w:pPr>
            <w:r>
              <w:rPr>
                <w:rFonts w:ascii="Calibri" w:hAnsi="Calibri"/>
                <w:b w:val="0"/>
                <w:i w:val="0"/>
                <w:color w:val="212121"/>
                <w:sz w:val="16"/>
              </w:rPr>
              <w:t>All patients with suspected xerostomia</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Quick chairside severity grading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Oral inspection</w:t>
            </w:r>
          </w:p>
        </w:tc>
        <w:tc>
          <w:tcPr>
            <w:tcW w:type="dxa" w:w="979"/>
            <w:vAlign w:val="top"/>
          </w:tcPr>
          <w:p>
            <w:pPr>
              <w:spacing w:after="40" w:before="0" w:line="259" w:lineRule="auto"/>
            </w:pPr>
            <w:r>
              <w:rPr>
                <w:rFonts w:ascii="Calibri" w:hAnsi="Calibri"/>
                <w:b w:val="0"/>
                <w:i w:val="0"/>
                <w:color w:val="212121"/>
                <w:sz w:val="16"/>
              </w:rPr>
              <w:t>Tongue, floor of mouth, mucosa, caries pattern</w:t>
            </w:r>
          </w:p>
        </w:tc>
        <w:tc>
          <w:tcPr>
            <w:tcW w:type="dxa" w:w="950"/>
            <w:vAlign w:val="top"/>
          </w:tcPr>
          <w:p>
            <w:pPr>
              <w:spacing w:after="40" w:before="0" w:line="259" w:lineRule="auto"/>
            </w:pPr>
            <w:r>
              <w:rPr>
                <w:rFonts w:ascii="Calibri" w:hAnsi="Calibri"/>
                <w:b w:val="0"/>
                <w:i w:val="0"/>
                <w:color w:val="212121"/>
                <w:sz w:val="16"/>
              </w:rPr>
              <w:t>Moist mucosa, saliva pooling, no unusual caries</w:t>
            </w:r>
          </w:p>
        </w:tc>
        <w:tc>
          <w:tcPr>
            <w:tcW w:type="dxa" w:w="950"/>
            <w:vAlign w:val="top"/>
          </w:tcPr>
          <w:p>
            <w:pPr>
              <w:spacing w:after="40" w:before="0" w:line="259" w:lineRule="auto"/>
            </w:pPr>
            <w:r>
              <w:rPr>
                <w:rFonts w:ascii="Calibri" w:hAnsi="Calibri"/>
                <w:b w:val="0"/>
                <w:i w:val="0"/>
                <w:color w:val="212121"/>
                <w:sz w:val="16"/>
              </w:rPr>
              <w:t>Dry lobulated/depapillated tongue, frothy/absent saliva, cervical/incisal caries, candidiasis, angular cheilitis</w:t>
            </w:r>
          </w:p>
        </w:tc>
        <w:tc>
          <w:tcPr>
            <w:tcW w:type="dxa" w:w="1036"/>
            <w:vAlign w:val="top"/>
          </w:tcPr>
          <w:p>
            <w:pPr>
              <w:spacing w:after="40" w:before="0" w:line="259" w:lineRule="auto"/>
            </w:pPr>
            <w:r>
              <w:rPr>
                <w:rFonts w:ascii="Calibri" w:hAnsi="Calibri"/>
                <w:b w:val="0"/>
                <w:i w:val="0"/>
                <w:color w:val="212121"/>
                <w:sz w:val="16"/>
              </w:rPr>
              <w:t>Confirms mucosal effects and complications of dryness</w:t>
            </w:r>
          </w:p>
        </w:tc>
        <w:tc>
          <w:tcPr>
            <w:tcW w:type="dxa" w:w="1036"/>
            <w:vAlign w:val="top"/>
          </w:tcPr>
          <w:p>
            <w:pPr>
              <w:spacing w:after="40" w:before="0" w:line="259" w:lineRule="auto"/>
            </w:pPr>
            <w:r>
              <w:rPr>
                <w:rFonts w:ascii="Calibri" w:hAnsi="Calibri"/>
                <w:b w:val="0"/>
                <w:i w:val="0"/>
                <w:color w:val="212121"/>
                <w:sz w:val="16"/>
              </w:rPr>
              <w:t>Elderly, denture wearers, diabetics, post-radiotherapy</w:t>
            </w:r>
          </w:p>
        </w:tc>
        <w:tc>
          <w:tcPr>
            <w:tcW w:type="dxa" w:w="720"/>
            <w:vAlign w:val="top"/>
          </w:tcPr>
          <w:p>
            <w:pPr>
              <w:spacing w:after="40" w:before="0" w:line="259" w:lineRule="auto"/>
            </w:pPr>
            <w:r>
              <w:rPr>
                <w:rFonts w:ascii="Calibri" w:hAnsi="Calibri"/>
                <w:b w:val="0"/>
                <w:i w:val="0"/>
                <w:color w:val="212121"/>
                <w:sz w:val="16"/>
              </w:rPr>
              <w:t>Hygiene;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'Lipstick sign' and rampant root caries are classic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Salivary gland palpation &amp; expression</w:t>
            </w:r>
          </w:p>
        </w:tc>
        <w:tc>
          <w:tcPr>
            <w:tcW w:type="dxa" w:w="979"/>
            <w:vAlign w:val="top"/>
          </w:tcPr>
          <w:p>
            <w:pPr>
              <w:spacing w:after="40" w:before="0" w:line="259" w:lineRule="auto"/>
            </w:pPr>
            <w:r>
              <w:rPr>
                <w:rFonts w:ascii="Calibri" w:hAnsi="Calibri"/>
                <w:b w:val="0"/>
                <w:i w:val="0"/>
                <w:color w:val="212121"/>
                <w:sz w:val="16"/>
              </w:rPr>
              <w:t>Gland size, tenderness, ductal saliva/pus</w:t>
            </w:r>
          </w:p>
        </w:tc>
        <w:tc>
          <w:tcPr>
            <w:tcW w:type="dxa" w:w="950"/>
            <w:vAlign w:val="top"/>
          </w:tcPr>
          <w:p>
            <w:pPr>
              <w:spacing w:after="40" w:before="0" w:line="259" w:lineRule="auto"/>
            </w:pPr>
            <w:r>
              <w:rPr>
                <w:rFonts w:ascii="Calibri" w:hAnsi="Calibri"/>
                <w:b w:val="0"/>
                <w:i w:val="0"/>
                <w:color w:val="212121"/>
                <w:sz w:val="16"/>
              </w:rPr>
              <w:t>Clear saliva expressed, no swelling</w:t>
            </w:r>
          </w:p>
        </w:tc>
        <w:tc>
          <w:tcPr>
            <w:tcW w:type="dxa" w:w="950"/>
            <w:vAlign w:val="top"/>
          </w:tcPr>
          <w:p>
            <w:pPr>
              <w:spacing w:after="40" w:before="0" w:line="259" w:lineRule="auto"/>
            </w:pPr>
            <w:r>
              <w:rPr>
                <w:rFonts w:ascii="Calibri" w:hAnsi="Calibri"/>
                <w:b w:val="0"/>
                <w:i w:val="0"/>
                <w:color w:val="212121"/>
                <w:sz w:val="16"/>
              </w:rPr>
              <w:t>Gland enlargement, no/scant saliva, purulent expressate</w:t>
            </w:r>
          </w:p>
        </w:tc>
        <w:tc>
          <w:tcPr>
            <w:tcW w:type="dxa" w:w="1036"/>
            <w:vAlign w:val="top"/>
          </w:tcPr>
          <w:p>
            <w:pPr>
              <w:spacing w:after="40" w:before="0" w:line="259" w:lineRule="auto"/>
            </w:pPr>
            <w:r>
              <w:rPr>
                <w:rFonts w:ascii="Calibri" w:hAnsi="Calibri"/>
                <w:b w:val="0"/>
                <w:i w:val="0"/>
                <w:color w:val="212121"/>
                <w:sz w:val="16"/>
              </w:rPr>
              <w:t>Detects sialadenitis, obstruction or Sjogren's gland enlargement</w:t>
            </w:r>
          </w:p>
        </w:tc>
        <w:tc>
          <w:tcPr>
            <w:tcW w:type="dxa" w:w="1036"/>
            <w:vAlign w:val="top"/>
          </w:tcPr>
          <w:p>
            <w:pPr>
              <w:spacing w:after="40" w:before="0" w:line="259" w:lineRule="auto"/>
            </w:pPr>
            <w:r>
              <w:rPr>
                <w:rFonts w:ascii="Calibri" w:hAnsi="Calibri"/>
                <w:b w:val="0"/>
                <w:i w:val="0"/>
                <w:color w:val="212121"/>
                <w:sz w:val="16"/>
              </w:rPr>
              <w:t>Suspected Sjogren's, bacterial sialadenitis, sialolithiasis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Bimanual palpation of parotid and submandibular glands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Systemic sicca / ocular check</w:t>
            </w:r>
          </w:p>
        </w:tc>
        <w:tc>
          <w:tcPr>
            <w:tcW w:type="dxa" w:w="979"/>
            <w:vAlign w:val="top"/>
          </w:tcPr>
          <w:p>
            <w:pPr>
              <w:spacing w:after="40" w:before="0" w:line="259" w:lineRule="auto"/>
            </w:pPr>
            <w:r>
              <w:rPr>
                <w:rFonts w:ascii="Calibri" w:hAnsi="Calibri"/>
                <w:b w:val="0"/>
                <w:i w:val="0"/>
                <w:color w:val="212121"/>
                <w:sz w:val="16"/>
              </w:rPr>
              <w:t>Dry eyes (Schirmer's), skin and vaginal dryness</w:t>
            </w:r>
          </w:p>
        </w:tc>
        <w:tc>
          <w:tcPr>
            <w:tcW w:type="dxa" w:w="950"/>
            <w:vAlign w:val="top"/>
          </w:tcPr>
          <w:p>
            <w:pPr>
              <w:spacing w:after="40" w:before="0" w:line="259" w:lineRule="auto"/>
            </w:pPr>
            <w:r>
              <w:rPr>
                <w:rFonts w:ascii="Calibri" w:hAnsi="Calibri"/>
                <w:b w:val="0"/>
                <w:i w:val="0"/>
                <w:color w:val="212121"/>
                <w:sz w:val="16"/>
              </w:rPr>
              <w:t>No sicca elsewhere</w:t>
            </w:r>
          </w:p>
        </w:tc>
        <w:tc>
          <w:tcPr>
            <w:tcW w:type="dxa" w:w="950"/>
            <w:vAlign w:val="top"/>
          </w:tcPr>
          <w:p>
            <w:pPr>
              <w:spacing w:after="40" w:before="0" w:line="259" w:lineRule="auto"/>
            </w:pPr>
            <w:r>
              <w:rPr>
                <w:rFonts w:ascii="Calibri" w:hAnsi="Calibri"/>
                <w:b w:val="0"/>
                <w:i w:val="0"/>
                <w:color w:val="212121"/>
                <w:sz w:val="16"/>
              </w:rPr>
              <w:t>Dry eyes / multi-site dryness</w:t>
            </w:r>
          </w:p>
        </w:tc>
        <w:tc>
          <w:tcPr>
            <w:tcW w:type="dxa" w:w="1036"/>
            <w:vAlign w:val="top"/>
          </w:tcPr>
          <w:p>
            <w:pPr>
              <w:spacing w:after="40" w:before="0" w:line="259" w:lineRule="auto"/>
            </w:pPr>
            <w:r>
              <w:rPr>
                <w:rFonts w:ascii="Calibri" w:hAnsi="Calibri"/>
                <w:b w:val="0"/>
                <w:i w:val="0"/>
                <w:color w:val="212121"/>
                <w:sz w:val="16"/>
              </w:rPr>
              <w:t>Supports systemic autoimmune sicca and prompts referral</w:t>
            </w:r>
          </w:p>
        </w:tc>
        <w:tc>
          <w:tcPr>
            <w:tcW w:type="dxa" w:w="1036"/>
            <w:vAlign w:val="top"/>
          </w:tcPr>
          <w:p>
            <w:pPr>
              <w:spacing w:after="40" w:before="0" w:line="259" w:lineRule="auto"/>
            </w:pPr>
            <w:r>
              <w:rPr>
                <w:rFonts w:ascii="Calibri" w:hAnsi="Calibri"/>
                <w:b w:val="0"/>
                <w:i w:val="0"/>
                <w:color w:val="212121"/>
                <w:sz w:val="16"/>
              </w:rPr>
              <w:t>Women with sicca, autoimmune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Coordinate with rheumatology/ophthalmology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oral dryness / sticky feeling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symptom; a dry, sticky sensation from insufficient saliva keeping the mouth wet.</w:t>
            </w:r>
          </w:p>
        </w:tc>
      </w:tr>
      <w:tr>
        <w:trPr>
          <w:cantSplit/>
        </w:trPr>
        <w:tc>
          <w:tcPr>
            <w:tcW w:type="dxa" w:w="2304"/>
            <w:vAlign w:val="top"/>
          </w:tcPr>
          <w:p>
            <w:pPr>
              <w:spacing w:after="40" w:before="0" w:line="259" w:lineRule="auto"/>
            </w:pPr>
            <w:r>
              <w:rPr>
                <w:rFonts w:ascii="Calibri" w:hAnsi="Calibri"/>
                <w:b/>
                <w:i w:val="0"/>
                <w:color w:val="212121"/>
                <w:sz w:val="19"/>
              </w:rPr>
              <w:t>Difficulty swallowing dry food (needs sips of water)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lubrication makes dry foods hard to form and swallow, so patients sip liquids with meals.</w:t>
            </w:r>
          </w:p>
        </w:tc>
      </w:tr>
      <w:tr>
        <w:trPr>
          <w:cantSplit/>
        </w:trPr>
        <w:tc>
          <w:tcPr>
            <w:tcW w:type="dxa" w:w="2304"/>
            <w:vAlign w:val="top"/>
          </w:tcPr>
          <w:p>
            <w:pPr>
              <w:spacing w:after="40" w:before="0" w:line="259" w:lineRule="auto"/>
            </w:pPr>
            <w:r>
              <w:rPr>
                <w:rFonts w:ascii="Calibri" w:hAnsi="Calibri"/>
                <w:b/>
                <w:i w:val="0"/>
                <w:color w:val="212121"/>
                <w:sz w:val="19"/>
              </w:rPr>
              <w:t>Difficulty speaking / needing to moisten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Lack of lubrication causes the tongue to stick and impairs prolonged speech.</w:t>
            </w:r>
          </w:p>
        </w:tc>
      </w:tr>
      <w:tr>
        <w:trPr>
          <w:cantSplit/>
        </w:trPr>
        <w:tc>
          <w:tcPr>
            <w:tcW w:type="dxa" w:w="2304"/>
            <w:vAlign w:val="top"/>
          </w:tcPr>
          <w:p>
            <w:pPr>
              <w:spacing w:after="40" w:before="0" w:line="259" w:lineRule="auto"/>
            </w:pPr>
            <w:r>
              <w:rPr>
                <w:rFonts w:ascii="Calibri" w:hAnsi="Calibri"/>
                <w:b/>
                <w:i w:val="0"/>
                <w:color w:val="212121"/>
                <w:sz w:val="19"/>
              </w:rPr>
              <w:t>Thick, stringy or frothy saliva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Remaining saliva is scant and viscous rather than thin and watery.</w:t>
            </w:r>
          </w:p>
        </w:tc>
      </w:tr>
      <w:tr>
        <w:trPr>
          <w:cantSplit/>
        </w:trPr>
        <w:tc>
          <w:tcPr>
            <w:tcW w:type="dxa" w:w="2304"/>
            <w:vAlign w:val="top"/>
          </w:tcPr>
          <w:p>
            <w:pPr>
              <w:spacing w:after="40" w:before="0" w:line="259" w:lineRule="auto"/>
            </w:pPr>
            <w:r>
              <w:rPr>
                <w:rFonts w:ascii="Calibri" w:hAnsi="Calibri"/>
                <w:b/>
                <w:i w:val="0"/>
                <w:color w:val="212121"/>
                <w:sz w:val="19"/>
              </w:rPr>
              <w:t>Altered or reduced taste (dysgeusia)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Taste requires dissolved food in saliva; dryness blunts and distorts taste.</w:t>
            </w:r>
          </w:p>
        </w:tc>
      </w:tr>
      <w:tr>
        <w:trPr>
          <w:cantSplit/>
        </w:trPr>
        <w:tc>
          <w:tcPr>
            <w:tcW w:type="dxa" w:w="2304"/>
            <w:vAlign w:val="top"/>
          </w:tcPr>
          <w:p>
            <w:pPr>
              <w:spacing w:after="40" w:before="0" w:line="259" w:lineRule="auto"/>
            </w:pPr>
            <w:r>
              <w:rPr>
                <w:rFonts w:ascii="Calibri" w:hAnsi="Calibri"/>
                <w:b/>
                <w:i w:val="0"/>
                <w:color w:val="212121"/>
                <w:sz w:val="19"/>
              </w:rPr>
              <w:t>Burning sensation of the tongue or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Dry, atrophic mucosa produces a burning or scalded sensation (oral dysaesthesia).</w:t>
            </w:r>
          </w:p>
        </w:tc>
      </w:tr>
      <w:tr>
        <w:trPr>
          <w:cantSplit/>
        </w:trPr>
        <w:tc>
          <w:tcPr>
            <w:tcW w:type="dxa" w:w="2304"/>
            <w:vAlign w:val="top"/>
          </w:tcPr>
          <w:p>
            <w:pPr>
              <w:spacing w:after="40" w:before="0" w:line="259" w:lineRule="auto"/>
            </w:pPr>
            <w:r>
              <w:rPr>
                <w:rFonts w:ascii="Calibri" w:hAnsi="Calibri"/>
                <w:b/>
                <w:i w:val="0"/>
                <w:color w:val="212121"/>
                <w:sz w:val="19"/>
              </w:rPr>
              <w:t>Increased thirst, especially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thirst and frequent night-time waking to drink water.</w:t>
            </w:r>
          </w:p>
        </w:tc>
      </w:tr>
      <w:tr>
        <w:trPr>
          <w:cantSplit/>
        </w:trPr>
        <w:tc>
          <w:tcPr>
            <w:tcW w:type="dxa" w:w="2304"/>
            <w:vAlign w:val="top"/>
          </w:tcPr>
          <w:p>
            <w:pPr>
              <w:spacing w:after="40" w:before="0" w:line="259" w:lineRule="auto"/>
            </w:pPr>
            <w:r>
              <w:rPr>
                <w:rFonts w:ascii="Calibri" w:hAnsi="Calibri"/>
                <w:b/>
                <w:i w:val="0"/>
                <w:color w:val="212121"/>
                <w:sz w:val="19"/>
              </w:rPr>
              <w:t>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salivary clearance allows odour-producing bacteria and debris to accumulate.</w:t>
            </w:r>
          </w:p>
        </w:tc>
      </w:tr>
      <w:tr>
        <w:trPr>
          <w:cantSplit/>
        </w:trPr>
        <w:tc>
          <w:tcPr>
            <w:tcW w:type="dxa" w:w="2304"/>
            <w:vAlign w:val="top"/>
          </w:tcPr>
          <w:p>
            <w:pPr>
              <w:spacing w:after="40" w:before="0" w:line="259" w:lineRule="auto"/>
            </w:pPr>
            <w:r>
              <w:rPr>
                <w:rFonts w:ascii="Calibri" w:hAnsi="Calibri"/>
                <w:b/>
                <w:i w:val="0"/>
                <w:color w:val="212121"/>
                <w:sz w:val="19"/>
              </w:rPr>
              <w:t>Sore or dry throat and hoarseness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Dryness extends to the pharynx and larynx, causing soreness and a hoarse voice.</w:t>
            </w:r>
          </w:p>
        </w:tc>
      </w:tr>
      <w:tr>
        <w:trPr>
          <w:cantSplit/>
        </w:trPr>
        <w:tc>
          <w:tcPr>
            <w:tcW w:type="dxa" w:w="2304"/>
            <w:vAlign w:val="top"/>
          </w:tcPr>
          <w:p>
            <w:pPr>
              <w:spacing w:after="40" w:before="0" w:line="259" w:lineRule="auto"/>
            </w:pPr>
            <w:r>
              <w:rPr>
                <w:rFonts w:ascii="Calibri" w:hAnsi="Calibri"/>
                <w:b/>
                <w:i w:val="0"/>
                <w:color w:val="212121"/>
                <w:sz w:val="19"/>
              </w:rPr>
              <w:t>Denture discomfort / poor retention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Saliva forms the seal for lower dentures; dryness causes looseness, rubbing and sores.</w:t>
            </w:r>
          </w:p>
        </w:tc>
      </w:tr>
      <w:tr>
        <w:trPr>
          <w:cantSplit/>
        </w:trPr>
        <w:tc>
          <w:tcPr>
            <w:tcW w:type="dxa" w:w="2304"/>
            <w:vAlign w:val="top"/>
          </w:tcPr>
          <w:p>
            <w:pPr>
              <w:spacing w:after="40" w:before="0" w:line="259" w:lineRule="auto"/>
            </w:pPr>
            <w:r>
              <w:rPr>
                <w:rFonts w:ascii="Calibri" w:hAnsi="Calibri"/>
                <w:b/>
                <w:i w:val="0"/>
                <w:color w:val="212121"/>
                <w:sz w:val="19"/>
              </w:rPr>
              <w:t>Cracked lips and sores at the mouth corners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Chapped lips and angular cheilitis from mucosal dryness and secondary candidal infection.</w:t>
            </w:r>
          </w:p>
        </w:tc>
      </w:tr>
      <w:tr>
        <w:trPr>
          <w:cantSplit/>
        </w:trPr>
        <w:tc>
          <w:tcPr>
            <w:tcW w:type="dxa" w:w="2304"/>
            <w:vAlign w:val="top"/>
          </w:tcPr>
          <w:p>
            <w:pPr>
              <w:spacing w:after="40" w:before="0" w:line="259" w:lineRule="auto"/>
            </w:pPr>
            <w:r>
              <w:rPr>
                <w:rFonts w:ascii="Calibri" w:hAnsi="Calibri"/>
                <w:b/>
                <w:i w:val="0"/>
                <w:color w:val="212121"/>
                <w:sz w:val="19"/>
              </w:rPr>
              <w:t>Increased tooth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remineralisation and early cervical decay expose sensitive tooth surfaces.</w:t>
            </w:r>
          </w:p>
        </w:tc>
      </w:tr>
      <w:tr>
        <w:trPr>
          <w:cantSplit/>
        </w:trPr>
        <w:tc>
          <w:tcPr>
            <w:tcW w:type="dxa" w:w="2304"/>
            <w:vAlign w:val="top"/>
          </w:tcPr>
          <w:p>
            <w:pPr>
              <w:spacing w:after="40" w:before="0" w:line="259" w:lineRule="auto"/>
            </w:pPr>
            <w:r>
              <w:rPr>
                <w:rFonts w:ascii="Calibri" w:hAnsi="Calibri"/>
                <w:b/>
                <w:i w:val="0"/>
                <w:color w:val="212121"/>
                <w:sz w:val="19"/>
              </w:rPr>
              <w:t>Difficulty eating leading to weight loss / poor nutrition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untreated dryness can impair intake enough to cause weight loss, especially in the frail elderly.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Mirror / tongue-depressor adheres to the buccal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Positive 'stick test'; an instrument sticks to the dry mucosa — a hallmark clinical sign.</w:t>
            </w:r>
          </w:p>
        </w:tc>
      </w:tr>
      <w:tr>
        <w:trPr>
          <w:cantSplit/>
        </w:trPr>
        <w:tc>
          <w:tcPr>
            <w:tcW w:type="dxa" w:w="3456"/>
            <w:vAlign w:val="top"/>
          </w:tcPr>
          <w:p>
            <w:pPr>
              <w:spacing w:after="40" w:before="0" w:line="259" w:lineRule="auto"/>
            </w:pPr>
            <w:r>
              <w:rPr>
                <w:rFonts w:ascii="Calibri" w:hAnsi="Calibri"/>
                <w:b/>
                <w:i w:val="0"/>
                <w:color w:val="212121"/>
                <w:sz w:val="19"/>
              </w:rPr>
              <w:t>Dry, lobulated, fissured or depapillated (bald)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dorsum loses papillae and becomes smooth, fissured and dry.</w:t>
            </w:r>
          </w:p>
        </w:tc>
      </w:tr>
      <w:tr>
        <w:trPr>
          <w:cantSplit/>
        </w:trPr>
        <w:tc>
          <w:tcPr>
            <w:tcW w:type="dxa" w:w="3456"/>
            <w:vAlign w:val="top"/>
          </w:tcPr>
          <w:p>
            <w:pPr>
              <w:spacing w:after="40" w:before="0" w:line="259" w:lineRule="auto"/>
            </w:pPr>
            <w:r>
              <w:rPr>
                <w:rFonts w:ascii="Calibri" w:hAnsi="Calibri"/>
                <w:b/>
                <w:i w:val="0"/>
                <w:color w:val="212121"/>
                <w:sz w:val="19"/>
              </w:rPr>
              <w:t>Absent or scant, frothy pooled saliva in the floor of mouth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Normal clear salivary pool is replaced by frothy or absent saliva.</w:t>
            </w:r>
          </w:p>
        </w:tc>
      </w:tr>
      <w:tr>
        <w:trPr>
          <w:cantSplit/>
        </w:trPr>
        <w:tc>
          <w:tcPr>
            <w:tcW w:type="dxa" w:w="3456"/>
            <w:vAlign w:val="top"/>
          </w:tcPr>
          <w:p>
            <w:pPr>
              <w:spacing w:after="40" w:before="0" w:line="259" w:lineRule="auto"/>
            </w:pPr>
            <w:r>
              <w:rPr>
                <w:rFonts w:ascii="Calibri" w:hAnsi="Calibri"/>
                <w:b/>
                <w:i w:val="0"/>
                <w:color w:val="212121"/>
                <w:sz w:val="19"/>
              </w:rPr>
              <w:t>Rampant cervical and incisal-edge dental caries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buffering and remineralisation causes decay in normally caries-resistant sites (root/cervical, incisal).</w:t>
            </w:r>
          </w:p>
        </w:tc>
      </w:tr>
      <w:tr>
        <w:trPr>
          <w:cantSplit/>
        </w:trPr>
        <w:tc>
          <w:tcPr>
            <w:tcW w:type="dxa" w:w="3456"/>
            <w:vAlign w:val="top"/>
          </w:tcPr>
          <w:p>
            <w:pPr>
              <w:spacing w:after="40" w:before="0" w:line="259" w:lineRule="auto"/>
            </w:pPr>
            <w:r>
              <w:rPr>
                <w:rFonts w:ascii="Calibri" w:hAnsi="Calibri"/>
                <w:b/>
                <w:i w:val="0"/>
                <w:color w:val="212121"/>
                <w:sz w:val="19"/>
              </w:rPr>
              <w:t>Oral candidiasis and angular cheilitis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salivary antifungal defence promotes thrush and cracking at the mouth corners.</w:t>
            </w:r>
          </w:p>
        </w:tc>
      </w:tr>
      <w:tr>
        <w:trPr>
          <w:cantSplit/>
        </w:trPr>
        <w:tc>
          <w:tcPr>
            <w:tcW w:type="dxa" w:w="3456"/>
            <w:vAlign w:val="top"/>
          </w:tcPr>
          <w:p>
            <w:pPr>
              <w:spacing w:after="40" w:before="0" w:line="259" w:lineRule="auto"/>
            </w:pPr>
            <w:r>
              <w:rPr>
                <w:rFonts w:ascii="Calibri" w:hAnsi="Calibri"/>
                <w:b/>
                <w:i w:val="0"/>
                <w:color w:val="212121"/>
                <w:sz w:val="19"/>
              </w:rPr>
              <w:t>Dry, erythematous, glazed oral mucosa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Mucosa appears red, thin and shiny, and may show ulceration or trauma.</w:t>
            </w:r>
          </w:p>
        </w:tc>
      </w:tr>
      <w:tr>
        <w:trPr>
          <w:cantSplit/>
        </w:trPr>
        <w:tc>
          <w:tcPr>
            <w:tcW w:type="dxa" w:w="3456"/>
            <w:vAlign w:val="top"/>
          </w:tcPr>
          <w:p>
            <w:pPr>
              <w:spacing w:after="40" w:before="0" w:line="259" w:lineRule="auto"/>
            </w:pPr>
            <w:r>
              <w:rPr>
                <w:rFonts w:ascii="Calibri" w:hAnsi="Calibri"/>
                <w:b/>
                <w:i w:val="0"/>
                <w:color w:val="212121"/>
                <w:sz w:val="19"/>
              </w:rPr>
              <w:t>Cracked, chapped lips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Lips lose moisture and fissure.</w:t>
            </w:r>
          </w:p>
        </w:tc>
      </w:tr>
      <w:tr>
        <w:trPr>
          <w:cantSplit/>
        </w:trPr>
        <w:tc>
          <w:tcPr>
            <w:tcW w:type="dxa" w:w="3456"/>
            <w:vAlign w:val="top"/>
          </w:tcPr>
          <w:p>
            <w:pPr>
              <w:spacing w:after="40" w:before="0" w:line="259" w:lineRule="auto"/>
            </w:pPr>
            <w:r>
              <w:rPr>
                <w:rFonts w:ascii="Calibri" w:hAnsi="Calibri"/>
                <w:b/>
                <w:i w:val="0"/>
                <w:color w:val="212121"/>
                <w:sz w:val="19"/>
              </w:rPr>
              <w:t>'Lipstick sign' (lipstick or debris adhering to the incisors)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Absence of salivary clearance lets material stick to front teeth — a useful bedside clue.</w:t>
            </w:r>
          </w:p>
        </w:tc>
      </w:tr>
      <w:tr>
        <w:trPr>
          <w:cantSplit/>
        </w:trPr>
        <w:tc>
          <w:tcPr>
            <w:tcW w:type="dxa" w:w="3456"/>
            <w:vAlign w:val="top"/>
          </w:tcPr>
          <w:p>
            <w:pPr>
              <w:spacing w:after="40" w:before="0" w:line="259" w:lineRule="auto"/>
            </w:pPr>
            <w:r>
              <w:rPr>
                <w:rFonts w:ascii="Calibri" w:hAnsi="Calibri"/>
                <w:b/>
                <w:i w:val="0"/>
                <w:color w:val="212121"/>
                <w:sz w:val="19"/>
              </w:rPr>
              <w:t>Elevated Challacombe Oral Dryness Score (CODS ≥ 7)</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Additive clinical signs (no saliva pooling, glassy/lobulated mucosa, debris, altered gingiva) indicate severe dryness.</w:t>
            </w:r>
          </w:p>
        </w:tc>
      </w:tr>
      <w:tr>
        <w:trPr>
          <w:cantSplit/>
        </w:trPr>
        <w:tc>
          <w:tcPr>
            <w:tcW w:type="dxa" w:w="3456"/>
            <w:vAlign w:val="top"/>
          </w:tcPr>
          <w:p>
            <w:pPr>
              <w:spacing w:after="40" w:before="0" w:line="259" w:lineRule="auto"/>
            </w:pPr>
            <w:r>
              <w:rPr>
                <w:rFonts w:ascii="Calibri" w:hAnsi="Calibri"/>
                <w:b/>
                <w:i w:val="0"/>
                <w:color w:val="212121"/>
                <w:sz w:val="19"/>
              </w:rPr>
              <w:t>Salivary gland enlargement or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Firm parotid/submandibular enlargement in Sjogren's, or tender swelling in bacterial sialadenitis.</w:t>
            </w:r>
          </w:p>
        </w:tc>
      </w:tr>
      <w:tr>
        <w:trPr>
          <w:cantSplit/>
        </w:trPr>
        <w:tc>
          <w:tcPr>
            <w:tcW w:type="dxa" w:w="3456"/>
            <w:vAlign w:val="top"/>
          </w:tcPr>
          <w:p>
            <w:pPr>
              <w:spacing w:after="40" w:before="0" w:line="259" w:lineRule="auto"/>
            </w:pPr>
            <w:r>
              <w:rPr>
                <w:rFonts w:ascii="Calibri" w:hAnsi="Calibri"/>
                <w:b/>
                <w:i w:val="0"/>
                <w:color w:val="212121"/>
                <w:sz w:val="19"/>
              </w:rPr>
              <w:t>Purulent or absent saliva on ductal expression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 saliva, or pus, expressed from Stensen's/Wharton's ducts indicates obstruction or ascending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discomfort, soreness and burning of the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chewing, swallowing and speaking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Altered or reduced taste (dysgeusia)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Disturbed sleep and impaired quality of life</w:t>
            </w:r>
          </w:p>
        </w:tc>
        <w:tc>
          <w:tcPr>
            <w:tcW w:type="dxa" w:w="2980"/>
            <w:vAlign w:val="top"/>
          </w:tcPr>
          <w:p>
            <w:pPr>
              <w:spacing w:after="40" w:before="0" w:line="259" w:lineRule="auto"/>
            </w:pPr>
            <w:r>
              <w:rPr>
                <w:rFonts w:ascii="Calibri" w:hAnsi="Calibri"/>
                <w:b w:val="0"/>
                <w:i w:val="0"/>
                <w:color w:val="212121"/>
                <w:sz w:val="19"/>
              </w:rPr>
              <w:t>Direct consequences of insufficient salivary lubrication and function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Rampant dental caries, especially cervical/root and incisal-edge decay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Oral candidiasis and angular cheilitis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Periodontal (gum) disease and gingival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Bacterial sialadenitis / ascending parotitis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halitosis and mucosal ulceration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intolerance and traumatic sores</w:t>
            </w:r>
          </w:p>
        </w:tc>
        <w:tc>
          <w:tcPr>
            <w:tcW w:type="dxa" w:w="2980"/>
            <w:vAlign w:val="top"/>
          </w:tcPr>
          <w:p>
            <w:pPr>
              <w:spacing w:after="40" w:before="0" w:line="259" w:lineRule="auto"/>
            </w:pPr>
            <w:r>
              <w:rPr>
                <w:rFonts w:ascii="Calibri" w:hAnsi="Calibri"/>
                <w:b w:val="0"/>
                <w:i w:val="0"/>
                <w:color w:val="212121"/>
                <w:sz w:val="19"/>
              </w:rPr>
              <w:t>Result from loss of saliva's cleansing, buffering, remineralising and antimicrobial actions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Tooth loss and edentulism from uncontrolled caries and periodontal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oral pain and refractory oral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weight loss from impaired eating (esp. frail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Dysphagia with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 and social withdrawal</w:t>
            </w:r>
          </w:p>
        </w:tc>
        <w:tc>
          <w:tcPr>
            <w:tcW w:type="dxa" w:w="2980"/>
            <w:vAlign w:val="top"/>
          </w:tcPr>
          <w:p>
            <w:pPr>
              <w:spacing w:after="40" w:before="0" w:line="259" w:lineRule="auto"/>
            </w:pPr>
            <w:r>
              <w:rPr>
                <w:rFonts w:ascii="Calibri" w:hAnsi="Calibri"/>
                <w:b w:val="0"/>
                <w:i w:val="0"/>
                <w:color w:val="212121"/>
                <w:sz w:val="19"/>
              </w:rPr>
              <w:t>Irreversible, disabling outcomes of longstanding, poorly managed dry mouth</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osmotic diuresis with dehydration and diabetic autonomic neuropathy reduce salivary flow; dry mouth in turn promotes caries, candidiasis and periodontal disease that worsen glycaemic control. A leading systemic cause given India's very large diabetic population.</w:t>
            </w:r>
          </w:p>
        </w:tc>
      </w:tr>
      <w:tr>
        <w:trPr>
          <w:cantSplit/>
        </w:trPr>
        <w:tc>
          <w:tcPr>
            <w:tcW w:type="dxa" w:w="2232"/>
            <w:vAlign w:val="top"/>
          </w:tcPr>
          <w:p>
            <w:pPr>
              <w:spacing w:after="40" w:before="0" w:line="259" w:lineRule="auto"/>
            </w:pPr>
            <w:r>
              <w:rPr>
                <w:rFonts w:ascii="Calibri" w:hAnsi="Calibri"/>
                <w:b/>
                <w:i w:val="0"/>
                <w:color w:val="212121"/>
                <w:sz w:val="19"/>
              </w:rPr>
              <w:t>Sjogren's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Autoimmune lymphocytic destruction of salivary and lacrimal glands is a defining cause of chronic dry mouth with dry eyes; its presence changes diagnosis, monitoring and prognosis.</w:t>
            </w:r>
          </w:p>
        </w:tc>
      </w:tr>
      <w:tr>
        <w:trPr>
          <w:cantSplit/>
        </w:trPr>
        <w:tc>
          <w:tcPr>
            <w:tcW w:type="dxa" w:w="2232"/>
            <w:vAlign w:val="top"/>
          </w:tcPr>
          <w:p>
            <w:pPr>
              <w:spacing w:after="40" w:before="0" w:line="259" w:lineRule="auto"/>
            </w:pPr>
            <w:r>
              <w:rPr>
                <w:rFonts w:ascii="Calibri" w:hAnsi="Calibri"/>
                <w:b/>
                <w:i w:val="0"/>
                <w:color w:val="212121"/>
                <w:sz w:val="19"/>
              </w:rPr>
              <w:t>Rampant / root (cervical) dental caries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salivary buffering, clearance and remineralisation lets decay develop rapidly in normally protected surfaces — the most important dental consequence of dry mouth.</w:t>
            </w:r>
          </w:p>
        </w:tc>
      </w:tr>
      <w:tr>
        <w:trPr>
          <w:cantSplit/>
        </w:trPr>
        <w:tc>
          <w:tcPr>
            <w:tcW w:type="dxa" w:w="2232"/>
            <w:vAlign w:val="top"/>
          </w:tcPr>
          <w:p>
            <w:pPr>
              <w:spacing w:after="40" w:before="0" w:line="259" w:lineRule="auto"/>
            </w:pPr>
            <w:r>
              <w:rPr>
                <w:rFonts w:ascii="Calibri" w:hAnsi="Calibri"/>
                <w:b/>
                <w:i w:val="0"/>
                <w:color w:val="212121"/>
                <w:sz w:val="19"/>
              </w:rPr>
              <w:t>Oral candidiasis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Reduced salivary flushing and antifungal proteins allow Candida overgrowth, especially under dentures and with diabetes.</w:t>
            </w:r>
          </w:p>
        </w:tc>
      </w:tr>
      <w:tr>
        <w:trPr>
          <w:cantSplit/>
        </w:trPr>
        <w:tc>
          <w:tcPr>
            <w:tcW w:type="dxa" w:w="2232"/>
            <w:vAlign w:val="top"/>
          </w:tcPr>
          <w:p>
            <w:pPr>
              <w:spacing w:after="40" w:before="0" w:line="259" w:lineRule="auto"/>
            </w:pPr>
            <w:r>
              <w:rPr>
                <w:rFonts w:ascii="Calibri" w:hAnsi="Calibri"/>
                <w:b/>
                <w:i w:val="0"/>
                <w:color w:val="212121"/>
                <w:sz w:val="19"/>
              </w:rPr>
              <w:t>Periodontal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Diminished salivary defence and clearance promote plaque accumulation and gingival inflammation, which also feeds back on diabetes control.</w:t>
            </w:r>
          </w:p>
        </w:tc>
      </w:tr>
      <w:tr>
        <w:trPr>
          <w:cantSplit/>
        </w:trPr>
        <w:tc>
          <w:tcPr>
            <w:tcW w:type="dxa" w:w="2232"/>
            <w:vAlign w:val="top"/>
          </w:tcPr>
          <w:p>
            <w:pPr>
              <w:spacing w:after="40" w:before="0" w:line="259" w:lineRule="auto"/>
            </w:pPr>
            <w:r>
              <w:rPr>
                <w:rFonts w:ascii="Calibri" w:hAnsi="Calibri"/>
                <w:b/>
                <w:i w:val="0"/>
                <w:color w:val="212121"/>
                <w:sz w:val="19"/>
              </w:rPr>
              <w:t>Bacterial sialadenitis / ascending parotitis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Reduced salivary flow removes the flushing that keeps ducts sterile, allowing retrograde bacterial infection of the glands.</w:t>
            </w:r>
          </w:p>
        </w:tc>
      </w:tr>
      <w:tr>
        <w:trPr>
          <w:cantSplit/>
        </w:trPr>
        <w:tc>
          <w:tcPr>
            <w:tcW w:type="dxa" w:w="2232"/>
            <w:vAlign w:val="top"/>
          </w:tcPr>
          <w:p>
            <w:pPr>
              <w:spacing w:after="40" w:before="0" w:line="259" w:lineRule="auto"/>
            </w:pPr>
            <w:r>
              <w:rPr>
                <w:rFonts w:ascii="Calibri" w:hAnsi="Calibri"/>
                <w:b/>
                <w:i w:val="0"/>
                <w:color w:val="212121"/>
                <w:sz w:val="19"/>
              </w:rPr>
              <w:t>Halitosis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Loss of salivary clearance permits accumulation of odour-producing bacteria, food debris and desquamated cells.</w:t>
            </w:r>
          </w:p>
        </w:tc>
      </w:tr>
      <w:tr>
        <w:trPr>
          <w:cantSplit/>
        </w:trPr>
        <w:tc>
          <w:tcPr>
            <w:tcW w:type="dxa" w:w="2232"/>
            <w:vAlign w:val="top"/>
          </w:tcPr>
          <w:p>
            <w:pPr>
              <w:spacing w:after="40" w:before="0" w:line="259" w:lineRule="auto"/>
            </w:pPr>
            <w:r>
              <w:rPr>
                <w:rFonts w:ascii="Calibri" w:hAnsi="Calibri"/>
                <w:b/>
                <w:i w:val="0"/>
                <w:color w:val="212121"/>
                <w:sz w:val="19"/>
              </w:rPr>
              <w:t>Head &amp; neck cancer (radiotherapy / radioiodine)</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Radiation and radioiodine damage salivary acinar cells, so oncological treatment is itself a major, often permanent, cause of severe xerostomia.</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Antidepressants, anxiolytics and antipsychotics are among the commonest xerogenic drugs, while acute anxiety causes transient dryness and chronic dry mouth lowers mood and quality of life.</w:t>
            </w:r>
          </w:p>
        </w:tc>
      </w:tr>
      <w:tr>
        <w:trPr>
          <w:cantSplit/>
        </w:trPr>
        <w:tc>
          <w:tcPr>
            <w:tcW w:type="dxa" w:w="2232"/>
            <w:vAlign w:val="top"/>
          </w:tcPr>
          <w:p>
            <w:pPr>
              <w:spacing w:after="40" w:before="0" w:line="259" w:lineRule="auto"/>
            </w:pPr>
            <w:r>
              <w:rPr>
                <w:rFonts w:ascii="Calibri" w:hAnsi="Calibri"/>
                <w:b/>
                <w:i w:val="0"/>
                <w:color w:val="212121"/>
                <w:sz w:val="19"/>
              </w:rPr>
              <w:t>Oral submucous fibrosis (areca-nut related)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India-relevant: chronic areca-nut/gutkha use causes mucosal fibrosis, reduced mouth opening and impaired salivary function, compounding dryness and oral cancer risk.</w:t>
            </w:r>
          </w:p>
        </w:tc>
      </w:tr>
      <w:tr>
        <w:trPr>
          <w:cantSplit/>
        </w:trPr>
        <w:tc>
          <w:tcPr>
            <w:tcW w:type="dxa" w:w="2232"/>
            <w:vAlign w:val="top"/>
          </w:tcPr>
          <w:p>
            <w:pPr>
              <w:spacing w:after="40" w:before="0" w:line="259" w:lineRule="auto"/>
            </w:pPr>
            <w:r>
              <w:rPr>
                <w:rFonts w:ascii="Calibri" w:hAnsi="Calibri"/>
                <w:b/>
                <w:i w:val="0"/>
                <w:color w:val="212121"/>
                <w:sz w:val="19"/>
              </w:rPr>
              <w:t>Denture stomatitis / edentulism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Poor salivary seal and candidal overgrowth cause denture-related mucosal inflammation, and long-term caries/periodontal loss drive tooth loss.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dry mouth early (dryness at meals, needing to sip water to swallow, night-time thirst, sticky saliva) and seek dental/medical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your doctor to review medications and, where possible, reduce, substitute or re-time dry-mouth-causing drugs rather than stopping them yourself.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and sip water frequently through the day; avoid tobacco, areca/gutkha, excess alcohol and high caffeine.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dental check-ups, use high-fluoride toothpaste/varnish, and treat early decay promptly because dry mouth accelerates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control underlying causes such as diabetes and autoimmune (Sjogren's)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on polypharmacy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Post-radiotherapy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sugar-free chewing gum or xylitol lozenges and tart sugar-free sweets to stimulate residual salivary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moist, soft foods; add gravies, curd/yoghurt, soups and sauces, and sip water with meals to aid chewing and swallowing.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dry, salty, spicy, sugary and acidic foods and drinks (including sugary tea, cola and juices) that irritate the mucosa and cause decay.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fruits and non-cariogenic snacks over frequent sugary snacking; rinse with water after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saliva substitutes/gels and moisturising oral sprays for symptom relief when flow cannot be restored.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xerostomia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Denture wearers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Post-radiotherapy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before, during and after exercise, especially in hot Indian climates and for 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activity to improve glycaemic control and reduce diabetes-related and obesity/OSA-related dry mouth.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nasal over mouth breathing during exertion where possible to limit oral drying.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 with comorbidity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nasal obstruction and snoring, and use humidified CPAP if on sleep-apnoea therapy, to reduce overnight mouth drying.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water at the bedside and apply a saliva substitute or moisturising gel before sleep for nocturnal dryness.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bedroom humidifier and avoid taking xerogenic medications at bedtime where an alternative timing is possible.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Mouth breathers and snorers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CPAP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nocturnal dryness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smoked tobacco (cigarettes, bidi) and smokeless tobacco, gutkha and areca/betel-quid, which reduce salivary flow and harm the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brief cessation counselling, nicotine replacement and referral to tobacco-cessation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combined risk of dry mouth, oral submucous fibrosis and oral cancer from tobacco and areca nut.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 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OSMF</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intake, which dehydrates and dries the oral mucosa.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from alcohol-containing mouthwashes to alcohol-free rinses (e.g., fluoride or chlorhexidine-based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water intake to offset alcohol's diuretic and drying effect.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Alcohol-mouthwash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mucosal soreness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anxiety and stress, which cause transient dry mouth, with relaxation techniques, counselling or cognitive behavioural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psychotropic medications (antidepressants, anxiolytics, antipsychotics) with the prescriber to minimise anticholinergic burden where clinically safe.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patients with chronic, distressing dry mouth, which itself lowers mood and quality of life.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Anxiety/depression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on polypharmacy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cause where possible (deprescribe xerogenic drugs, control diabetes, manage Sjogren's with specialist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salivary stimulants (sugar-free gum/xylitol) and, in selected patients with residual gland function, prescribed sialogogues such as pilocarpine or cevimeline under medical supervision.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saliva substitutes, oral moisturising gels and frequent water sips for symptom control when flow cannot be restored.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Intensify caries prevention: high-fluoride toothpaste/varnish, remineralising agents, alcohol-free antimicrobial rinses and regular dental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Promptly treat complications such as oral candidiasis, sialadenitis and denture stomatitis.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established xerostomia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Post-radiotherapy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Sjogren's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on polypharmacy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clevelandclinic.org/health/diseases/10902-dry-mouth-xerostomia" TargetMode="External"/><Relationship Id="rId10" Type="http://schemas.openxmlformats.org/officeDocument/2006/relationships/hyperlink" Target="https://www.betterhealth.vic.gov.au/health/conditionsandtreatments/dry-mouth-syndrome" TargetMode="External"/><Relationship Id="rId11" Type="http://schemas.openxmlformats.org/officeDocument/2006/relationships/hyperlink" Target="https://www.who.int/news-room/fact-sheets/detail/oral-health" TargetMode="External"/><Relationship Id="rId12" Type="http://schemas.openxmlformats.org/officeDocument/2006/relationships/hyperlink" Target="https://www.mayoclinic.org/diseases-conditions/dry-mouth/symptoms-causes/syc-20356048" TargetMode="External"/><Relationship Id="rId13" Type="http://schemas.openxmlformats.org/officeDocument/2006/relationships/hyperlink" Target="https://medlineplus.gov/drymouth.html" TargetMode="External"/><Relationship Id="rId14" Type="http://schemas.openxmlformats.org/officeDocument/2006/relationships/hyperlink" Target="https://www.nidcr.nih.gov/health-info/dry-mo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