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Dental Fluorosis</w:t>
      </w:r>
    </w:p>
    <w:p>
      <w:pPr>
        <w:spacing w:before="0" w:after="160"/>
      </w:pPr>
      <w:r>
        <w:rPr>
          <w:rFonts w:ascii="Calibri" w:hAnsi="Calibri"/>
          <w:b/>
          <w:i w:val="0"/>
          <w:color w:val="212121"/>
          <w:sz w:val="22"/>
        </w:rPr>
        <w:t xml:space="preserve">AKA </w:t>
      </w:r>
      <w:r>
        <w:rPr>
          <w:rFonts w:ascii="Calibri" w:hAnsi="Calibri"/>
          <w:b w:val="0"/>
          <w:i w:val="0"/>
          <w:color w:val="212121"/>
          <w:sz w:val="22"/>
        </w:rPr>
        <w:t>i.e., Mottled enamel, Mottled teeth, Enamel fluorosis, Dental mottling; the dental (tooth-enamel) form of Fluorosis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Dental fluorosis is a developmental, dose-dependent disturbance of tooth-enamel mineralization caused by excessive fluoride intake during the years of tooth formation (from before birth to about 8 years of age, while the crowns of the permanent teeth are being laid down). Fluoride disrupts the enamel-forming ameloblasts and enamel maturation, producing a hypomineralized, more porous subsurface enamel that appears as bilaterally symmetrical, diffuse chalky-white lines, flecks or patches; in more severe disease the enamel shows brown-to-black staining, pitting and structural loss. The changes are permanent, affect only teeth that were mineralizing at the time of exposure, and in India are overwhelmingly endemic, driven by groundwater fluoride above the Bureau of Indian Standards (BIS) acceptable limit of 1.0 mg/L. Mild dental fluorosis is largely a cosmetic finding and even slightly caries-resistant, whereas severe fluorosis weakens enamel and is a visible sentinel marker of systemic (including skeletal) fluoride overload.</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Dental fluorosis is one of India's most widespread endemic public-health problems, driven by naturally high groundwater fluoride. A 2025 systematic review and meta-analysis of 55 studies (108,678 people) estimated an overall pooled prevalence of about 34.5% (32.1% in children aged 5-18 years), rising to roughly 50.3% where drinking-water fluoride exceeds 1 mg/L versus about 15.1% below it, and highest in western India (about 43.9%). Fluoride-laden groundwater puts an estimated 66 million people at risk across at least 17 of India's states/UTs, with the classic Nalgonda belt of Telangana/Andhra Pradesh, Rajasthan, Gujarat, Karnataka, Haryana, Madhya Pradesh and Bihar worst affected; in endemic districts local surveys report 40-46% of school-children affected (for example 46% of 6-12-year-olds in rural Karnataka and 44% in Kadapa, Andhra Pradesh).</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Dental fluorosis is a clinical (visual) diagnosis made on clean, dry teeth using standardized indices, supported by a history of fluoride exposure during tooth development and by environmental/biological fluoride measurement. The core diagnostic approach used in India (including NPPCF surveys) comprises: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Characteristic clinical appearance - bilaterally symmetrical, diffuse chalky-white opaque lines, flecks or patches (and, in severe cases, brown staining and pitting) affecting homologous teeth that were mineralizing during the exposure period;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Scoring with a recognized index - most commonly Dean's Fluorosis Index (normal, questionable, very mild, mild, moderate, severe), or the Thylstrup-Fejerskov (TF) or Tooth Surface Index of Fluorosis (TSIF) for research;</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History of excess fluoride intake during the first ~8 years of life - high-fluoride drinking water, swallowed fluoride toothpaste or supplements, or a high-fluoride diet during tooth formation;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Drinking-water fluoride above the BIS acceptable limit of 1.0 mg/L (WHO guideline value 1.5 mg/L; endemic Indian pockets have reached up to about 48 mg/L);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Urine fluoride &gt; 1.0 mg/L as an index of current fluoride exposure and body burden (supportive, community screening);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other enamel defects - non-fluoride opacities such as molar-incisor hypomineralization (MIH), enamel hypoplasia, amelogenesis imperfecta, tetracycline staining and early (white-spot) caries, which are typically asymmetrical or localized rather than diffuse and symmetrical.</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Dental fluorosis is graded by severity, most widely with Dean's Fluorosis Index (1942), which underpins Indian and WHO epidemiological surveys; severity rises with the fluoride dose during enamel formation:</w:t>
      </w:r>
    </w:p>
    <w:p>
      <w:pPr>
        <w:spacing w:before="0" w:after="80"/>
      </w:pPr>
      <w:r>
        <w:rPr>
          <w:rFonts w:ascii="Calibri" w:hAnsi="Calibri"/>
          <w:b w:val="0"/>
          <w:i w:val="0"/>
          <w:color w:val="212121"/>
          <w:sz w:val="21"/>
        </w:rPr>
        <w:t>(1) Normal - smooth, translucent, creamy-white glossy enamel with no fluorotic change;</w:t>
      </w:r>
    </w:p>
    <w:p>
      <w:pPr>
        <w:spacing w:before="0" w:after="80"/>
      </w:pPr>
      <w:r>
        <w:rPr>
          <w:rFonts w:ascii="Calibri" w:hAnsi="Calibri"/>
          <w:b w:val="0"/>
          <w:i w:val="0"/>
          <w:color w:val="212121"/>
          <w:sz w:val="21"/>
        </w:rPr>
        <w:t>(2) Questionable - a few white flecks or occasional white spots; scored when changes are too slight to call very mild but the enamel is not wholly normal;</w:t>
      </w:r>
    </w:p>
    <w:p>
      <w:pPr>
        <w:spacing w:before="0" w:after="80"/>
      </w:pPr>
      <w:r>
        <w:rPr>
          <w:rFonts w:ascii="Calibri" w:hAnsi="Calibri"/>
          <w:b w:val="0"/>
          <w:i w:val="0"/>
          <w:color w:val="212121"/>
          <w:sz w:val="21"/>
        </w:rPr>
        <w:t>(3) Very mild - small, scattered, paper-white opaque areas involving less than about 25% of the tooth surface;</w:t>
      </w:r>
    </w:p>
    <w:p>
      <w:pPr>
        <w:spacing w:before="0" w:after="80"/>
      </w:pPr>
      <w:r>
        <w:rPr>
          <w:rFonts w:ascii="Calibri" w:hAnsi="Calibri"/>
          <w:b w:val="0"/>
          <w:i w:val="0"/>
          <w:color w:val="212121"/>
          <w:sz w:val="21"/>
        </w:rPr>
        <w:t>(4) Mild - white opaque areas involving up to about 50% of the tooth surface, without brown stain or pitting;</w:t>
      </w:r>
    </w:p>
    <w:p>
      <w:pPr>
        <w:spacing w:before="0" w:after="80"/>
      </w:pPr>
      <w:r>
        <w:rPr>
          <w:rFonts w:ascii="Calibri" w:hAnsi="Calibri"/>
          <w:b w:val="0"/>
          <w:i w:val="0"/>
          <w:color w:val="212121"/>
          <w:sz w:val="21"/>
        </w:rPr>
        <w:t>(5) Moderate - all enamel surfaces affected, with marked wear on biting surfaces and frequent disfiguring brown staining;</w:t>
      </w:r>
    </w:p>
    <w:p>
      <w:pPr>
        <w:spacing w:before="0" w:after="80"/>
      </w:pPr>
      <w:r>
        <w:rPr>
          <w:rFonts w:ascii="Calibri" w:hAnsi="Calibri"/>
          <w:b w:val="0"/>
          <w:i w:val="0"/>
          <w:color w:val="212121"/>
          <w:sz w:val="21"/>
        </w:rPr>
        <w:t>(6) Severe - all enamel surfaces affected with discrete or confluent pitting, widespread brown-to-black staining and a corroded, hypoplastic appearance; the tooth may look eroded and be structurally weakened.</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Excess fluoride during enamel development: The essential cause - fluoride ingested while the permanent teeth are mineralizing (roughly in utero to 8 years) disrupts ameloblasts and enamel maturation; teeth are not affected once formed and erupted.</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High-fluoride drinking water: Groundwater fluoride above 1.0-1.5 mg/L is the dominant source in India; prevalence and severity rise steeply with concentration and with the volume drunk.</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Total fluoride dose relative to body weight: Fluorosis is dose-dependent; intake above roughly 0.05-0.07 mg fluoride/kg body weight/day during tooth formation increases risk, so small children are most vulnerable.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Swallowed fluoride toothpaste and supplements: Young children (under 6) who swallow fluoride toothpaste, or who receive fluoride drops/tablets, add a significant systemic dose during the critical window.</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High-fluoride diet: Black/brick tea (the tea plant concentrates fluoride), black/red rock salt, some tinned foods, and crops grown on high-fluoride soils raise intake; infant formula reconstituted with high-fluoride water is a further source.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Nutritional and physiological modifiers: Low dietary calcium, vitamin C and vitamin D increase fluoride absorption and retention; a hot arid climate (more water drunk) and impaired renal fluoride excretion raise the effective dose.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Infants &amp; children under 8 years (developing dentition)</w:t>
            </w:r>
          </w:p>
        </w:tc>
        <w:tc>
          <w:tcPr>
            <w:tcW w:type="dxa" w:w="4276"/>
            <w:vAlign w:val="top"/>
          </w:tcPr>
          <w:p>
            <w:pPr>
              <w:spacing w:after="60" w:line="259" w:lineRule="auto"/>
            </w:pPr>
            <w:r>
              <w:rPr>
                <w:rFonts w:ascii="Calibri" w:hAnsi="Calibri"/>
                <w:b w:val="0"/>
                <w:i w:val="0"/>
                <w:color w:val="212121"/>
                <w:sz w:val="19"/>
              </w:rPr>
              <w:t>This is the only window in which dental fluorosis can arise: fluoride ingested while the permanent-tooth crowns are mineralizing disrupts ameloblasts and produces hypomineralized, porous enamel. The younger the child and the higher the dose per kilogram of body weight, the greater the risk and severity.</w:t>
            </w:r>
          </w:p>
          <w:p>
            <w:pPr>
              <w:spacing w:after="40" w:before="60" w:line="259" w:lineRule="auto"/>
            </w:pPr>
            <w:r>
              <w:rPr>
                <w:rFonts w:ascii="Calibri" w:hAnsi="Calibri"/>
                <w:b w:val="0"/>
                <w:i w:val="0"/>
                <w:color w:val="212121"/>
                <w:sz w:val="19"/>
              </w:rPr>
              <w:t>In India the pooled prevalence of dental fluorosis in children aged 5-18 years is about 32.1% (95% CI 26.6-37.9).</w:t>
            </w:r>
          </w:p>
          <w:p>
            <w:pPr>
              <w:spacing w:after="40" w:line="252" w:lineRule="auto"/>
            </w:pPr>
            <w:hyperlink r:id="rId9">
              <w:r>
                <w:rPr>
                  <w:rFonts w:ascii="Calibri" w:hAnsi="Calibri" w:cs="Calibri"/>
                  <w:sz w:val="18"/>
                  <w:color w:val="1155CC"/>
                  <w:u w:val="single"/>
                </w:rPr>
                <w:t xml:space="preserve">pubmed.ncbi.nlm.nih.gov/40741788 - dental fluorosis meta-analysis (India)</w:t>
              </w:r>
            </w:hyperlink>
          </w:p>
          <w:p>
            <w:pPr>
              <w:spacing w:before="60" w:after="40"/>
            </w:pPr>
            <w:r>
              <w:rPr>
                <w:rFonts w:ascii="Calibri" w:hAnsi="Calibri"/>
                <w:b w:val="0"/>
                <w:i w:val="0"/>
                <w:color w:val="5A5A5A"/>
                <w:sz w:val="18"/>
              </w:rPr>
              <w:t>#developingteeth  #criticalwindow  #ameloblasts  #under8  #dosedependent</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School-age children &amp; adolescents (6-15 years)</w:t>
            </w:r>
          </w:p>
        </w:tc>
        <w:tc>
          <w:tcPr>
            <w:tcW w:type="dxa" w:w="4276"/>
            <w:vAlign w:val="top"/>
          </w:tcPr>
          <w:p>
            <w:pPr>
              <w:spacing w:after="60" w:line="259" w:lineRule="auto"/>
            </w:pPr>
            <w:r>
              <w:rPr>
                <w:rFonts w:ascii="Calibri" w:hAnsi="Calibri"/>
                <w:b w:val="0"/>
                <w:i w:val="0"/>
                <w:color w:val="212121"/>
                <w:sz w:val="19"/>
              </w:rPr>
              <w:t>Fluorosis becomes visible and is measured once the permanent teeth erupt, so school-age children in endemic districts show the record of their earlier childhood exposure; prevalence and severity climb with age as more teeth erupt and porous enamel picks up post-eruptive brown stain.</w:t>
            </w:r>
          </w:p>
          <w:p>
            <w:pPr>
              <w:spacing w:after="40" w:before="60" w:line="259" w:lineRule="auto"/>
            </w:pPr>
            <w:r>
              <w:rPr>
                <w:rFonts w:ascii="Calibri" w:hAnsi="Calibri"/>
                <w:b w:val="0"/>
                <w:i w:val="0"/>
                <w:color w:val="212121"/>
                <w:sz w:val="19"/>
              </w:rPr>
              <w:t>Dental fluorosis reached 46.0% among 6-12-year-old children in an endemic (aspirational) district of Karnataka, and about 44% among school-children in Kadapa, Andhra Pradesh.</w:t>
            </w:r>
          </w:p>
          <w:p>
            <w:pPr>
              <w:spacing w:after="40" w:line="252" w:lineRule="auto"/>
            </w:pPr>
            <w:hyperlink r:id="rId10">
              <w:r>
                <w:rPr>
                  <w:rFonts w:ascii="Calibri" w:hAnsi="Calibri" w:cs="Calibri"/>
                  <w:sz w:val="18"/>
                  <w:color w:val="1155CC"/>
                  <w:u w:val="single"/>
                </w:rPr>
                <w:t xml:space="preserve">frontiersin.org - dental fluorosis in rural Karnataka children</w:t>
              </w:r>
            </w:hyperlink>
          </w:p>
          <w:p>
            <w:pPr>
              <w:spacing w:before="60" w:after="40"/>
            </w:pPr>
            <w:r>
              <w:rPr>
                <w:rFonts w:ascii="Calibri" w:hAnsi="Calibri"/>
                <w:b w:val="0"/>
                <w:i w:val="0"/>
                <w:color w:val="5A5A5A"/>
                <w:sz w:val="18"/>
              </w:rPr>
              <w:t>#schoolchildren  #adolescents  #endemicdistrict  #Karnataka  #detected</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Adults (permanent record)</w:t>
            </w:r>
          </w:p>
        </w:tc>
        <w:tc>
          <w:tcPr>
            <w:tcW w:type="dxa" w:w="4276"/>
            <w:vAlign w:val="top"/>
          </w:tcPr>
          <w:p>
            <w:pPr>
              <w:spacing w:after="60" w:line="259" w:lineRule="auto"/>
            </w:pPr>
            <w:r>
              <w:rPr>
                <w:rFonts w:ascii="Calibri" w:hAnsi="Calibri"/>
                <w:b w:val="0"/>
                <w:i w:val="0"/>
                <w:color w:val="212121"/>
                <w:sz w:val="19"/>
              </w:rPr>
              <w:t>Enamel formed in childhood cannot become fluorotic later and cannot self-repair, so adults carry lifelong mottling; porous fluorotic enamel continues to absorb chromogens post-eruptively, and moderate-severe teeth show progressive brown staining, wear and, sometimes, chipping over the years.</w:t>
            </w:r>
          </w:p>
          <w:p>
            <w:pPr>
              <w:spacing w:after="40" w:before="60" w:line="259" w:lineRule="auto"/>
            </w:pPr>
            <w:r>
              <w:rPr>
                <w:rFonts w:ascii="Calibri" w:hAnsi="Calibri"/>
                <w:b w:val="0"/>
                <w:i w:val="0"/>
                <w:color w:val="212121"/>
                <w:sz w:val="19"/>
              </w:rPr>
              <w:t>Dental fluorosis is permanent and irreversible once the enamel has formed; management in adults is restorative and cosmetic rather than curative.</w:t>
            </w:r>
          </w:p>
          <w:p>
            <w:pPr>
              <w:spacing w:before="60" w:after="40"/>
            </w:pPr>
            <w:r>
              <w:rPr>
                <w:rFonts w:ascii="Calibri" w:hAnsi="Calibri"/>
                <w:b w:val="0"/>
                <w:i w:val="0"/>
                <w:color w:val="5A5A5A"/>
                <w:sz w:val="18"/>
              </w:rPr>
              <w:t>#permanent  #irreversible  #lifelong  #staining  #cosmetic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Boys in endemic areas tend to be outdoors and physically active in the heat and so drink more of the local high-fluoride water during the tooth-forming years, giving a slightly higher pooled prevalence; the evidence is mixed, however, and some Indian surveys report higher rates in girls.</w:t>
            </w:r>
          </w:p>
          <w:p>
            <w:pPr>
              <w:spacing w:after="40" w:before="60" w:line="259" w:lineRule="auto"/>
            </w:pPr>
            <w:r>
              <w:rPr>
                <w:rFonts w:ascii="Calibri" w:hAnsi="Calibri"/>
                <w:b w:val="0"/>
                <w:i w:val="0"/>
                <w:color w:val="212121"/>
                <w:sz w:val="19"/>
              </w:rPr>
              <w:t>Pooled prevalence of dental fluorosis in India was higher in males at about 40.7% in the 2025 meta-analysis.</w:t>
            </w:r>
          </w:p>
          <w:p>
            <w:pPr>
              <w:spacing w:after="40" w:line="252" w:lineRule="auto"/>
            </w:pPr>
            <w:hyperlink r:id="rId9">
              <w:r>
                <w:rPr>
                  <w:rFonts w:ascii="Calibri" w:hAnsi="Calibri" w:cs="Calibri"/>
                  <w:sz w:val="18"/>
                  <w:color w:val="1155CC"/>
                  <w:u w:val="single"/>
                </w:rPr>
                <w:t xml:space="preserve">pubmed.ncbi.nlm.nih.gov/40741788 - sex-wise prevalence</w:t>
              </w:r>
            </w:hyperlink>
          </w:p>
          <w:p>
            <w:pPr>
              <w:spacing w:before="60" w:after="40"/>
            </w:pPr>
            <w:r>
              <w:rPr>
                <w:rFonts w:ascii="Calibri" w:hAnsi="Calibri"/>
                <w:b w:val="0"/>
                <w:i w:val="0"/>
                <w:color w:val="5A5A5A"/>
                <w:sz w:val="18"/>
              </w:rPr>
              <w:t>#male  #outdoor  #waterintake  #mixedevidence  #sexdifference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Rural poor / low-income households</w:t>
            </w:r>
          </w:p>
        </w:tc>
        <w:tc>
          <w:tcPr>
            <w:tcW w:type="dxa" w:w="4276"/>
            <w:vAlign w:val="top"/>
          </w:tcPr>
          <w:p>
            <w:pPr>
              <w:spacing w:after="60" w:line="259" w:lineRule="auto"/>
            </w:pPr>
            <w:r>
              <w:rPr>
                <w:rFonts w:ascii="Calibri" w:hAnsi="Calibri"/>
                <w:b w:val="0"/>
                <w:i w:val="0"/>
                <w:color w:val="212121"/>
                <w:sz w:val="19"/>
              </w:rPr>
              <w:t>Poverty forces dependence on untreated borewell water and a monotonous, calcium- and vitamin-poor diet, both of which raise a child's fluoride intake and retention; limited awareness and access to defluoridation or safe water perpetuate exposure across generations.</w:t>
            </w:r>
          </w:p>
          <w:p>
            <w:pPr>
              <w:spacing w:after="40" w:before="60" w:line="259" w:lineRule="auto"/>
            </w:pPr>
            <w:r>
              <w:rPr>
                <w:rFonts w:ascii="Calibri" w:hAnsi="Calibri"/>
                <w:b w:val="0"/>
                <w:i w:val="0"/>
                <w:color w:val="212121"/>
                <w:sz w:val="19"/>
              </w:rPr>
              <w:t>Rural populations showed higher pooled dental fluorosis (about 38.1%) than urban populations in the Indian meta-analysis.</w:t>
            </w:r>
          </w:p>
          <w:p>
            <w:pPr>
              <w:spacing w:after="40" w:line="252" w:lineRule="auto"/>
            </w:pPr>
            <w:hyperlink r:id="rId9">
              <w:r>
                <w:rPr>
                  <w:rFonts w:ascii="Calibri" w:hAnsi="Calibri" w:cs="Calibri"/>
                  <w:sz w:val="18"/>
                  <w:color w:val="1155CC"/>
                  <w:u w:val="single"/>
                </w:rPr>
                <w:t xml:space="preserve">pubmed.ncbi.nlm.nih.gov/40741788 - rural vs urban prevalence</w:t>
              </w:r>
            </w:hyperlink>
          </w:p>
          <w:p>
            <w:pPr>
              <w:spacing w:before="60" w:after="40"/>
            </w:pPr>
            <w:r>
              <w:rPr>
                <w:rFonts w:ascii="Calibri" w:hAnsi="Calibri"/>
                <w:b w:val="0"/>
                <w:i w:val="0"/>
                <w:color w:val="5A5A5A"/>
                <w:sz w:val="18"/>
              </w:rPr>
              <w:t>#ruralpoor  #borewell  #lowincome  #poornutrition  #accessgap</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Merge w:val="restart"/>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Rajasthan (arid granitic belt)</w:t>
            </w:r>
          </w:p>
        </w:tc>
        <w:tc>
          <w:tcPr>
            <w:tcW w:type="dxa" w:w="4276"/>
            <w:vAlign w:val="top"/>
          </w:tcPr>
          <w:p>
            <w:pPr>
              <w:spacing w:after="60" w:line="259" w:lineRule="auto"/>
            </w:pPr>
            <w:r>
              <w:rPr>
                <w:rFonts w:ascii="Calibri" w:hAnsi="Calibri"/>
                <w:b w:val="0"/>
                <w:i w:val="0"/>
                <w:color w:val="212121"/>
                <w:sz w:val="19"/>
              </w:rPr>
              <w:t>Semi-arid Rajasthan sits on deep, fluoride-rich granitic aquifers and has high water needs, giving it the country's largest fluoride burden; children in districts such as Dungarpur, Nagaur and Jhunjhunu are heavily affected, and dental fluorosis routinely coexists with the juvenile skeletal form.</w:t>
            </w:r>
          </w:p>
          <w:p>
            <w:pPr>
              <w:spacing w:after="40" w:before="60" w:line="259" w:lineRule="auto"/>
            </w:pPr>
            <w:r>
              <w:rPr>
                <w:rFonts w:ascii="Calibri" w:hAnsi="Calibri"/>
                <w:b w:val="0"/>
                <w:i w:val="0"/>
                <w:color w:val="212121"/>
                <w:sz w:val="19"/>
              </w:rPr>
              <w:t>Rajasthan accounted for 2,956 (about 54%) of India's 5,485 fluoride-affected habitations in 2020.</w:t>
            </w:r>
          </w:p>
          <w:p>
            <w:pPr>
              <w:spacing w:after="40" w:line="252" w:lineRule="auto"/>
            </w:pPr>
            <w:hyperlink r:id="rId11">
              <w:r>
                <w:rPr>
                  <w:rFonts w:ascii="Calibri" w:hAnsi="Calibri" w:cs="Calibri"/>
                  <w:sz w:val="18"/>
                  <w:color w:val="1155CC"/>
                  <w:u w:val="single"/>
                </w:rPr>
                <w:t xml:space="preserve">factly.in - state-wise fluoride-affected habitations</w:t>
              </w:r>
            </w:hyperlink>
          </w:p>
          <w:p>
            <w:pPr>
              <w:spacing w:before="60" w:after="40"/>
            </w:pPr>
            <w:r>
              <w:rPr>
                <w:rFonts w:ascii="Calibri" w:hAnsi="Calibri"/>
                <w:b w:val="0"/>
                <w:i w:val="0"/>
                <w:color w:val="5A5A5A"/>
                <w:sz w:val="18"/>
              </w:rPr>
              <w:t>#Rajasthan  #aridzone  #granitic  #groundwater  #largestburden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Telangana &amp; Andhra Pradesh (Nalgonda belt)</w:t>
            </w:r>
          </w:p>
        </w:tc>
        <w:tc>
          <w:tcPr>
            <w:tcW w:type="dxa" w:w="4276"/>
            <w:vAlign w:val="top"/>
          </w:tcPr>
          <w:p>
            <w:pPr>
              <w:spacing w:after="60" w:line="259" w:lineRule="auto"/>
            </w:pPr>
            <w:r>
              <w:rPr>
                <w:rFonts w:ascii="Calibri" w:hAnsi="Calibri"/>
                <w:b w:val="0"/>
                <w:i w:val="0"/>
                <w:color w:val="212121"/>
                <w:sz w:val="19"/>
              </w:rPr>
              <w:t>The Nalgonda belt is the classic Indian fluorosis endemic zone, where groundwater fluoride has reached 10-12 ppm; generations of children exposed to such water developed severe mottling, though sustained state safe-water schemes have since sharply reduced affected habitations.</w:t>
            </w:r>
          </w:p>
          <w:p>
            <w:pPr>
              <w:spacing w:after="40" w:before="60" w:line="259" w:lineRule="auto"/>
            </w:pPr>
            <w:r>
              <w:rPr>
                <w:rFonts w:ascii="Calibri" w:hAnsi="Calibri"/>
                <w:b w:val="0"/>
                <w:i w:val="0"/>
                <w:color w:val="212121"/>
                <w:sz w:val="19"/>
              </w:rPr>
              <w:t>Groundwater fluoride in Nalgonda has been recorded at 10-12 ppm, far above the WHO guideline value of 1.5 mg/L.</w:t>
            </w:r>
          </w:p>
          <w:p>
            <w:pPr>
              <w:spacing w:after="40" w:line="252" w:lineRule="auto"/>
            </w:pPr>
            <w:hyperlink r:id="rId12">
              <w:r>
                <w:rPr>
                  <w:rFonts w:ascii="Calibri" w:hAnsi="Calibri" w:cs="Calibri"/>
                  <w:sz w:val="18"/>
                  <w:color w:val="1155CC"/>
                  <w:u w:val="single"/>
                </w:rPr>
                <w:t xml:space="preserve">fluoridealert.org - Nalgonda district fluoride levels</w:t>
              </w:r>
            </w:hyperlink>
          </w:p>
          <w:p>
            <w:pPr>
              <w:spacing w:before="60" w:after="40"/>
            </w:pPr>
            <w:r>
              <w:rPr>
                <w:rFonts w:ascii="Calibri" w:hAnsi="Calibri"/>
                <w:b w:val="0"/>
                <w:i w:val="0"/>
                <w:color w:val="5A5A5A"/>
                <w:sz w:val="18"/>
              </w:rPr>
              <w:t>#Nalgonda  #Telangana  #AndhraPradesh  #endemicbelt  #12ppm</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Karnataka (Deccan plateau - Raichur, Gadag, Bagalkot, Kolar)</w:t>
            </w:r>
          </w:p>
        </w:tc>
        <w:tc>
          <w:tcPr>
            <w:tcW w:type="dxa" w:w="4276"/>
            <w:vAlign w:val="top"/>
          </w:tcPr>
          <w:p>
            <w:pPr>
              <w:spacing w:after="60" w:line="259" w:lineRule="auto"/>
            </w:pPr>
            <w:r>
              <w:rPr>
                <w:rFonts w:ascii="Calibri" w:hAnsi="Calibri"/>
                <w:b w:val="0"/>
                <w:i w:val="0"/>
                <w:color w:val="212121"/>
                <w:sz w:val="19"/>
              </w:rPr>
              <w:t>Karnataka's Deccan-plateau districts have widespread high-fluoride groundwater and long dependence on borewell water, so they now carry a large share of India's community fluorosis; endemic villages report very high childhood dental fluorosis.</w:t>
            </w:r>
          </w:p>
          <w:p>
            <w:pPr>
              <w:spacing w:after="40" w:before="60" w:line="259" w:lineRule="auto"/>
            </w:pPr>
            <w:r>
              <w:rPr>
                <w:rFonts w:ascii="Calibri" w:hAnsi="Calibri"/>
                <w:b w:val="0"/>
                <w:i w:val="0"/>
                <w:color w:val="212121"/>
                <w:sz w:val="19"/>
              </w:rPr>
              <w:t>Karnataka accounts for roughly 60% of community-level dental fluorosis cases in India, and 46% of 6-12-year-olds were affected in one aspirational district.</w:t>
            </w:r>
          </w:p>
          <w:p>
            <w:pPr>
              <w:spacing w:after="40" w:line="252" w:lineRule="auto"/>
            </w:pPr>
            <w:hyperlink r:id="rId11">
              <w:r>
                <w:rPr>
                  <w:rFonts w:ascii="Calibri" w:hAnsi="Calibri" w:cs="Calibri"/>
                  <w:sz w:val="18"/>
                  <w:color w:val="1155CC"/>
                  <w:u w:val="single"/>
                </w:rPr>
                <w:t xml:space="preserve">factly.in - state share of fluorosis</w:t>
              </w:r>
            </w:hyperlink>
          </w:p>
          <w:p>
            <w:pPr>
              <w:spacing w:before="60" w:after="40"/>
            </w:pPr>
            <w:r>
              <w:rPr>
                <w:rFonts w:ascii="Calibri" w:hAnsi="Calibri"/>
                <w:b w:val="0"/>
                <w:i w:val="0"/>
                <w:color w:val="5A5A5A"/>
                <w:sz w:val="18"/>
              </w:rPr>
              <w:t>#Karnataka  #Deccan  #Raichur  #Bagalkot  #communityburden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Western India (highest prevalence)</w:t>
            </w:r>
          </w:p>
        </w:tc>
        <w:tc>
          <w:tcPr>
            <w:tcW w:type="dxa" w:w="4276"/>
            <w:vAlign w:val="top"/>
          </w:tcPr>
          <w:p>
            <w:pPr>
              <w:spacing w:after="60" w:line="259" w:lineRule="auto"/>
            </w:pPr>
            <w:r>
              <w:rPr>
                <w:rFonts w:ascii="Calibri" w:hAnsi="Calibri"/>
                <w:b w:val="0"/>
                <w:i w:val="0"/>
                <w:color w:val="212121"/>
                <w:sz w:val="19"/>
              </w:rPr>
              <w:t>Western India (Rajasthan, Gujarat and neighbouring belts) combines fluoride-rich aquifers with a hot, arid climate that drives high water intake, and shows the highest regional dental fluorosis in the country.</w:t>
            </w:r>
          </w:p>
          <w:p>
            <w:pPr>
              <w:spacing w:after="40" w:before="60" w:line="259" w:lineRule="auto"/>
            </w:pPr>
            <w:r>
              <w:rPr>
                <w:rFonts w:ascii="Calibri" w:hAnsi="Calibri"/>
                <w:b w:val="0"/>
                <w:i w:val="0"/>
                <w:color w:val="212121"/>
                <w:sz w:val="19"/>
              </w:rPr>
              <w:t>Western India exhibited the highest regional prevalence of dental fluorosis at about 43.9% in the 2025 meta-analysis.</w:t>
            </w:r>
          </w:p>
          <w:p>
            <w:pPr>
              <w:spacing w:after="40" w:line="252" w:lineRule="auto"/>
            </w:pPr>
            <w:hyperlink r:id="rId9">
              <w:r>
                <w:rPr>
                  <w:rFonts w:ascii="Calibri" w:hAnsi="Calibri" w:cs="Calibri"/>
                  <w:sz w:val="18"/>
                  <w:color w:val="1155CC"/>
                  <w:u w:val="single"/>
                </w:rPr>
                <w:t xml:space="preserve">pubmed.ncbi.nlm.nih.gov/40741788 - regional prevalence</w:t>
              </w:r>
            </w:hyperlink>
          </w:p>
          <w:p>
            <w:pPr>
              <w:spacing w:before="60" w:after="40"/>
            </w:pPr>
            <w:r>
              <w:rPr>
                <w:rFonts w:ascii="Calibri" w:hAnsi="Calibri"/>
                <w:b w:val="0"/>
                <w:i w:val="0"/>
                <w:color w:val="5A5A5A"/>
                <w:sz w:val="18"/>
              </w:rPr>
              <w:t>#westernIndia  #Gujarat  #Rajasthan  #aridclimate  #highestregion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climate</w:t>
            </w:r>
          </w:p>
        </w:tc>
        <w:tc>
          <w:tcPr>
            <w:tcW w:type="dxa" w:w="2160"/>
            <w:vAlign w:val="top"/>
          </w:tcPr>
          <w:p>
            <w:pPr>
              <w:spacing w:after="40" w:before="0" w:line="259" w:lineRule="auto"/>
            </w:pPr>
            <w:r>
              <w:rPr>
                <w:rFonts w:ascii="Calibri" w:hAnsi="Calibri"/>
                <w:b w:val="0"/>
                <w:i w:val="0"/>
                <w:color w:val="212121"/>
                <w:sz w:val="19"/>
              </w:rPr>
              <w:t>Haryana &amp; North India (Rohtak, Sirsa; hot semi-arid)</w:t>
            </w:r>
          </w:p>
        </w:tc>
        <w:tc>
          <w:tcPr>
            <w:tcW w:type="dxa" w:w="4276"/>
            <w:vAlign w:val="top"/>
          </w:tcPr>
          <w:p>
            <w:pPr>
              <w:spacing w:after="60" w:line="259" w:lineRule="auto"/>
            </w:pPr>
            <w:r>
              <w:rPr>
                <w:rFonts w:ascii="Calibri" w:hAnsi="Calibri"/>
                <w:b w:val="0"/>
                <w:i w:val="0"/>
                <w:color w:val="212121"/>
                <w:sz w:val="19"/>
              </w:rPr>
              <w:t>Parts of Haryana, Punjab, Uttar Pradesh and Bihar sit on fluoride-bearing aquifers; the hot semi-arid climate raises water intake and thus the fluoride dose delivered to developing teeth.</w:t>
            </w:r>
          </w:p>
          <w:p>
            <w:pPr>
              <w:spacing w:after="40" w:before="60" w:line="259" w:lineRule="auto"/>
            </w:pPr>
            <w:r>
              <w:rPr>
                <w:rFonts w:ascii="Calibri" w:hAnsi="Calibri"/>
                <w:b w:val="0"/>
                <w:i w:val="0"/>
                <w:color w:val="212121"/>
                <w:sz w:val="19"/>
              </w:rPr>
              <w:t>Dental fluorosis and caries are both reported at high frequency in fluoride-endemic areas of Rohtak district, Haryana.</w:t>
            </w:r>
          </w:p>
          <w:p>
            <w:pPr>
              <w:spacing w:after="40" w:line="252" w:lineRule="auto"/>
            </w:pPr>
            <w:hyperlink r:id="rId13">
              <w:r>
                <w:rPr>
                  <w:rFonts w:ascii="Calibri" w:hAnsi="Calibri" w:cs="Calibri"/>
                  <w:sz w:val="18"/>
                  <w:color w:val="1155CC"/>
                  <w:u w:val="single"/>
                </w:rPr>
                <w:t xml:space="preserve">pubmed.ncbi.nlm.nih.gov/35859405 - Rohtak (Haryana) fluorosis</w:t>
              </w:r>
            </w:hyperlink>
          </w:p>
          <w:p>
            <w:pPr>
              <w:spacing w:before="60" w:after="40"/>
            </w:pPr>
            <w:r>
              <w:rPr>
                <w:rFonts w:ascii="Calibri" w:hAnsi="Calibri"/>
                <w:b w:val="0"/>
                <w:i w:val="0"/>
                <w:color w:val="5A5A5A"/>
                <w:sz w:val="18"/>
              </w:rPr>
              <w:t>#Haryana  #Rohtak  #northIndia  #semiarid  #endemic</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Water source</w:t>
            </w:r>
          </w:p>
        </w:tc>
        <w:tc>
          <w:tcPr>
            <w:tcW w:type="dxa" w:w="2160"/>
            <w:vAlign w:val="top"/>
          </w:tcPr>
          <w:p>
            <w:pPr>
              <w:spacing w:after="40" w:before="0" w:line="259" w:lineRule="auto"/>
            </w:pPr>
            <w:r>
              <w:rPr>
                <w:rFonts w:ascii="Calibri" w:hAnsi="Calibri"/>
                <w:b w:val="0"/>
                <w:i w:val="0"/>
                <w:color w:val="212121"/>
                <w:sz w:val="19"/>
              </w:rPr>
              <w:t>Deep-borewell / groundwater-dependent communities</w:t>
            </w:r>
          </w:p>
        </w:tc>
        <w:tc>
          <w:tcPr>
            <w:tcW w:type="dxa" w:w="4276"/>
            <w:vAlign w:val="top"/>
          </w:tcPr>
          <w:p>
            <w:pPr>
              <w:spacing w:after="60" w:line="259" w:lineRule="auto"/>
            </w:pPr>
            <w:r>
              <w:rPr>
                <w:rFonts w:ascii="Calibri" w:hAnsi="Calibri"/>
                <w:b w:val="0"/>
                <w:i w:val="0"/>
                <w:color w:val="212121"/>
                <w:sz w:val="19"/>
              </w:rPr>
              <w:t>Untreated groundwater from deep borewells in fluoride-bearing rock is the principal exposure route; deeper, older aquifers dissolve more fluoride, and reliance on such water throughout early childhood is the dominant driver of endemic dental fluorosis.</w:t>
            </w:r>
          </w:p>
          <w:p>
            <w:pPr>
              <w:spacing w:after="40" w:before="60" w:line="259" w:lineRule="auto"/>
            </w:pPr>
            <w:r>
              <w:rPr>
                <w:rFonts w:ascii="Calibri" w:hAnsi="Calibri"/>
                <w:b w:val="0"/>
                <w:i w:val="0"/>
                <w:color w:val="212121"/>
                <w:sz w:val="19"/>
              </w:rPr>
              <w:t>Where drinking-water fluoride exceeded 1 mg/L, pooled dental fluorosis was about 50.3%, versus about 15.1% at levels below 1 mg/L.</w:t>
            </w:r>
          </w:p>
          <w:p>
            <w:pPr>
              <w:spacing w:after="40" w:line="252" w:lineRule="auto"/>
            </w:pPr>
            <w:hyperlink r:id="rId9">
              <w:r>
                <w:rPr>
                  <w:rFonts w:ascii="Calibri" w:hAnsi="Calibri" w:cs="Calibri"/>
                  <w:sz w:val="18"/>
                  <w:color w:val="1155CC"/>
                  <w:u w:val="single"/>
                </w:rPr>
                <w:t xml:space="preserve">pubmed.ncbi.nlm.nih.gov/40741788 - by water fluoride level</w:t>
              </w:r>
            </w:hyperlink>
          </w:p>
          <w:p>
            <w:pPr>
              <w:spacing w:before="60" w:after="40"/>
            </w:pPr>
            <w:r>
              <w:rPr>
                <w:rFonts w:ascii="Calibri" w:hAnsi="Calibri"/>
                <w:b w:val="0"/>
                <w:i w:val="0"/>
                <w:color w:val="5A5A5A"/>
                <w:sz w:val="18"/>
              </w:rPr>
              <w:t>#borewell  #groundwater  #watersource  #BISlimit  #dosedependent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Oral-care behaviour</w:t>
            </w:r>
          </w:p>
        </w:tc>
        <w:tc>
          <w:tcPr>
            <w:tcW w:type="dxa" w:w="2160"/>
            <w:vAlign w:val="top"/>
          </w:tcPr>
          <w:p>
            <w:pPr>
              <w:spacing w:after="40" w:before="0" w:line="259" w:lineRule="auto"/>
            </w:pPr>
            <w:r>
              <w:rPr>
                <w:rFonts w:ascii="Calibri" w:hAnsi="Calibri"/>
                <w:b w:val="0"/>
                <w:i w:val="0"/>
                <w:color w:val="212121"/>
                <w:sz w:val="19"/>
              </w:rPr>
              <w:t>Toddlers swallowing fluoride toothpaste / early supplements</w:t>
            </w:r>
          </w:p>
        </w:tc>
        <w:tc>
          <w:tcPr>
            <w:tcW w:type="dxa" w:w="4276"/>
            <w:vAlign w:val="top"/>
          </w:tcPr>
          <w:p>
            <w:pPr>
              <w:spacing w:after="60" w:line="259" w:lineRule="auto"/>
            </w:pPr>
            <w:r>
              <w:rPr>
                <w:rFonts w:ascii="Calibri" w:hAnsi="Calibri"/>
                <w:b w:val="0"/>
                <w:i w:val="0"/>
                <w:color w:val="212121"/>
                <w:sz w:val="19"/>
              </w:rPr>
              <w:t>Children under six who use more than a pea-sized amount of fluoride toothpaste and swallow it, or who are given fluoride drops/tablets, receive an extra systemic dose during the very years their permanent teeth are mineralizing - a preventable cause of fluorosis even where water fluoride is acceptable.</w:t>
            </w:r>
          </w:p>
          <w:p>
            <w:pPr>
              <w:spacing w:after="40" w:before="60" w:line="259" w:lineRule="auto"/>
            </w:pPr>
            <w:r>
              <w:rPr>
                <w:rFonts w:ascii="Calibri" w:hAnsi="Calibri"/>
                <w:b w:val="0"/>
                <w:i w:val="0"/>
                <w:color w:val="212121"/>
                <w:sz w:val="19"/>
              </w:rPr>
              <w:t>Swallowed fluoride toothpaste and fluoride supplements in early childhood are recognized non-water contributors to dental fluorosis.</w:t>
            </w:r>
          </w:p>
          <w:p>
            <w:pPr>
              <w:spacing w:before="60" w:after="40"/>
            </w:pPr>
            <w:r>
              <w:rPr>
                <w:rFonts w:ascii="Calibri" w:hAnsi="Calibri"/>
                <w:b w:val="0"/>
                <w:i w:val="0"/>
                <w:color w:val="5A5A5A"/>
                <w:sz w:val="18"/>
              </w:rPr>
              <w:t>#toothpaste  #swallowing  #supplements  #toddlers  #preventable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Beverage</w:t>
            </w:r>
          </w:p>
        </w:tc>
        <w:tc>
          <w:tcPr>
            <w:tcW w:type="dxa" w:w="2160"/>
            <w:vAlign w:val="top"/>
          </w:tcPr>
          <w:p>
            <w:pPr>
              <w:spacing w:after="40" w:before="0" w:line="259" w:lineRule="auto"/>
            </w:pPr>
            <w:r>
              <w:rPr>
                <w:rFonts w:ascii="Calibri" w:hAnsi="Calibri"/>
                <w:b w:val="0"/>
                <w:i w:val="0"/>
                <w:color w:val="212121"/>
                <w:sz w:val="19"/>
              </w:rPr>
              <w:t>Heavy black/brick-tea consuming households</w:t>
            </w:r>
          </w:p>
        </w:tc>
        <w:tc>
          <w:tcPr>
            <w:tcW w:type="dxa" w:w="4276"/>
            <w:vAlign w:val="top"/>
          </w:tcPr>
          <w:p>
            <w:pPr>
              <w:spacing w:after="60" w:line="259" w:lineRule="auto"/>
            </w:pPr>
            <w:r>
              <w:rPr>
                <w:rFonts w:ascii="Calibri" w:hAnsi="Calibri"/>
                <w:b w:val="0"/>
                <w:i w:val="0"/>
                <w:color w:val="212121"/>
                <w:sz w:val="19"/>
              </w:rPr>
              <w:t>The tea plant concentrates fluoride, so strong black or brick tea is itself a meaningful dietary fluoride source; heavy consumption by mothers and young children adds to the water-borne dose.</w:t>
            </w:r>
          </w:p>
          <w:p>
            <w:pPr>
              <w:spacing w:after="40" w:before="60" w:line="259" w:lineRule="auto"/>
            </w:pPr>
            <w:r>
              <w:rPr>
                <w:rFonts w:ascii="Calibri" w:hAnsi="Calibri"/>
                <w:b w:val="0"/>
                <w:i w:val="0"/>
                <w:color w:val="212121"/>
                <w:sz w:val="19"/>
              </w:rPr>
              <w:t>Black tea is listed among the dietary fluoride sources contributing to fluorosis in India.</w:t>
            </w:r>
          </w:p>
          <w:p>
            <w:pPr>
              <w:spacing w:after="40" w:line="252" w:lineRule="auto"/>
            </w:pPr>
            <w:hyperlink r:id="rId14">
              <w:r>
                <w:rPr>
                  <w:rFonts w:ascii="Calibri" w:hAnsi="Calibri" w:cs="Calibri"/>
                  <w:sz w:val="18"/>
                  <w:color w:val="1155CC"/>
                  <w:u w:val="single"/>
                </w:rPr>
                <w:t xml:space="preserve">ncdc.mohfw.gov.in - CD Alert on Fluorosis (2022)</w:t>
              </w:r>
            </w:hyperlink>
          </w:p>
          <w:p>
            <w:pPr>
              <w:spacing w:before="60" w:after="40"/>
            </w:pPr>
            <w:r>
              <w:rPr>
                <w:rFonts w:ascii="Calibri" w:hAnsi="Calibri"/>
                <w:b w:val="0"/>
                <w:i w:val="0"/>
                <w:color w:val="5A5A5A"/>
                <w:sz w:val="18"/>
              </w:rPr>
              <w:t>#blacktea  #bricktea  #dietaryfluoride  #beverage  #additivesource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Low calcium / vitamin C &amp; D diet</w:t>
            </w:r>
          </w:p>
        </w:tc>
        <w:tc>
          <w:tcPr>
            <w:tcW w:type="dxa" w:w="2160"/>
            <w:vAlign w:val="top"/>
          </w:tcPr>
          <w:p>
            <w:pPr>
              <w:spacing w:after="40" w:before="0" w:line="259" w:lineRule="auto"/>
            </w:pPr>
            <w:r>
              <w:rPr>
                <w:rFonts w:ascii="Calibri" w:hAnsi="Calibri"/>
                <w:b w:val="0"/>
                <w:i w:val="0"/>
                <w:color w:val="212121"/>
                <w:sz w:val="19"/>
              </w:rPr>
              <w:t>Calcium- and vitamin-deficient children</w:t>
            </w:r>
          </w:p>
        </w:tc>
        <w:tc>
          <w:tcPr>
            <w:tcW w:type="dxa" w:w="4276"/>
            <w:vAlign w:val="top"/>
          </w:tcPr>
          <w:p>
            <w:pPr>
              <w:spacing w:after="60" w:line="259" w:lineRule="auto"/>
            </w:pPr>
            <w:r>
              <w:rPr>
                <w:rFonts w:ascii="Calibri" w:hAnsi="Calibri"/>
                <w:b w:val="0"/>
                <w:i w:val="0"/>
                <w:color w:val="212121"/>
                <w:sz w:val="19"/>
              </w:rPr>
              <w:t>A diet poor in calcium, vitamin C and vitamin D increases gastrointestinal absorption and skeletal/enamel retention of fluoride and worsens its toxicity; the combination of high fluoride with poor nutrition produces more severe dental (and juvenile skeletal) fluorosis.</w:t>
            </w:r>
          </w:p>
          <w:p>
            <w:pPr>
              <w:spacing w:after="40" w:before="60" w:line="259" w:lineRule="auto"/>
            </w:pPr>
            <w:r>
              <w:rPr>
                <w:rFonts w:ascii="Calibri" w:hAnsi="Calibri"/>
                <w:b w:val="0"/>
                <w:i w:val="0"/>
                <w:color w:val="212121"/>
                <w:sz w:val="19"/>
              </w:rPr>
              <w:t>Low calcium and vitamin C/D intake increases fluoride absorption and retention, amplifying fluorotic damage.</w:t>
            </w:r>
          </w:p>
          <w:p>
            <w:pPr>
              <w:spacing w:before="60" w:after="40"/>
            </w:pPr>
            <w:r>
              <w:rPr>
                <w:rFonts w:ascii="Calibri" w:hAnsi="Calibri"/>
                <w:b w:val="0"/>
                <w:i w:val="0"/>
                <w:color w:val="5A5A5A"/>
                <w:sz w:val="18"/>
              </w:rPr>
              <w:t>#lowcalcium  #vitaminD  #vitaminC  #malnutrition  #retention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High-fluoride foods</w:t>
            </w:r>
          </w:p>
        </w:tc>
        <w:tc>
          <w:tcPr>
            <w:tcW w:type="dxa" w:w="2160"/>
            <w:vAlign w:val="top"/>
          </w:tcPr>
          <w:p>
            <w:pPr>
              <w:spacing w:after="40" w:before="0" w:line="259" w:lineRule="auto"/>
            </w:pPr>
            <w:r>
              <w:rPr>
                <w:rFonts w:ascii="Calibri" w:hAnsi="Calibri"/>
                <w:b w:val="0"/>
                <w:i w:val="0"/>
                <w:color w:val="212121"/>
                <w:sz w:val="19"/>
              </w:rPr>
              <w:t>Rock-salt / tinned-food consumers</w:t>
            </w:r>
          </w:p>
        </w:tc>
        <w:tc>
          <w:tcPr>
            <w:tcW w:type="dxa" w:w="4276"/>
            <w:vAlign w:val="top"/>
          </w:tcPr>
          <w:p>
            <w:pPr>
              <w:spacing w:after="60" w:line="259" w:lineRule="auto"/>
            </w:pPr>
            <w:r>
              <w:rPr>
                <w:rFonts w:ascii="Calibri" w:hAnsi="Calibri"/>
                <w:b w:val="0"/>
                <w:i w:val="0"/>
                <w:color w:val="212121"/>
                <w:sz w:val="19"/>
              </w:rPr>
              <w:t>Black and red rock salt, some tinned foods, and produce grown on high-fluoride soils add to total intake on top of water; where these are staples, children accumulate more fluoride during tooth formation.</w:t>
            </w:r>
          </w:p>
          <w:p>
            <w:pPr>
              <w:spacing w:after="40" w:before="60" w:line="259" w:lineRule="auto"/>
            </w:pPr>
            <w:r>
              <w:rPr>
                <w:rFonts w:ascii="Calibri" w:hAnsi="Calibri"/>
                <w:b w:val="0"/>
                <w:i w:val="0"/>
                <w:color w:val="212121"/>
                <w:sz w:val="19"/>
              </w:rPr>
              <w:t>Black/red rock salt and tinned foods are recognized dietary contributors that add to water-borne fluoride intake.</w:t>
            </w:r>
          </w:p>
          <w:p>
            <w:pPr>
              <w:spacing w:after="40" w:line="252" w:lineRule="auto"/>
            </w:pPr>
            <w:hyperlink r:id="rId14">
              <w:r>
                <w:rPr>
                  <w:rFonts w:ascii="Calibri" w:hAnsi="Calibri" w:cs="Calibri"/>
                  <w:sz w:val="18"/>
                  <w:color w:val="1155CC"/>
                  <w:u w:val="single"/>
                </w:rPr>
                <w:t xml:space="preserve">ncdc.mohfw.gov.in - CD Alert on Fluorosis (2022)</w:t>
              </w:r>
            </w:hyperlink>
          </w:p>
          <w:p>
            <w:pPr>
              <w:spacing w:before="60" w:after="40"/>
            </w:pPr>
            <w:r>
              <w:rPr>
                <w:rFonts w:ascii="Calibri" w:hAnsi="Calibri"/>
                <w:b w:val="0"/>
                <w:i w:val="0"/>
                <w:color w:val="5A5A5A"/>
                <w:sz w:val="18"/>
              </w:rPr>
              <w:t>#rocksalt  #tinnedfood  #dietaryfluoride  #staples  #intake</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 household clustering</w:t>
            </w:r>
          </w:p>
        </w:tc>
        <w:tc>
          <w:tcPr>
            <w:tcW w:type="dxa" w:w="2160"/>
            <w:vAlign w:val="top"/>
          </w:tcPr>
          <w:p>
            <w:pPr>
              <w:spacing w:after="40" w:before="0" w:line="259" w:lineRule="auto"/>
            </w:pPr>
            <w:r>
              <w:rPr>
                <w:rFonts w:ascii="Calibri" w:hAnsi="Calibri"/>
                <w:b w:val="0"/>
                <w:i w:val="0"/>
                <w:color w:val="212121"/>
                <w:sz w:val="19"/>
              </w:rPr>
              <w:t>Siblings sharing a contaminated source</w:t>
            </w:r>
          </w:p>
        </w:tc>
        <w:tc>
          <w:tcPr>
            <w:tcW w:type="dxa" w:w="4276"/>
            <w:vAlign w:val="top"/>
          </w:tcPr>
          <w:p>
            <w:pPr>
              <w:spacing w:after="60" w:line="259" w:lineRule="auto"/>
            </w:pPr>
            <w:r>
              <w:rPr>
                <w:rFonts w:ascii="Calibri" w:hAnsi="Calibri"/>
                <w:b w:val="0"/>
                <w:i w:val="0"/>
                <w:color w:val="212121"/>
                <w:sz w:val="19"/>
              </w:rPr>
              <w:t>Dental fluorosis clusters within households and villages because family members share the same contaminated water and diet during childhood; individual differences in fluoride handling and enamel biology further modulate who is worst affected at the same exposure.</w:t>
            </w:r>
          </w:p>
          <w:p>
            <w:pPr>
              <w:spacing w:after="40" w:before="60" w:line="259" w:lineRule="auto"/>
            </w:pPr>
            <w:r>
              <w:rPr>
                <w:rFonts w:ascii="Calibri" w:hAnsi="Calibri"/>
                <w:b w:val="0"/>
                <w:i w:val="0"/>
                <w:color w:val="212121"/>
                <w:sz w:val="19"/>
              </w:rPr>
              <w:t>Household and village clustering reflects a shared water source and diet, so siblings are typically affected together.</w:t>
            </w:r>
          </w:p>
          <w:p>
            <w:pPr>
              <w:spacing w:before="60" w:after="40"/>
            </w:pPr>
            <w:r>
              <w:rPr>
                <w:rFonts w:ascii="Calibri" w:hAnsi="Calibri"/>
                <w:b w:val="0"/>
                <w:i w:val="0"/>
                <w:color w:val="5A5A5A"/>
                <w:sz w:val="18"/>
              </w:rPr>
              <w:t>#familyclustering  #siblings  #sharedsource  #susceptibility  #village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Skeletal fluorosis</w:t>
            </w:r>
          </w:p>
        </w:tc>
        <w:tc>
          <w:tcPr>
            <w:tcW w:type="dxa" w:w="2160"/>
            <w:vAlign w:val="top"/>
          </w:tcPr>
          <w:p>
            <w:pPr>
              <w:spacing w:after="40" w:before="0" w:line="259" w:lineRule="auto"/>
            </w:pPr>
            <w:r>
              <w:rPr>
                <w:rFonts w:ascii="Calibri" w:hAnsi="Calibri"/>
                <w:b w:val="0"/>
                <w:i w:val="0"/>
                <w:color w:val="212121"/>
                <w:sz w:val="19"/>
              </w:rPr>
              <w:t>Residents with skeletal/non-skeletal fluorosis</w:t>
            </w:r>
          </w:p>
        </w:tc>
        <w:tc>
          <w:tcPr>
            <w:tcW w:type="dxa" w:w="4276"/>
            <w:vAlign w:val="top"/>
          </w:tcPr>
          <w:p>
            <w:pPr>
              <w:spacing w:after="60" w:line="259" w:lineRule="auto"/>
            </w:pPr>
            <w:r>
              <w:rPr>
                <w:rFonts w:ascii="Calibri" w:hAnsi="Calibri"/>
                <w:b w:val="0"/>
                <w:i w:val="0"/>
                <w:color w:val="212121"/>
                <w:sz w:val="19"/>
              </w:rPr>
              <w:t>Dental fluorosis reflects childhood fluoride exposure and is an early, visible sentinel of the same excess fluoride that later produces skeletal and non-skeletal fluorosis; the two commonly coexist in endemic villages, so mottled teeth flag a community at risk of crippling bone disease.</w:t>
            </w:r>
          </w:p>
          <w:p>
            <w:pPr>
              <w:spacing w:after="40" w:before="60" w:line="259" w:lineRule="auto"/>
            </w:pPr>
            <w:r>
              <w:rPr>
                <w:rFonts w:ascii="Calibri" w:hAnsi="Calibri"/>
                <w:b w:val="0"/>
                <w:i w:val="0"/>
                <w:color w:val="212121"/>
                <w:sz w:val="19"/>
              </w:rPr>
              <w:t>In India about 25 million people are affected by fluorosis and roughly 66 million are at risk; dental and skeletal forms frequently coexist in endemic populations.</w:t>
            </w:r>
          </w:p>
          <w:p>
            <w:pPr>
              <w:spacing w:after="40" w:line="252" w:lineRule="auto"/>
            </w:pPr>
            <w:hyperlink r:id="rId12">
              <w:r>
                <w:rPr>
                  <w:rFonts w:ascii="Calibri" w:hAnsi="Calibri" w:cs="Calibri"/>
                  <w:sz w:val="18"/>
                  <w:color w:val="1155CC"/>
                  <w:u w:val="single"/>
                </w:rPr>
                <w:t xml:space="preserve">fluoridealert.org - fluorosis burden in India</w:t>
              </w:r>
            </w:hyperlink>
          </w:p>
          <w:p>
            <w:pPr>
              <w:spacing w:before="60" w:after="40"/>
            </w:pPr>
            <w:r>
              <w:rPr>
                <w:rFonts w:ascii="Calibri" w:hAnsi="Calibri"/>
                <w:b w:val="0"/>
                <w:i w:val="0"/>
                <w:color w:val="5A5A5A"/>
                <w:sz w:val="18"/>
              </w:rPr>
              <w:t>#skeletalfluorosis  #sentinelmarker  #sharedexposure  #coexist  #endemic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kidney disease</w:t>
            </w:r>
          </w:p>
        </w:tc>
        <w:tc>
          <w:tcPr>
            <w:tcW w:type="dxa" w:w="2160"/>
            <w:vAlign w:val="top"/>
          </w:tcPr>
          <w:p>
            <w:pPr>
              <w:spacing w:after="40" w:before="0" w:line="259" w:lineRule="auto"/>
            </w:pPr>
            <w:r>
              <w:rPr>
                <w:rFonts w:ascii="Calibri" w:hAnsi="Calibri"/>
                <w:b w:val="0"/>
                <w:i w:val="0"/>
                <w:color w:val="212121"/>
                <w:sz w:val="19"/>
              </w:rPr>
              <w:t>Children/adults with renal impairment</w:t>
            </w:r>
          </w:p>
        </w:tc>
        <w:tc>
          <w:tcPr>
            <w:tcW w:type="dxa" w:w="4276"/>
            <w:vAlign w:val="top"/>
          </w:tcPr>
          <w:p>
            <w:pPr>
              <w:spacing w:after="60" w:line="259" w:lineRule="auto"/>
            </w:pPr>
            <w:r>
              <w:rPr>
                <w:rFonts w:ascii="Calibri" w:hAnsi="Calibri"/>
                <w:b w:val="0"/>
                <w:i w:val="0"/>
                <w:color w:val="212121"/>
                <w:sz w:val="19"/>
              </w:rPr>
              <w:t>The kidney clears about half of absorbed fluoride, so impaired renal function raises the body fluoride burden and can worsen fluorosis at lower intakes; developing teeth are exposed to a higher effective dose when excretion is reduced.</w:t>
            </w:r>
          </w:p>
          <w:p>
            <w:pPr>
              <w:spacing w:after="40" w:before="60" w:line="259" w:lineRule="auto"/>
            </w:pPr>
            <w:r>
              <w:rPr>
                <w:rFonts w:ascii="Calibri" w:hAnsi="Calibri"/>
                <w:b w:val="0"/>
                <w:i w:val="0"/>
                <w:color w:val="212121"/>
                <w:sz w:val="19"/>
              </w:rPr>
              <w:t>Reduced renal clearance increases fluoride retention, lowering the exposure threshold for fluorotic damage.</w:t>
            </w:r>
          </w:p>
          <w:p>
            <w:pPr>
              <w:spacing w:before="60" w:after="40"/>
            </w:pPr>
            <w:r>
              <w:rPr>
                <w:rFonts w:ascii="Calibri" w:hAnsi="Calibri"/>
                <w:b w:val="0"/>
                <w:i w:val="0"/>
                <w:color w:val="5A5A5A"/>
                <w:sz w:val="18"/>
              </w:rPr>
              <w:t>#CKD  #renalexcretion  #retention  #bodyburden  #threshold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Malnutrition / vitamin-D deficiency</w:t>
            </w:r>
          </w:p>
        </w:tc>
        <w:tc>
          <w:tcPr>
            <w:tcW w:type="dxa" w:w="2160"/>
            <w:vAlign w:val="top"/>
          </w:tcPr>
          <w:p>
            <w:pPr>
              <w:spacing w:after="40" w:before="0" w:line="259" w:lineRule="auto"/>
            </w:pPr>
            <w:r>
              <w:rPr>
                <w:rFonts w:ascii="Calibri" w:hAnsi="Calibri"/>
                <w:b w:val="0"/>
                <w:i w:val="0"/>
                <w:color w:val="212121"/>
                <w:sz w:val="19"/>
              </w:rPr>
              <w:t>Malnourished children</w:t>
            </w:r>
          </w:p>
        </w:tc>
        <w:tc>
          <w:tcPr>
            <w:tcW w:type="dxa" w:w="4276"/>
            <w:vAlign w:val="top"/>
          </w:tcPr>
          <w:p>
            <w:pPr>
              <w:spacing w:after="60" w:line="259" w:lineRule="auto"/>
            </w:pPr>
            <w:r>
              <w:rPr>
                <w:rFonts w:ascii="Calibri" w:hAnsi="Calibri"/>
                <w:b w:val="0"/>
                <w:i w:val="0"/>
                <w:color w:val="212121"/>
                <w:sz w:val="19"/>
              </w:rPr>
              <w:t>Protein-energy malnutrition and calcium/vitamin-D deficiency coexist with fluorosis in poor endemic populations, increasing fluoride retention and producing more severe enamel defects and, in children, the combined dental-and-skeletal (genu-valgum) picture.</w:t>
            </w:r>
          </w:p>
          <w:p>
            <w:pPr>
              <w:spacing w:after="40" w:before="60" w:line="259" w:lineRule="auto"/>
            </w:pPr>
            <w:r>
              <w:rPr>
                <w:rFonts w:ascii="Calibri" w:hAnsi="Calibri"/>
                <w:b w:val="0"/>
                <w:i w:val="0"/>
                <w:color w:val="212121"/>
                <w:sz w:val="19"/>
              </w:rPr>
              <w:t>Coexisting calcium and vitamin-D deficiency amplifies fluorotic damage, particularly in growing children.</w:t>
            </w:r>
          </w:p>
          <w:p>
            <w:pPr>
              <w:spacing w:before="60" w:after="40"/>
            </w:pPr>
            <w:r>
              <w:rPr>
                <w:rFonts w:ascii="Calibri" w:hAnsi="Calibri"/>
                <w:b w:val="0"/>
                <w:i w:val="0"/>
                <w:color w:val="5A5A5A"/>
                <w:sz w:val="18"/>
              </w:rPr>
              <w:t>#malnutrition  #vitaminD  #calciumdeficiency  #severeenamel  #children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In hot climates, children who are physically active outdoors drink more water and so take in more fluoride from the same source during the tooth-forming years; activity is not causal but modifies the dose.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Diet strongly modifies risk: high-fluoride items (black/brick tea, rock salt, tinned foods) add to intake, while adequate calcium, vitamin C and vitamin D reduce fluoride absorption and retention and lessen enamel damage.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relationship between sleep and dental fluorosis; sleep is not a determinant of enamel mineralization, though tooth sensitivity or aesthetic anxiety in severe cases may secondarily affect wellbeing.</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Tobacco, bidi and paan add a small amount of fluoride to the body burden and, in adults, stain fluorotic enamel further; smoking does not cause the developmental defect itself.</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is not a meaningful fluoride source; heavy use with poor nutrition can worsen calcium and vitamin status but has little direct role in dental fluorosis.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Not causal; visible mottling, staining and pitting of the front teeth commonly cause embarrassment, low self-esteem and social anxiety, so the relationship is a psychosocial consequence of established disease.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Fluoride-contaminated groundwater during the first ~8 years of life is the single most important determinant; water above the BIS limit of 1.0 mg/L, and especially the WHO value of 1.5 mg/L, drives endemic dental fluorosis, with prevalence about 50% above 1 mg/L versus 15% below.</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Black/brick tea is a significant dietary fluoride source in India because tea leaves concentrate fluoride, so heavy tea consumption by mothers and children adds meaningfully to total intake.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Fluoride toothpaste is protective against caries but, when more than a pea-sized amount is swallowed by young children, is a preventable extra systemic fluoride source during tooth development; supervised brushing with an age-appropriate amount reduces this.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Prolonged residence in an endemic belt, reconstituting infant formula with high-fluoride water, and fluoride supplements or industrial exposure provoke or worsen fluorosis on top of drinking water.</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Drinking-water fluoride (mg/L)</w:t>
            </w:r>
          </w:p>
        </w:tc>
        <w:tc>
          <w:tcPr>
            <w:tcW w:type="dxa" w:w="1655"/>
            <w:vAlign w:val="top"/>
          </w:tcPr>
          <w:p>
            <w:pPr>
              <w:spacing w:after="40" w:before="0" w:line="259" w:lineRule="auto"/>
            </w:pPr>
            <w:r>
              <w:rPr>
                <w:rFonts w:ascii="Calibri" w:hAnsi="Calibri"/>
                <w:b w:val="0"/>
                <w:i w:val="0"/>
                <w:color w:val="212121"/>
                <w:sz w:val="19"/>
              </w:rPr>
              <w:t>Children in endemic areas</w:t>
            </w:r>
          </w:p>
        </w:tc>
        <w:tc>
          <w:tcPr>
            <w:tcW w:type="dxa" w:w="1512"/>
            <w:vAlign w:val="top"/>
          </w:tcPr>
          <w:p>
            <w:pPr>
              <w:spacing w:after="40" w:before="0" w:line="259" w:lineRule="auto"/>
            </w:pPr>
            <w:r>
              <w:rPr>
                <w:rFonts w:ascii="Calibri" w:hAnsi="Calibri"/>
                <w:b w:val="0"/>
                <w:i w:val="0"/>
                <w:color w:val="212121"/>
                <w:sz w:val="19"/>
              </w:rPr>
              <w:t>&lt;= 1.0 mg/L (BIS acceptable)</w:t>
            </w:r>
          </w:p>
        </w:tc>
        <w:tc>
          <w:tcPr>
            <w:tcW w:type="dxa" w:w="1512"/>
            <w:vAlign w:val="top"/>
          </w:tcPr>
          <w:p>
            <w:pPr>
              <w:spacing w:after="40" w:before="0" w:line="259" w:lineRule="auto"/>
            </w:pPr>
            <w:r>
              <w:rPr>
                <w:rFonts w:ascii="Calibri" w:hAnsi="Calibri"/>
                <w:b w:val="0"/>
                <w:i w:val="0"/>
                <w:color w:val="212121"/>
                <w:sz w:val="19"/>
              </w:rPr>
              <w:t>&gt; 1.5 mg/L (WHO); up to ~48 in endemic pockets</w:t>
            </w:r>
          </w:p>
        </w:tc>
        <w:tc>
          <w:tcPr>
            <w:tcW w:type="dxa" w:w="1468"/>
            <w:vAlign w:val="top"/>
          </w:tcPr>
          <w:p>
            <w:pPr>
              <w:spacing w:after="60" w:line="259" w:lineRule="auto"/>
            </w:pPr>
            <w:r>
              <w:rPr>
                <w:rFonts w:ascii="Calibri" w:hAnsi="Calibri"/>
                <w:b w:val="0"/>
                <w:i w:val="0"/>
                <w:color w:val="212121"/>
                <w:sz w:val="19"/>
              </w:rPr>
              <w:t>Principal determinant of dental fluorosis; test the source and switch during childhood</w:t>
            </w:r>
          </w:p>
          <w:p>
            <w:pPr>
              <w:spacing w:after="40" w:line="252" w:lineRule="auto"/>
            </w:pPr>
            <w:hyperlink r:id="rId14">
              <w:r>
                <w:rPr>
                  <w:rFonts w:ascii="Calibri" w:hAnsi="Calibri" w:cs="Calibri"/>
                  <w:sz w:val="18"/>
                  <w:color w:val="1155CC"/>
                  <w:u w:val="single"/>
                </w:rPr>
                <w:t xml:space="preserve">https://ncdc.mohfw.gov.in/wp-content/uploads/2024/05/CD-Alert-on-Fluorosis-Final-28-Apr-2022.pdf</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Daily drinking-water intake (L/day)</w:t>
            </w:r>
          </w:p>
        </w:tc>
        <w:tc>
          <w:tcPr>
            <w:tcW w:type="dxa" w:w="1655"/>
            <w:vAlign w:val="top"/>
          </w:tcPr>
          <w:p>
            <w:pPr>
              <w:spacing w:after="40" w:before="0" w:line="259" w:lineRule="auto"/>
            </w:pPr>
            <w:r>
              <w:rPr>
                <w:rFonts w:ascii="Calibri" w:hAnsi="Calibri"/>
                <w:b w:val="0"/>
                <w:i w:val="0"/>
                <w:color w:val="212121"/>
                <w:sz w:val="19"/>
              </w:rPr>
              <w:t>Children in hot arid zones</w:t>
            </w:r>
          </w:p>
        </w:tc>
        <w:tc>
          <w:tcPr>
            <w:tcW w:type="dxa" w:w="1512"/>
            <w:vAlign w:val="top"/>
          </w:tcPr>
          <w:p>
            <w:pPr>
              <w:spacing w:after="40" w:before="0" w:line="259" w:lineRule="auto"/>
            </w:pPr>
            <w:r>
              <w:rPr>
                <w:rFonts w:ascii="Calibri" w:hAnsi="Calibri"/>
                <w:b w:val="0"/>
                <w:i w:val="0"/>
                <w:color w:val="212121"/>
                <w:sz w:val="19"/>
              </w:rPr>
              <w:t>Age-appropriate</w:t>
            </w:r>
          </w:p>
        </w:tc>
        <w:tc>
          <w:tcPr>
            <w:tcW w:type="dxa" w:w="1512"/>
            <w:vAlign w:val="top"/>
          </w:tcPr>
          <w:p>
            <w:pPr>
              <w:spacing w:after="40" w:before="0" w:line="259" w:lineRule="auto"/>
            </w:pPr>
            <w:r>
              <w:rPr>
                <w:rFonts w:ascii="Calibri" w:hAnsi="Calibri"/>
                <w:b w:val="0"/>
                <w:i w:val="0"/>
                <w:color w:val="212121"/>
                <w:sz w:val="19"/>
              </w:rPr>
              <w:t>High intake in heat multiplies fluoride dose</w:t>
            </w:r>
          </w:p>
        </w:tc>
        <w:tc>
          <w:tcPr>
            <w:tcW w:type="dxa" w:w="1468"/>
            <w:vAlign w:val="top"/>
          </w:tcPr>
          <w:p>
            <w:pPr>
              <w:spacing w:after="40" w:before="0" w:line="259" w:lineRule="auto"/>
            </w:pPr>
            <w:r>
              <w:rPr>
                <w:rFonts w:ascii="Calibri" w:hAnsi="Calibri"/>
                <w:b w:val="0"/>
                <w:i w:val="0"/>
                <w:color w:val="212121"/>
                <w:sz w:val="19"/>
              </w:rPr>
              <w:t>The same water delivers a larger fluoride dose when intake is high</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Total fluoride intake (mg/kg body weight/day)</w:t>
            </w:r>
          </w:p>
        </w:tc>
        <w:tc>
          <w:tcPr>
            <w:tcW w:type="dxa" w:w="1655"/>
            <w:vAlign w:val="top"/>
          </w:tcPr>
          <w:p>
            <w:pPr>
              <w:spacing w:after="40" w:before="0" w:line="259" w:lineRule="auto"/>
            </w:pPr>
            <w:r>
              <w:rPr>
                <w:rFonts w:ascii="Calibri" w:hAnsi="Calibri"/>
                <w:b w:val="0"/>
                <w:i w:val="0"/>
                <w:color w:val="212121"/>
                <w:sz w:val="19"/>
              </w:rPr>
              <w:t>Children during tooth formation</w:t>
            </w:r>
          </w:p>
        </w:tc>
        <w:tc>
          <w:tcPr>
            <w:tcW w:type="dxa" w:w="1512"/>
            <w:vAlign w:val="top"/>
          </w:tcPr>
          <w:p>
            <w:pPr>
              <w:spacing w:after="40" w:before="0" w:line="259" w:lineRule="auto"/>
            </w:pPr>
            <w:r>
              <w:rPr>
                <w:rFonts w:ascii="Calibri" w:hAnsi="Calibri"/>
                <w:b w:val="0"/>
                <w:i w:val="0"/>
                <w:color w:val="212121"/>
                <w:sz w:val="19"/>
              </w:rPr>
              <w:t>&lt; 0.05-0.07 mg/kg/day</w:t>
            </w:r>
          </w:p>
        </w:tc>
        <w:tc>
          <w:tcPr>
            <w:tcW w:type="dxa" w:w="1512"/>
            <w:vAlign w:val="top"/>
          </w:tcPr>
          <w:p>
            <w:pPr>
              <w:spacing w:after="40" w:before="0" w:line="259" w:lineRule="auto"/>
            </w:pPr>
            <w:r>
              <w:rPr>
                <w:rFonts w:ascii="Calibri" w:hAnsi="Calibri"/>
                <w:b w:val="0"/>
                <w:i w:val="0"/>
                <w:color w:val="212121"/>
                <w:sz w:val="19"/>
              </w:rPr>
              <w:t>Sustained intake above this range</w:t>
            </w:r>
          </w:p>
        </w:tc>
        <w:tc>
          <w:tcPr>
            <w:tcW w:type="dxa" w:w="1468"/>
            <w:vAlign w:val="top"/>
          </w:tcPr>
          <w:p>
            <w:pPr>
              <w:spacing w:after="40" w:before="0" w:line="259" w:lineRule="auto"/>
            </w:pPr>
            <w:r>
              <w:rPr>
                <w:rFonts w:ascii="Calibri" w:hAnsi="Calibri"/>
                <w:b w:val="0"/>
                <w:i w:val="0"/>
                <w:color w:val="212121"/>
                <w:sz w:val="19"/>
              </w:rPr>
              <w:t>Fluorosis is dose-dependent; small children are most vulnerable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Dietary calcium (mg/day)</w:t>
            </w:r>
          </w:p>
        </w:tc>
        <w:tc>
          <w:tcPr>
            <w:tcW w:type="dxa" w:w="1655"/>
            <w:vAlign w:val="top"/>
          </w:tcPr>
          <w:p>
            <w:pPr>
              <w:spacing w:after="40" w:before="0" w:line="259" w:lineRule="auto"/>
            </w:pPr>
            <w:r>
              <w:rPr>
                <w:rFonts w:ascii="Calibri" w:hAnsi="Calibri"/>
                <w:b w:val="0"/>
                <w:i w:val="0"/>
                <w:color w:val="212121"/>
                <w:sz w:val="19"/>
              </w:rPr>
              <w:t>Children in endemic areas</w:t>
            </w:r>
          </w:p>
        </w:tc>
        <w:tc>
          <w:tcPr>
            <w:tcW w:type="dxa" w:w="1512"/>
            <w:vAlign w:val="top"/>
          </w:tcPr>
          <w:p>
            <w:pPr>
              <w:spacing w:after="40" w:before="0" w:line="259" w:lineRule="auto"/>
            </w:pPr>
            <w:r>
              <w:rPr>
                <w:rFonts w:ascii="Calibri" w:hAnsi="Calibri"/>
                <w:b w:val="0"/>
                <w:i w:val="0"/>
                <w:color w:val="212121"/>
                <w:sz w:val="19"/>
              </w:rPr>
              <w:t>Age-appropriate RDA</w:t>
            </w:r>
          </w:p>
        </w:tc>
        <w:tc>
          <w:tcPr>
            <w:tcW w:type="dxa" w:w="1512"/>
            <w:vAlign w:val="top"/>
          </w:tcPr>
          <w:p>
            <w:pPr>
              <w:spacing w:after="40" w:before="0" w:line="259" w:lineRule="auto"/>
            </w:pPr>
            <w:r>
              <w:rPr>
                <w:rFonts w:ascii="Calibri" w:hAnsi="Calibri"/>
                <w:b w:val="0"/>
                <w:i w:val="0"/>
                <w:color w:val="212121"/>
                <w:sz w:val="19"/>
              </w:rPr>
              <w:t>Low intake</w:t>
            </w:r>
          </w:p>
        </w:tc>
        <w:tc>
          <w:tcPr>
            <w:tcW w:type="dxa" w:w="1468"/>
            <w:vAlign w:val="top"/>
          </w:tcPr>
          <w:p>
            <w:pPr>
              <w:spacing w:after="40" w:before="0" w:line="259" w:lineRule="auto"/>
            </w:pPr>
            <w:r>
              <w:rPr>
                <w:rFonts w:ascii="Calibri" w:hAnsi="Calibri"/>
                <w:b w:val="0"/>
                <w:i w:val="0"/>
                <w:color w:val="212121"/>
                <w:sz w:val="19"/>
              </w:rPr>
              <w:t>Low calcium increases fluoride absorption and retention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25-OH vitamin D (ng/mL)</w:t>
            </w:r>
          </w:p>
        </w:tc>
        <w:tc>
          <w:tcPr>
            <w:tcW w:type="dxa" w:w="1655"/>
            <w:vAlign w:val="top"/>
          </w:tcPr>
          <w:p>
            <w:pPr>
              <w:spacing w:after="40" w:before="0" w:line="259" w:lineRule="auto"/>
            </w:pPr>
            <w:r>
              <w:rPr>
                <w:rFonts w:ascii="Calibri" w:hAnsi="Calibri"/>
                <w:b w:val="0"/>
                <w:i w:val="0"/>
                <w:color w:val="212121"/>
                <w:sz w:val="19"/>
              </w:rPr>
              <w:t>Children, malnourished</w:t>
            </w:r>
          </w:p>
        </w:tc>
        <w:tc>
          <w:tcPr>
            <w:tcW w:type="dxa" w:w="1512"/>
            <w:vAlign w:val="top"/>
          </w:tcPr>
          <w:p>
            <w:pPr>
              <w:spacing w:after="40" w:before="0" w:line="259" w:lineRule="auto"/>
            </w:pPr>
            <w:r>
              <w:rPr>
                <w:rFonts w:ascii="Calibri" w:hAnsi="Calibri"/>
                <w:b w:val="0"/>
                <w:i w:val="0"/>
                <w:color w:val="212121"/>
                <w:sz w:val="19"/>
              </w:rPr>
              <w:t>&gt;= 20-30 ng/mL</w:t>
            </w:r>
          </w:p>
        </w:tc>
        <w:tc>
          <w:tcPr>
            <w:tcW w:type="dxa" w:w="1512"/>
            <w:vAlign w:val="top"/>
          </w:tcPr>
          <w:p>
            <w:pPr>
              <w:spacing w:after="40" w:before="0" w:line="259" w:lineRule="auto"/>
            </w:pPr>
            <w:r>
              <w:rPr>
                <w:rFonts w:ascii="Calibri" w:hAnsi="Calibri"/>
                <w:b w:val="0"/>
                <w:i w:val="0"/>
                <w:color w:val="212121"/>
                <w:sz w:val="19"/>
              </w:rPr>
              <w:t>&lt; 20 ng/mL (deficiency)</w:t>
            </w:r>
          </w:p>
        </w:tc>
        <w:tc>
          <w:tcPr>
            <w:tcW w:type="dxa" w:w="1468"/>
            <w:vAlign w:val="top"/>
          </w:tcPr>
          <w:p>
            <w:pPr>
              <w:spacing w:after="40" w:before="0" w:line="259" w:lineRule="auto"/>
            </w:pPr>
            <w:r>
              <w:rPr>
                <w:rFonts w:ascii="Calibri" w:hAnsi="Calibri"/>
                <w:b w:val="0"/>
                <w:i w:val="0"/>
                <w:color w:val="212121"/>
                <w:sz w:val="19"/>
              </w:rPr>
              <w:t>Vitamin-D deficiency worsens fluorotic damage</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Fluoride toothpaste amount (young children)</w:t>
            </w:r>
          </w:p>
        </w:tc>
        <w:tc>
          <w:tcPr>
            <w:tcW w:type="dxa" w:w="1655"/>
            <w:vAlign w:val="top"/>
          </w:tcPr>
          <w:p>
            <w:pPr>
              <w:spacing w:after="40" w:before="0" w:line="259" w:lineRule="auto"/>
            </w:pPr>
            <w:r>
              <w:rPr>
                <w:rFonts w:ascii="Calibri" w:hAnsi="Calibri"/>
                <w:b w:val="0"/>
                <w:i w:val="0"/>
                <w:color w:val="212121"/>
                <w:sz w:val="19"/>
              </w:rPr>
              <w:t>Children under 6</w:t>
            </w:r>
          </w:p>
        </w:tc>
        <w:tc>
          <w:tcPr>
            <w:tcW w:type="dxa" w:w="1512"/>
            <w:vAlign w:val="top"/>
          </w:tcPr>
          <w:p>
            <w:pPr>
              <w:spacing w:after="40" w:before="0" w:line="259" w:lineRule="auto"/>
            </w:pPr>
            <w:r>
              <w:rPr>
                <w:rFonts w:ascii="Calibri" w:hAnsi="Calibri"/>
                <w:b w:val="0"/>
                <w:i w:val="0"/>
                <w:color w:val="212121"/>
                <w:sz w:val="19"/>
              </w:rPr>
              <w:t>Smear/rice-grain (&lt;3 y); pea-size (3-6 y)</w:t>
            </w:r>
          </w:p>
        </w:tc>
        <w:tc>
          <w:tcPr>
            <w:tcW w:type="dxa" w:w="1512"/>
            <w:vAlign w:val="top"/>
          </w:tcPr>
          <w:p>
            <w:pPr>
              <w:spacing w:after="40" w:before="0" w:line="259" w:lineRule="auto"/>
            </w:pPr>
            <w:r>
              <w:rPr>
                <w:rFonts w:ascii="Calibri" w:hAnsi="Calibri"/>
                <w:b w:val="0"/>
                <w:i w:val="0"/>
                <w:color w:val="212121"/>
                <w:sz w:val="19"/>
              </w:rPr>
              <w:t>Larger amount swallowed</w:t>
            </w:r>
          </w:p>
        </w:tc>
        <w:tc>
          <w:tcPr>
            <w:tcW w:type="dxa" w:w="1468"/>
            <w:vAlign w:val="top"/>
          </w:tcPr>
          <w:p>
            <w:pPr>
              <w:spacing w:after="40" w:before="0" w:line="259" w:lineRule="auto"/>
            </w:pPr>
            <w:r>
              <w:rPr>
                <w:rFonts w:ascii="Calibri" w:hAnsi="Calibri"/>
                <w:b w:val="0"/>
                <w:i w:val="0"/>
                <w:color w:val="212121"/>
                <w:sz w:val="19"/>
              </w:rPr>
              <w:t>Supervise brushing; teach the child to spit, not swallow</w:t>
            </w:r>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Strong / black tea (cups/day)</w:t>
            </w:r>
          </w:p>
        </w:tc>
        <w:tc>
          <w:tcPr>
            <w:tcW w:type="dxa" w:w="1655"/>
            <w:vAlign w:val="top"/>
          </w:tcPr>
          <w:p>
            <w:pPr>
              <w:spacing w:after="40" w:before="0" w:line="259" w:lineRule="auto"/>
            </w:pPr>
            <w:r>
              <w:rPr>
                <w:rFonts w:ascii="Calibri" w:hAnsi="Calibri"/>
                <w:b w:val="0"/>
                <w:i w:val="0"/>
                <w:color w:val="212121"/>
                <w:sz w:val="19"/>
              </w:rPr>
              <w:t>Mothers &amp; children, heavy tea drinkers</w:t>
            </w:r>
          </w:p>
        </w:tc>
        <w:tc>
          <w:tcPr>
            <w:tcW w:type="dxa" w:w="1512"/>
            <w:vAlign w:val="top"/>
          </w:tcPr>
          <w:p>
            <w:pPr>
              <w:spacing w:after="40" w:before="0" w:line="259" w:lineRule="auto"/>
            </w:pPr>
            <w:r>
              <w:rPr>
                <w:rFonts w:ascii="Calibri" w:hAnsi="Calibri"/>
                <w:b w:val="0"/>
                <w:i w:val="0"/>
                <w:color w:val="212121"/>
                <w:sz w:val="19"/>
              </w:rPr>
              <w:t>Moderate</w:t>
            </w:r>
          </w:p>
        </w:tc>
        <w:tc>
          <w:tcPr>
            <w:tcW w:type="dxa" w:w="1512"/>
            <w:vAlign w:val="top"/>
          </w:tcPr>
          <w:p>
            <w:pPr>
              <w:spacing w:after="40" w:before="0" w:line="259" w:lineRule="auto"/>
            </w:pPr>
            <w:r>
              <w:rPr>
                <w:rFonts w:ascii="Calibri" w:hAnsi="Calibri"/>
                <w:b w:val="0"/>
                <w:i w:val="0"/>
                <w:color w:val="212121"/>
                <w:sz w:val="19"/>
              </w:rPr>
              <w:t>Heavy strong or brick-tea intake</w:t>
            </w:r>
          </w:p>
        </w:tc>
        <w:tc>
          <w:tcPr>
            <w:tcW w:type="dxa" w:w="1468"/>
            <w:vAlign w:val="top"/>
          </w:tcPr>
          <w:p>
            <w:pPr>
              <w:spacing w:after="40" w:before="0" w:line="259" w:lineRule="auto"/>
            </w:pPr>
            <w:r>
              <w:rPr>
                <w:rFonts w:ascii="Calibri" w:hAnsi="Calibri"/>
                <w:b w:val="0"/>
                <w:i w:val="0"/>
                <w:color w:val="212121"/>
                <w:sz w:val="19"/>
              </w:rPr>
              <w:t>Tea leaves concentrate fluoride; adds to dietary intake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Urine fluoride (mg/L)</w:t>
            </w:r>
          </w:p>
        </w:tc>
        <w:tc>
          <w:tcPr>
            <w:tcW w:type="dxa" w:w="1655"/>
            <w:vAlign w:val="top"/>
          </w:tcPr>
          <w:p>
            <w:pPr>
              <w:spacing w:after="40" w:before="0" w:line="259" w:lineRule="auto"/>
            </w:pPr>
            <w:r>
              <w:rPr>
                <w:rFonts w:ascii="Calibri" w:hAnsi="Calibri"/>
                <w:b w:val="0"/>
                <w:i w:val="0"/>
                <w:color w:val="212121"/>
                <w:sz w:val="19"/>
              </w:rPr>
              <w:t>Exposed children / suspected fluorosis</w:t>
            </w:r>
          </w:p>
        </w:tc>
        <w:tc>
          <w:tcPr>
            <w:tcW w:type="dxa" w:w="1512"/>
            <w:vAlign w:val="top"/>
          </w:tcPr>
          <w:p>
            <w:pPr>
              <w:spacing w:after="40" w:before="0" w:line="259" w:lineRule="auto"/>
            </w:pPr>
            <w:r>
              <w:rPr>
                <w:rFonts w:ascii="Calibri" w:hAnsi="Calibri"/>
                <w:b w:val="0"/>
                <w:i w:val="0"/>
                <w:color w:val="212121"/>
                <w:sz w:val="19"/>
              </w:rPr>
              <w:t>&lt; 1.0 mg/L</w:t>
            </w:r>
          </w:p>
        </w:tc>
        <w:tc>
          <w:tcPr>
            <w:tcW w:type="dxa" w:w="1512"/>
            <w:vAlign w:val="top"/>
          </w:tcPr>
          <w:p>
            <w:pPr>
              <w:spacing w:after="40" w:before="0" w:line="259" w:lineRule="auto"/>
            </w:pPr>
            <w:r>
              <w:rPr>
                <w:rFonts w:ascii="Calibri" w:hAnsi="Calibri"/>
                <w:b w:val="0"/>
                <w:i w:val="0"/>
                <w:color w:val="212121"/>
                <w:sz w:val="19"/>
              </w:rPr>
              <w:t>&gt; 1.0 mg/L</w:t>
            </w:r>
          </w:p>
        </w:tc>
        <w:tc>
          <w:tcPr>
            <w:tcW w:type="dxa" w:w="1468"/>
            <w:vAlign w:val="top"/>
          </w:tcPr>
          <w:p>
            <w:pPr>
              <w:spacing w:after="60" w:line="259" w:lineRule="auto"/>
            </w:pPr>
            <w:r>
              <w:rPr>
                <w:rFonts w:ascii="Calibri" w:hAnsi="Calibri"/>
                <w:b w:val="0"/>
                <w:i w:val="0"/>
                <w:color w:val="212121"/>
                <w:sz w:val="19"/>
              </w:rPr>
              <w:t>Best marker of current fluoride exposure and body burden</w:t>
            </w:r>
          </w:p>
          <w:p>
            <w:pPr>
              <w:spacing w:after="40" w:line="252" w:lineRule="auto"/>
            </w:pPr>
            <w:hyperlink r:id="rId14">
              <w:r>
                <w:rPr>
                  <w:rFonts w:ascii="Calibri" w:hAnsi="Calibri" w:cs="Calibri"/>
                  <w:sz w:val="18"/>
                  <w:color w:val="1155CC"/>
                  <w:u w:val="single"/>
                </w:rPr>
                <w:t xml:space="preserve">https://ncdc.mohfw.gov.in/wp-content/uploads/2024/05/CD-Alert-on-Fluorosis-Final-28-Apr-2022.pdf</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Age at exposure (years)</w:t>
            </w:r>
          </w:p>
        </w:tc>
        <w:tc>
          <w:tcPr>
            <w:tcW w:type="dxa" w:w="1655"/>
            <w:vAlign w:val="top"/>
          </w:tcPr>
          <w:p>
            <w:pPr>
              <w:spacing w:after="40" w:before="0" w:line="259" w:lineRule="auto"/>
            </w:pPr>
            <w:r>
              <w:rPr>
                <w:rFonts w:ascii="Calibri" w:hAnsi="Calibri"/>
                <w:b w:val="0"/>
                <w:i w:val="0"/>
                <w:color w:val="212121"/>
                <w:sz w:val="19"/>
              </w:rPr>
              <w:t>Developing dentition</w:t>
            </w:r>
          </w:p>
        </w:tc>
        <w:tc>
          <w:tcPr>
            <w:tcW w:type="dxa" w:w="1512"/>
            <w:vAlign w:val="top"/>
          </w:tcPr>
          <w:p>
            <w:pPr>
              <w:spacing w:after="40" w:before="0" w:line="259" w:lineRule="auto"/>
            </w:pPr>
            <w:r>
              <w:rPr>
                <w:rFonts w:ascii="Calibri" w:hAnsi="Calibri"/>
                <w:b w:val="0"/>
                <w:i w:val="0"/>
                <w:color w:val="212121"/>
                <w:sz w:val="19"/>
              </w:rPr>
              <w:t>Avoid excess fluoride during 0-8 y window</w:t>
            </w:r>
          </w:p>
        </w:tc>
        <w:tc>
          <w:tcPr>
            <w:tcW w:type="dxa" w:w="1512"/>
            <w:vAlign w:val="top"/>
          </w:tcPr>
          <w:p>
            <w:pPr>
              <w:spacing w:after="40" w:before="0" w:line="259" w:lineRule="auto"/>
            </w:pPr>
            <w:r>
              <w:rPr>
                <w:rFonts w:ascii="Calibri" w:hAnsi="Calibri"/>
                <w:b w:val="0"/>
                <w:i w:val="0"/>
                <w:color w:val="212121"/>
                <w:sz w:val="19"/>
              </w:rPr>
              <w:t>High fluoride during 0-8 y</w:t>
            </w:r>
          </w:p>
        </w:tc>
        <w:tc>
          <w:tcPr>
            <w:tcW w:type="dxa" w:w="1468"/>
            <w:vAlign w:val="top"/>
          </w:tcPr>
          <w:p>
            <w:pPr>
              <w:spacing w:after="40" w:before="0" w:line="259" w:lineRule="auto"/>
            </w:pPr>
            <w:r>
              <w:rPr>
                <w:rFonts w:ascii="Calibri" w:hAnsi="Calibri"/>
                <w:b w:val="0"/>
                <w:i w:val="0"/>
                <w:color w:val="212121"/>
                <w:sz w:val="19"/>
              </w:rPr>
              <w:t>Enamel already formed cannot become fluorotic later, so prevention is childhood-specific</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Environmental</w:t>
            </w:r>
          </w:p>
        </w:tc>
        <w:tc>
          <w:tcPr>
            <w:tcW w:type="dxa" w:w="1036"/>
            <w:vAlign w:val="top"/>
          </w:tcPr>
          <w:p>
            <w:pPr>
              <w:spacing w:after="40" w:before="0" w:line="259" w:lineRule="auto"/>
            </w:pPr>
            <w:r>
              <w:rPr>
                <w:rFonts w:ascii="Calibri" w:hAnsi="Calibri"/>
                <w:b w:val="0"/>
                <w:i w:val="0"/>
                <w:color w:val="212121"/>
                <w:sz w:val="16"/>
              </w:rPr>
              <w:t>Drinking-water fluoride</w:t>
            </w:r>
          </w:p>
        </w:tc>
        <w:tc>
          <w:tcPr>
            <w:tcW w:type="dxa" w:w="892"/>
            <w:vAlign w:val="top"/>
          </w:tcPr>
          <w:p>
            <w:pPr>
              <w:spacing w:after="40" w:before="0" w:line="259" w:lineRule="auto"/>
            </w:pPr>
            <w:r>
              <w:rPr>
                <w:rFonts w:ascii="Calibri" w:hAnsi="Calibri"/>
                <w:b w:val="0"/>
                <w:i w:val="0"/>
                <w:color w:val="212121"/>
                <w:sz w:val="16"/>
              </w:rPr>
              <w:t>SPADNS colorimetry / ion-selective electrode</w:t>
            </w:r>
          </w:p>
        </w:tc>
        <w:tc>
          <w:tcPr>
            <w:tcW w:type="dxa" w:w="950"/>
            <w:vAlign w:val="top"/>
          </w:tcPr>
          <w:p>
            <w:pPr>
              <w:spacing w:after="40" w:before="0" w:line="259" w:lineRule="auto"/>
            </w:pPr>
            <w:r>
              <w:rPr>
                <w:rFonts w:ascii="Calibri" w:hAnsi="Calibri"/>
                <w:b w:val="0"/>
                <w:i w:val="0"/>
                <w:color w:val="212121"/>
                <w:sz w:val="16"/>
              </w:rPr>
              <w:t>&lt;= 1.0 mg/L (BIS)</w:t>
            </w:r>
          </w:p>
        </w:tc>
        <w:tc>
          <w:tcPr>
            <w:tcW w:type="dxa" w:w="950"/>
            <w:vAlign w:val="top"/>
          </w:tcPr>
          <w:p>
            <w:pPr>
              <w:spacing w:after="40" w:before="0" w:line="259" w:lineRule="auto"/>
            </w:pPr>
            <w:r>
              <w:rPr>
                <w:rFonts w:ascii="Calibri" w:hAnsi="Calibri"/>
                <w:b w:val="0"/>
                <w:i w:val="0"/>
                <w:color w:val="212121"/>
                <w:sz w:val="16"/>
              </w:rPr>
              <w:t>&gt; 1.5 mg/L (WHO); up to ~48 mg/L in pockets</w:t>
            </w:r>
          </w:p>
        </w:tc>
        <w:tc>
          <w:tcPr>
            <w:tcW w:type="dxa" w:w="1036"/>
            <w:vAlign w:val="top"/>
          </w:tcPr>
          <w:p>
            <w:pPr>
              <w:spacing w:after="40" w:before="0" w:line="259" w:lineRule="auto"/>
            </w:pPr>
            <w:r>
              <w:rPr>
                <w:rFonts w:ascii="Calibri" w:hAnsi="Calibri"/>
                <w:b w:val="0"/>
                <w:i w:val="0"/>
                <w:color w:val="212121"/>
                <w:sz w:val="16"/>
              </w:rPr>
              <w:t>Confirms the environmental source and guides safe-water intervention and source mapping</w:t>
            </w:r>
          </w:p>
        </w:tc>
        <w:tc>
          <w:tcPr>
            <w:tcW w:type="dxa" w:w="1036"/>
            <w:vAlign w:val="top"/>
          </w:tcPr>
          <w:p>
            <w:pPr>
              <w:spacing w:after="40" w:before="0" w:line="259" w:lineRule="auto"/>
            </w:pPr>
            <w:r>
              <w:rPr>
                <w:rFonts w:ascii="Calibri" w:hAnsi="Calibri"/>
                <w:b w:val="0"/>
                <w:i w:val="0"/>
                <w:color w:val="212121"/>
                <w:sz w:val="16"/>
              </w:rPr>
              <w:t>Households and habitations in endemic areas</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Map safe vs unsafe sources for the community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Urine fluoride</w:t>
            </w:r>
          </w:p>
        </w:tc>
        <w:tc>
          <w:tcPr>
            <w:tcW w:type="dxa" w:w="892"/>
            <w:vAlign w:val="top"/>
          </w:tcPr>
          <w:p>
            <w:pPr>
              <w:spacing w:after="40" w:before="0" w:line="259" w:lineRule="auto"/>
            </w:pPr>
            <w:r>
              <w:rPr>
                <w:rFonts w:ascii="Calibri" w:hAnsi="Calibri"/>
                <w:b w:val="0"/>
                <w:i w:val="0"/>
                <w:color w:val="212121"/>
                <w:sz w:val="16"/>
              </w:rPr>
              <w:t>Ion-selective electrode assay</w:t>
            </w:r>
          </w:p>
        </w:tc>
        <w:tc>
          <w:tcPr>
            <w:tcW w:type="dxa" w:w="950"/>
            <w:vAlign w:val="top"/>
          </w:tcPr>
          <w:p>
            <w:pPr>
              <w:spacing w:after="40" w:before="0" w:line="259" w:lineRule="auto"/>
            </w:pPr>
            <w:r>
              <w:rPr>
                <w:rFonts w:ascii="Calibri" w:hAnsi="Calibri"/>
                <w:b w:val="0"/>
                <w:i w:val="0"/>
                <w:color w:val="212121"/>
                <w:sz w:val="16"/>
              </w:rPr>
              <w:t>&lt; 1.0 mg/L</w:t>
            </w:r>
          </w:p>
        </w:tc>
        <w:tc>
          <w:tcPr>
            <w:tcW w:type="dxa" w:w="950"/>
            <w:vAlign w:val="top"/>
          </w:tcPr>
          <w:p>
            <w:pPr>
              <w:spacing w:after="40" w:before="0" w:line="259" w:lineRule="auto"/>
            </w:pPr>
            <w:r>
              <w:rPr>
                <w:rFonts w:ascii="Calibri" w:hAnsi="Calibri"/>
                <w:b w:val="0"/>
                <w:i w:val="0"/>
                <w:color w:val="212121"/>
                <w:sz w:val="16"/>
              </w:rPr>
              <w:t>&gt; 1.0 mg/L</w:t>
            </w:r>
          </w:p>
        </w:tc>
        <w:tc>
          <w:tcPr>
            <w:tcW w:type="dxa" w:w="1036"/>
            <w:vAlign w:val="top"/>
          </w:tcPr>
          <w:p>
            <w:pPr>
              <w:spacing w:after="40" w:before="0" w:line="259" w:lineRule="auto"/>
            </w:pPr>
            <w:r>
              <w:rPr>
                <w:rFonts w:ascii="Calibri" w:hAnsi="Calibri"/>
                <w:b w:val="0"/>
                <w:i w:val="0"/>
                <w:color w:val="212121"/>
                <w:sz w:val="16"/>
              </w:rPr>
              <w:t>Best index of current fluoride exposure and body burden; used for community screening and monitoring after safe-water change</w:t>
            </w:r>
          </w:p>
        </w:tc>
        <w:tc>
          <w:tcPr>
            <w:tcW w:type="dxa" w:w="1036"/>
            <w:vAlign w:val="top"/>
          </w:tcPr>
          <w:p>
            <w:pPr>
              <w:spacing w:after="40" w:before="0" w:line="259" w:lineRule="auto"/>
            </w:pPr>
            <w:r>
              <w:rPr>
                <w:rFonts w:ascii="Calibri" w:hAnsi="Calibri"/>
                <w:b w:val="0"/>
                <w:i w:val="0"/>
                <w:color w:val="212121"/>
                <w:sz w:val="16"/>
              </w:rPr>
              <w:t>Exposed children, suspected fluorosis, community surveys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Spot or 24-hour sample; core NPPCF diagnostic test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fluoride</w:t>
            </w:r>
          </w:p>
        </w:tc>
        <w:tc>
          <w:tcPr>
            <w:tcW w:type="dxa" w:w="892"/>
            <w:vAlign w:val="top"/>
          </w:tcPr>
          <w:p>
            <w:pPr>
              <w:spacing w:after="40" w:before="0" w:line="259" w:lineRule="auto"/>
            </w:pPr>
            <w:r>
              <w:rPr>
                <w:rFonts w:ascii="Calibri" w:hAnsi="Calibri"/>
                <w:b w:val="0"/>
                <w:i w:val="0"/>
                <w:color w:val="212121"/>
                <w:sz w:val="16"/>
              </w:rPr>
              <w:t>Ion-selective electrode assay</w:t>
            </w:r>
          </w:p>
        </w:tc>
        <w:tc>
          <w:tcPr>
            <w:tcW w:type="dxa" w:w="950"/>
            <w:vAlign w:val="top"/>
          </w:tcPr>
          <w:p>
            <w:pPr>
              <w:spacing w:after="40" w:before="0" w:line="259" w:lineRule="auto"/>
            </w:pPr>
            <w:r>
              <w:rPr>
                <w:rFonts w:ascii="Calibri" w:hAnsi="Calibri"/>
                <w:b w:val="0"/>
                <w:i w:val="0"/>
                <w:color w:val="212121"/>
                <w:sz w:val="16"/>
              </w:rPr>
              <w:t>~0.02-0.05 mg/L</w:t>
            </w:r>
          </w:p>
        </w:tc>
        <w:tc>
          <w:tcPr>
            <w:tcW w:type="dxa" w:w="950"/>
            <w:vAlign w:val="top"/>
          </w:tcPr>
          <w:p>
            <w:pPr>
              <w:spacing w:after="40" w:before="0" w:line="259" w:lineRule="auto"/>
            </w:pPr>
            <w:r>
              <w:rPr>
                <w:rFonts w:ascii="Calibri" w:hAnsi="Calibri"/>
                <w:b w:val="0"/>
                <w:i w:val="0"/>
                <w:color w:val="212121"/>
                <w:sz w:val="16"/>
              </w:rPr>
              <w:t>Raised above reference</w:t>
            </w:r>
          </w:p>
        </w:tc>
        <w:tc>
          <w:tcPr>
            <w:tcW w:type="dxa" w:w="1036"/>
            <w:vAlign w:val="top"/>
          </w:tcPr>
          <w:p>
            <w:pPr>
              <w:spacing w:after="40" w:before="0" w:line="259" w:lineRule="auto"/>
            </w:pPr>
            <w:r>
              <w:rPr>
                <w:rFonts w:ascii="Calibri" w:hAnsi="Calibri"/>
                <w:b w:val="0"/>
                <w:i w:val="0"/>
                <w:color w:val="212121"/>
                <w:sz w:val="16"/>
              </w:rPr>
              <w:t>Reflects recent and chronic intake and supports the diagnosis alongside urine and water fluoride</w:t>
            </w:r>
          </w:p>
        </w:tc>
        <w:tc>
          <w:tcPr>
            <w:tcW w:type="dxa" w:w="1036"/>
            <w:vAlign w:val="top"/>
          </w:tcPr>
          <w:p>
            <w:pPr>
              <w:spacing w:after="40" w:before="0" w:line="259" w:lineRule="auto"/>
            </w:pPr>
            <w:r>
              <w:rPr>
                <w:rFonts w:ascii="Calibri" w:hAnsi="Calibri"/>
                <w:b w:val="0"/>
                <w:i w:val="0"/>
                <w:color w:val="212121"/>
                <w:sz w:val="16"/>
              </w:rPr>
              <w:t>Suspected fluorosis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Interpret with exposure history and clinical grading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calcium, 25-OH vitamin D (+/- alkaline phosphatase)</w:t>
            </w:r>
          </w:p>
        </w:tc>
        <w:tc>
          <w:tcPr>
            <w:tcW w:type="dxa" w:w="892"/>
            <w:vAlign w:val="top"/>
          </w:tcPr>
          <w:p>
            <w:pPr>
              <w:spacing w:after="40" w:before="0" w:line="259" w:lineRule="auto"/>
            </w:pPr>
            <w:r>
              <w:rPr>
                <w:rFonts w:ascii="Calibri" w:hAnsi="Calibri"/>
                <w:b w:val="0"/>
                <w:i w:val="0"/>
                <w:color w:val="212121"/>
                <w:sz w:val="16"/>
              </w:rPr>
              <w:t>Mineral / nutritional panel</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Low calcium and/or vitamin D</w:t>
            </w:r>
          </w:p>
        </w:tc>
        <w:tc>
          <w:tcPr>
            <w:tcW w:type="dxa" w:w="1036"/>
            <w:vAlign w:val="top"/>
          </w:tcPr>
          <w:p>
            <w:pPr>
              <w:spacing w:after="40" w:before="0" w:line="259" w:lineRule="auto"/>
            </w:pPr>
            <w:r>
              <w:rPr>
                <w:rFonts w:ascii="Calibri" w:hAnsi="Calibri"/>
                <w:b w:val="0"/>
                <w:i w:val="0"/>
                <w:color w:val="212121"/>
                <w:sz w:val="16"/>
              </w:rPr>
              <w:t>Identifies nutritional modifiers that increase fluoride retention and worsen enamel/bone disease, and screens for coexisting skeletal fluorosis</w:t>
            </w:r>
          </w:p>
        </w:tc>
        <w:tc>
          <w:tcPr>
            <w:tcW w:type="dxa" w:w="1036"/>
            <w:vAlign w:val="top"/>
          </w:tcPr>
          <w:p>
            <w:pPr>
              <w:spacing w:after="40" w:before="0" w:line="259" w:lineRule="auto"/>
            </w:pPr>
            <w:r>
              <w:rPr>
                <w:rFonts w:ascii="Calibri" w:hAnsi="Calibri"/>
                <w:b w:val="0"/>
                <w:i w:val="0"/>
                <w:color w:val="212121"/>
                <w:sz w:val="16"/>
              </w:rPr>
              <w:t>Malnourished children, endemic-area residents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Correct calcium and vitamin D alongside safe water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Dietary / exposure estimate</w:t>
            </w:r>
          </w:p>
        </w:tc>
        <w:tc>
          <w:tcPr>
            <w:tcW w:type="dxa" w:w="1036"/>
            <w:vAlign w:val="top"/>
          </w:tcPr>
          <w:p>
            <w:pPr>
              <w:spacing w:after="40" w:before="0" w:line="259" w:lineRule="auto"/>
            </w:pPr>
            <w:r>
              <w:rPr>
                <w:rFonts w:ascii="Calibri" w:hAnsi="Calibri"/>
                <w:b w:val="0"/>
                <w:i w:val="0"/>
                <w:color w:val="212121"/>
                <w:sz w:val="16"/>
              </w:rPr>
              <w:t>Total fluoride intake estimate</w:t>
            </w:r>
          </w:p>
        </w:tc>
        <w:tc>
          <w:tcPr>
            <w:tcW w:type="dxa" w:w="892"/>
            <w:vAlign w:val="top"/>
          </w:tcPr>
          <w:p>
            <w:pPr>
              <w:spacing w:after="40" w:before="0" w:line="259" w:lineRule="auto"/>
            </w:pPr>
            <w:r>
              <w:rPr>
                <w:rFonts w:ascii="Calibri" w:hAnsi="Calibri"/>
                <w:b w:val="0"/>
                <w:i w:val="0"/>
                <w:color w:val="212121"/>
                <w:sz w:val="16"/>
              </w:rPr>
              <w:t>Water + dietary fluoride assessment</w:t>
            </w:r>
          </w:p>
        </w:tc>
        <w:tc>
          <w:tcPr>
            <w:tcW w:type="dxa" w:w="950"/>
            <w:vAlign w:val="top"/>
          </w:tcPr>
          <w:p>
            <w:pPr>
              <w:spacing w:after="40" w:before="0" w:line="259" w:lineRule="auto"/>
            </w:pPr>
            <w:r>
              <w:rPr>
                <w:rFonts w:ascii="Calibri" w:hAnsi="Calibri"/>
                <w:b w:val="0"/>
                <w:i w:val="0"/>
                <w:color w:val="212121"/>
                <w:sz w:val="16"/>
              </w:rPr>
              <w:t>&lt; 0.05-0.07 mg/kg/day</w:t>
            </w:r>
          </w:p>
        </w:tc>
        <w:tc>
          <w:tcPr>
            <w:tcW w:type="dxa" w:w="950"/>
            <w:vAlign w:val="top"/>
          </w:tcPr>
          <w:p>
            <w:pPr>
              <w:spacing w:after="40" w:before="0" w:line="259" w:lineRule="auto"/>
            </w:pPr>
            <w:r>
              <w:rPr>
                <w:rFonts w:ascii="Calibri" w:hAnsi="Calibri"/>
                <w:b w:val="0"/>
                <w:i w:val="0"/>
                <w:color w:val="212121"/>
                <w:sz w:val="16"/>
              </w:rPr>
              <w:t>Sustained higher intake</w:t>
            </w:r>
          </w:p>
        </w:tc>
        <w:tc>
          <w:tcPr>
            <w:tcW w:type="dxa" w:w="1036"/>
            <w:vAlign w:val="top"/>
          </w:tcPr>
          <w:p>
            <w:pPr>
              <w:spacing w:after="40" w:before="0" w:line="259" w:lineRule="auto"/>
            </w:pPr>
            <w:r>
              <w:rPr>
                <w:rFonts w:ascii="Calibri" w:hAnsi="Calibri"/>
                <w:b w:val="0"/>
                <w:i w:val="0"/>
                <w:color w:val="212121"/>
                <w:sz w:val="16"/>
              </w:rPr>
              <w:t>Quantifies the dose during tooth formation to guide prevention and identify all fluoride sources</w:t>
            </w:r>
          </w:p>
        </w:tc>
        <w:tc>
          <w:tcPr>
            <w:tcW w:type="dxa" w:w="1036"/>
            <w:vAlign w:val="top"/>
          </w:tcPr>
          <w:p>
            <w:pPr>
              <w:spacing w:after="40" w:before="0" w:line="259" w:lineRule="auto"/>
            </w:pPr>
            <w:r>
              <w:rPr>
                <w:rFonts w:ascii="Calibri" w:hAnsi="Calibri"/>
                <w:b w:val="0"/>
                <w:i w:val="0"/>
                <w:color w:val="212121"/>
                <w:sz w:val="16"/>
              </w:rPr>
              <w:t>Children in endemic areas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Include water, toothpaste, tea, salt and supplements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Water source &amp; childhood residence</w:t>
            </w:r>
          </w:p>
        </w:tc>
        <w:tc>
          <w:tcPr>
            <w:tcW w:type="dxa" w:w="979"/>
            <w:vAlign w:val="top"/>
          </w:tcPr>
          <w:p>
            <w:pPr>
              <w:spacing w:after="40" w:before="0" w:line="259" w:lineRule="auto"/>
            </w:pPr>
            <w:r>
              <w:rPr>
                <w:rFonts w:ascii="Calibri" w:hAnsi="Calibri"/>
                <w:b w:val="0"/>
                <w:i w:val="0"/>
                <w:color w:val="212121"/>
                <w:sz w:val="16"/>
              </w:rPr>
              <w:t>Source and years of drinking water during 0-8 y in an endemic area</w:t>
            </w:r>
          </w:p>
        </w:tc>
        <w:tc>
          <w:tcPr>
            <w:tcW w:type="dxa" w:w="950"/>
            <w:vAlign w:val="top"/>
          </w:tcPr>
          <w:p>
            <w:pPr>
              <w:spacing w:after="40" w:before="0" w:line="259" w:lineRule="auto"/>
            </w:pPr>
            <w:r>
              <w:rPr>
                <w:rFonts w:ascii="Calibri" w:hAnsi="Calibri"/>
                <w:b w:val="0"/>
                <w:i w:val="0"/>
                <w:color w:val="212121"/>
                <w:sz w:val="16"/>
              </w:rPr>
              <w:t>Safe (low-fluoride) water in childhood</w:t>
            </w:r>
          </w:p>
        </w:tc>
        <w:tc>
          <w:tcPr>
            <w:tcW w:type="dxa" w:w="950"/>
            <w:vAlign w:val="top"/>
          </w:tcPr>
          <w:p>
            <w:pPr>
              <w:spacing w:after="40" w:before="0" w:line="259" w:lineRule="auto"/>
            </w:pPr>
            <w:r>
              <w:rPr>
                <w:rFonts w:ascii="Calibri" w:hAnsi="Calibri"/>
                <w:b w:val="0"/>
                <w:i w:val="0"/>
                <w:color w:val="212121"/>
                <w:sz w:val="16"/>
              </w:rPr>
              <w:t>Years of high-fluoride groundwater/borewell use in early childhood</w:t>
            </w:r>
          </w:p>
        </w:tc>
        <w:tc>
          <w:tcPr>
            <w:tcW w:type="dxa" w:w="1036"/>
            <w:vAlign w:val="top"/>
          </w:tcPr>
          <w:p>
            <w:pPr>
              <w:spacing w:after="40" w:before="0" w:line="259" w:lineRule="auto"/>
            </w:pPr>
            <w:r>
              <w:rPr>
                <w:rFonts w:ascii="Calibri" w:hAnsi="Calibri"/>
                <w:b w:val="0"/>
                <w:i w:val="0"/>
                <w:color w:val="212121"/>
                <w:sz w:val="16"/>
              </w:rPr>
              <w:t>Establishes chronic fluoride exposure during tooth formation - the essential aetiological clue</w:t>
            </w:r>
          </w:p>
        </w:tc>
        <w:tc>
          <w:tcPr>
            <w:tcW w:type="dxa" w:w="1036"/>
            <w:vAlign w:val="top"/>
          </w:tcPr>
          <w:p>
            <w:pPr>
              <w:spacing w:after="40" w:before="0" w:line="259" w:lineRule="auto"/>
            </w:pPr>
            <w:r>
              <w:rPr>
                <w:rFonts w:ascii="Calibri" w:hAnsi="Calibri"/>
                <w:b w:val="0"/>
                <w:i w:val="0"/>
                <w:color w:val="212121"/>
                <w:sz w:val="16"/>
              </w:rPr>
              <w:t>Residents of endemic districts</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about borewell use and years of residence in early childhood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Fluoride toothpaste / supplement &amp; feeding history</w:t>
            </w:r>
          </w:p>
        </w:tc>
        <w:tc>
          <w:tcPr>
            <w:tcW w:type="dxa" w:w="979"/>
            <w:vAlign w:val="top"/>
          </w:tcPr>
          <w:p>
            <w:pPr>
              <w:spacing w:after="40" w:before="0" w:line="259" w:lineRule="auto"/>
            </w:pPr>
            <w:r>
              <w:rPr>
                <w:rFonts w:ascii="Calibri" w:hAnsi="Calibri"/>
                <w:b w:val="0"/>
                <w:i w:val="0"/>
                <w:color w:val="212121"/>
                <w:sz w:val="16"/>
              </w:rPr>
              <w:t>Swallowed toothpaste, fluoride drops/tablets, formula reconstituted with high-fluoride water</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Excess swallowed toothpaste or supplements in early childhood</w:t>
            </w:r>
          </w:p>
        </w:tc>
        <w:tc>
          <w:tcPr>
            <w:tcW w:type="dxa" w:w="1036"/>
            <w:vAlign w:val="top"/>
          </w:tcPr>
          <w:p>
            <w:pPr>
              <w:spacing w:after="40" w:before="0" w:line="259" w:lineRule="auto"/>
            </w:pPr>
            <w:r>
              <w:rPr>
                <w:rFonts w:ascii="Calibri" w:hAnsi="Calibri"/>
                <w:b w:val="0"/>
                <w:i w:val="0"/>
                <w:color w:val="212121"/>
                <w:sz w:val="16"/>
              </w:rPr>
              <w:t>Identifies preventable non-water fluoride sources during the critical window</w:t>
            </w:r>
          </w:p>
        </w:tc>
        <w:tc>
          <w:tcPr>
            <w:tcW w:type="dxa" w:w="1036"/>
            <w:vAlign w:val="top"/>
          </w:tcPr>
          <w:p>
            <w:pPr>
              <w:spacing w:after="40" w:before="0" w:line="259" w:lineRule="auto"/>
            </w:pPr>
            <w:r>
              <w:rPr>
                <w:rFonts w:ascii="Calibri" w:hAnsi="Calibri"/>
                <w:b w:val="0"/>
                <w:i w:val="0"/>
                <w:color w:val="212121"/>
                <w:sz w:val="16"/>
              </w:rPr>
              <w:t>Young children, families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Advise pea-sized paste and supervised spitting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w:t>
            </w:r>
          </w:p>
        </w:tc>
        <w:tc>
          <w:tcPr>
            <w:tcW w:type="dxa" w:w="979"/>
            <w:vAlign w:val="top"/>
          </w:tcPr>
          <w:p>
            <w:pPr>
              <w:spacing w:after="40" w:before="0" w:line="259" w:lineRule="auto"/>
            </w:pPr>
            <w:r>
              <w:rPr>
                <w:rFonts w:ascii="Calibri" w:hAnsi="Calibri"/>
                <w:b w:val="0"/>
                <w:i w:val="0"/>
                <w:color w:val="212121"/>
                <w:sz w:val="16"/>
              </w:rPr>
              <w:t>Tooth discoloration, white/brown mottling, aesthetic concern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Visible mottling or staining, usually of the front teeth</w:t>
            </w:r>
          </w:p>
        </w:tc>
        <w:tc>
          <w:tcPr>
            <w:tcW w:type="dxa" w:w="1036"/>
            <w:vAlign w:val="top"/>
          </w:tcPr>
          <w:p>
            <w:pPr>
              <w:spacing w:after="40" w:before="0" w:line="259" w:lineRule="auto"/>
            </w:pPr>
            <w:r>
              <w:rPr>
                <w:rFonts w:ascii="Calibri" w:hAnsi="Calibri"/>
                <w:b w:val="0"/>
                <w:i w:val="0"/>
                <w:color w:val="212121"/>
                <w:sz w:val="16"/>
              </w:rPr>
              <w:t>Reason for presentation; dental fluorosis is usually a cosmetic rather than painful complaint</w:t>
            </w:r>
          </w:p>
        </w:tc>
        <w:tc>
          <w:tcPr>
            <w:tcW w:type="dxa" w:w="1036"/>
            <w:vAlign w:val="top"/>
          </w:tcPr>
          <w:p>
            <w:pPr>
              <w:spacing w:after="40" w:before="0" w:line="259" w:lineRule="auto"/>
            </w:pPr>
            <w:r>
              <w:rPr>
                <w:rFonts w:ascii="Calibri" w:hAnsi="Calibri"/>
                <w:b w:val="0"/>
                <w:i w:val="0"/>
                <w:color w:val="212121"/>
                <w:sz w:val="16"/>
              </w:rPr>
              <w:t>Adolescents and adults with anterior mottling</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about psychosocial impact and self-consciousness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Visual enamel inspection &amp; Dean's Index scoring</w:t>
            </w:r>
          </w:p>
        </w:tc>
        <w:tc>
          <w:tcPr>
            <w:tcW w:type="dxa" w:w="979"/>
            <w:vAlign w:val="top"/>
          </w:tcPr>
          <w:p>
            <w:pPr>
              <w:spacing w:after="40" w:before="0" w:line="259" w:lineRule="auto"/>
            </w:pPr>
            <w:r>
              <w:rPr>
                <w:rFonts w:ascii="Calibri" w:hAnsi="Calibri"/>
                <w:b w:val="0"/>
                <w:i w:val="0"/>
                <w:color w:val="212121"/>
                <w:sz w:val="16"/>
              </w:rPr>
              <w:t>Diffuse symmetric opacities graded normal to severe</w:t>
            </w:r>
          </w:p>
        </w:tc>
        <w:tc>
          <w:tcPr>
            <w:tcW w:type="dxa" w:w="950"/>
            <w:vAlign w:val="top"/>
          </w:tcPr>
          <w:p>
            <w:pPr>
              <w:spacing w:after="40" w:before="0" w:line="259" w:lineRule="auto"/>
            </w:pPr>
            <w:r>
              <w:rPr>
                <w:rFonts w:ascii="Calibri" w:hAnsi="Calibri"/>
                <w:b w:val="0"/>
                <w:i w:val="0"/>
                <w:color w:val="212121"/>
                <w:sz w:val="16"/>
              </w:rPr>
              <w:t>Normal glossy enamel</w:t>
            </w:r>
          </w:p>
        </w:tc>
        <w:tc>
          <w:tcPr>
            <w:tcW w:type="dxa" w:w="950"/>
            <w:vAlign w:val="top"/>
          </w:tcPr>
          <w:p>
            <w:pPr>
              <w:spacing w:after="40" w:before="0" w:line="259" w:lineRule="auto"/>
            </w:pPr>
            <w:r>
              <w:rPr>
                <w:rFonts w:ascii="Calibri" w:hAnsi="Calibri"/>
                <w:b w:val="0"/>
                <w:i w:val="0"/>
                <w:color w:val="212121"/>
                <w:sz w:val="16"/>
              </w:rPr>
              <w:t>Very mild to severe fluorosis (opacities, staining, pitting)</w:t>
            </w:r>
          </w:p>
        </w:tc>
        <w:tc>
          <w:tcPr>
            <w:tcW w:type="dxa" w:w="1036"/>
            <w:vAlign w:val="top"/>
          </w:tcPr>
          <w:p>
            <w:pPr>
              <w:spacing w:after="40" w:before="0" w:line="259" w:lineRule="auto"/>
            </w:pPr>
            <w:r>
              <w:rPr>
                <w:rFonts w:ascii="Calibri" w:hAnsi="Calibri"/>
                <w:b w:val="0"/>
                <w:i w:val="0"/>
                <w:color w:val="212121"/>
                <w:sz w:val="16"/>
              </w:rPr>
              <w:t>Grades severity using the standard field/epidemiological index; the basis of diagnosis</w:t>
            </w:r>
          </w:p>
        </w:tc>
        <w:tc>
          <w:tcPr>
            <w:tcW w:type="dxa" w:w="1036"/>
            <w:vAlign w:val="top"/>
          </w:tcPr>
          <w:p>
            <w:pPr>
              <w:spacing w:after="40" w:before="0" w:line="259" w:lineRule="auto"/>
            </w:pPr>
            <w:r>
              <w:rPr>
                <w:rFonts w:ascii="Calibri" w:hAnsi="Calibri"/>
                <w:b w:val="0"/>
                <w:i w:val="0"/>
                <w:color w:val="212121"/>
                <w:sz w:val="16"/>
              </w:rPr>
              <w:t>All suspected fluorosis, community surveys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Examine clean, dry teeth in good light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Distribution &amp; symmetry assessment</w:t>
            </w:r>
          </w:p>
        </w:tc>
        <w:tc>
          <w:tcPr>
            <w:tcW w:type="dxa" w:w="979"/>
            <w:vAlign w:val="top"/>
          </w:tcPr>
          <w:p>
            <w:pPr>
              <w:spacing w:after="40" w:before="0" w:line="259" w:lineRule="auto"/>
            </w:pPr>
            <w:r>
              <w:rPr>
                <w:rFonts w:ascii="Calibri" w:hAnsi="Calibri"/>
                <w:b w:val="0"/>
                <w:i w:val="0"/>
                <w:color w:val="212121"/>
                <w:sz w:val="16"/>
              </w:rPr>
              <w:t>Bilateral, symmetrical, homologous teeth vs localized/asymmetric defects</w:t>
            </w:r>
          </w:p>
        </w:tc>
        <w:tc>
          <w:tcPr>
            <w:tcW w:type="dxa" w:w="950"/>
            <w:vAlign w:val="top"/>
          </w:tcPr>
          <w:p>
            <w:pPr>
              <w:spacing w:after="40" w:before="0" w:line="259" w:lineRule="auto"/>
            </w:pPr>
            <w:r>
              <w:rPr>
                <w:rFonts w:ascii="Calibri" w:hAnsi="Calibri"/>
                <w:b w:val="0"/>
                <w:i w:val="0"/>
                <w:color w:val="212121"/>
                <w:sz w:val="16"/>
              </w:rPr>
              <w:t>No defect</w:t>
            </w:r>
          </w:p>
        </w:tc>
        <w:tc>
          <w:tcPr>
            <w:tcW w:type="dxa" w:w="950"/>
            <w:vAlign w:val="top"/>
          </w:tcPr>
          <w:p>
            <w:pPr>
              <w:spacing w:after="40" w:before="0" w:line="259" w:lineRule="auto"/>
            </w:pPr>
            <w:r>
              <w:rPr>
                <w:rFonts w:ascii="Calibri" w:hAnsi="Calibri"/>
                <w:b w:val="0"/>
                <w:i w:val="0"/>
                <w:color w:val="212121"/>
                <w:sz w:val="16"/>
              </w:rPr>
              <w:t>Symmetric diffuse opacities (fluorosis) vs asymmetric/demarcated defects (non-fluoride)</w:t>
            </w:r>
          </w:p>
        </w:tc>
        <w:tc>
          <w:tcPr>
            <w:tcW w:type="dxa" w:w="1036"/>
            <w:vAlign w:val="top"/>
          </w:tcPr>
          <w:p>
            <w:pPr>
              <w:spacing w:after="40" w:before="0" w:line="259" w:lineRule="auto"/>
            </w:pPr>
            <w:r>
              <w:rPr>
                <w:rFonts w:ascii="Calibri" w:hAnsi="Calibri"/>
                <w:b w:val="0"/>
                <w:i w:val="0"/>
                <w:color w:val="212121"/>
                <w:sz w:val="16"/>
              </w:rPr>
              <w:t>Differentiates fluorosis from molar-incisor hypomineralization, enamel hypoplasia, tetracycline staining and white-spot caries</w:t>
            </w:r>
          </w:p>
        </w:tc>
        <w:tc>
          <w:tcPr>
            <w:tcW w:type="dxa" w:w="1036"/>
            <w:vAlign w:val="top"/>
          </w:tcPr>
          <w:p>
            <w:pPr>
              <w:spacing w:after="40" w:before="0" w:line="259" w:lineRule="auto"/>
            </w:pPr>
            <w:r>
              <w:rPr>
                <w:rFonts w:ascii="Calibri" w:hAnsi="Calibri"/>
                <w:b w:val="0"/>
                <w:i w:val="0"/>
                <w:color w:val="212121"/>
                <w:sz w:val="16"/>
              </w:rPr>
              <w:t>All suspected fluorosis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Symmetry and diffuse pattern are the key discriminators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Severity &amp; structural assessment</w:t>
            </w:r>
          </w:p>
        </w:tc>
        <w:tc>
          <w:tcPr>
            <w:tcW w:type="dxa" w:w="979"/>
            <w:vAlign w:val="top"/>
          </w:tcPr>
          <w:p>
            <w:pPr>
              <w:spacing w:after="40" w:before="0" w:line="259" w:lineRule="auto"/>
            </w:pPr>
            <w:r>
              <w:rPr>
                <w:rFonts w:ascii="Calibri" w:hAnsi="Calibri"/>
                <w:b w:val="0"/>
                <w:i w:val="0"/>
                <w:color w:val="212121"/>
                <w:sz w:val="16"/>
              </w:rPr>
              <w:t>Staining, pitting, enamel loss, attrition, sensitivity</w:t>
            </w:r>
          </w:p>
        </w:tc>
        <w:tc>
          <w:tcPr>
            <w:tcW w:type="dxa" w:w="950"/>
            <w:vAlign w:val="top"/>
          </w:tcPr>
          <w:p>
            <w:pPr>
              <w:spacing w:after="40" w:before="0" w:line="259" w:lineRule="auto"/>
            </w:pPr>
            <w:r>
              <w:rPr>
                <w:rFonts w:ascii="Calibri" w:hAnsi="Calibri"/>
                <w:b w:val="0"/>
                <w:i w:val="0"/>
                <w:color w:val="212121"/>
                <w:sz w:val="16"/>
              </w:rPr>
              <w:t>Intact enamel</w:t>
            </w:r>
          </w:p>
        </w:tc>
        <w:tc>
          <w:tcPr>
            <w:tcW w:type="dxa" w:w="950"/>
            <w:vAlign w:val="top"/>
          </w:tcPr>
          <w:p>
            <w:pPr>
              <w:spacing w:after="40" w:before="0" w:line="259" w:lineRule="auto"/>
            </w:pPr>
            <w:r>
              <w:rPr>
                <w:rFonts w:ascii="Calibri" w:hAnsi="Calibri"/>
                <w:b w:val="0"/>
                <w:i w:val="0"/>
                <w:color w:val="212121"/>
                <w:sz w:val="16"/>
              </w:rPr>
              <w:t>Brown staining, pitting, chipping, wear, exposed dentin</w:t>
            </w:r>
          </w:p>
        </w:tc>
        <w:tc>
          <w:tcPr>
            <w:tcW w:type="dxa" w:w="1036"/>
            <w:vAlign w:val="top"/>
          </w:tcPr>
          <w:p>
            <w:pPr>
              <w:spacing w:after="40" w:before="0" w:line="259" w:lineRule="auto"/>
            </w:pPr>
            <w:r>
              <w:rPr>
                <w:rFonts w:ascii="Calibri" w:hAnsi="Calibri"/>
                <w:b w:val="0"/>
                <w:i w:val="0"/>
                <w:color w:val="212121"/>
                <w:sz w:val="16"/>
              </w:rPr>
              <w:t>Identifies severe disease needing restorative care and marks systemic fluoride overload</w:t>
            </w:r>
          </w:p>
        </w:tc>
        <w:tc>
          <w:tcPr>
            <w:tcW w:type="dxa" w:w="1036"/>
            <w:vAlign w:val="top"/>
          </w:tcPr>
          <w:p>
            <w:pPr>
              <w:spacing w:after="40" w:before="0" w:line="259" w:lineRule="auto"/>
            </w:pPr>
            <w:r>
              <w:rPr>
                <w:rFonts w:ascii="Calibri" w:hAnsi="Calibri"/>
                <w:b w:val="0"/>
                <w:i w:val="0"/>
                <w:color w:val="212121"/>
                <w:sz w:val="16"/>
              </w:rPr>
              <w:t>Moderate-severe fluorosis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Severe pitted enamel may become caries-prone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Dietary history</w:t>
            </w:r>
          </w:p>
        </w:tc>
        <w:tc>
          <w:tcPr>
            <w:tcW w:type="dxa" w:w="979"/>
            <w:vAlign w:val="top"/>
          </w:tcPr>
          <w:p>
            <w:pPr>
              <w:spacing w:after="40" w:before="0" w:line="259" w:lineRule="auto"/>
            </w:pPr>
            <w:r>
              <w:rPr>
                <w:rFonts w:ascii="Calibri" w:hAnsi="Calibri"/>
                <w:b w:val="0"/>
                <w:i w:val="0"/>
                <w:color w:val="212121"/>
                <w:sz w:val="16"/>
              </w:rPr>
              <w:t>Calcium intake, black/brick tea, rock salt, tinned foods</w:t>
            </w:r>
          </w:p>
        </w:tc>
        <w:tc>
          <w:tcPr>
            <w:tcW w:type="dxa" w:w="950"/>
            <w:vAlign w:val="top"/>
          </w:tcPr>
          <w:p>
            <w:pPr>
              <w:spacing w:after="40" w:before="0" w:line="259" w:lineRule="auto"/>
            </w:pPr>
            <w:r>
              <w:rPr>
                <w:rFonts w:ascii="Calibri" w:hAnsi="Calibri"/>
                <w:b w:val="0"/>
                <w:i w:val="0"/>
                <w:color w:val="212121"/>
                <w:sz w:val="16"/>
              </w:rPr>
              <w:t>Adequate calcium, low fluoride diet</w:t>
            </w:r>
          </w:p>
        </w:tc>
        <w:tc>
          <w:tcPr>
            <w:tcW w:type="dxa" w:w="950"/>
            <w:vAlign w:val="top"/>
          </w:tcPr>
          <w:p>
            <w:pPr>
              <w:spacing w:after="40" w:before="0" w:line="259" w:lineRule="auto"/>
            </w:pPr>
            <w:r>
              <w:rPr>
                <w:rFonts w:ascii="Calibri" w:hAnsi="Calibri"/>
                <w:b w:val="0"/>
                <w:i w:val="0"/>
                <w:color w:val="212121"/>
                <w:sz w:val="16"/>
              </w:rPr>
              <w:t>Low calcium with high tea/rock-salt/tinned-food intake</w:t>
            </w:r>
          </w:p>
        </w:tc>
        <w:tc>
          <w:tcPr>
            <w:tcW w:type="dxa" w:w="1036"/>
            <w:vAlign w:val="top"/>
          </w:tcPr>
          <w:p>
            <w:pPr>
              <w:spacing w:after="40" w:before="0" w:line="259" w:lineRule="auto"/>
            </w:pPr>
            <w:r>
              <w:rPr>
                <w:rFonts w:ascii="Calibri" w:hAnsi="Calibri"/>
                <w:b w:val="0"/>
                <w:i w:val="0"/>
                <w:color w:val="212121"/>
                <w:sz w:val="16"/>
              </w:rPr>
              <w:t>Captures dietary amplifiers and modifiers of fluoride intake and retention</w:t>
            </w:r>
          </w:p>
        </w:tc>
        <w:tc>
          <w:tcPr>
            <w:tcW w:type="dxa" w:w="1036"/>
            <w:vAlign w:val="top"/>
          </w:tcPr>
          <w:p>
            <w:pPr>
              <w:spacing w:after="40" w:before="0" w:line="259" w:lineRule="auto"/>
            </w:pPr>
            <w:r>
              <w:rPr>
                <w:rFonts w:ascii="Calibri" w:hAnsi="Calibri"/>
                <w:b w:val="0"/>
                <w:i w:val="0"/>
                <w:color w:val="212121"/>
                <w:sz w:val="16"/>
              </w:rPr>
              <w:t>Endemic-area families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Guides dietary counselling and calcium correction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Fine white flecks or lines on the teeth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earliest and mildest change - scattered paper-white opaque flecks or fine horizontal lines, usually symmetrical.</w:t>
            </w:r>
          </w:p>
        </w:tc>
      </w:tr>
      <w:tr>
        <w:trPr>
          <w:cantSplit/>
        </w:trPr>
        <w:tc>
          <w:tcPr>
            <w:tcW w:type="dxa" w:w="2304"/>
            <w:vAlign w:val="top"/>
          </w:tcPr>
          <w:p>
            <w:pPr>
              <w:spacing w:after="40" w:before="0" w:line="259" w:lineRule="auto"/>
            </w:pPr>
            <w:r>
              <w:rPr>
                <w:rFonts w:ascii="Calibri" w:hAnsi="Calibri"/>
                <w:b/>
                <w:i w:val="0"/>
                <w:color w:val="212121"/>
                <w:sz w:val="19"/>
              </w:rPr>
              <w:t>Chalky-white opaque patches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Larger cloudy-white areas of enamel; in India very mild and mild forms together make up the bulk of cases (about 10.6% and 9.7% pooled).</w:t>
            </w:r>
          </w:p>
        </w:tc>
      </w:tr>
      <w:tr>
        <w:trPr>
          <w:cantSplit/>
        </w:trPr>
        <w:tc>
          <w:tcPr>
            <w:tcW w:type="dxa" w:w="2304"/>
            <w:vAlign w:val="top"/>
          </w:tcPr>
          <w:p>
            <w:pPr>
              <w:spacing w:after="40" w:before="0" w:line="259" w:lineRule="auto"/>
            </w:pPr>
            <w:r>
              <w:rPr>
                <w:rFonts w:ascii="Calibri" w:hAnsi="Calibri"/>
                <w:b/>
                <w:i w:val="0"/>
                <w:color w:val="212121"/>
                <w:sz w:val="19"/>
              </w:rPr>
              <w:t>Yellow-to-brown staining of teeth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Post-eruptive discoloration as porous fluorotic enamel absorbs chromogens; disfiguring in moderate-severe disease.</w:t>
            </w:r>
          </w:p>
        </w:tc>
      </w:tr>
      <w:tr>
        <w:trPr>
          <w:cantSplit/>
        </w:trPr>
        <w:tc>
          <w:tcPr>
            <w:tcW w:type="dxa" w:w="2304"/>
            <w:vAlign w:val="top"/>
          </w:tcPr>
          <w:p>
            <w:pPr>
              <w:spacing w:after="40" w:before="0" w:line="259" w:lineRule="auto"/>
            </w:pPr>
            <w:r>
              <w:rPr>
                <w:rFonts w:ascii="Calibri" w:hAnsi="Calibri"/>
                <w:b/>
                <w:i w:val="0"/>
                <w:color w:val="212121"/>
                <w:sz w:val="19"/>
              </w:rPr>
              <w:t>Cosmetic concern / self-consciousness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main complaint, especially when the upper front teeth are stained; a frequent reason for seeking dental care in adolescents.</w:t>
            </w:r>
          </w:p>
        </w:tc>
      </w:tr>
      <w:tr>
        <w:trPr>
          <w:cantSplit/>
        </w:trPr>
        <w:tc>
          <w:tcPr>
            <w:tcW w:type="dxa" w:w="2304"/>
            <w:vAlign w:val="top"/>
          </w:tcPr>
          <w:p>
            <w:pPr>
              <w:spacing w:after="40" w:before="0" w:line="259" w:lineRule="auto"/>
            </w:pPr>
            <w:r>
              <w:rPr>
                <w:rFonts w:ascii="Calibri" w:hAnsi="Calibri"/>
                <w:b/>
                <w:i w:val="0"/>
                <w:color w:val="212121"/>
                <w:sz w:val="19"/>
              </w:rPr>
              <w:t>Rough or pitted enamel surface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Discrete or confluent pitting of the enamel in severe fluorosis.</w:t>
            </w:r>
          </w:p>
        </w:tc>
      </w:tr>
      <w:tr>
        <w:trPr>
          <w:cantSplit/>
        </w:trPr>
        <w:tc>
          <w:tcPr>
            <w:tcW w:type="dxa" w:w="2304"/>
            <w:vAlign w:val="top"/>
          </w:tcPr>
          <w:p>
            <w:pPr>
              <w:spacing w:after="40" w:before="0" w:line="259" w:lineRule="auto"/>
            </w:pPr>
            <w:r>
              <w:rPr>
                <w:rFonts w:ascii="Calibri" w:hAnsi="Calibri"/>
                <w:b/>
                <w:i w:val="0"/>
                <w:color w:val="212121"/>
                <w:sz w:val="19"/>
              </w:rPr>
              <w:t>Chipping or fracture of enamel</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Brittle, hypomineralized enamel can chip or flake in moderate-severe disease.</w:t>
            </w:r>
          </w:p>
        </w:tc>
      </w:tr>
      <w:tr>
        <w:trPr>
          <w:cantSplit/>
        </w:trPr>
        <w:tc>
          <w:tcPr>
            <w:tcW w:type="dxa" w:w="2304"/>
            <w:vAlign w:val="top"/>
          </w:tcPr>
          <w:p>
            <w:pPr>
              <w:spacing w:after="40" w:before="0" w:line="259" w:lineRule="auto"/>
            </w:pPr>
            <w:r>
              <w:rPr>
                <w:rFonts w:ascii="Calibri" w:hAnsi="Calibri"/>
                <w:b/>
                <w:i w:val="0"/>
                <w:color w:val="212121"/>
                <w:sz w:val="19"/>
              </w:rPr>
              <w:t>Tooth sensitivity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Occurs when pitting or wear exposes dentin in severe fluorosis.</w:t>
            </w:r>
          </w:p>
        </w:tc>
      </w:tr>
      <w:tr>
        <w:trPr>
          <w:cantSplit/>
        </w:trPr>
        <w:tc>
          <w:tcPr>
            <w:tcW w:type="dxa" w:w="2304"/>
            <w:vAlign w:val="top"/>
          </w:tcPr>
          <w:p>
            <w:pPr>
              <w:spacing w:after="40" w:before="0" w:line="259" w:lineRule="auto"/>
            </w:pPr>
            <w:r>
              <w:rPr>
                <w:rFonts w:ascii="Calibri" w:hAnsi="Calibri"/>
                <w:b/>
                <w:i w:val="0"/>
                <w:color w:val="212121"/>
                <w:sz w:val="19"/>
              </w:rPr>
              <w:t>Increased tooth wear / attrition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Accelerated wear of biting surfaces in moderate-severe disease.</w:t>
            </w:r>
          </w:p>
        </w:tc>
      </w:tr>
      <w:tr>
        <w:trPr>
          <w:cantSplit/>
        </w:trPr>
        <w:tc>
          <w:tcPr>
            <w:tcW w:type="dxa" w:w="2304"/>
            <w:vAlign w:val="top"/>
          </w:tcPr>
          <w:p>
            <w:pPr>
              <w:spacing w:after="40" w:before="0" w:line="259" w:lineRule="auto"/>
            </w:pPr>
            <w:r>
              <w:rPr>
                <w:rFonts w:ascii="Calibri" w:hAnsi="Calibri"/>
                <w:b/>
                <w:i w:val="0"/>
                <w:color w:val="212121"/>
                <w:sz w:val="19"/>
              </w:rPr>
              <w:t>Psychosocial distress / social anxiety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Embarrassment and low self-esteem from visible anterior mottling, notably in adolescents and young adults.</w:t>
            </w:r>
          </w:p>
        </w:tc>
      </w:tr>
      <w:tr>
        <w:trPr>
          <w:cantSplit/>
        </w:trPr>
        <w:tc>
          <w:tcPr>
            <w:tcW w:type="dxa" w:w="2304"/>
            <w:vAlign w:val="top"/>
          </w:tcPr>
          <w:p>
            <w:pPr>
              <w:spacing w:after="40" w:before="0" w:line="259" w:lineRule="auto"/>
            </w:pPr>
            <w:r>
              <w:rPr>
                <w:rFonts w:ascii="Calibri" w:hAnsi="Calibri"/>
                <w:b/>
                <w:i w:val="0"/>
                <w:color w:val="212121"/>
                <w:sz w:val="19"/>
              </w:rPr>
              <w:t>Increased caries in severely pitted teeth</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Mild fluorosis is caries-resistant, but severe pitted enamel can retain plaque and become caries-prone.</w:t>
            </w:r>
          </w:p>
        </w:tc>
      </w:tr>
      <w:tr>
        <w:trPr>
          <w:cantSplit/>
        </w:trPr>
        <w:tc>
          <w:tcPr>
            <w:tcW w:type="dxa" w:w="2304"/>
            <w:vAlign w:val="top"/>
          </w:tcPr>
          <w:p>
            <w:pPr>
              <w:spacing w:after="40" w:before="0" w:line="259" w:lineRule="auto"/>
            </w:pPr>
            <w:r>
              <w:rPr>
                <w:rFonts w:ascii="Calibri" w:hAnsi="Calibri"/>
                <w:b/>
                <w:i w:val="0"/>
                <w:color w:val="212121"/>
                <w:sz w:val="19"/>
              </w:rPr>
              <w:t>Plaque retention / difficulty cleaning pitted surfaces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Irregular, pitted enamel in severe disease is harder to keep clean.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Bilaterally symmetrical diffuse opacities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hallmark of fluorosis - symmetric, diffuse chalky-white change on homologous teeth, unlike the asymmetric defects of MIH or hypoplasia.</w:t>
            </w:r>
          </w:p>
        </w:tc>
      </w:tr>
      <w:tr>
        <w:trPr>
          <w:cantSplit/>
        </w:trPr>
        <w:tc>
          <w:tcPr>
            <w:tcW w:type="dxa" w:w="3456"/>
            <w:vAlign w:val="top"/>
          </w:tcPr>
          <w:p>
            <w:pPr>
              <w:spacing w:after="40" w:before="0" w:line="259" w:lineRule="auto"/>
            </w:pPr>
            <w:r>
              <w:rPr>
                <w:rFonts w:ascii="Calibri" w:hAnsi="Calibri"/>
                <w:b/>
                <w:i w:val="0"/>
                <w:color w:val="212121"/>
                <w:sz w:val="19"/>
              </w:rPr>
              <w:t>Fine white lines following the perikymata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Horizontal opaque striations across the enamel corresponding to incremental growth lines.</w:t>
            </w:r>
          </w:p>
        </w:tc>
      </w:tr>
      <w:tr>
        <w:trPr>
          <w:cantSplit/>
        </w:trPr>
        <w:tc>
          <w:tcPr>
            <w:tcW w:type="dxa" w:w="3456"/>
            <w:vAlign w:val="top"/>
          </w:tcPr>
          <w:p>
            <w:pPr>
              <w:spacing w:after="40" w:before="0" w:line="259" w:lineRule="auto"/>
            </w:pPr>
            <w:r>
              <w:rPr>
                <w:rFonts w:ascii="Calibri" w:hAnsi="Calibri"/>
                <w:b/>
                <w:i w:val="0"/>
                <w:color w:val="212121"/>
                <w:sz w:val="19"/>
              </w:rPr>
              <w:t>Snow-capping of cusp tips / incisal edges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White opaque frosting of cusp tips and incisal edges in mild disease.</w:t>
            </w:r>
          </w:p>
        </w:tc>
      </w:tr>
      <w:tr>
        <w:trPr>
          <w:cantSplit/>
        </w:trPr>
        <w:tc>
          <w:tcPr>
            <w:tcW w:type="dxa" w:w="3456"/>
            <w:vAlign w:val="top"/>
          </w:tcPr>
          <w:p>
            <w:pPr>
              <w:spacing w:after="40" w:before="0" w:line="259" w:lineRule="auto"/>
            </w:pPr>
            <w:r>
              <w:rPr>
                <w:rFonts w:ascii="Calibri" w:hAnsi="Calibri"/>
                <w:b/>
                <w:i w:val="0"/>
                <w:color w:val="212121"/>
                <w:sz w:val="19"/>
              </w:rPr>
              <w:t>Chalky-white mottling of enamel</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Patchy cloudy-white opacity, more visible when the tooth is air-dried.</w:t>
            </w:r>
          </w:p>
        </w:tc>
      </w:tr>
      <w:tr>
        <w:trPr>
          <w:cantSplit/>
        </w:trPr>
        <w:tc>
          <w:tcPr>
            <w:tcW w:type="dxa" w:w="3456"/>
            <w:vAlign w:val="top"/>
          </w:tcPr>
          <w:p>
            <w:pPr>
              <w:spacing w:after="40" w:before="0" w:line="259" w:lineRule="auto"/>
            </w:pPr>
            <w:r>
              <w:rPr>
                <w:rFonts w:ascii="Calibri" w:hAnsi="Calibri"/>
                <w:b/>
                <w:i w:val="0"/>
                <w:color w:val="212121"/>
                <w:sz w:val="19"/>
              </w:rPr>
              <w:t>Brown-to-black staining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Post-eruptive brown/black discoloration of porous enamel in moderate-severe fluorosis.</w:t>
            </w:r>
          </w:p>
        </w:tc>
      </w:tr>
      <w:tr>
        <w:trPr>
          <w:cantSplit/>
        </w:trPr>
        <w:tc>
          <w:tcPr>
            <w:tcW w:type="dxa" w:w="3456"/>
            <w:vAlign w:val="top"/>
          </w:tcPr>
          <w:p>
            <w:pPr>
              <w:spacing w:after="40" w:before="0" w:line="259" w:lineRule="auto"/>
            </w:pPr>
            <w:r>
              <w:rPr>
                <w:rFonts w:ascii="Calibri" w:hAnsi="Calibri"/>
                <w:b/>
                <w:i w:val="0"/>
                <w:color w:val="212121"/>
                <w:sz w:val="19"/>
              </w:rPr>
              <w:t>Pitting of enamel</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Discrete or confluent pits where hypomineralized enamel has broken down (severe fluorosis).</w:t>
            </w:r>
          </w:p>
        </w:tc>
      </w:tr>
      <w:tr>
        <w:trPr>
          <w:cantSplit/>
        </w:trPr>
        <w:tc>
          <w:tcPr>
            <w:tcW w:type="dxa" w:w="3456"/>
            <w:vAlign w:val="top"/>
          </w:tcPr>
          <w:p>
            <w:pPr>
              <w:spacing w:after="40" w:before="0" w:line="259" w:lineRule="auto"/>
            </w:pPr>
            <w:r>
              <w:rPr>
                <w:rFonts w:ascii="Calibri" w:hAnsi="Calibri"/>
                <w:b/>
                <w:i w:val="0"/>
                <w:color w:val="212121"/>
                <w:sz w:val="19"/>
              </w:rPr>
              <w:t>Enamel hypoplasia / structural loss (corroded appearance)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Loss of enamel with an eroded, corroded look in the most severe cases.</w:t>
            </w:r>
          </w:p>
        </w:tc>
      </w:tr>
      <w:tr>
        <w:trPr>
          <w:cantSplit/>
        </w:trPr>
        <w:tc>
          <w:tcPr>
            <w:tcW w:type="dxa" w:w="3456"/>
            <w:vAlign w:val="top"/>
          </w:tcPr>
          <w:p>
            <w:pPr>
              <w:spacing w:after="40" w:before="0" w:line="259" w:lineRule="auto"/>
            </w:pPr>
            <w:r>
              <w:rPr>
                <w:rFonts w:ascii="Calibri" w:hAnsi="Calibri"/>
                <w:b/>
                <w:i w:val="0"/>
                <w:color w:val="212121"/>
                <w:sz w:val="19"/>
              </w:rPr>
              <w:t>Worst involvement of premolars, second molars and upper incisors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Teeth that were mineralizing during peak exposure are most affected, reflecting the timing of fluoride intake.</w:t>
            </w:r>
          </w:p>
        </w:tc>
      </w:tr>
      <w:tr>
        <w:trPr>
          <w:cantSplit/>
        </w:trPr>
        <w:tc>
          <w:tcPr>
            <w:tcW w:type="dxa" w:w="3456"/>
            <w:vAlign w:val="top"/>
          </w:tcPr>
          <w:p>
            <w:pPr>
              <w:spacing w:after="40" w:before="0" w:line="259" w:lineRule="auto"/>
            </w:pPr>
            <w:r>
              <w:rPr>
                <w:rFonts w:ascii="Calibri" w:hAnsi="Calibri"/>
                <w:b/>
                <w:i w:val="0"/>
                <w:color w:val="212121"/>
                <w:sz w:val="19"/>
              </w:rPr>
              <w:t>Accelerated attrition of biting surfaces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Marked wear of occlusal/incisal surfaces in moderate-severe disease.</w:t>
            </w:r>
          </w:p>
        </w:tc>
      </w:tr>
      <w:tr>
        <w:trPr>
          <w:cantSplit/>
        </w:trPr>
        <w:tc>
          <w:tcPr>
            <w:tcW w:type="dxa" w:w="3456"/>
            <w:vAlign w:val="top"/>
          </w:tcPr>
          <w:p>
            <w:pPr>
              <w:spacing w:after="40" w:before="0" w:line="259" w:lineRule="auto"/>
            </w:pPr>
            <w:r>
              <w:rPr>
                <w:rFonts w:ascii="Calibri" w:hAnsi="Calibri"/>
                <w:b/>
                <w:i w:val="0"/>
                <w:color w:val="212121"/>
                <w:sz w:val="19"/>
              </w:rPr>
              <w:t>Increased opacity on air-drying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Fluorotic opacities become more obvious when the enamel surface is dried, aiding detection.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Enamel hypomineralization and increased subsurface porosity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Bilaterally symmetrical white opacities / mottling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Brown-to-black post-eruptive staining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Enamel pitting and structural (hypoplastic) loss in severe disease</w:t>
            </w:r>
          </w:p>
        </w:tc>
        <w:tc>
          <w:tcPr>
            <w:tcW w:type="dxa" w:w="2980"/>
            <w:vAlign w:val="top"/>
          </w:tcPr>
          <w:p>
            <w:pPr>
              <w:spacing w:after="40" w:before="0" w:line="259" w:lineRule="auto"/>
            </w:pPr>
            <w:r>
              <w:rPr>
                <w:rFonts w:ascii="Calibri" w:hAnsi="Calibri"/>
                <w:b w:val="0"/>
                <w:i w:val="0"/>
                <w:color w:val="212121"/>
                <w:sz w:val="19"/>
              </w:rPr>
              <w:t>Direct developmental consequences of fluoride disrupting ameloblasts and enamel maturation.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Enamel fragility with chipping or fracture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Accelerated tooth wear / attrition and tooth sensitivity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caries susceptibility in severely pitted enamel (mild fluorosis is protective)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Psychosocial impact - embarrassment, low self-esteem, social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Coexisting skeletal and non-skeletal fluorosis as a marker of systemic overload</w:t>
            </w:r>
          </w:p>
        </w:tc>
        <w:tc>
          <w:tcPr>
            <w:tcW w:type="dxa" w:w="2980"/>
            <w:vAlign w:val="top"/>
          </w:tcPr>
          <w:p>
            <w:pPr>
              <w:spacing w:after="40" w:before="0" w:line="259" w:lineRule="auto"/>
            </w:pPr>
            <w:r>
              <w:rPr>
                <w:rFonts w:ascii="Calibri" w:hAnsi="Calibri"/>
                <w:b w:val="0"/>
                <w:i w:val="0"/>
                <w:color w:val="212121"/>
                <w:sz w:val="19"/>
              </w:rPr>
              <w:t>Structural, functional and psychosocial sequelae of hypomineralized enamel and shared fluoride exposure.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Need for restorative / cosmetic dentistry - microabrasion, bleaching, resin infiltration, composite or porcelain veneers, crowns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disfigurement and reduced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Ongoing social stigma, especially for visible anterior staining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Dental fluorosis as a sentinel flagging community risk of crippling skeletal fluorosis and systemic fluoride toxicity</w:t>
            </w:r>
          </w:p>
        </w:tc>
        <w:tc>
          <w:tcPr>
            <w:tcW w:type="dxa" w:w="2980"/>
            <w:vAlign w:val="top"/>
          </w:tcPr>
          <w:p>
            <w:pPr>
              <w:spacing w:after="40" w:before="0" w:line="259" w:lineRule="auto"/>
            </w:pPr>
            <w:r>
              <w:rPr>
                <w:rFonts w:ascii="Calibri" w:hAnsi="Calibri"/>
                <w:b w:val="0"/>
                <w:i w:val="0"/>
                <w:color w:val="212121"/>
                <w:sz w:val="19"/>
              </w:rPr>
              <w:t>Irreversible, treatment- and quality-of-life-related outcomes of established moderate-severe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Skeletal fluorosis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Dental fluorosis reflects childhood exposure and is an early visible sentinel of the same excess fluoride that later causes skeletal fluorosis; the two commonly coexist in endemic areas, so mottled teeth flag a community at risk of crippling bone disease.</w:t>
            </w:r>
          </w:p>
        </w:tc>
      </w:tr>
      <w:tr>
        <w:trPr>
          <w:cantSplit/>
        </w:trPr>
        <w:tc>
          <w:tcPr>
            <w:tcW w:type="dxa" w:w="2232"/>
            <w:vAlign w:val="top"/>
          </w:tcPr>
          <w:p>
            <w:pPr>
              <w:spacing w:after="40" w:before="0" w:line="259" w:lineRule="auto"/>
            </w:pPr>
            <w:r>
              <w:rPr>
                <w:rFonts w:ascii="Calibri" w:hAnsi="Calibri"/>
                <w:b/>
                <w:i w:val="0"/>
                <w:color w:val="212121"/>
                <w:sz w:val="19"/>
              </w:rPr>
              <w:t>Non-skeletal fluorosis (gastrointestinal, muscular, neurological)</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The same fluoride overload produces non-skeletal complaints; dental mottling often accompanies these earlier, reversible manifestations.</w:t>
            </w:r>
          </w:p>
        </w:tc>
      </w:tr>
      <w:tr>
        <w:trPr>
          <w:cantSplit/>
        </w:trPr>
        <w:tc>
          <w:tcPr>
            <w:tcW w:type="dxa" w:w="2232"/>
            <w:vAlign w:val="top"/>
          </w:tcPr>
          <w:p>
            <w:pPr>
              <w:spacing w:after="40" w:before="0" w:line="259" w:lineRule="auto"/>
            </w:pPr>
            <w:r>
              <w:rPr>
                <w:rFonts w:ascii="Calibri" w:hAnsi="Calibri"/>
                <w:b/>
                <w:i w:val="0"/>
                <w:color w:val="212121"/>
                <w:sz w:val="19"/>
              </w:rPr>
              <w:t>Dental caries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relationship is biphasic: mild fluorosis is caries-resistant (the basis of water fluoridation), whereas severe pitted fluorosis can retain plaque and become caries-prone; both are assessed together in endemic children.</w:t>
            </w:r>
          </w:p>
        </w:tc>
      </w:tr>
      <w:tr>
        <w:trPr>
          <w:cantSplit/>
        </w:trPr>
        <w:tc>
          <w:tcPr>
            <w:tcW w:type="dxa" w:w="2232"/>
            <w:vAlign w:val="top"/>
          </w:tcPr>
          <w:p>
            <w:pPr>
              <w:spacing w:after="40" w:before="0" w:line="259" w:lineRule="auto"/>
            </w:pPr>
            <w:r>
              <w:rPr>
                <w:rFonts w:ascii="Calibri" w:hAnsi="Calibri"/>
                <w:b/>
                <w:i w:val="0"/>
                <w:color w:val="212121"/>
                <w:sz w:val="19"/>
              </w:rPr>
              <w:t>Molar-incisor hypomineralization (MIH)</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The main differential - MIH gives asymmetric, demarcated opacities on first molars and incisors, versus the symmetric diffuse pattern of fluorosis; the two can coexist and complicate diagnosis and treatment planning.</w:t>
            </w:r>
          </w:p>
        </w:tc>
      </w:tr>
      <w:tr>
        <w:trPr>
          <w:cantSplit/>
        </w:trPr>
        <w:tc>
          <w:tcPr>
            <w:tcW w:type="dxa" w:w="2232"/>
            <w:vAlign w:val="top"/>
          </w:tcPr>
          <w:p>
            <w:pPr>
              <w:spacing w:after="40" w:before="0" w:line="259" w:lineRule="auto"/>
            </w:pPr>
            <w:r>
              <w:rPr>
                <w:rFonts w:ascii="Calibri" w:hAnsi="Calibri"/>
                <w:b/>
                <w:i w:val="0"/>
                <w:color w:val="212121"/>
                <w:sz w:val="19"/>
              </w:rPr>
              <w:t>Enamel hypoplasia / other developmental enamel defects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Non-fluoride enamel defects (hypoplasia, amelogenesis imperfecta, tetracycline staining) are differentials that may coexist and alter diagnosis and restorative management.</w:t>
            </w:r>
          </w:p>
        </w:tc>
      </w:tr>
      <w:tr>
        <w:trPr>
          <w:cantSplit/>
        </w:trPr>
        <w:tc>
          <w:tcPr>
            <w:tcW w:type="dxa" w:w="2232"/>
            <w:vAlign w:val="top"/>
          </w:tcPr>
          <w:p>
            <w:pPr>
              <w:spacing w:after="40" w:before="0" w:line="259" w:lineRule="auto"/>
            </w:pPr>
            <w:r>
              <w:rPr>
                <w:rFonts w:ascii="Calibri" w:hAnsi="Calibri"/>
                <w:b/>
                <w:i w:val="0"/>
                <w:color w:val="212121"/>
                <w:sz w:val="19"/>
              </w:rPr>
              <w:t>Neurodevelopmental effects / lower IQ in children</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Chronic high fluoride exposure in endemic areas is associated with lower IQ and neurodevelopmental effects; it shares the exposure that causes dental fluorosis, so visible mottling helps flag at-risk children for source remediation.</w:t>
            </w:r>
          </w:p>
        </w:tc>
      </w:tr>
      <w:tr>
        <w:trPr>
          <w:cantSplit/>
        </w:trPr>
        <w:tc>
          <w:tcPr>
            <w:tcW w:type="dxa" w:w="2232"/>
            <w:vAlign w:val="top"/>
          </w:tcPr>
          <w:p>
            <w:pPr>
              <w:spacing w:after="40" w:before="0" w:line="259" w:lineRule="auto"/>
            </w:pPr>
            <w:r>
              <w:rPr>
                <w:rFonts w:ascii="Calibri" w:hAnsi="Calibri"/>
                <w:b/>
                <w:i w:val="0"/>
                <w:color w:val="212121"/>
                <w:sz w:val="19"/>
              </w:rPr>
              <w:t>Nutritional deficiency (calcium / vitamin D)</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Low calcium and vitamin D increase fluoride absorption and retention and worsen enamel and bone effects; both share the poor-nutrition context of endemic areas, and correcting them is part of management.</w:t>
            </w:r>
          </w:p>
        </w:tc>
      </w:tr>
      <w:tr>
        <w:trPr>
          <w:cantSplit/>
        </w:trPr>
        <w:tc>
          <w:tcPr>
            <w:tcW w:type="dxa" w:w="2232"/>
            <w:vAlign w:val="top"/>
          </w:tcPr>
          <w:p>
            <w:pPr>
              <w:spacing w:after="40" w:before="0" w:line="259" w:lineRule="auto"/>
            </w:pPr>
            <w:r>
              <w:rPr>
                <w:rFonts w:ascii="Calibri" w:hAnsi="Calibri"/>
                <w:b/>
                <w:i w:val="0"/>
                <w:color w:val="212121"/>
                <w:sz w:val="19"/>
              </w:rPr>
              <w:t>Chronic kidney disease / renal impairment</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The kidney excretes about half of absorbed fluoride, so renal impairment increases retention and fluorosis severity, while fluoride is itself nephrotoxic - a bidirectional relationship.</w:t>
            </w:r>
          </w:p>
        </w:tc>
      </w:tr>
      <w:tr>
        <w:trPr>
          <w:cantSplit/>
        </w:trPr>
        <w:tc>
          <w:tcPr>
            <w:tcW w:type="dxa" w:w="2232"/>
            <w:vAlign w:val="top"/>
          </w:tcPr>
          <w:p>
            <w:pPr>
              <w:spacing w:after="40" w:before="0" w:line="259" w:lineRule="auto"/>
            </w:pPr>
            <w:r>
              <w:rPr>
                <w:rFonts w:ascii="Calibri" w:hAnsi="Calibri"/>
                <w:b/>
                <w:i w:val="0"/>
                <w:color w:val="212121"/>
                <w:sz w:val="19"/>
              </w:rPr>
              <w:t>Anaemia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Endemic fluorosis populations, with poor nutrition and gastrointestinal fluorosis, show higher rates of anaemia; fluorosis is now addressed within India's Anaemia Mukt Bharat guidelines.</w:t>
            </w:r>
          </w:p>
        </w:tc>
      </w:tr>
      <w:tr>
        <w:trPr>
          <w:cantSplit/>
        </w:trPr>
        <w:tc>
          <w:tcPr>
            <w:tcW w:type="dxa" w:w="2232"/>
            <w:vAlign w:val="top"/>
          </w:tcPr>
          <w:p>
            <w:pPr>
              <w:spacing w:after="40" w:before="0" w:line="259" w:lineRule="auto"/>
            </w:pPr>
            <w:r>
              <w:rPr>
                <w:rFonts w:ascii="Calibri" w:hAnsi="Calibri"/>
                <w:b/>
                <w:i w:val="0"/>
                <w:color w:val="212121"/>
                <w:sz w:val="19"/>
              </w:rPr>
              <w:t>Psychosocial distress / low self-esteem / social anxiety</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Visible anterior mottling and staining cause embarrassment and reduced self-confidence, especially in adolescents, and are a common reason for seeking cosmetic dental care.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Test your drinking-water source for fluoride and use water at or below the BIS acceptable limit of 1.0 mg/L for drinking and cooking, especially for children under 8 and pregnant/breastfeeding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Protect the tooth-forming years (birth to about 8 years): this is the only window in which dental fluorosis can develop, so prevention must focus on 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let toddlers swallow fluoride toothpaste - use only a rice-grain smear under 3 years and a pea-sized amount from 3-6 years, and supervise spitting out.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household defluoridation (activated alumina, the Nalgonda technique or reverse osmosis) or alternative supplies (treated surface water, rainwater harvesting, blending with low-fluoride water) where all groundwater is high in fluoride.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Recognize that dental fluorosis is permanent and also a warning sign of systemic (skeletal) fluoride overload in the household and village - seek screening for the whole family.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Reconstitute infant formula with tested low-fluoride water and reduce non-water sources (black tea, black/red rock salt, tinned foods) for young children.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with 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Residents of endemic districts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Pregnant/breastfeeding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Anganwadi/school health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at-risk households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Match dental treatment to severity: topical remineralizing agents and good hygiene for very mild-mild cases; enamel microabrasion and/or bleaching for surface white or brown staining.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resin infiltration (ICON) for white/brown fluorotic opacities, and composite or porcelain veneers or crowns for moderate-severe pitting and disfigurement.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tooth sensitivity and manage any caries in severely pitted teeth, and review restorations periodically.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Continue safe-water and dietary measures even after cosmetic treatment, since fluorosis is a marker of ongoing exposure that also threatens the skeleton.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Refer for systemic assessment (urine/serum fluoride, screening for skeletal fluorosis) when dental fluorosis is moderate-severe or clustered in a community.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and adults with visible mottling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moderate-severe fluorosis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seeking cosmetic correction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Endemic-area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children who play and work outdoors in the heat drink tested, safe (low-fluoride) water rather than untreated borewell water, as high intake in hot weather multiplies the fluoride dose.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safe drinking water at schools, anganwadis and playgrounds in endemic areas.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carrying safe water from a known low-fluoride source during outdoor activity.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Active children in endemic areas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School and anganwadi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Outdoor-working families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calcium for children (milk, curd, ragi/finger millet, sesame, green leafy vegetables, drumstick) - calcium reduces fluoride absorption and protects developing enamel and bone.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Give vitamin-C-rich foods (amla, lemon, orange, guava, tomato, sprouts) and vitamin-D sources with sensible sun exposure to lessen fluoride toxicity.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strong black/brick tea, black/red rock salt and tinned foods, which add to fluoride intake.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reconstituting infant formula or cooking children's food with high-fluoride water.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Give children a nutrient-dense diet to prevent the combined high-fluoride-plus-malnutrition picture that produces more severe fluorosis.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Endemic-area families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Pregnant/breastfeeding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children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calcium, vitamin C and vitamin D deficiency through a rich diet and supplements where needed, alongside a switch to safe water.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 with a dietitian on affordable calcium- and antioxidant-focused meal planning using local foods (millets, pulses, leafy greens, dairy).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general nutrition to limit fluoride retention and support the child's overall growth.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Diagnosed fluorosis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Endemic-area families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tooth sensitivity in severe fluorosis (desensitizing toothpaste, dental care) so discomfort does not disturb rest.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aesthetic-related anxiety that can affect wellbeing and sleep, particularly in adolescents.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severe/sensitive teeth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with aesthetic concern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tobacco, bidi and paan, which add to the fluoride load and stain fluorotic enamel further, worsening the cosmetic problem.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households tobacco-free to protect children and prevent extra fluoride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cessation support (counselling, nicotine replacement) where needed.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Tobacco/bidi/paan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Endemic-area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with children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which with poor nutrition worsens calcium and vitamin-D status and bone/enamel quality.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low-income households, prioritize spending on safe water and a nutritious diet for children over alcohol.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Low-income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adults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Acknowledge and address the psychosocial impact of visible mottling - embarrassment, low self-esteem and social anxiety, especially in 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counselling and reassurance, and discuss realistic cosmetic dental options (microabrasion, bleaching, resin infiltration, veneers).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peer and family support and involve school/community health workers to reduce stigma.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Frame prevention positively for families so that affected children are supported rather than blamed.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with anterior mottling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seeking cosmetic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Socially self-conscious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in endemic areas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40741788/" TargetMode="External"/><Relationship Id="rId10" Type="http://schemas.openxmlformats.org/officeDocument/2006/relationships/hyperlink" Target="https://www.frontiersin.org/journals/public-health/articles/10.3389/fpubh.2023.1110777/full" TargetMode="External"/><Relationship Id="rId11" Type="http://schemas.openxmlformats.org/officeDocument/2006/relationships/hyperlink" Target="https://factly.in/fluorosis-significant-progress-in-the-last-10-years-thousands-still-susceptible/" TargetMode="External"/><Relationship Id="rId12" Type="http://schemas.openxmlformats.org/officeDocument/2006/relationships/hyperlink" Target="https://fluoridealert.org/content/india-fluorosis/" TargetMode="External"/><Relationship Id="rId13" Type="http://schemas.openxmlformats.org/officeDocument/2006/relationships/hyperlink" Target="https://pubmed.ncbi.nlm.nih.gov/35859405/" TargetMode="External"/><Relationship Id="rId14" Type="http://schemas.openxmlformats.org/officeDocument/2006/relationships/hyperlink" Target="https://ncdc.mohfw.gov.in/wp-content/uploads/2024/05/CD-Alert-on-Fluorosis-Final-28-Apr-202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