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Teething Discomfort (infant)</w:t>
      </w:r>
    </w:p>
    <w:p>
      <w:pPr>
        <w:spacing w:before="0" w:after="160"/>
      </w:pPr>
      <w:r>
        <w:rPr>
          <w:rFonts w:ascii="Calibri" w:hAnsi="Calibri"/>
          <w:b/>
          <w:i w:val="0"/>
          <w:color w:val="212121"/>
          <w:sz w:val="22"/>
        </w:rPr>
        <w:t xml:space="preserve">AKA </w:t>
      </w:r>
      <w:r>
        <w:rPr>
          <w:rFonts w:ascii="Calibri" w:hAnsi="Calibri"/>
          <w:b w:val="0"/>
          <w:i w:val="0"/>
          <w:color w:val="212121"/>
          <w:sz w:val="22"/>
        </w:rPr>
        <w:t>i.e., Teething, Primary (deciduous / milk) tooth eruption, Odontiasis, Dentition, Difficult teething, ‘Daant nikalna’ / ‘Daant aana’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Teething (odontiasis) is the normal, self-limiting physiological process by which the 20 primary (deciduous / milk) teeth erupt through an infant’s gums, usually beginning around 6 months of age and completing by about 2.5–3 years. As each crown pushes through the gingiva it provokes localized inflammation of the overlying gum that can cause transient discomfort, irritability, excess drooling, an urge to bite, mild gum swelling and, at most, a slightly raised temperature. Teething is essentially a diagnosis of exclusion: current evidence shows it does NOT cause high fever (≥ 38°C), significant diarrhoea, vomiting, cough, convulsions or serious illness, and wrongly attributing such symptoms to teething can dangerously delay diagnosis of a genuine infection. In India the process is widely called ‘daant nikalna’ and is culturally blamed for many unrelated childhood illnesses.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Teething is a universal developmental event rather than a disease with a defined prevalence — virtually every one of the roughly 25 million infants born in India each year passes through primary tooth eruption between about 6 and 30 months of age, so it is a near-100% shared experience of infancy. What varies is the frequency of associated discomfort and, more importantly, of misattribution: across India and South Asia a large proportion of parents, grandmothers and even some frontline health workers believe teething causes fever, diarrhoea, cough and irritability, and many resort to traditional practices such as gum-lancing, black-thread or amber necklaces, honey on the gums, or over-the-counter numbing gels. Because acute diarrhoeal disease and febrile infections remain leading causes of illness and death in Indian under-fives, labelling these as ‘harmless teething’ is a recognised public-health hazard.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Teething is a clinical diagnosis based on age and local gum findings and — crucially — a diagnosis of exclusion; the following support it while other causes of an unwell infant are actively ruled out: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appropriate age window — the first tooth typically erupts around 6 months, and discomfort recurs with each eruption from roughly 6 to 30 months (molars and canines are often the most uncomfortable);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tooth visibly or palpably erupting, with a localized red, swollen, tender gum over the emerging crown;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temporal clustering of mild symptoms (drooling, gum-rubbing, biting, fretfulness, disturbed sleep) in the few days around gum emergence, settling once the crown breaks through;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temperature, if raised, only mildly elevated and remaining below 38°C — a reading ≥ 38°C (100.4°F) should be attributed to illness, not teething;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red-flag features — high fever, persistent/significant diarrhoea or vomiting, poor feeding with dehydration, marked lethargy, rash, convulsions or respiratory distress; any of these mandates assessment for infection rather than a ‘teething’ label;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normal systemic examination between the local gum findings (the baby is well-hydrated, playful and feeding adequately);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 laboratory tests are required for teething itself — investigations are used only to exclude a concurrent illness when the infant is genuinely unwell.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Primary tooth eruption is described by its normal sequence and by the eruption-related phenomena and timing variations that can accompany it:</w:t>
      </w:r>
    </w:p>
    <w:p>
      <w:pPr>
        <w:spacing w:before="0" w:after="80"/>
      </w:pPr>
      <w:r>
        <w:rPr>
          <w:rFonts w:ascii="Calibri" w:hAnsi="Calibri"/>
          <w:b w:val="0"/>
          <w:i w:val="0"/>
          <w:color w:val="212121"/>
          <w:sz w:val="21"/>
        </w:rPr>
        <w:t>(1) Normal eruption sequence — lower central incisors first (around 6 months), then upper central incisors, lateral incisors (around 8–10 months), first molars (around 12–16 months), canines (around 16–20 months) and second molars (around 20–30 months), with all 20 primary teeth usually present by 2.5–3 years; lower teeth generally precede their upper counterparts;</w:t>
      </w:r>
    </w:p>
    <w:p>
      <w:pPr>
        <w:spacing w:before="0" w:after="80"/>
      </w:pPr>
      <w:r>
        <w:rPr>
          <w:rFonts w:ascii="Calibri" w:hAnsi="Calibri"/>
          <w:b w:val="0"/>
          <w:i w:val="0"/>
          <w:color w:val="212121"/>
          <w:sz w:val="21"/>
        </w:rPr>
        <w:t>(2) Physiological (‘normal’) teething — mild, self-limiting local discomfort needing only reassurance and simple soothing — versus ‘difficult’ / symptomatic teething, in which irritability, drooling and sleep disturbance are more pronounced (molar eruption is frequently the most troublesome);</w:t>
      </w:r>
    </w:p>
    <w:p>
      <w:pPr>
        <w:spacing w:before="0" w:after="80"/>
      </w:pPr>
      <w:r>
        <w:rPr>
          <w:rFonts w:ascii="Calibri" w:hAnsi="Calibri"/>
          <w:b w:val="0"/>
          <w:i w:val="0"/>
          <w:color w:val="212121"/>
          <w:sz w:val="21"/>
        </w:rPr>
        <w:t>(3) Eruption cyst / eruption haematoma — a bluish, fluid- or blood-filled swelling over an erupting crown; almost always benign and self-resolving as the tooth emerges;</w:t>
      </w:r>
    </w:p>
    <w:p>
      <w:pPr>
        <w:spacing w:before="0" w:after="80"/>
      </w:pPr>
      <w:r>
        <w:rPr>
          <w:rFonts w:ascii="Calibri" w:hAnsi="Calibri"/>
          <w:b w:val="0"/>
          <w:i w:val="0"/>
          <w:color w:val="212121"/>
          <w:sz w:val="21"/>
        </w:rPr>
        <w:t>(4) Natal and neonatal teeth — teeth present at birth or erupting within the first month; may cause feeding difficulty, sublingual ulceration (Riga-Fede disease) or maternal nipple trauma and occasionally require removal;</w:t>
      </w:r>
    </w:p>
    <w:p>
      <w:pPr>
        <w:spacing w:before="0" w:after="80"/>
      </w:pPr>
      <w:r>
        <w:rPr>
          <w:rFonts w:ascii="Calibri" w:hAnsi="Calibri"/>
          <w:b w:val="0"/>
          <w:i w:val="0"/>
          <w:color w:val="212121"/>
          <w:sz w:val="21"/>
        </w:rPr>
        <w:t>(5) Timing variations — early eruption, and delayed eruption (no teeth by about 13–15 months), the latter prompting evaluation for nutritional deficiency (vitamin D / rickets), hypothyroidism, prematurity / low birth weight, or a genetic / syndromic cause such as Down syndrome.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Tooth eruption mechanics: The advancing crown penetrates the gingiva; localized pressure and micro-trauma to the gum produce transient inflammation and soreness.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Local inflammatory mediators: Eruption is accompanied by a rise in inflammatory cytokines and mediators in the gingival crevicular fluid around the erupting tooth, driving redness, swelling and discomfort.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Salivation reflex: Gum irritation and oral-motor stimulation increase salivary flow, producing the characteristic drooling and drool rash and, at times, coincidental loose stools from swallowed saliva.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Tooth type and size: Larger, multi-cusped molars and the canines are commonly associated with more discomfort than incisors.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Individual and genetic variation: Timing and symptom intensity vary between infants and cluster in families, while systemic factors (prematurity, nutrition) modulate eruption timing.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Misattribution amplifier (contextual): Unrelated infant illnesses that coincide with the 6–30-month teething window are frequently mislabelled as ‘teething’, exaggerating its perceived symptom burden — especially where cultural teething beliefs are strong.</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6–12 months (incisor &amp; first-molar eruption)</w:t>
            </w:r>
          </w:p>
        </w:tc>
        <w:tc>
          <w:tcPr>
            <w:tcW w:type="dxa" w:w="4276"/>
            <w:vAlign w:val="top"/>
          </w:tcPr>
          <w:p>
            <w:pPr>
              <w:spacing w:after="60" w:line="259" w:lineRule="auto"/>
            </w:pPr>
            <w:r>
              <w:rPr>
                <w:rFonts w:ascii="Calibri" w:hAnsi="Calibri"/>
                <w:b w:val="0"/>
                <w:i w:val="0"/>
                <w:color w:val="212121"/>
                <w:sz w:val="19"/>
              </w:rPr>
              <w:t>Most primary teeth begin erupting in the second half of the first year; the front teeth and first molars come through in this window, so drooling, biting and fretfulness cluster here.</w:t>
            </w:r>
          </w:p>
          <w:p>
            <w:pPr>
              <w:spacing w:after="40" w:before="60" w:line="259" w:lineRule="auto"/>
            </w:pPr>
            <w:r>
              <w:rPr>
                <w:rFonts w:ascii="Calibri" w:hAnsi="Calibri"/>
                <w:b w:val="0"/>
                <w:i w:val="0"/>
                <w:color w:val="212121"/>
                <w:sz w:val="19"/>
              </w:rPr>
              <w:t>Lower central incisors erupt at about 6 months, upper central incisors next, lateral incisors around 8 months and first molars around 12 months.</w:t>
            </w:r>
          </w:p>
          <w:p>
            <w:pPr>
              <w:spacing w:after="40" w:line="252" w:lineRule="auto"/>
            </w:pPr>
            <w:hyperlink r:id="rId9">
              <w:r>
                <w:rPr>
                  <w:rFonts w:ascii="Calibri" w:hAnsi="Calibri" w:cs="Calibri"/>
                  <w:sz w:val="18"/>
                  <w:color w:val="1155CC"/>
                  <w:u w:val="single"/>
                </w:rPr>
                <w:t xml:space="preserve">nhs.uk — baby teething symptoms</w:t>
              </w:r>
            </w:hyperlink>
          </w:p>
          <w:p>
            <w:pPr>
              <w:spacing w:before="60" w:after="40"/>
            </w:pPr>
            <w:r>
              <w:rPr>
                <w:rFonts w:ascii="Calibri" w:hAnsi="Calibri"/>
                <w:b w:val="0"/>
                <w:i w:val="0"/>
                <w:color w:val="5A5A5A"/>
                <w:sz w:val="18"/>
              </w:rPr>
              <w:t>#teething  #incisors  #firsttooth  #infant  #drooling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Toddlers 12–30 months (canine &amp; second-molar eruption)</w:t>
            </w:r>
          </w:p>
        </w:tc>
        <w:tc>
          <w:tcPr>
            <w:tcW w:type="dxa" w:w="4276"/>
            <w:vAlign w:val="top"/>
          </w:tcPr>
          <w:p>
            <w:pPr>
              <w:spacing w:after="60" w:line="259" w:lineRule="auto"/>
            </w:pPr>
            <w:r>
              <w:rPr>
                <w:rFonts w:ascii="Calibri" w:hAnsi="Calibri"/>
                <w:b w:val="0"/>
                <w:i w:val="0"/>
                <w:color w:val="212121"/>
                <w:sz w:val="19"/>
              </w:rPr>
              <w:t>Canines (about 16–20 months) and second molars (about 20–30 months) are often the most uncomfortable eruptions, producing a second peak of teething discomfort and sleep disturbance in the second year.</w:t>
            </w:r>
          </w:p>
          <w:p>
            <w:pPr>
              <w:spacing w:after="40" w:before="60" w:line="259" w:lineRule="auto"/>
            </w:pPr>
            <w:r>
              <w:rPr>
                <w:rFonts w:ascii="Calibri" w:hAnsi="Calibri"/>
                <w:b w:val="0"/>
                <w:i w:val="0"/>
                <w:color w:val="212121"/>
                <w:sz w:val="19"/>
              </w:rPr>
              <w:t>All 20 primary teeth are usually present by 2.5–3 years, the second molars erupting last (around 24 months).</w:t>
            </w:r>
          </w:p>
          <w:p>
            <w:pPr>
              <w:spacing w:after="40" w:line="252" w:lineRule="auto"/>
            </w:pPr>
            <w:hyperlink r:id="rId9">
              <w:r>
                <w:rPr>
                  <w:rFonts w:ascii="Calibri" w:hAnsi="Calibri" w:cs="Calibri"/>
                  <w:sz w:val="18"/>
                  <w:color w:val="1155CC"/>
                  <w:u w:val="single"/>
                </w:rPr>
                <w:t xml:space="preserve">nhs.uk — baby teething symptoms</w:t>
              </w:r>
            </w:hyperlink>
          </w:p>
          <w:p>
            <w:pPr>
              <w:spacing w:before="60" w:after="40"/>
            </w:pPr>
            <w:r>
              <w:rPr>
                <w:rFonts w:ascii="Calibri" w:hAnsi="Calibri"/>
                <w:b w:val="0"/>
                <w:i w:val="0"/>
                <w:color w:val="5A5A5A"/>
                <w:sz w:val="18"/>
              </w:rPr>
              <w:t>#molars  #canines  #toddler  #secondyear  #sleepdisruption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(no meaningful predilection)</w:t>
            </w:r>
          </w:p>
        </w:tc>
        <w:tc>
          <w:tcPr>
            <w:tcW w:type="dxa" w:w="4276"/>
            <w:vAlign w:val="top"/>
          </w:tcPr>
          <w:p>
            <w:pPr>
              <w:spacing w:after="60" w:line="259" w:lineRule="auto"/>
            </w:pPr>
            <w:r>
              <w:rPr>
                <w:rFonts w:ascii="Calibri" w:hAnsi="Calibri"/>
                <w:b w:val="0"/>
                <w:i w:val="0"/>
                <w:color w:val="212121"/>
                <w:sz w:val="19"/>
              </w:rPr>
              <w:t>Eruption timing is broadly similar between boys and girls, with only minor reported differences; teething discomfort has no clinically meaningful sex predilection.</w:t>
            </w:r>
          </w:p>
          <w:p>
            <w:pPr>
              <w:spacing w:after="40" w:before="60" w:line="259" w:lineRule="auto"/>
            </w:pPr>
            <w:r>
              <w:rPr>
                <w:rFonts w:ascii="Calibri" w:hAnsi="Calibri"/>
                <w:b w:val="0"/>
                <w:i w:val="0"/>
                <w:color w:val="212121"/>
                <w:sz w:val="19"/>
              </w:rPr>
              <w:t>Teething is a universal process affecting infants of both sexes essentially equally.</w:t>
            </w:r>
          </w:p>
          <w:p>
            <w:pPr>
              <w:spacing w:before="60" w:after="40"/>
            </w:pPr>
            <w:r>
              <w:rPr>
                <w:rFonts w:ascii="Calibri" w:hAnsi="Calibri"/>
                <w:b w:val="0"/>
                <w:i w:val="0"/>
                <w:color w:val="5A5A5A"/>
                <w:sz w:val="18"/>
              </w:rPr>
              <w:t>#nosexdifference  #universal  #eruption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low-literacy households</w:t>
            </w:r>
          </w:p>
        </w:tc>
        <w:tc>
          <w:tcPr>
            <w:tcW w:type="dxa" w:w="4276"/>
            <w:vAlign w:val="top"/>
          </w:tcPr>
          <w:p>
            <w:pPr>
              <w:spacing w:after="60" w:line="259" w:lineRule="auto"/>
            </w:pPr>
            <w:r>
              <w:rPr>
                <w:rFonts w:ascii="Calibri" w:hAnsi="Calibri"/>
                <w:b w:val="0"/>
                <w:i w:val="0"/>
                <w:color w:val="212121"/>
                <w:sz w:val="19"/>
              </w:rPr>
              <w:t>Lower parental education and income are linked to stronger teething myths, greater use of unsafe folk remedies (gum-lancing, honey, necklaces) and a higher chance of misattributing diarrhoea or fever to teething, delaying oral rehydration and medical care.</w:t>
            </w:r>
          </w:p>
          <w:p>
            <w:pPr>
              <w:spacing w:after="40" w:before="60" w:line="259" w:lineRule="auto"/>
            </w:pPr>
            <w:r>
              <w:rPr>
                <w:rFonts w:ascii="Calibri" w:hAnsi="Calibri"/>
                <w:b w:val="0"/>
                <w:i w:val="0"/>
                <w:color w:val="212121"/>
                <w:sz w:val="19"/>
              </w:rPr>
              <w:t>Misattribution of febrile or diarrhoeal illness to teething is a recognised driver of delayed care in lower-resource settings.</w:t>
            </w:r>
          </w:p>
          <w:p>
            <w:pPr>
              <w:spacing w:before="60" w:after="40"/>
            </w:pPr>
            <w:r>
              <w:rPr>
                <w:rFonts w:ascii="Calibri" w:hAnsi="Calibri"/>
                <w:b w:val="0"/>
                <w:i w:val="0"/>
                <w:color w:val="5A5A5A"/>
                <w:sz w:val="18"/>
              </w:rPr>
              <w:t>#lowincome  #healthliteracy  #folkremedies  #delayedcare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&amp; South Asian infants (‘daant nikalna’)</w:t>
            </w:r>
          </w:p>
        </w:tc>
        <w:tc>
          <w:tcPr>
            <w:tcW w:type="dxa" w:w="4276"/>
            <w:vAlign w:val="top"/>
          </w:tcPr>
          <w:p>
            <w:pPr>
              <w:spacing w:after="60" w:line="259" w:lineRule="auto"/>
            </w:pPr>
            <w:r>
              <w:rPr>
                <w:rFonts w:ascii="Calibri" w:hAnsi="Calibri"/>
                <w:b w:val="0"/>
                <w:i w:val="0"/>
                <w:color w:val="212121"/>
                <w:sz w:val="19"/>
              </w:rPr>
              <w:t>A deep-rooted cultural belief attributes fever, diarrhoea, cough and irritability to teething; combined with high background rates of infant diarrhoeal and febrile illness, this drives dangerous delays in seeking care for genuinely sick babies.</w:t>
            </w:r>
          </w:p>
          <w:p>
            <w:pPr>
              <w:spacing w:after="40" w:before="60" w:line="259" w:lineRule="auto"/>
            </w:pPr>
            <w:r>
              <w:rPr>
                <w:rFonts w:ascii="Calibri" w:hAnsi="Calibri"/>
                <w:b w:val="0"/>
                <w:i w:val="0"/>
                <w:color w:val="212121"/>
                <w:sz w:val="19"/>
              </w:rPr>
              <w:t>Teething does not cause fever or diarrhoea — these symptoms usually have other causes and should be evaluated as illness.</w:t>
            </w:r>
          </w:p>
          <w:p>
            <w:pPr>
              <w:spacing w:after="40" w:line="252" w:lineRule="auto"/>
            </w:pPr>
            <w:hyperlink r:id="rId10">
              <w:r>
                <w:rPr>
                  <w:rFonts w:ascii="Calibri" w:hAnsi="Calibri" w:cs="Calibri"/>
                  <w:sz w:val="18"/>
                  <w:color w:val="1155CC"/>
                  <w:u w:val="single"/>
                </w:rPr>
                <w:t xml:space="preserve">mayoclinic.org — teething</w:t>
              </w:r>
            </w:hyperlink>
          </w:p>
          <w:p>
            <w:pPr>
              <w:spacing w:before="60" w:after="40"/>
            </w:pPr>
            <w:r>
              <w:rPr>
                <w:rFonts w:ascii="Calibri" w:hAnsi="Calibri"/>
                <w:b w:val="0"/>
                <w:i w:val="0"/>
                <w:color w:val="5A5A5A"/>
                <w:sz w:val="18"/>
              </w:rPr>
              <w:t>#India  #daantnikalna  #misattribution  #southasia  #underfive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sanitation</w:t>
            </w:r>
          </w:p>
        </w:tc>
        <w:tc>
          <w:tcPr>
            <w:tcW w:type="dxa" w:w="2160"/>
            <w:vAlign w:val="top"/>
          </w:tcPr>
          <w:p>
            <w:pPr>
              <w:spacing w:after="40" w:before="0" w:line="259" w:lineRule="auto"/>
            </w:pPr>
            <w:r>
              <w:rPr>
                <w:rFonts w:ascii="Calibri" w:hAnsi="Calibri"/>
                <w:b w:val="0"/>
                <w:i w:val="0"/>
                <w:color w:val="212121"/>
                <w:sz w:val="19"/>
              </w:rPr>
              <w:t>Hot, low-sanitation settings</w:t>
            </w:r>
          </w:p>
        </w:tc>
        <w:tc>
          <w:tcPr>
            <w:tcW w:type="dxa" w:w="4276"/>
            <w:vAlign w:val="top"/>
          </w:tcPr>
          <w:p>
            <w:pPr>
              <w:spacing w:after="60" w:line="259" w:lineRule="auto"/>
            </w:pPr>
            <w:r>
              <w:rPr>
                <w:rFonts w:ascii="Calibri" w:hAnsi="Calibri"/>
                <w:b w:val="0"/>
                <w:i w:val="0"/>
                <w:color w:val="212121"/>
                <w:sz w:val="19"/>
              </w:rPr>
              <w:t>In hot climates infants drool heavily and are given objects to chew; where water and hygiene are poor, contaminated teethers and hands introduce enteric pathogens, causing diarrhoea that is then wrongly blamed on teething.</w:t>
            </w:r>
          </w:p>
          <w:p>
            <w:pPr>
              <w:spacing w:after="40" w:before="60" w:line="259" w:lineRule="auto"/>
            </w:pPr>
            <w:r>
              <w:rPr>
                <w:rFonts w:ascii="Calibri" w:hAnsi="Calibri"/>
                <w:b w:val="0"/>
                <w:i w:val="0"/>
                <w:color w:val="212121"/>
                <w:sz w:val="19"/>
              </w:rPr>
              <w:t>Faecal-oral infection from mouthing contaminated objects is a hygiene-related, preventable driver of ‘teething’ diarrhoea.</w:t>
            </w:r>
          </w:p>
          <w:p>
            <w:pPr>
              <w:spacing w:before="60" w:after="40"/>
            </w:pPr>
            <w:r>
              <w:rPr>
                <w:rFonts w:ascii="Calibri" w:hAnsi="Calibri"/>
                <w:b w:val="0"/>
                <w:i w:val="0"/>
                <w:color w:val="5A5A5A"/>
                <w:sz w:val="18"/>
              </w:rPr>
              <w:t>#sanitation  #faecaloral  #teethers  #gastroenteritis  #hotclimate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Hygiene of teething objects</w:t>
            </w:r>
          </w:p>
        </w:tc>
        <w:tc>
          <w:tcPr>
            <w:tcW w:type="dxa" w:w="2160"/>
            <w:vAlign w:val="top"/>
          </w:tcPr>
          <w:p>
            <w:pPr>
              <w:spacing w:after="40" w:before="0" w:line="259" w:lineRule="auto"/>
            </w:pPr>
            <w:r>
              <w:rPr>
                <w:rFonts w:ascii="Calibri" w:hAnsi="Calibri"/>
                <w:b w:val="0"/>
                <w:i w:val="0"/>
                <w:color w:val="212121"/>
                <w:sz w:val="19"/>
              </w:rPr>
              <w:t>Infants given unclean teethers / fingers</w:t>
            </w:r>
          </w:p>
        </w:tc>
        <w:tc>
          <w:tcPr>
            <w:tcW w:type="dxa" w:w="4276"/>
            <w:vAlign w:val="top"/>
          </w:tcPr>
          <w:p>
            <w:pPr>
              <w:spacing w:after="60" w:line="259" w:lineRule="auto"/>
            </w:pPr>
            <w:r>
              <w:rPr>
                <w:rFonts w:ascii="Calibri" w:hAnsi="Calibri"/>
                <w:b w:val="0"/>
                <w:i w:val="0"/>
                <w:color w:val="212121"/>
                <w:sz w:val="19"/>
              </w:rPr>
              <w:t>Unwashed teething toys, shared objects and caregiver fingers transfer faecal-oral pathogens to a baby who is mouthing everything, producing gastroenteritis that is mistaken for teething.</w:t>
            </w:r>
          </w:p>
          <w:p>
            <w:pPr>
              <w:spacing w:after="40" w:before="60" w:line="259" w:lineRule="auto"/>
            </w:pPr>
            <w:r>
              <w:rPr>
                <w:rFonts w:ascii="Calibri" w:hAnsi="Calibri"/>
                <w:b w:val="0"/>
                <w:i w:val="0"/>
                <w:color w:val="212121"/>
                <w:sz w:val="19"/>
              </w:rPr>
              <w:t>Hand-to-mouth and object-mouthing behaviour peaks during the teething months, raising enteric-infection exposure.</w:t>
            </w:r>
          </w:p>
          <w:p>
            <w:pPr>
              <w:spacing w:before="60" w:after="40"/>
            </w:pPr>
            <w:r>
              <w:rPr>
                <w:rFonts w:ascii="Calibri" w:hAnsi="Calibri"/>
                <w:b w:val="0"/>
                <w:i w:val="0"/>
                <w:color w:val="5A5A5A"/>
                <w:sz w:val="18"/>
              </w:rPr>
              <w:t>#hygiene  #teetherhygiene  #mouthing  #handwashing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Soothing practices</w:t>
            </w:r>
          </w:p>
        </w:tc>
        <w:tc>
          <w:tcPr>
            <w:tcW w:type="dxa" w:w="2160"/>
            <w:vAlign w:val="top"/>
          </w:tcPr>
          <w:p>
            <w:pPr>
              <w:spacing w:after="40" w:before="0" w:line="259" w:lineRule="auto"/>
            </w:pPr>
            <w:r>
              <w:rPr>
                <w:rFonts w:ascii="Calibri" w:hAnsi="Calibri"/>
                <w:b w:val="0"/>
                <w:i w:val="0"/>
                <w:color w:val="212121"/>
                <w:sz w:val="19"/>
              </w:rPr>
              <w:t>Families using gels / homeopathic tablets / amber necklaces</w:t>
            </w:r>
          </w:p>
        </w:tc>
        <w:tc>
          <w:tcPr>
            <w:tcW w:type="dxa" w:w="4276"/>
            <w:vAlign w:val="top"/>
          </w:tcPr>
          <w:p>
            <w:pPr>
              <w:spacing w:after="60" w:line="259" w:lineRule="auto"/>
            </w:pPr>
            <w:r>
              <w:rPr>
                <w:rFonts w:ascii="Calibri" w:hAnsi="Calibri"/>
                <w:b w:val="0"/>
                <w:i w:val="0"/>
                <w:color w:val="212121"/>
                <w:sz w:val="19"/>
              </w:rPr>
              <w:t>Unsafe soothing methods are common: benzocaine gels can cause methemoglobinemia, homeopathic teething tablets carry serious risks, and teething / amber necklaces have caused strangulation and choking deaths.</w:t>
            </w:r>
          </w:p>
          <w:p>
            <w:pPr>
              <w:spacing w:after="40" w:before="60" w:line="259" w:lineRule="auto"/>
            </w:pPr>
            <w:r>
              <w:rPr>
                <w:rFonts w:ascii="Calibri" w:hAnsi="Calibri"/>
                <w:b w:val="0"/>
                <w:i w:val="0"/>
                <w:color w:val="212121"/>
                <w:sz w:val="19"/>
              </w:rPr>
              <w:t>The FDA warns against benzocaine and lidocaine gels, homeopathic teething tablets and teething jewellery because of serious, sometimes fatal harm.</w:t>
            </w:r>
          </w:p>
          <w:p>
            <w:pPr>
              <w:spacing w:after="40" w:line="252" w:lineRule="auto"/>
            </w:pPr>
            <w:hyperlink r:id="rId11">
              <w:r>
                <w:rPr>
                  <w:rFonts w:ascii="Calibri" w:hAnsi="Calibri" w:cs="Calibri"/>
                  <w:sz w:val="18"/>
                  <w:color w:val="1155CC"/>
                  <w:u w:val="single"/>
                </w:rPr>
                <w:t xml:space="preserve">fda.gov — safely soothing teething pain</w:t>
              </w:r>
            </w:hyperlink>
          </w:p>
          <w:p>
            <w:pPr>
              <w:spacing w:before="60" w:after="40"/>
            </w:pPr>
            <w:r>
              <w:rPr>
                <w:rFonts w:ascii="Calibri" w:hAnsi="Calibri"/>
                <w:b w:val="0"/>
                <w:i w:val="0"/>
                <w:color w:val="5A5A5A"/>
                <w:sz w:val="18"/>
              </w:rPr>
              <w:t>#benzocaine  #homeopathic  #ambernecklace  #choking  #methemoglobinemia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Chewing behaviour</w:t>
            </w:r>
          </w:p>
        </w:tc>
        <w:tc>
          <w:tcPr>
            <w:tcW w:type="dxa" w:w="2160"/>
            <w:vAlign w:val="top"/>
          </w:tcPr>
          <w:p>
            <w:pPr>
              <w:spacing w:after="40" w:before="0" w:line="259" w:lineRule="auto"/>
            </w:pPr>
            <w:r>
              <w:rPr>
                <w:rFonts w:ascii="Calibri" w:hAnsi="Calibri"/>
                <w:b w:val="0"/>
                <w:i w:val="0"/>
                <w:color w:val="212121"/>
                <w:sz w:val="19"/>
              </w:rPr>
              <w:t>Infants chewing hard / unsafe objects</w:t>
            </w:r>
          </w:p>
        </w:tc>
        <w:tc>
          <w:tcPr>
            <w:tcW w:type="dxa" w:w="4276"/>
            <w:vAlign w:val="top"/>
          </w:tcPr>
          <w:p>
            <w:pPr>
              <w:spacing w:after="60" w:line="259" w:lineRule="auto"/>
            </w:pPr>
            <w:r>
              <w:rPr>
                <w:rFonts w:ascii="Calibri" w:hAnsi="Calibri"/>
                <w:b w:val="0"/>
                <w:i w:val="0"/>
                <w:color w:val="212121"/>
                <w:sz w:val="19"/>
              </w:rPr>
              <w:t>The intense urge to bite leads infants to chew hard or small objects, risking gum trauma, dental injury and choking; freezing teethers solid can also injure the gums.</w:t>
            </w:r>
          </w:p>
          <w:p>
            <w:pPr>
              <w:spacing w:after="40" w:before="60" w:line="259" w:lineRule="auto"/>
            </w:pPr>
            <w:r>
              <w:rPr>
                <w:rFonts w:ascii="Calibri" w:hAnsi="Calibri"/>
                <w:b w:val="0"/>
                <w:i w:val="0"/>
                <w:color w:val="212121"/>
                <w:sz w:val="19"/>
              </w:rPr>
              <w:t>A firm rubber teether that is chilled (not frozen) and free of liquid filling is the safe option.</w:t>
            </w:r>
          </w:p>
          <w:p>
            <w:pPr>
              <w:spacing w:after="40" w:line="252" w:lineRule="auto"/>
            </w:pPr>
            <w:hyperlink r:id="rId10">
              <w:r>
                <w:rPr>
                  <w:rFonts w:ascii="Calibri" w:hAnsi="Calibri" w:cs="Calibri"/>
                  <w:sz w:val="18"/>
                  <w:color w:val="1155CC"/>
                  <w:u w:val="single"/>
                </w:rPr>
                <w:t xml:space="preserve">mayoclinic.org — teething</w:t>
              </w:r>
            </w:hyperlink>
          </w:p>
          <w:p>
            <w:pPr>
              <w:spacing w:before="60" w:after="40"/>
            </w:pPr>
            <w:r>
              <w:rPr>
                <w:rFonts w:ascii="Calibri" w:hAnsi="Calibri"/>
                <w:b w:val="0"/>
                <w:i w:val="0"/>
                <w:color w:val="5A5A5A"/>
                <w:sz w:val="18"/>
              </w:rPr>
              <w:t>#chewing  #chokinghazard  #safeteether  #gumtrauma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Sweet soothers</w:t>
            </w:r>
          </w:p>
        </w:tc>
        <w:tc>
          <w:tcPr>
            <w:tcW w:type="dxa" w:w="2160"/>
            <w:vAlign w:val="top"/>
          </w:tcPr>
          <w:p>
            <w:pPr>
              <w:spacing w:after="40" w:before="0" w:line="259" w:lineRule="auto"/>
            </w:pPr>
            <w:r>
              <w:rPr>
                <w:rFonts w:ascii="Calibri" w:hAnsi="Calibri"/>
                <w:b w:val="0"/>
                <w:i w:val="0"/>
                <w:color w:val="212121"/>
                <w:sz w:val="19"/>
              </w:rPr>
              <w:t>Infants given honey / sugar on gums or in bottles</w:t>
            </w:r>
          </w:p>
        </w:tc>
        <w:tc>
          <w:tcPr>
            <w:tcW w:type="dxa" w:w="4276"/>
            <w:vAlign w:val="top"/>
          </w:tcPr>
          <w:p>
            <w:pPr>
              <w:spacing w:after="60" w:line="259" w:lineRule="auto"/>
            </w:pPr>
            <w:r>
              <w:rPr>
                <w:rFonts w:ascii="Calibri" w:hAnsi="Calibri"/>
                <w:b w:val="0"/>
                <w:i w:val="0"/>
                <w:color w:val="212121"/>
                <w:sz w:val="19"/>
              </w:rPr>
              <w:t>Rubbing honey, sugar or jaggery on the gums or giving sweetened bottles to calm a teething baby promotes early childhood caries on the newly erupted teeth, and honey before 12 months additionally risks infant botulism.</w:t>
            </w:r>
          </w:p>
          <w:p>
            <w:pPr>
              <w:spacing w:after="40" w:before="60" w:line="259" w:lineRule="auto"/>
            </w:pPr>
            <w:r>
              <w:rPr>
                <w:rFonts w:ascii="Calibri" w:hAnsi="Calibri"/>
                <w:b w:val="0"/>
                <w:i w:val="0"/>
                <w:color w:val="212121"/>
                <w:sz w:val="19"/>
              </w:rPr>
              <w:t>Sugary gum applications and sweetened night-time bottles are avoidable causes of early tooth decay.</w:t>
            </w:r>
          </w:p>
          <w:p>
            <w:pPr>
              <w:spacing w:before="60" w:after="40"/>
            </w:pPr>
            <w:r>
              <w:rPr>
                <w:rFonts w:ascii="Calibri" w:hAnsi="Calibri"/>
                <w:b w:val="0"/>
                <w:i w:val="0"/>
                <w:color w:val="5A5A5A"/>
                <w:sz w:val="18"/>
              </w:rPr>
              <w:t>#honey  #sugar  #earlychildhoodcaries  #botulism  #nursingbottle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Feeding mode</w:t>
            </w:r>
          </w:p>
        </w:tc>
        <w:tc>
          <w:tcPr>
            <w:tcW w:type="dxa" w:w="2160"/>
            <w:vAlign w:val="top"/>
          </w:tcPr>
          <w:p>
            <w:pPr>
              <w:spacing w:after="40" w:before="0" w:line="259" w:lineRule="auto"/>
            </w:pPr>
            <w:r>
              <w:rPr>
                <w:rFonts w:ascii="Calibri" w:hAnsi="Calibri"/>
                <w:b w:val="0"/>
                <w:i w:val="0"/>
                <w:color w:val="212121"/>
                <w:sz w:val="19"/>
              </w:rPr>
              <w:t>Non-breastfed / bottle-propped infants</w:t>
            </w:r>
          </w:p>
        </w:tc>
        <w:tc>
          <w:tcPr>
            <w:tcW w:type="dxa" w:w="4276"/>
            <w:vAlign w:val="top"/>
          </w:tcPr>
          <w:p>
            <w:pPr>
              <w:spacing w:after="60" w:line="259" w:lineRule="auto"/>
            </w:pPr>
            <w:r>
              <w:rPr>
                <w:rFonts w:ascii="Calibri" w:hAnsi="Calibri"/>
                <w:b w:val="0"/>
                <w:i w:val="0"/>
                <w:color w:val="212121"/>
                <w:sz w:val="19"/>
              </w:rPr>
              <w:t>Breastfeeding offers comfort and immune protection during teething; bottle-propping and sweetened night bottles raise caries and ear-infection risk and remove a natural soothing mechanism.</w:t>
            </w:r>
          </w:p>
          <w:p>
            <w:pPr>
              <w:spacing w:after="40" w:before="60" w:line="259" w:lineRule="auto"/>
            </w:pPr>
            <w:r>
              <w:rPr>
                <w:rFonts w:ascii="Calibri" w:hAnsi="Calibri"/>
                <w:b w:val="0"/>
                <w:i w:val="0"/>
                <w:color w:val="212121"/>
                <w:sz w:val="19"/>
              </w:rPr>
              <w:t>Continued breastfeeding provides both comfort and protection against the infections that mimic teething.</w:t>
            </w:r>
          </w:p>
          <w:p>
            <w:pPr>
              <w:spacing w:before="60" w:after="40"/>
            </w:pPr>
            <w:r>
              <w:rPr>
                <w:rFonts w:ascii="Calibri" w:hAnsi="Calibri"/>
                <w:b w:val="0"/>
                <w:i w:val="0"/>
                <w:color w:val="5A5A5A"/>
                <w:sz w:val="18"/>
              </w:rPr>
              <w:t>#breastfeeding  #bottlepropping  #comfort  #immuneprotection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timing</w:t>
            </w:r>
          </w:p>
        </w:tc>
        <w:tc>
          <w:tcPr>
            <w:tcW w:type="dxa" w:w="2160"/>
            <w:vAlign w:val="top"/>
          </w:tcPr>
          <w:p>
            <w:pPr>
              <w:spacing w:after="40" w:before="0" w:line="259" w:lineRule="auto"/>
            </w:pPr>
            <w:r>
              <w:rPr>
                <w:rFonts w:ascii="Calibri" w:hAnsi="Calibri"/>
                <w:b w:val="0"/>
                <w:i w:val="0"/>
                <w:color w:val="212121"/>
                <w:sz w:val="19"/>
              </w:rPr>
              <w:t>Family history of early or late eruption</w:t>
            </w:r>
          </w:p>
        </w:tc>
        <w:tc>
          <w:tcPr>
            <w:tcW w:type="dxa" w:w="4276"/>
            <w:vAlign w:val="top"/>
          </w:tcPr>
          <w:p>
            <w:pPr>
              <w:spacing w:after="60" w:line="259" w:lineRule="auto"/>
            </w:pPr>
            <w:r>
              <w:rPr>
                <w:rFonts w:ascii="Calibri" w:hAnsi="Calibri"/>
                <w:b w:val="0"/>
                <w:i w:val="0"/>
                <w:color w:val="212121"/>
                <w:sz w:val="19"/>
              </w:rPr>
              <w:t>Eruption timing is substantially heritable, and infants often follow parental or sibling patterns of early or delayed teething.</w:t>
            </w:r>
          </w:p>
          <w:p>
            <w:pPr>
              <w:spacing w:after="40" w:before="60" w:line="259" w:lineRule="auto"/>
            </w:pPr>
            <w:r>
              <w:rPr>
                <w:rFonts w:ascii="Calibri" w:hAnsi="Calibri"/>
                <w:b w:val="0"/>
                <w:i w:val="0"/>
                <w:color w:val="212121"/>
                <w:sz w:val="19"/>
              </w:rPr>
              <w:t>Timing of primary tooth eruption clusters within families.</w:t>
            </w:r>
          </w:p>
          <w:p>
            <w:pPr>
              <w:spacing w:before="60" w:after="40"/>
            </w:pPr>
            <w:r>
              <w:rPr>
                <w:rFonts w:ascii="Calibri" w:hAnsi="Calibri"/>
                <w:b w:val="0"/>
                <w:i w:val="0"/>
                <w:color w:val="5A5A5A"/>
                <w:sz w:val="18"/>
              </w:rPr>
              <w:t>#heritable  #familypattern  #eruptiontiming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Syndromic / genetic conditions</w:t>
            </w:r>
          </w:p>
        </w:tc>
        <w:tc>
          <w:tcPr>
            <w:tcW w:type="dxa" w:w="2160"/>
            <w:vAlign w:val="top"/>
          </w:tcPr>
          <w:p>
            <w:pPr>
              <w:spacing w:after="40" w:before="0" w:line="259" w:lineRule="auto"/>
            </w:pPr>
            <w:r>
              <w:rPr>
                <w:rFonts w:ascii="Calibri" w:hAnsi="Calibri"/>
                <w:b w:val="0"/>
                <w:i w:val="0"/>
                <w:color w:val="212121"/>
                <w:sz w:val="19"/>
              </w:rPr>
              <w:t>Down syndrome &amp; ectodermal conditions</w:t>
            </w:r>
          </w:p>
        </w:tc>
        <w:tc>
          <w:tcPr>
            <w:tcW w:type="dxa" w:w="4276"/>
            <w:vAlign w:val="top"/>
          </w:tcPr>
          <w:p>
            <w:pPr>
              <w:spacing w:after="60" w:line="259" w:lineRule="auto"/>
            </w:pPr>
            <w:r>
              <w:rPr>
                <w:rFonts w:ascii="Calibri" w:hAnsi="Calibri"/>
                <w:b w:val="0"/>
                <w:i w:val="0"/>
                <w:color w:val="212121"/>
                <w:sz w:val="19"/>
              </w:rPr>
              <w:t>Down syndrome and certain genetic or ectodermal conditions cause delayed, irregular or atypical primary eruption, altering the normal teething timeline and sequence.</w:t>
            </w:r>
          </w:p>
          <w:p>
            <w:pPr>
              <w:spacing w:after="40" w:before="60" w:line="259" w:lineRule="auto"/>
            </w:pPr>
            <w:r>
              <w:rPr>
                <w:rFonts w:ascii="Calibri" w:hAnsi="Calibri"/>
                <w:b w:val="0"/>
                <w:i w:val="0"/>
                <w:color w:val="212121"/>
                <w:sz w:val="19"/>
              </w:rPr>
              <w:t>Markedly delayed or atypical eruption should prompt evaluation for a systemic or genetic cause.</w:t>
            </w:r>
          </w:p>
          <w:p>
            <w:pPr>
              <w:spacing w:before="60" w:after="40"/>
            </w:pPr>
            <w:r>
              <w:rPr>
                <w:rFonts w:ascii="Calibri" w:hAnsi="Calibri"/>
                <w:b w:val="0"/>
                <w:i w:val="0"/>
                <w:color w:val="5A5A5A"/>
                <w:sz w:val="18"/>
              </w:rPr>
              <w:t>#Downsyndrome  #ectodermaldysplasia  #delayederuption  #syndromic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Natal / neonatal teeth</w:t>
            </w:r>
          </w:p>
        </w:tc>
        <w:tc>
          <w:tcPr>
            <w:tcW w:type="dxa" w:w="2160"/>
            <w:vAlign w:val="top"/>
          </w:tcPr>
          <w:p>
            <w:pPr>
              <w:spacing w:after="40" w:before="0" w:line="259" w:lineRule="auto"/>
            </w:pPr>
            <w:r>
              <w:rPr>
                <w:rFonts w:ascii="Calibri" w:hAnsi="Calibri"/>
                <w:b w:val="0"/>
                <w:i w:val="0"/>
                <w:color w:val="212121"/>
                <w:sz w:val="19"/>
              </w:rPr>
              <w:t>Newborns with natal / neonatal teeth</w:t>
            </w:r>
          </w:p>
        </w:tc>
        <w:tc>
          <w:tcPr>
            <w:tcW w:type="dxa" w:w="4276"/>
            <w:vAlign w:val="top"/>
          </w:tcPr>
          <w:p>
            <w:pPr>
              <w:spacing w:after="60" w:line="259" w:lineRule="auto"/>
            </w:pPr>
            <w:r>
              <w:rPr>
                <w:rFonts w:ascii="Calibri" w:hAnsi="Calibri"/>
                <w:b w:val="0"/>
                <w:i w:val="0"/>
                <w:color w:val="212121"/>
                <w:sz w:val="19"/>
              </w:rPr>
              <w:t>Teeth present at or soon after birth can cause feeding difficulty, ulceration on the underside of the tongue (Riga-Fede disease) and maternal nipple trauma; mobile teeth occasionally need removal.</w:t>
            </w:r>
          </w:p>
          <w:p>
            <w:pPr>
              <w:spacing w:after="40" w:before="60" w:line="259" w:lineRule="auto"/>
            </w:pPr>
            <w:r>
              <w:rPr>
                <w:rFonts w:ascii="Calibri" w:hAnsi="Calibri"/>
                <w:b w:val="0"/>
                <w:i w:val="0"/>
                <w:color w:val="212121"/>
                <w:sz w:val="19"/>
              </w:rPr>
              <w:t>Natal / neonatal teeth are an uncommon but important early-eruption variant needing individual assessment.</w:t>
            </w:r>
          </w:p>
          <w:p>
            <w:pPr>
              <w:spacing w:before="60" w:after="40"/>
            </w:pPr>
            <w:r>
              <w:rPr>
                <w:rFonts w:ascii="Calibri" w:hAnsi="Calibri"/>
                <w:b w:val="0"/>
                <w:i w:val="0"/>
                <w:color w:val="5A5A5A"/>
                <w:sz w:val="18"/>
              </w:rPr>
              <w:t>#natalteeth  #neonatalteeth  #RigaFede  #feedingdifficulty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 / low birth weight</w:t>
            </w:r>
          </w:p>
        </w:tc>
        <w:tc>
          <w:tcPr>
            <w:tcW w:type="dxa" w:w="2160"/>
            <w:vAlign w:val="top"/>
          </w:tcPr>
          <w:p>
            <w:pPr>
              <w:spacing w:after="40" w:before="0" w:line="259" w:lineRule="auto"/>
            </w:pPr>
            <w:r>
              <w:rPr>
                <w:rFonts w:ascii="Calibri" w:hAnsi="Calibri"/>
                <w:b w:val="0"/>
                <w:i w:val="0"/>
                <w:color w:val="212121"/>
                <w:sz w:val="19"/>
              </w:rPr>
              <w:t>Preterm &amp; low-birth-weight infants</w:t>
            </w:r>
          </w:p>
        </w:tc>
        <w:tc>
          <w:tcPr>
            <w:tcW w:type="dxa" w:w="4276"/>
            <w:vAlign w:val="top"/>
          </w:tcPr>
          <w:p>
            <w:pPr>
              <w:spacing w:after="60" w:line="259" w:lineRule="auto"/>
            </w:pPr>
            <w:r>
              <w:rPr>
                <w:rFonts w:ascii="Calibri" w:hAnsi="Calibri"/>
                <w:b w:val="0"/>
                <w:i w:val="0"/>
                <w:color w:val="212121"/>
                <w:sz w:val="19"/>
              </w:rPr>
              <w:t>Prematurity and low birth weight — common in India — are associated with delayed primary tooth eruption and enamel defects, shifting and sometimes prolonging the teething course.</w:t>
            </w:r>
          </w:p>
          <w:p>
            <w:pPr>
              <w:spacing w:after="40" w:before="60" w:line="259" w:lineRule="auto"/>
            </w:pPr>
            <w:r>
              <w:rPr>
                <w:rFonts w:ascii="Calibri" w:hAnsi="Calibri"/>
                <w:b w:val="0"/>
                <w:i w:val="0"/>
                <w:color w:val="212121"/>
                <w:sz w:val="19"/>
              </w:rPr>
              <w:t>Preterm and low-birth-weight infants tend to erupt teeth later than term peers.</w:t>
            </w:r>
          </w:p>
          <w:p>
            <w:pPr>
              <w:spacing w:before="60" w:after="40"/>
            </w:pPr>
            <w:r>
              <w:rPr>
                <w:rFonts w:ascii="Calibri" w:hAnsi="Calibri"/>
                <w:b w:val="0"/>
                <w:i w:val="0"/>
                <w:color w:val="5A5A5A"/>
                <w:sz w:val="18"/>
              </w:rPr>
              <w:t>#prematurity  #lowbirthweight  #delayederuption  #enameldefect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Intercurrent infection</w:t>
            </w:r>
          </w:p>
        </w:tc>
        <w:tc>
          <w:tcPr>
            <w:tcW w:type="dxa" w:w="2160"/>
            <w:vAlign w:val="top"/>
          </w:tcPr>
          <w:p>
            <w:pPr>
              <w:spacing w:after="40" w:before="0" w:line="259" w:lineRule="auto"/>
            </w:pPr>
            <w:r>
              <w:rPr>
                <w:rFonts w:ascii="Calibri" w:hAnsi="Calibri"/>
                <w:b w:val="0"/>
                <w:i w:val="0"/>
                <w:color w:val="212121"/>
                <w:sz w:val="19"/>
              </w:rPr>
              <w:t>Unwell infants labelled ‘teething’</w:t>
            </w:r>
          </w:p>
        </w:tc>
        <w:tc>
          <w:tcPr>
            <w:tcW w:type="dxa" w:w="4276"/>
            <w:vAlign w:val="top"/>
          </w:tcPr>
          <w:p>
            <w:pPr>
              <w:spacing w:after="60" w:line="259" w:lineRule="auto"/>
            </w:pPr>
            <w:r>
              <w:rPr>
                <w:rFonts w:ascii="Calibri" w:hAnsi="Calibri"/>
                <w:b w:val="0"/>
                <w:i w:val="0"/>
                <w:color w:val="212121"/>
                <w:sz w:val="19"/>
              </w:rPr>
              <w:t>Acute gastroenteritis, otitis media, urinary tract infection, roseola and other infections frequently coincide with the teething window and are misattributed to it, delaying appropriate treatment; a temperature ≥ 38°C is a red flag for illness, not teething.</w:t>
            </w:r>
          </w:p>
          <w:p>
            <w:pPr>
              <w:spacing w:after="40" w:before="60" w:line="259" w:lineRule="auto"/>
            </w:pPr>
            <w:r>
              <w:rPr>
                <w:rFonts w:ascii="Calibri" w:hAnsi="Calibri"/>
                <w:b w:val="0"/>
                <w:i w:val="0"/>
                <w:color w:val="212121"/>
                <w:sz w:val="19"/>
              </w:rPr>
              <w:t>Fever and diarrhoea in a teething-age infant usually have causes other than teething and warrant evaluation.</w:t>
            </w:r>
          </w:p>
          <w:p>
            <w:pPr>
              <w:spacing w:after="40" w:line="252" w:lineRule="auto"/>
            </w:pPr>
            <w:hyperlink r:id="rId10">
              <w:r>
                <w:rPr>
                  <w:rFonts w:ascii="Calibri" w:hAnsi="Calibri" w:cs="Calibri"/>
                  <w:sz w:val="18"/>
                  <w:color w:val="1155CC"/>
                  <w:u w:val="single"/>
                </w:rPr>
                <w:t xml:space="preserve">mayoclinic.org — teething</w:t>
              </w:r>
            </w:hyperlink>
          </w:p>
          <w:p>
            <w:pPr>
              <w:spacing w:before="60" w:after="40"/>
            </w:pPr>
            <w:r>
              <w:rPr>
                <w:rFonts w:ascii="Calibri" w:hAnsi="Calibri"/>
                <w:b w:val="0"/>
                <w:i w:val="0"/>
                <w:color w:val="5A5A5A"/>
                <w:sz w:val="18"/>
              </w:rPr>
              <w:t>#gastroenteritis  #otitismedia  #UTI  #redflag  #fever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Nutritional deficiency</w:t>
            </w:r>
          </w:p>
        </w:tc>
        <w:tc>
          <w:tcPr>
            <w:tcW w:type="dxa" w:w="2160"/>
            <w:vAlign w:val="top"/>
          </w:tcPr>
          <w:p>
            <w:pPr>
              <w:spacing w:after="40" w:before="0" w:line="259" w:lineRule="auto"/>
            </w:pPr>
            <w:r>
              <w:rPr>
                <w:rFonts w:ascii="Calibri" w:hAnsi="Calibri"/>
                <w:b w:val="0"/>
                <w:i w:val="0"/>
                <w:color w:val="212121"/>
                <w:sz w:val="19"/>
              </w:rPr>
              <w:t>Vitamin D deficiency / rickets</w:t>
            </w:r>
          </w:p>
        </w:tc>
        <w:tc>
          <w:tcPr>
            <w:tcW w:type="dxa" w:w="4276"/>
            <w:vAlign w:val="top"/>
          </w:tcPr>
          <w:p>
            <w:pPr>
              <w:spacing w:after="60" w:line="259" w:lineRule="auto"/>
            </w:pPr>
            <w:r>
              <w:rPr>
                <w:rFonts w:ascii="Calibri" w:hAnsi="Calibri"/>
                <w:b w:val="0"/>
                <w:i w:val="0"/>
                <w:color w:val="212121"/>
                <w:sz w:val="19"/>
              </w:rPr>
              <w:t>Vitamin D deficiency and rickets, which remain prevalent in India, delay tooth eruption and affect enamel; delayed teething should prompt nutritional assessment.</w:t>
            </w:r>
          </w:p>
          <w:p>
            <w:pPr>
              <w:spacing w:after="40" w:before="60" w:line="259" w:lineRule="auto"/>
            </w:pPr>
            <w:r>
              <w:rPr>
                <w:rFonts w:ascii="Calibri" w:hAnsi="Calibri"/>
                <w:b w:val="0"/>
                <w:i w:val="0"/>
                <w:color w:val="212121"/>
                <w:sz w:val="19"/>
              </w:rPr>
              <w:t>Delayed eruption can be a sign of underlying vitamin D deficiency or other nutritional problems.</w:t>
            </w:r>
          </w:p>
          <w:p>
            <w:pPr>
              <w:spacing w:before="60" w:after="40"/>
            </w:pPr>
            <w:r>
              <w:rPr>
                <w:rFonts w:ascii="Calibri" w:hAnsi="Calibri"/>
                <w:b w:val="0"/>
                <w:i w:val="0"/>
                <w:color w:val="5A5A5A"/>
                <w:sz w:val="18"/>
              </w:rPr>
              <w:t>#vitaminD  #rickets  #nutrition  #delayederuption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Gross-motor activity has little direct effect on tooth eruption, but supervised oral-motor play and chewing on a safe teether gives counter-pressure that soothes sore gums, and active distraction reduces perceived fussiness.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Cold (not frozen) teethers and firm textures soothe inflamed gums, whereas honey or sugar rubbed on the gums and sweetened soothers used to calm a teething baby promote early childhood caries.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Teething commonly disrupts sleep for a few nights around each eruption, and disturbed sleep amplifies infant irritability and parental distress; sleep normalises once the crown emerges.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Teething itself is unrelated to smoke, but household or second-hand smoke increases infant upper-respiratory infections and otitis media, whose symptoms overlap with and are misattributed to teething.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role in normal teething, but alcohol-containing folk remedies, ‘gripe waters’ and numbing gels applied to the gums are unsafe for infants and must be avoided.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Parental anxiety and fatigue shape how teething is interpreted and managed; stressed caregivers more readily blame any infant symptom on teething and may over-treat, whereas calm reassurance improves care.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Extra drooling and any mild temperature rise slightly increase fluid needs, and clean water plus hygienically prepared teethers reduce the enteric infections that mimic teething; true diarrhoea needs oral rehydration, not ‘teething’ management.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not applicable to infants.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is pivotal: clean hands, teethers and weaning utensils prevent the faecal-oral infections wrongly blamed on teething, and cleaning newly erupted teeth prevents early childhood caries.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eruption of a tooth through the gum is the direct provoking factor; molar and canine eruption tend to provoke the most discomfort, and chewing hard objects can traumatise the gum.</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Age at first tooth (months)</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~6 months (normal range ~4–12)</w:t>
            </w:r>
          </w:p>
        </w:tc>
        <w:tc>
          <w:tcPr>
            <w:tcW w:type="dxa" w:w="1512"/>
            <w:vAlign w:val="top"/>
          </w:tcPr>
          <w:p>
            <w:pPr>
              <w:spacing w:after="40" w:before="0" w:line="259" w:lineRule="auto"/>
            </w:pPr>
            <w:r>
              <w:rPr>
                <w:rFonts w:ascii="Calibri" w:hAnsi="Calibri"/>
                <w:b w:val="0"/>
                <w:i w:val="0"/>
                <w:color w:val="212121"/>
                <w:sz w:val="19"/>
              </w:rPr>
              <w:t>No teeth by 13–15 months (delayed eruption)</w:t>
            </w:r>
          </w:p>
        </w:tc>
        <w:tc>
          <w:tcPr>
            <w:tcW w:type="dxa" w:w="1468"/>
            <w:vAlign w:val="top"/>
          </w:tcPr>
          <w:p>
            <w:pPr>
              <w:spacing w:after="60" w:line="259" w:lineRule="auto"/>
            </w:pPr>
            <w:r>
              <w:rPr>
                <w:rFonts w:ascii="Calibri" w:hAnsi="Calibri"/>
                <w:b w:val="0"/>
                <w:i w:val="0"/>
                <w:color w:val="212121"/>
                <w:sz w:val="19"/>
              </w:rPr>
              <w:t>Markedly early or late eruption warrants review for a systemic/nutritional cause</w:t>
            </w:r>
          </w:p>
          <w:p>
            <w:pPr>
              <w:spacing w:after="40" w:line="252" w:lineRule="auto"/>
            </w:pPr>
            <w:hyperlink r:id="rId9">
              <w:r>
                <w:rPr>
                  <w:rFonts w:ascii="Calibri" w:hAnsi="Calibri" w:cs="Calibri"/>
                  <w:sz w:val="18"/>
                  <w:color w:val="1155CC"/>
                  <w:u w:val="single"/>
                </w:rPr>
                <w:t xml:space="preserve">https://www.nhs.uk/conditions/baby/babys-development/teething/baby-teething-symptoms/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Number of primary teeth for age</w:t>
            </w:r>
          </w:p>
        </w:tc>
        <w:tc>
          <w:tcPr>
            <w:tcW w:type="dxa" w:w="1655"/>
            <w:vAlign w:val="top"/>
          </w:tcPr>
          <w:p>
            <w:pPr>
              <w:spacing w:after="40" w:before="0" w:line="259" w:lineRule="auto"/>
            </w:pPr>
            <w:r>
              <w:rPr>
                <w:rFonts w:ascii="Calibri" w:hAnsi="Calibri"/>
                <w:b w:val="0"/>
                <w:i w:val="0"/>
                <w:color w:val="212121"/>
                <w:sz w:val="19"/>
              </w:rPr>
              <w:t>Infants &amp; toddlers</w:t>
            </w:r>
          </w:p>
        </w:tc>
        <w:tc>
          <w:tcPr>
            <w:tcW w:type="dxa" w:w="1512"/>
            <w:vAlign w:val="top"/>
          </w:tcPr>
          <w:p>
            <w:pPr>
              <w:spacing w:after="40" w:before="0" w:line="259" w:lineRule="auto"/>
            </w:pPr>
            <w:r>
              <w:rPr>
                <w:rFonts w:ascii="Calibri" w:hAnsi="Calibri"/>
                <w:b w:val="0"/>
                <w:i w:val="0"/>
                <w:color w:val="212121"/>
                <w:sz w:val="19"/>
              </w:rPr>
              <w:t>All 20 by ~2.5–3 years</w:t>
            </w:r>
          </w:p>
        </w:tc>
        <w:tc>
          <w:tcPr>
            <w:tcW w:type="dxa" w:w="1512"/>
            <w:vAlign w:val="top"/>
          </w:tcPr>
          <w:p>
            <w:pPr>
              <w:spacing w:after="40" w:before="0" w:line="259" w:lineRule="auto"/>
            </w:pPr>
            <w:r>
              <w:rPr>
                <w:rFonts w:ascii="Calibri" w:hAnsi="Calibri"/>
                <w:b w:val="0"/>
                <w:i w:val="0"/>
                <w:color w:val="212121"/>
                <w:sz w:val="19"/>
              </w:rPr>
              <w:t>Substantial delay for age</w:t>
            </w:r>
          </w:p>
        </w:tc>
        <w:tc>
          <w:tcPr>
            <w:tcW w:type="dxa" w:w="1468"/>
            <w:vAlign w:val="top"/>
          </w:tcPr>
          <w:p>
            <w:pPr>
              <w:spacing w:after="60" w:line="259" w:lineRule="auto"/>
            </w:pPr>
            <w:r>
              <w:rPr>
                <w:rFonts w:ascii="Calibri" w:hAnsi="Calibri"/>
                <w:b w:val="0"/>
                <w:i w:val="0"/>
                <w:color w:val="212121"/>
                <w:sz w:val="19"/>
              </w:rPr>
              <w:t>A rough guide is about one tooth per month from ~6 months</w:t>
            </w:r>
          </w:p>
          <w:p>
            <w:pPr>
              <w:spacing w:after="40" w:line="252" w:lineRule="auto"/>
            </w:pPr>
            <w:hyperlink r:id="rId9">
              <w:r>
                <w:rPr>
                  <w:rFonts w:ascii="Calibri" w:hAnsi="Calibri" w:cs="Calibri"/>
                  <w:sz w:val="18"/>
                  <w:color w:val="1155CC"/>
                  <w:u w:val="single"/>
                </w:rPr>
                <w:t xml:space="preserve">https://www.nhs.uk/conditions/baby/babys-development/teething/baby-teething-symptoms/</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Body temperature (°C)</w:t>
            </w:r>
          </w:p>
        </w:tc>
        <w:tc>
          <w:tcPr>
            <w:tcW w:type="dxa" w:w="1655"/>
            <w:vAlign w:val="top"/>
          </w:tcPr>
          <w:p>
            <w:pPr>
              <w:spacing w:after="40" w:before="0" w:line="259" w:lineRule="auto"/>
            </w:pPr>
            <w:r>
              <w:rPr>
                <w:rFonts w:ascii="Calibri" w:hAnsi="Calibri"/>
                <w:b w:val="0"/>
                <w:i w:val="0"/>
                <w:color w:val="212121"/>
                <w:sz w:val="19"/>
              </w:rPr>
              <w:t>Teething infants</w:t>
            </w:r>
          </w:p>
        </w:tc>
        <w:tc>
          <w:tcPr>
            <w:tcW w:type="dxa" w:w="1512"/>
            <w:vAlign w:val="top"/>
          </w:tcPr>
          <w:p>
            <w:pPr>
              <w:spacing w:after="40" w:before="0" w:line="259" w:lineRule="auto"/>
            </w:pPr>
            <w:r>
              <w:rPr>
                <w:rFonts w:ascii="Calibri" w:hAnsi="Calibri"/>
                <w:b w:val="0"/>
                <w:i w:val="0"/>
                <w:color w:val="212121"/>
                <w:sz w:val="19"/>
              </w:rPr>
              <w:t>&lt; 38°C (mild elevation only)</w:t>
            </w:r>
          </w:p>
        </w:tc>
        <w:tc>
          <w:tcPr>
            <w:tcW w:type="dxa" w:w="1512"/>
            <w:vAlign w:val="top"/>
          </w:tcPr>
          <w:p>
            <w:pPr>
              <w:spacing w:after="40" w:before="0" w:line="259" w:lineRule="auto"/>
            </w:pPr>
            <w:r>
              <w:rPr>
                <w:rFonts w:ascii="Calibri" w:hAnsi="Calibri"/>
                <w:b w:val="0"/>
                <w:i w:val="0"/>
                <w:color w:val="212121"/>
                <w:sz w:val="19"/>
              </w:rPr>
              <w:t>≥ 38°C (100.4°F)</w:t>
            </w:r>
          </w:p>
        </w:tc>
        <w:tc>
          <w:tcPr>
            <w:tcW w:type="dxa" w:w="1468"/>
            <w:vAlign w:val="top"/>
          </w:tcPr>
          <w:p>
            <w:pPr>
              <w:spacing w:after="60" w:line="259" w:lineRule="auto"/>
            </w:pPr>
            <w:r>
              <w:rPr>
                <w:rFonts w:ascii="Calibri" w:hAnsi="Calibri"/>
                <w:b w:val="0"/>
                <w:i w:val="0"/>
                <w:color w:val="212121"/>
                <w:sz w:val="19"/>
              </w:rPr>
              <w:t>A reading ≥ 38°C indicates illness, not teething — evaluate for infection</w:t>
            </w:r>
          </w:p>
          <w:p>
            <w:pPr>
              <w:spacing w:after="40" w:line="252" w:lineRule="auto"/>
            </w:pPr>
            <w:hyperlink r:id="rId10">
              <w:r>
                <w:rPr>
                  <w:rFonts w:ascii="Calibri" w:hAnsi="Calibri" w:cs="Calibri"/>
                  <w:sz w:val="18"/>
                  <w:color w:val="1155CC"/>
                  <w:u w:val="single"/>
                </w:rPr>
                <w:t xml:space="preserve">https://www.mayoclinic.org/healthy-lifestyle/infant-and-toddler-health/in-depth/teething/art-20046378</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Teether type &amp; temperature</w:t>
            </w:r>
          </w:p>
        </w:tc>
        <w:tc>
          <w:tcPr>
            <w:tcW w:type="dxa" w:w="1655"/>
            <w:vAlign w:val="top"/>
          </w:tcPr>
          <w:p>
            <w:pPr>
              <w:spacing w:after="40" w:before="0" w:line="259" w:lineRule="auto"/>
            </w:pPr>
            <w:r>
              <w:rPr>
                <w:rFonts w:ascii="Calibri" w:hAnsi="Calibri"/>
                <w:b w:val="0"/>
                <w:i w:val="0"/>
                <w:color w:val="212121"/>
                <w:sz w:val="19"/>
              </w:rPr>
              <w:t>Teething infants</w:t>
            </w:r>
          </w:p>
        </w:tc>
        <w:tc>
          <w:tcPr>
            <w:tcW w:type="dxa" w:w="1512"/>
            <w:vAlign w:val="top"/>
          </w:tcPr>
          <w:p>
            <w:pPr>
              <w:spacing w:after="40" w:before="0" w:line="259" w:lineRule="auto"/>
            </w:pPr>
            <w:r>
              <w:rPr>
                <w:rFonts w:ascii="Calibri" w:hAnsi="Calibri"/>
                <w:b w:val="0"/>
                <w:i w:val="0"/>
                <w:color w:val="212121"/>
                <w:sz w:val="19"/>
              </w:rPr>
              <w:t>Firm rubber, chilled (refrigerated)</w:t>
            </w:r>
          </w:p>
        </w:tc>
        <w:tc>
          <w:tcPr>
            <w:tcW w:type="dxa" w:w="1512"/>
            <w:vAlign w:val="top"/>
          </w:tcPr>
          <w:p>
            <w:pPr>
              <w:spacing w:after="40" w:before="0" w:line="259" w:lineRule="auto"/>
            </w:pPr>
            <w:r>
              <w:rPr>
                <w:rFonts w:ascii="Calibri" w:hAnsi="Calibri"/>
                <w:b w:val="0"/>
                <w:i w:val="0"/>
                <w:color w:val="212121"/>
                <w:sz w:val="19"/>
              </w:rPr>
              <w:t>Frozen-solid or liquid-filled teethers</w:t>
            </w:r>
          </w:p>
        </w:tc>
        <w:tc>
          <w:tcPr>
            <w:tcW w:type="dxa" w:w="1468"/>
            <w:vAlign w:val="top"/>
          </w:tcPr>
          <w:p>
            <w:pPr>
              <w:spacing w:after="60" w:line="259" w:lineRule="auto"/>
            </w:pPr>
            <w:r>
              <w:rPr>
                <w:rFonts w:ascii="Calibri" w:hAnsi="Calibri"/>
                <w:b w:val="0"/>
                <w:i w:val="0"/>
                <w:color w:val="212121"/>
                <w:sz w:val="19"/>
              </w:rPr>
              <w:t>Freezing can injure gums; liquid-filled teethers can leak or burst</w:t>
            </w:r>
          </w:p>
          <w:p>
            <w:pPr>
              <w:spacing w:after="40" w:line="252" w:lineRule="auto"/>
            </w:pPr>
            <w:hyperlink r:id="rId10">
              <w:r>
                <w:rPr>
                  <w:rFonts w:ascii="Calibri" w:hAnsi="Calibri" w:cs="Calibri"/>
                  <w:sz w:val="18"/>
                  <w:color w:val="1155CC"/>
                  <w:u w:val="single"/>
                </w:rPr>
                <w:t xml:space="preserve">https://www.mayoclinic.org/healthy-lifestyle/infant-and-toddler-health/in-depth/teething/art-20046378</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Infant sleep (hours/24 h)</w:t>
            </w:r>
          </w:p>
        </w:tc>
        <w:tc>
          <w:tcPr>
            <w:tcW w:type="dxa" w:w="1655"/>
            <w:vAlign w:val="top"/>
          </w:tcPr>
          <w:p>
            <w:pPr>
              <w:spacing w:after="40" w:before="0" w:line="259" w:lineRule="auto"/>
            </w:pPr>
            <w:r>
              <w:rPr>
                <w:rFonts w:ascii="Calibri" w:hAnsi="Calibri"/>
                <w:b w:val="0"/>
                <w:i w:val="0"/>
                <w:color w:val="212121"/>
                <w:sz w:val="19"/>
              </w:rPr>
              <w:t>Infants 6–12 months</w:t>
            </w:r>
          </w:p>
        </w:tc>
        <w:tc>
          <w:tcPr>
            <w:tcW w:type="dxa" w:w="1512"/>
            <w:vAlign w:val="top"/>
          </w:tcPr>
          <w:p>
            <w:pPr>
              <w:spacing w:after="40" w:before="0" w:line="259" w:lineRule="auto"/>
            </w:pPr>
            <w:r>
              <w:rPr>
                <w:rFonts w:ascii="Calibri" w:hAnsi="Calibri"/>
                <w:b w:val="0"/>
                <w:i w:val="0"/>
                <w:color w:val="212121"/>
                <w:sz w:val="19"/>
              </w:rPr>
              <w:t>~12–16 h/24 h including naps</w:t>
            </w:r>
          </w:p>
        </w:tc>
        <w:tc>
          <w:tcPr>
            <w:tcW w:type="dxa" w:w="1512"/>
            <w:vAlign w:val="top"/>
          </w:tcPr>
          <w:p>
            <w:pPr>
              <w:spacing w:after="40" w:before="0" w:line="259" w:lineRule="auto"/>
            </w:pPr>
            <w:r>
              <w:rPr>
                <w:rFonts w:ascii="Calibri" w:hAnsi="Calibri"/>
                <w:b w:val="0"/>
                <w:i w:val="0"/>
                <w:color w:val="212121"/>
                <w:sz w:val="19"/>
              </w:rPr>
              <w:t>Several nights of marked disruption or daytime lethargy</w:t>
            </w:r>
          </w:p>
        </w:tc>
        <w:tc>
          <w:tcPr>
            <w:tcW w:type="dxa" w:w="1468"/>
            <w:vAlign w:val="top"/>
          </w:tcPr>
          <w:p>
            <w:pPr>
              <w:spacing w:after="40" w:before="0" w:line="259" w:lineRule="auto"/>
            </w:pPr>
            <w:r>
              <w:rPr>
                <w:rFonts w:ascii="Calibri" w:hAnsi="Calibri"/>
                <w:b w:val="0"/>
                <w:i w:val="0"/>
                <w:color w:val="212121"/>
                <w:sz w:val="19"/>
              </w:rPr>
              <w:t>Brief disruption around eruption is expected; persistent change suggests illness</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Teether &amp; hand hygiene</w:t>
            </w:r>
          </w:p>
        </w:tc>
        <w:tc>
          <w:tcPr>
            <w:tcW w:type="dxa" w:w="1655"/>
            <w:vAlign w:val="top"/>
          </w:tcPr>
          <w:p>
            <w:pPr>
              <w:spacing w:after="40" w:before="0" w:line="259" w:lineRule="auto"/>
            </w:pPr>
            <w:r>
              <w:rPr>
                <w:rFonts w:ascii="Calibri" w:hAnsi="Calibri"/>
                <w:b w:val="0"/>
                <w:i w:val="0"/>
                <w:color w:val="212121"/>
                <w:sz w:val="19"/>
              </w:rPr>
              <w:t>Caregivers</w:t>
            </w:r>
          </w:p>
        </w:tc>
        <w:tc>
          <w:tcPr>
            <w:tcW w:type="dxa" w:w="1512"/>
            <w:vAlign w:val="top"/>
          </w:tcPr>
          <w:p>
            <w:pPr>
              <w:spacing w:after="40" w:before="0" w:line="259" w:lineRule="auto"/>
            </w:pPr>
            <w:r>
              <w:rPr>
                <w:rFonts w:ascii="Calibri" w:hAnsi="Calibri"/>
                <w:b w:val="0"/>
                <w:i w:val="0"/>
                <w:color w:val="212121"/>
                <w:sz w:val="19"/>
              </w:rPr>
              <w:t>Wash teethers and hands before each use</w:t>
            </w:r>
          </w:p>
        </w:tc>
        <w:tc>
          <w:tcPr>
            <w:tcW w:type="dxa" w:w="1512"/>
            <w:vAlign w:val="top"/>
          </w:tcPr>
          <w:p>
            <w:pPr>
              <w:spacing w:after="40" w:before="0" w:line="259" w:lineRule="auto"/>
            </w:pPr>
            <w:r>
              <w:rPr>
                <w:rFonts w:ascii="Calibri" w:hAnsi="Calibri"/>
                <w:b w:val="0"/>
                <w:i w:val="0"/>
                <w:color w:val="212121"/>
                <w:sz w:val="19"/>
              </w:rPr>
              <w:t>Shared or unwashed mouthing objects</w:t>
            </w:r>
          </w:p>
        </w:tc>
        <w:tc>
          <w:tcPr>
            <w:tcW w:type="dxa" w:w="1468"/>
            <w:vAlign w:val="top"/>
          </w:tcPr>
          <w:p>
            <w:pPr>
              <w:spacing w:after="40" w:before="0" w:line="259" w:lineRule="auto"/>
            </w:pPr>
            <w:r>
              <w:rPr>
                <w:rFonts w:ascii="Calibri" w:hAnsi="Calibri"/>
                <w:b w:val="0"/>
                <w:i w:val="0"/>
                <w:color w:val="212121"/>
                <w:sz w:val="19"/>
              </w:rPr>
              <w:t>Prevents the gastroenteritis frequently mislabelled as teething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Oral cleaning of erupted teeth</w:t>
            </w:r>
          </w:p>
        </w:tc>
        <w:tc>
          <w:tcPr>
            <w:tcW w:type="dxa" w:w="1655"/>
            <w:vAlign w:val="top"/>
          </w:tcPr>
          <w:p>
            <w:pPr>
              <w:spacing w:after="40" w:before="0" w:line="259" w:lineRule="auto"/>
            </w:pPr>
            <w:r>
              <w:rPr>
                <w:rFonts w:ascii="Calibri" w:hAnsi="Calibri"/>
                <w:b w:val="0"/>
                <w:i w:val="0"/>
                <w:color w:val="212121"/>
                <w:sz w:val="19"/>
              </w:rPr>
              <w:t>Infants with teeth</w:t>
            </w:r>
          </w:p>
        </w:tc>
        <w:tc>
          <w:tcPr>
            <w:tcW w:type="dxa" w:w="1512"/>
            <w:vAlign w:val="top"/>
          </w:tcPr>
          <w:p>
            <w:pPr>
              <w:spacing w:after="40" w:before="0" w:line="259" w:lineRule="auto"/>
            </w:pPr>
            <w:r>
              <w:rPr>
                <w:rFonts w:ascii="Calibri" w:hAnsi="Calibri"/>
                <w:b w:val="0"/>
                <w:i w:val="0"/>
                <w:color w:val="212121"/>
                <w:sz w:val="19"/>
              </w:rPr>
              <w:t>Wipe gums / brush twice daily with a smear of fluoride paste once teeth appear</w:t>
            </w:r>
          </w:p>
        </w:tc>
        <w:tc>
          <w:tcPr>
            <w:tcW w:type="dxa" w:w="1512"/>
            <w:vAlign w:val="top"/>
          </w:tcPr>
          <w:p>
            <w:pPr>
              <w:spacing w:after="40" w:before="0" w:line="259" w:lineRule="auto"/>
            </w:pPr>
            <w:r>
              <w:rPr>
                <w:rFonts w:ascii="Calibri" w:hAnsi="Calibri"/>
                <w:b w:val="0"/>
                <w:i w:val="0"/>
                <w:color w:val="212121"/>
                <w:sz w:val="19"/>
              </w:rPr>
              <w:t>Sugary/honey soothers with no cleaning</w:t>
            </w:r>
          </w:p>
        </w:tc>
        <w:tc>
          <w:tcPr>
            <w:tcW w:type="dxa" w:w="1468"/>
            <w:vAlign w:val="top"/>
          </w:tcPr>
          <w:p>
            <w:pPr>
              <w:spacing w:after="40" w:before="0" w:line="259" w:lineRule="auto"/>
            </w:pPr>
            <w:r>
              <w:rPr>
                <w:rFonts w:ascii="Calibri" w:hAnsi="Calibri"/>
                <w:b w:val="0"/>
                <w:i w:val="0"/>
                <w:color w:val="212121"/>
                <w:sz w:val="19"/>
              </w:rPr>
              <w:t>Prevents early childhood caries on new teeth</w:t>
            </w:r>
          </w:p>
        </w:tc>
      </w:tr>
      <w:tr>
        <w:trPr>
          <w:cantSplit/>
        </w:trPr>
        <w:tc>
          <w:tcPr>
            <w:tcW w:type="dxa" w:w="1512"/>
            <w:vAlign w:val="center"/>
          </w:tcPr>
          <w:p>
            <w:pPr>
              <w:spacing w:after="40"/>
            </w:pPr>
            <w:r>
              <w:rPr>
                <w:rFonts w:ascii="Calibri" w:hAnsi="Calibri"/>
                <w:b w:val="0"/>
                <w:i w:val="0"/>
                <w:color w:val="212121"/>
                <w:sz w:val="19"/>
              </w:rPr>
              <w:t>Education</w:t>
            </w:r>
          </w:p>
        </w:tc>
        <w:tc>
          <w:tcPr>
            <w:tcW w:type="dxa" w:w="1944"/>
            <w:vAlign w:val="top"/>
          </w:tcPr>
          <w:p>
            <w:pPr>
              <w:spacing w:after="40" w:before="0" w:line="259" w:lineRule="auto"/>
            </w:pPr>
            <w:r>
              <w:rPr>
                <w:rFonts w:ascii="Calibri" w:hAnsi="Calibri"/>
                <w:b w:val="0"/>
                <w:i w:val="0"/>
                <w:color w:val="212121"/>
                <w:sz w:val="19"/>
              </w:rPr>
              <w:t>Analgesic choice</w:t>
            </w:r>
          </w:p>
        </w:tc>
        <w:tc>
          <w:tcPr>
            <w:tcW w:type="dxa" w:w="1655"/>
            <w:vAlign w:val="top"/>
          </w:tcPr>
          <w:p>
            <w:pPr>
              <w:spacing w:after="40" w:before="0" w:line="259" w:lineRule="auto"/>
            </w:pPr>
            <w:r>
              <w:rPr>
                <w:rFonts w:ascii="Calibri" w:hAnsi="Calibri"/>
                <w:b w:val="0"/>
                <w:i w:val="0"/>
                <w:color w:val="212121"/>
                <w:sz w:val="19"/>
              </w:rPr>
              <w:t>Teething infants</w:t>
            </w:r>
          </w:p>
        </w:tc>
        <w:tc>
          <w:tcPr>
            <w:tcW w:type="dxa" w:w="1512"/>
            <w:vAlign w:val="top"/>
          </w:tcPr>
          <w:p>
            <w:pPr>
              <w:spacing w:after="40" w:before="0" w:line="259" w:lineRule="auto"/>
            </w:pPr>
            <w:r>
              <w:rPr>
                <w:rFonts w:ascii="Calibri" w:hAnsi="Calibri"/>
                <w:b w:val="0"/>
                <w:i w:val="0"/>
                <w:color w:val="212121"/>
                <w:sz w:val="19"/>
              </w:rPr>
              <w:t>Weight-based paracetamol from ≥ 2 months / ibuprofen from ≥ 3 months, short course</w:t>
            </w:r>
          </w:p>
        </w:tc>
        <w:tc>
          <w:tcPr>
            <w:tcW w:type="dxa" w:w="1512"/>
            <w:vAlign w:val="top"/>
          </w:tcPr>
          <w:p>
            <w:pPr>
              <w:spacing w:after="40" w:before="0" w:line="259" w:lineRule="auto"/>
            </w:pPr>
            <w:r>
              <w:rPr>
                <w:rFonts w:ascii="Calibri" w:hAnsi="Calibri"/>
                <w:b w:val="0"/>
                <w:i w:val="0"/>
                <w:color w:val="212121"/>
                <w:sz w:val="19"/>
              </w:rPr>
              <w:t>Benzocaine or lidocaine gels; homeopathic tablets</w:t>
            </w:r>
          </w:p>
        </w:tc>
        <w:tc>
          <w:tcPr>
            <w:tcW w:type="dxa" w:w="1468"/>
            <w:vAlign w:val="top"/>
          </w:tcPr>
          <w:p>
            <w:pPr>
              <w:spacing w:after="60" w:line="259" w:lineRule="auto"/>
            </w:pPr>
            <w:r>
              <w:rPr>
                <w:rFonts w:ascii="Calibri" w:hAnsi="Calibri"/>
                <w:b w:val="0"/>
                <w:i w:val="0"/>
                <w:color w:val="212121"/>
                <w:sz w:val="19"/>
              </w:rPr>
              <w:t>Avoid topical numbing gels; use age-appropriate oral analgesia sparingly</w:t>
            </w:r>
          </w:p>
          <w:p>
            <w:pPr>
              <w:spacing w:after="40" w:line="252" w:lineRule="auto"/>
            </w:pPr>
            <w:hyperlink r:id="rId12">
              <w:r>
                <w:rPr>
                  <w:rFonts w:ascii="Calibri" w:hAnsi="Calibri" w:cs="Calibri"/>
                  <w:sz w:val="18"/>
                  <w:color w:val="1155CC"/>
                  <w:u w:val="single"/>
                </w:rPr>
                <w:t xml:space="preserve">https://www.nhs.uk/conditions/baby/babys-development/teething/tips-for-helping-your-teething-baby/</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Alcohol-containing remedies</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Zero alcohol-based gels / gripe waters</w:t>
            </w:r>
          </w:p>
        </w:tc>
        <w:tc>
          <w:tcPr>
            <w:tcW w:type="dxa" w:w="1512"/>
            <w:vAlign w:val="top"/>
          </w:tcPr>
          <w:p>
            <w:pPr>
              <w:spacing w:after="40" w:before="0" w:line="259" w:lineRule="auto"/>
            </w:pPr>
            <w:r>
              <w:rPr>
                <w:rFonts w:ascii="Calibri" w:hAnsi="Calibri"/>
                <w:b w:val="0"/>
                <w:i w:val="0"/>
                <w:color w:val="212121"/>
                <w:sz w:val="19"/>
              </w:rPr>
              <w:t>Any alcohol-containing folk remedy on the gums</w:t>
            </w:r>
          </w:p>
        </w:tc>
        <w:tc>
          <w:tcPr>
            <w:tcW w:type="dxa" w:w="1468"/>
            <w:vAlign w:val="top"/>
          </w:tcPr>
          <w:p>
            <w:pPr>
              <w:spacing w:after="40" w:before="0" w:line="259" w:lineRule="auto"/>
            </w:pPr>
            <w:r>
              <w:rPr>
                <w:rFonts w:ascii="Calibri" w:hAnsi="Calibri"/>
                <w:b w:val="0"/>
                <w:i w:val="0"/>
                <w:color w:val="212121"/>
                <w:sz w:val="19"/>
              </w:rPr>
              <w:t>Alcohol is unsafe for infants and must never be applied to gums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Drooling / perioral rash</w:t>
            </w:r>
          </w:p>
        </w:tc>
        <w:tc>
          <w:tcPr>
            <w:tcW w:type="dxa" w:w="1655"/>
            <w:vAlign w:val="top"/>
          </w:tcPr>
          <w:p>
            <w:pPr>
              <w:spacing w:after="40" w:before="0" w:line="259" w:lineRule="auto"/>
            </w:pPr>
            <w:r>
              <w:rPr>
                <w:rFonts w:ascii="Calibri" w:hAnsi="Calibri"/>
                <w:b w:val="0"/>
                <w:i w:val="0"/>
                <w:color w:val="212121"/>
                <w:sz w:val="19"/>
              </w:rPr>
              <w:t>Teething infants</w:t>
            </w:r>
          </w:p>
        </w:tc>
        <w:tc>
          <w:tcPr>
            <w:tcW w:type="dxa" w:w="1512"/>
            <w:vAlign w:val="top"/>
          </w:tcPr>
          <w:p>
            <w:pPr>
              <w:spacing w:after="40" w:before="0" w:line="259" w:lineRule="auto"/>
            </w:pPr>
            <w:r>
              <w:rPr>
                <w:rFonts w:ascii="Calibri" w:hAnsi="Calibri"/>
                <w:b w:val="0"/>
                <w:i w:val="0"/>
                <w:color w:val="212121"/>
                <w:sz w:val="19"/>
              </w:rPr>
              <w:t>Chin kept dry, barrier emollient applied</w:t>
            </w:r>
          </w:p>
        </w:tc>
        <w:tc>
          <w:tcPr>
            <w:tcW w:type="dxa" w:w="1512"/>
            <w:vAlign w:val="top"/>
          </w:tcPr>
          <w:p>
            <w:pPr>
              <w:spacing w:after="40" w:before="0" w:line="259" w:lineRule="auto"/>
            </w:pPr>
            <w:r>
              <w:rPr>
                <w:rFonts w:ascii="Calibri" w:hAnsi="Calibri"/>
                <w:b w:val="0"/>
                <w:i w:val="0"/>
                <w:color w:val="212121"/>
                <w:sz w:val="19"/>
              </w:rPr>
              <w:t>Persistent moist perioral rash</w:t>
            </w:r>
          </w:p>
        </w:tc>
        <w:tc>
          <w:tcPr>
            <w:tcW w:type="dxa" w:w="1468"/>
            <w:vAlign w:val="top"/>
          </w:tcPr>
          <w:p>
            <w:pPr>
              <w:spacing w:after="40" w:before="0" w:line="259" w:lineRule="auto"/>
            </w:pPr>
            <w:r>
              <w:rPr>
                <w:rFonts w:ascii="Calibri" w:hAnsi="Calibri"/>
                <w:b w:val="0"/>
                <w:i w:val="0"/>
                <w:color w:val="212121"/>
                <w:sz w:val="19"/>
              </w:rPr>
              <w:t>Benign; protect the skin and keep it dry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Vital signs</w:t>
            </w:r>
          </w:p>
        </w:tc>
        <w:tc>
          <w:tcPr>
            <w:tcW w:type="dxa" w:w="1036"/>
            <w:vAlign w:val="top"/>
          </w:tcPr>
          <w:p>
            <w:pPr>
              <w:spacing w:after="40" w:before="0" w:line="259" w:lineRule="auto"/>
            </w:pPr>
            <w:r>
              <w:rPr>
                <w:rFonts w:ascii="Calibri" w:hAnsi="Calibri"/>
                <w:b w:val="0"/>
                <w:i w:val="0"/>
                <w:color w:val="212121"/>
                <w:sz w:val="16"/>
              </w:rPr>
              <w:t>Body temperature</w:t>
            </w:r>
          </w:p>
        </w:tc>
        <w:tc>
          <w:tcPr>
            <w:tcW w:type="dxa" w:w="892"/>
            <w:vAlign w:val="top"/>
          </w:tcPr>
          <w:p>
            <w:pPr>
              <w:spacing w:after="40" w:before="0" w:line="259" w:lineRule="auto"/>
            </w:pPr>
            <w:r>
              <w:rPr>
                <w:rFonts w:ascii="Calibri" w:hAnsi="Calibri"/>
                <w:b w:val="0"/>
                <w:i w:val="0"/>
                <w:color w:val="212121"/>
                <w:sz w:val="16"/>
              </w:rPr>
              <w:t>Digital thermometry</w:t>
            </w:r>
          </w:p>
        </w:tc>
        <w:tc>
          <w:tcPr>
            <w:tcW w:type="dxa" w:w="950"/>
            <w:vAlign w:val="top"/>
          </w:tcPr>
          <w:p>
            <w:pPr>
              <w:spacing w:after="40" w:before="0" w:line="259" w:lineRule="auto"/>
            </w:pPr>
            <w:r>
              <w:rPr>
                <w:rFonts w:ascii="Calibri" w:hAnsi="Calibri"/>
                <w:b w:val="0"/>
                <w:i w:val="0"/>
                <w:color w:val="212121"/>
                <w:sz w:val="16"/>
              </w:rPr>
              <w:t>&lt; 38°C</w:t>
            </w:r>
          </w:p>
        </w:tc>
        <w:tc>
          <w:tcPr>
            <w:tcW w:type="dxa" w:w="950"/>
            <w:vAlign w:val="top"/>
          </w:tcPr>
          <w:p>
            <w:pPr>
              <w:spacing w:after="40" w:before="0" w:line="259" w:lineRule="auto"/>
            </w:pPr>
            <w:r>
              <w:rPr>
                <w:rFonts w:ascii="Calibri" w:hAnsi="Calibri"/>
                <w:b w:val="0"/>
                <w:i w:val="0"/>
                <w:color w:val="212121"/>
                <w:sz w:val="16"/>
              </w:rPr>
              <w:t>≥ 38°C (100.4°F)</w:t>
            </w:r>
          </w:p>
        </w:tc>
        <w:tc>
          <w:tcPr>
            <w:tcW w:type="dxa" w:w="1036"/>
            <w:vAlign w:val="top"/>
          </w:tcPr>
          <w:p>
            <w:pPr>
              <w:spacing w:after="40" w:before="0" w:line="259" w:lineRule="auto"/>
            </w:pPr>
            <w:r>
              <w:rPr>
                <w:rFonts w:ascii="Calibri" w:hAnsi="Calibri"/>
                <w:b w:val="0"/>
                <w:i w:val="0"/>
                <w:color w:val="212121"/>
                <w:sz w:val="16"/>
              </w:rPr>
              <w:t>Fever indicates infection, not teething, and should be evaluated</w:t>
            </w:r>
          </w:p>
        </w:tc>
        <w:tc>
          <w:tcPr>
            <w:tcW w:type="dxa" w:w="1036"/>
            <w:vAlign w:val="top"/>
          </w:tcPr>
          <w:p>
            <w:pPr>
              <w:spacing w:after="40" w:before="0" w:line="259" w:lineRule="auto"/>
            </w:pPr>
            <w:r>
              <w:rPr>
                <w:rFonts w:ascii="Calibri" w:hAnsi="Calibri"/>
                <w:b w:val="0"/>
                <w:i w:val="0"/>
                <w:color w:val="212121"/>
                <w:sz w:val="16"/>
              </w:rPr>
              <w:t>Unwell teething-age infants</w:t>
            </w:r>
          </w:p>
        </w:tc>
        <w:tc>
          <w:tcPr>
            <w:tcW w:type="dxa" w:w="720"/>
            <w:vAlign w:val="top"/>
          </w:tcPr>
          <w:p>
            <w:pPr>
              <w:spacing w:after="40" w:before="0" w:line="259" w:lineRule="auto"/>
            </w:pPr>
            <w:r>
              <w:rPr>
                <w:rFonts w:ascii="Calibri" w:hAnsi="Calibri"/>
                <w:b w:val="0"/>
                <w:i w:val="0"/>
                <w:color w:val="212121"/>
                <w:sz w:val="16"/>
              </w:rPr>
              <w:t>Provoking factors; Water</w:t>
            </w:r>
          </w:p>
        </w:tc>
        <w:tc>
          <w:tcPr>
            <w:tcW w:type="dxa" w:w="720"/>
            <w:vAlign w:val="top"/>
          </w:tcPr>
          <w:p>
            <w:pPr>
              <w:spacing w:after="40" w:before="0" w:line="259" w:lineRule="auto"/>
            </w:pPr>
            <w:r>
              <w:rPr>
                <w:rFonts w:ascii="Calibri" w:hAnsi="Calibri"/>
                <w:b w:val="0"/>
                <w:i w:val="0"/>
                <w:color w:val="212121"/>
                <w:sz w:val="16"/>
              </w:rPr>
              <w:t>Screening / Safety</w:t>
            </w:r>
          </w:p>
        </w:tc>
        <w:tc>
          <w:tcPr>
            <w:tcW w:type="dxa" w:w="720"/>
            <w:vAlign w:val="top"/>
          </w:tcPr>
          <w:p>
            <w:pPr>
              <w:spacing w:after="40" w:before="0" w:line="259" w:lineRule="auto"/>
            </w:pPr>
            <w:r>
              <w:rPr>
                <w:rFonts w:ascii="Calibri" w:hAnsi="Calibri"/>
                <w:b w:val="0"/>
                <w:i w:val="0"/>
                <w:color w:val="212121"/>
                <w:sz w:val="16"/>
              </w:rPr>
              <w:t>Rectal measurement is most accurate in young infants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w:t>
            </w:r>
          </w:p>
        </w:tc>
        <w:tc>
          <w:tcPr>
            <w:tcW w:type="dxa" w:w="1036"/>
            <w:vAlign w:val="top"/>
          </w:tcPr>
          <w:p>
            <w:pPr>
              <w:spacing w:after="40" w:before="0" w:line="259" w:lineRule="auto"/>
            </w:pPr>
            <w:r>
              <w:rPr>
                <w:rFonts w:ascii="Calibri" w:hAnsi="Calibri"/>
                <w:b w:val="0"/>
                <w:i w:val="0"/>
                <w:color w:val="212121"/>
                <w:sz w:val="16"/>
              </w:rPr>
              <w:t>Oral / dental examination</w:t>
            </w:r>
          </w:p>
        </w:tc>
        <w:tc>
          <w:tcPr>
            <w:tcW w:type="dxa" w:w="892"/>
            <w:vAlign w:val="top"/>
          </w:tcPr>
          <w:p>
            <w:pPr>
              <w:spacing w:after="40" w:before="0" w:line="259" w:lineRule="auto"/>
            </w:pPr>
            <w:r>
              <w:rPr>
                <w:rFonts w:ascii="Calibri" w:hAnsi="Calibri"/>
                <w:b w:val="0"/>
                <w:i w:val="0"/>
                <w:color w:val="212121"/>
                <w:sz w:val="16"/>
              </w:rPr>
              <w:t>Oral exam</w:t>
            </w:r>
          </w:p>
        </w:tc>
        <w:tc>
          <w:tcPr>
            <w:tcW w:type="dxa" w:w="950"/>
            <w:vAlign w:val="top"/>
          </w:tcPr>
          <w:p>
            <w:pPr>
              <w:spacing w:after="40" w:before="0" w:line="259" w:lineRule="auto"/>
            </w:pPr>
            <w:r>
              <w:rPr>
                <w:rFonts w:ascii="Calibri" w:hAnsi="Calibri"/>
                <w:b w:val="0"/>
                <w:i w:val="0"/>
                <w:color w:val="212121"/>
                <w:sz w:val="16"/>
              </w:rPr>
              <w:t>Localized erupting crown, healthy gum</w:t>
            </w:r>
          </w:p>
        </w:tc>
        <w:tc>
          <w:tcPr>
            <w:tcW w:type="dxa" w:w="950"/>
            <w:vAlign w:val="top"/>
          </w:tcPr>
          <w:p>
            <w:pPr>
              <w:spacing w:after="40" w:before="0" w:line="259" w:lineRule="auto"/>
            </w:pPr>
            <w:r>
              <w:rPr>
                <w:rFonts w:ascii="Calibri" w:hAnsi="Calibri"/>
                <w:b w:val="0"/>
                <w:i w:val="0"/>
                <w:color w:val="212121"/>
                <w:sz w:val="16"/>
              </w:rPr>
              <w:t>Eruption cyst/haematoma, ulcer, thrush, bleeding</w:t>
            </w:r>
          </w:p>
        </w:tc>
        <w:tc>
          <w:tcPr>
            <w:tcW w:type="dxa" w:w="1036"/>
            <w:vAlign w:val="top"/>
          </w:tcPr>
          <w:p>
            <w:pPr>
              <w:spacing w:after="40" w:before="0" w:line="259" w:lineRule="auto"/>
            </w:pPr>
            <w:r>
              <w:rPr>
                <w:rFonts w:ascii="Calibri" w:hAnsi="Calibri"/>
                <w:b w:val="0"/>
                <w:i w:val="0"/>
                <w:color w:val="212121"/>
                <w:sz w:val="16"/>
              </w:rPr>
              <w:t>Confirms local eruption and excludes oral pathology</w:t>
            </w:r>
          </w:p>
        </w:tc>
        <w:tc>
          <w:tcPr>
            <w:tcW w:type="dxa" w:w="1036"/>
            <w:vAlign w:val="top"/>
          </w:tcPr>
          <w:p>
            <w:pPr>
              <w:spacing w:after="40" w:before="0" w:line="259" w:lineRule="auto"/>
            </w:pPr>
            <w:r>
              <w:rPr>
                <w:rFonts w:ascii="Calibri" w:hAnsi="Calibri"/>
                <w:b w:val="0"/>
                <w:i w:val="0"/>
                <w:color w:val="212121"/>
                <w:sz w:val="16"/>
              </w:rPr>
              <w:t>All teething infants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Usually the only assessment required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Full blood count &amp; CRP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Age-appropriate WBC / CRP</w:t>
            </w:r>
          </w:p>
        </w:tc>
        <w:tc>
          <w:tcPr>
            <w:tcW w:type="dxa" w:w="950"/>
            <w:vAlign w:val="top"/>
          </w:tcPr>
          <w:p>
            <w:pPr>
              <w:spacing w:after="40" w:before="0" w:line="259" w:lineRule="auto"/>
            </w:pPr>
            <w:r>
              <w:rPr>
                <w:rFonts w:ascii="Calibri" w:hAnsi="Calibri"/>
                <w:b w:val="0"/>
                <w:i w:val="0"/>
                <w:color w:val="212121"/>
                <w:sz w:val="16"/>
              </w:rPr>
              <w:t>Leucocytosis, raised CRP</w:t>
            </w:r>
          </w:p>
        </w:tc>
        <w:tc>
          <w:tcPr>
            <w:tcW w:type="dxa" w:w="1036"/>
            <w:vAlign w:val="top"/>
          </w:tcPr>
          <w:p>
            <w:pPr>
              <w:spacing w:after="40" w:before="0" w:line="259" w:lineRule="auto"/>
            </w:pPr>
            <w:r>
              <w:rPr>
                <w:rFonts w:ascii="Calibri" w:hAnsi="Calibri"/>
                <w:b w:val="0"/>
                <w:i w:val="0"/>
                <w:color w:val="212121"/>
                <w:sz w:val="16"/>
              </w:rPr>
              <w:t>Supports bacterial infection when a ‘teething’ infant is febrile or unwell</w:t>
            </w:r>
          </w:p>
        </w:tc>
        <w:tc>
          <w:tcPr>
            <w:tcW w:type="dxa" w:w="1036"/>
            <w:vAlign w:val="top"/>
          </w:tcPr>
          <w:p>
            <w:pPr>
              <w:spacing w:after="40" w:before="0" w:line="259" w:lineRule="auto"/>
            </w:pPr>
            <w:r>
              <w:rPr>
                <w:rFonts w:ascii="Calibri" w:hAnsi="Calibri"/>
                <w:b w:val="0"/>
                <w:i w:val="0"/>
                <w:color w:val="212121"/>
                <w:sz w:val="16"/>
              </w:rPr>
              <w:t>Febrile infants without an obvious source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Only if the child is systemically unwell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Urine dipstick &amp; culture</w:t>
            </w:r>
          </w:p>
        </w:tc>
        <w:tc>
          <w:tcPr>
            <w:tcW w:type="dxa" w:w="892"/>
            <w:vAlign w:val="top"/>
          </w:tcPr>
          <w:p>
            <w:pPr>
              <w:spacing w:after="40" w:before="0" w:line="259" w:lineRule="auto"/>
            </w:pPr>
            <w:r>
              <w:rPr>
                <w:rFonts w:ascii="Calibri" w:hAnsi="Calibri"/>
                <w:b w:val="0"/>
                <w:i w:val="0"/>
                <w:color w:val="212121"/>
                <w:sz w:val="16"/>
              </w:rPr>
              <w:t>Urine test</w:t>
            </w:r>
          </w:p>
        </w:tc>
        <w:tc>
          <w:tcPr>
            <w:tcW w:type="dxa" w:w="950"/>
            <w:vAlign w:val="top"/>
          </w:tcPr>
          <w:p>
            <w:pPr>
              <w:spacing w:after="40" w:before="0" w:line="259" w:lineRule="auto"/>
            </w:pPr>
            <w:r>
              <w:rPr>
                <w:rFonts w:ascii="Calibri" w:hAnsi="Calibri"/>
                <w:b w:val="0"/>
                <w:i w:val="0"/>
                <w:color w:val="212121"/>
                <w:sz w:val="16"/>
              </w:rPr>
              <w:t>No nitrites / leucocytes</w:t>
            </w:r>
          </w:p>
        </w:tc>
        <w:tc>
          <w:tcPr>
            <w:tcW w:type="dxa" w:w="950"/>
            <w:vAlign w:val="top"/>
          </w:tcPr>
          <w:p>
            <w:pPr>
              <w:spacing w:after="40" w:before="0" w:line="259" w:lineRule="auto"/>
            </w:pPr>
            <w:r>
              <w:rPr>
                <w:rFonts w:ascii="Calibri" w:hAnsi="Calibri"/>
                <w:b w:val="0"/>
                <w:i w:val="0"/>
                <w:color w:val="212121"/>
                <w:sz w:val="16"/>
              </w:rPr>
              <w:t>Positive → urinary tract infection</w:t>
            </w:r>
          </w:p>
        </w:tc>
        <w:tc>
          <w:tcPr>
            <w:tcW w:type="dxa" w:w="1036"/>
            <w:vAlign w:val="top"/>
          </w:tcPr>
          <w:p>
            <w:pPr>
              <w:spacing w:after="40" w:before="0" w:line="259" w:lineRule="auto"/>
            </w:pPr>
            <w:r>
              <w:rPr>
                <w:rFonts w:ascii="Calibri" w:hAnsi="Calibri"/>
                <w:b w:val="0"/>
                <w:i w:val="0"/>
                <w:color w:val="212121"/>
                <w:sz w:val="16"/>
              </w:rPr>
              <w:t>UTI is a common occult cause of unexplained infant fever mislabelled as teething</w:t>
            </w:r>
          </w:p>
        </w:tc>
        <w:tc>
          <w:tcPr>
            <w:tcW w:type="dxa" w:w="1036"/>
            <w:vAlign w:val="top"/>
          </w:tcPr>
          <w:p>
            <w:pPr>
              <w:spacing w:after="40" w:before="0" w:line="259" w:lineRule="auto"/>
            </w:pPr>
            <w:r>
              <w:rPr>
                <w:rFonts w:ascii="Calibri" w:hAnsi="Calibri"/>
                <w:b w:val="0"/>
                <w:i w:val="0"/>
                <w:color w:val="212121"/>
                <w:sz w:val="16"/>
              </w:rPr>
              <w:t>Febrile infants with no focus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Key exclusion</w:t>
            </w:r>
          </w:p>
        </w:tc>
        <w:tc>
          <w:tcPr>
            <w:tcW w:type="dxa" w:w="720"/>
            <w:vAlign w:val="top"/>
          </w:tcPr>
          <w:p>
            <w:pPr>
              <w:spacing w:after="40" w:before="0" w:line="259" w:lineRule="auto"/>
            </w:pPr>
            <w:r>
              <w:rPr>
                <w:rFonts w:ascii="Calibri" w:hAnsi="Calibri"/>
                <w:b w:val="0"/>
                <w:i w:val="0"/>
                <w:color w:val="212121"/>
                <w:sz w:val="16"/>
              </w:rPr>
              <w:t>Use a clean-catch or catheter sample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Stool routine &amp; culture</w:t>
            </w:r>
          </w:p>
        </w:tc>
        <w:tc>
          <w:tcPr>
            <w:tcW w:type="dxa" w:w="892"/>
            <w:vAlign w:val="top"/>
          </w:tcPr>
          <w:p>
            <w:pPr>
              <w:spacing w:after="40" w:before="0" w:line="259" w:lineRule="auto"/>
            </w:pPr>
            <w:r>
              <w:rPr>
                <w:rFonts w:ascii="Calibri" w:hAnsi="Calibri"/>
                <w:b w:val="0"/>
                <w:i w:val="0"/>
                <w:color w:val="212121"/>
                <w:sz w:val="16"/>
              </w:rPr>
              <w:t>Stool test</w:t>
            </w:r>
          </w:p>
        </w:tc>
        <w:tc>
          <w:tcPr>
            <w:tcW w:type="dxa" w:w="950"/>
            <w:vAlign w:val="top"/>
          </w:tcPr>
          <w:p>
            <w:pPr>
              <w:spacing w:after="40" w:before="0" w:line="259" w:lineRule="auto"/>
            </w:pPr>
            <w:r>
              <w:rPr>
                <w:rFonts w:ascii="Calibri" w:hAnsi="Calibri"/>
                <w:b w:val="0"/>
                <w:i w:val="0"/>
                <w:color w:val="212121"/>
                <w:sz w:val="16"/>
              </w:rPr>
              <w:t>No pathogens, no blood/pus cells</w:t>
            </w:r>
          </w:p>
        </w:tc>
        <w:tc>
          <w:tcPr>
            <w:tcW w:type="dxa" w:w="950"/>
            <w:vAlign w:val="top"/>
          </w:tcPr>
          <w:p>
            <w:pPr>
              <w:spacing w:after="40" w:before="0" w:line="259" w:lineRule="auto"/>
            </w:pPr>
            <w:r>
              <w:rPr>
                <w:rFonts w:ascii="Calibri" w:hAnsi="Calibri"/>
                <w:b w:val="0"/>
                <w:i w:val="0"/>
                <w:color w:val="212121"/>
                <w:sz w:val="16"/>
              </w:rPr>
              <w:t>Enteric pathogens, blood or pus cells</w:t>
            </w:r>
          </w:p>
        </w:tc>
        <w:tc>
          <w:tcPr>
            <w:tcW w:type="dxa" w:w="1036"/>
            <w:vAlign w:val="top"/>
          </w:tcPr>
          <w:p>
            <w:pPr>
              <w:spacing w:after="40" w:before="0" w:line="259" w:lineRule="auto"/>
            </w:pPr>
            <w:r>
              <w:rPr>
                <w:rFonts w:ascii="Calibri" w:hAnsi="Calibri"/>
                <w:b w:val="0"/>
                <w:i w:val="0"/>
                <w:color w:val="212121"/>
                <w:sz w:val="16"/>
              </w:rPr>
              <w:t>Identifies gastroenteritis wrongly attributed to teething</w:t>
            </w:r>
          </w:p>
        </w:tc>
        <w:tc>
          <w:tcPr>
            <w:tcW w:type="dxa" w:w="1036"/>
            <w:vAlign w:val="top"/>
          </w:tcPr>
          <w:p>
            <w:pPr>
              <w:spacing w:after="40" w:before="0" w:line="259" w:lineRule="auto"/>
            </w:pPr>
            <w:r>
              <w:rPr>
                <w:rFonts w:ascii="Calibri" w:hAnsi="Calibri"/>
                <w:b w:val="0"/>
                <w:i w:val="0"/>
                <w:color w:val="212121"/>
                <w:sz w:val="16"/>
              </w:rPr>
              <w:t>Infants with diarrhoea</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Directs ORS / treatment</w:t>
            </w:r>
          </w:p>
        </w:tc>
        <w:tc>
          <w:tcPr>
            <w:tcW w:type="dxa" w:w="720"/>
            <w:vAlign w:val="top"/>
          </w:tcPr>
          <w:p>
            <w:pPr>
              <w:spacing w:after="40" w:before="0" w:line="259" w:lineRule="auto"/>
            </w:pPr>
            <w:r>
              <w:rPr>
                <w:rFonts w:ascii="Calibri" w:hAnsi="Calibri"/>
                <w:b w:val="0"/>
                <w:i w:val="0"/>
                <w:color w:val="212121"/>
                <w:sz w:val="16"/>
              </w:rPr>
              <w:t>Assess hydration status and start oral rehydration as needed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(selective)</w:t>
            </w:r>
          </w:p>
        </w:tc>
        <w:tc>
          <w:tcPr>
            <w:tcW w:type="dxa" w:w="1036"/>
            <w:vAlign w:val="top"/>
          </w:tcPr>
          <w:p>
            <w:pPr>
              <w:spacing w:after="40" w:before="0" w:line="259" w:lineRule="auto"/>
            </w:pPr>
            <w:r>
              <w:rPr>
                <w:rFonts w:ascii="Calibri" w:hAnsi="Calibri"/>
                <w:b w:val="0"/>
                <w:i w:val="0"/>
                <w:color w:val="212121"/>
                <w:sz w:val="16"/>
              </w:rPr>
              <w:t>Dental radiograph</w:t>
            </w:r>
          </w:p>
        </w:tc>
        <w:tc>
          <w:tcPr>
            <w:tcW w:type="dxa" w:w="892"/>
            <w:vAlign w:val="top"/>
          </w:tcPr>
          <w:p>
            <w:pPr>
              <w:spacing w:after="40" w:before="0" w:line="259" w:lineRule="auto"/>
            </w:pPr>
            <w:r>
              <w:rPr>
                <w:rFonts w:ascii="Calibri" w:hAnsi="Calibri"/>
                <w:b w:val="0"/>
                <w:i w:val="0"/>
                <w:color w:val="212121"/>
                <w:sz w:val="16"/>
              </w:rPr>
              <w:t>X-ray</w:t>
            </w:r>
          </w:p>
        </w:tc>
        <w:tc>
          <w:tcPr>
            <w:tcW w:type="dxa" w:w="950"/>
            <w:vAlign w:val="top"/>
          </w:tcPr>
          <w:p>
            <w:pPr>
              <w:spacing w:after="40" w:before="0" w:line="259" w:lineRule="auto"/>
            </w:pPr>
            <w:r>
              <w:rPr>
                <w:rFonts w:ascii="Calibri" w:hAnsi="Calibri"/>
                <w:b w:val="0"/>
                <w:i w:val="0"/>
                <w:color w:val="212121"/>
                <w:sz w:val="16"/>
              </w:rPr>
              <w:t>Normal tooth germs / eruption</w:t>
            </w:r>
          </w:p>
        </w:tc>
        <w:tc>
          <w:tcPr>
            <w:tcW w:type="dxa" w:w="950"/>
            <w:vAlign w:val="top"/>
          </w:tcPr>
          <w:p>
            <w:pPr>
              <w:spacing w:after="40" w:before="0" w:line="259" w:lineRule="auto"/>
            </w:pPr>
            <w:r>
              <w:rPr>
                <w:rFonts w:ascii="Calibri" w:hAnsi="Calibri"/>
                <w:b w:val="0"/>
                <w:i w:val="0"/>
                <w:color w:val="212121"/>
                <w:sz w:val="16"/>
              </w:rPr>
              <w:t>Impaction, missing / supernumerary teeth, pathology</w:t>
            </w:r>
          </w:p>
        </w:tc>
        <w:tc>
          <w:tcPr>
            <w:tcW w:type="dxa" w:w="1036"/>
            <w:vAlign w:val="top"/>
          </w:tcPr>
          <w:p>
            <w:pPr>
              <w:spacing w:after="40" w:before="0" w:line="259" w:lineRule="auto"/>
            </w:pPr>
            <w:r>
              <w:rPr>
                <w:rFonts w:ascii="Calibri" w:hAnsi="Calibri"/>
                <w:b w:val="0"/>
                <w:i w:val="0"/>
                <w:color w:val="212121"/>
                <w:sz w:val="16"/>
              </w:rPr>
              <w:t>Reserved for markedly delayed or abnormal eruption — not routine teething</w:t>
            </w:r>
          </w:p>
        </w:tc>
        <w:tc>
          <w:tcPr>
            <w:tcW w:type="dxa" w:w="1036"/>
            <w:vAlign w:val="top"/>
          </w:tcPr>
          <w:p>
            <w:pPr>
              <w:spacing w:after="40" w:before="0" w:line="259" w:lineRule="auto"/>
            </w:pPr>
            <w:r>
              <w:rPr>
                <w:rFonts w:ascii="Calibri" w:hAnsi="Calibri"/>
                <w:b w:val="0"/>
                <w:i w:val="0"/>
                <w:color w:val="212121"/>
                <w:sz w:val="16"/>
              </w:rPr>
              <w:t>Delayed / atypical eruption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Avoid unnecessary radiation in infants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timing</w:t>
            </w:r>
          </w:p>
        </w:tc>
        <w:tc>
          <w:tcPr>
            <w:tcW w:type="dxa" w:w="979"/>
            <w:vAlign w:val="top"/>
          </w:tcPr>
          <w:p>
            <w:pPr>
              <w:spacing w:after="40" w:before="0" w:line="259" w:lineRule="auto"/>
            </w:pPr>
            <w:r>
              <w:rPr>
                <w:rFonts w:ascii="Calibri" w:hAnsi="Calibri"/>
                <w:b w:val="0"/>
                <w:i w:val="0"/>
                <w:color w:val="212121"/>
                <w:sz w:val="16"/>
              </w:rPr>
              <w:t>Drooling, gum-rubbing, biting, fretfulness around eruption</w:t>
            </w:r>
          </w:p>
        </w:tc>
        <w:tc>
          <w:tcPr>
            <w:tcW w:type="dxa" w:w="950"/>
            <w:vAlign w:val="top"/>
          </w:tcPr>
          <w:p>
            <w:pPr>
              <w:spacing w:after="40" w:before="0" w:line="259" w:lineRule="auto"/>
            </w:pPr>
            <w:r>
              <w:rPr>
                <w:rFonts w:ascii="Calibri" w:hAnsi="Calibri"/>
                <w:b w:val="0"/>
                <w:i w:val="0"/>
                <w:color w:val="212121"/>
                <w:sz w:val="16"/>
              </w:rPr>
              <w:t>Mild, self-limiting, tooth-related</w:t>
            </w:r>
          </w:p>
        </w:tc>
        <w:tc>
          <w:tcPr>
            <w:tcW w:type="dxa" w:w="950"/>
            <w:vAlign w:val="top"/>
          </w:tcPr>
          <w:p>
            <w:pPr>
              <w:spacing w:after="40" w:before="0" w:line="259" w:lineRule="auto"/>
            </w:pPr>
            <w:r>
              <w:rPr>
                <w:rFonts w:ascii="Calibri" w:hAnsi="Calibri"/>
                <w:b w:val="0"/>
                <w:i w:val="0"/>
                <w:color w:val="212121"/>
                <w:sz w:val="16"/>
              </w:rPr>
              <w:t>Severe, prolonged or systemic features</w:t>
            </w:r>
          </w:p>
        </w:tc>
        <w:tc>
          <w:tcPr>
            <w:tcW w:type="dxa" w:w="1036"/>
            <w:vAlign w:val="top"/>
          </w:tcPr>
          <w:p>
            <w:pPr>
              <w:spacing w:after="40" w:before="0" w:line="259" w:lineRule="auto"/>
            </w:pPr>
            <w:r>
              <w:rPr>
                <w:rFonts w:ascii="Calibri" w:hAnsi="Calibri"/>
                <w:b w:val="0"/>
                <w:i w:val="0"/>
                <w:color w:val="212121"/>
                <w:sz w:val="16"/>
              </w:rPr>
              <w:t>Pattern typical of teething versus illness</w:t>
            </w:r>
          </w:p>
        </w:tc>
        <w:tc>
          <w:tcPr>
            <w:tcW w:type="dxa" w:w="1036"/>
            <w:vAlign w:val="top"/>
          </w:tcPr>
          <w:p>
            <w:pPr>
              <w:spacing w:after="40" w:before="0" w:line="259" w:lineRule="auto"/>
            </w:pPr>
            <w:r>
              <w:rPr>
                <w:rFonts w:ascii="Calibri" w:hAnsi="Calibri"/>
                <w:b w:val="0"/>
                <w:i w:val="0"/>
                <w:color w:val="212121"/>
                <w:sz w:val="16"/>
              </w:rPr>
              <w:t>Infants 6–30 months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resolve as the crown emerges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screen</w:t>
            </w:r>
          </w:p>
        </w:tc>
        <w:tc>
          <w:tcPr>
            <w:tcW w:type="dxa" w:w="979"/>
            <w:vAlign w:val="top"/>
          </w:tcPr>
          <w:p>
            <w:pPr>
              <w:spacing w:after="40" w:before="0" w:line="259" w:lineRule="auto"/>
            </w:pPr>
            <w:r>
              <w:rPr>
                <w:rFonts w:ascii="Calibri" w:hAnsi="Calibri"/>
                <w:b w:val="0"/>
                <w:i w:val="0"/>
                <w:color w:val="212121"/>
                <w:sz w:val="16"/>
              </w:rPr>
              <w:t>High fever, diarrhoea/vomiting, poor feeding, lethargy, rash, breathing difficulty, convulsion</w:t>
            </w:r>
          </w:p>
        </w:tc>
        <w:tc>
          <w:tcPr>
            <w:tcW w:type="dxa" w:w="950"/>
            <w:vAlign w:val="top"/>
          </w:tcPr>
          <w:p>
            <w:pPr>
              <w:spacing w:after="40" w:before="0" w:line="259" w:lineRule="auto"/>
            </w:pPr>
            <w:r>
              <w:rPr>
                <w:rFonts w:ascii="Calibri" w:hAnsi="Calibri"/>
                <w:b w:val="0"/>
                <w:i w:val="0"/>
                <w:color w:val="212121"/>
                <w:sz w:val="16"/>
              </w:rPr>
              <w:t>None present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Mandates evaluation for infection — not teething</w:t>
            </w:r>
          </w:p>
        </w:tc>
        <w:tc>
          <w:tcPr>
            <w:tcW w:type="dxa" w:w="1036"/>
            <w:vAlign w:val="top"/>
          </w:tcPr>
          <w:p>
            <w:pPr>
              <w:spacing w:after="40" w:before="0" w:line="259" w:lineRule="auto"/>
            </w:pPr>
            <w:r>
              <w:rPr>
                <w:rFonts w:ascii="Calibri" w:hAnsi="Calibri"/>
                <w:b w:val="0"/>
                <w:i w:val="0"/>
                <w:color w:val="212121"/>
                <w:sz w:val="16"/>
              </w:rPr>
              <w:t>Unwell infants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A ‘teething’ label must never delay assessment of a sick infant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Feeding, hydration &amp; sleep</w:t>
            </w:r>
          </w:p>
        </w:tc>
        <w:tc>
          <w:tcPr>
            <w:tcW w:type="dxa" w:w="979"/>
            <w:vAlign w:val="top"/>
          </w:tcPr>
          <w:p>
            <w:pPr>
              <w:spacing w:after="40" w:before="0" w:line="259" w:lineRule="auto"/>
            </w:pPr>
            <w:r>
              <w:rPr>
                <w:rFonts w:ascii="Calibri" w:hAnsi="Calibri"/>
                <w:b w:val="0"/>
                <w:i w:val="0"/>
                <w:color w:val="212121"/>
                <w:sz w:val="16"/>
              </w:rPr>
              <w:t>Intake, wet nappies, sleep pattern</w:t>
            </w:r>
          </w:p>
        </w:tc>
        <w:tc>
          <w:tcPr>
            <w:tcW w:type="dxa" w:w="950"/>
            <w:vAlign w:val="top"/>
          </w:tcPr>
          <w:p>
            <w:pPr>
              <w:spacing w:after="40" w:before="0" w:line="259" w:lineRule="auto"/>
            </w:pPr>
            <w:r>
              <w:rPr>
                <w:rFonts w:ascii="Calibri" w:hAnsi="Calibri"/>
                <w:b w:val="0"/>
                <w:i w:val="0"/>
                <w:color w:val="212121"/>
                <w:sz w:val="16"/>
              </w:rPr>
              <w:t>Adequate feeding &amp; urine output, brief sleep disruption</w:t>
            </w:r>
          </w:p>
        </w:tc>
        <w:tc>
          <w:tcPr>
            <w:tcW w:type="dxa" w:w="950"/>
            <w:vAlign w:val="top"/>
          </w:tcPr>
          <w:p>
            <w:pPr>
              <w:spacing w:after="40" w:before="0" w:line="259" w:lineRule="auto"/>
            </w:pPr>
            <w:r>
              <w:rPr>
                <w:rFonts w:ascii="Calibri" w:hAnsi="Calibri"/>
                <w:b w:val="0"/>
                <w:i w:val="0"/>
                <w:color w:val="212121"/>
                <w:sz w:val="16"/>
              </w:rPr>
              <w:t>Reduced intake, few wet nappies, marked lethargy</w:t>
            </w:r>
          </w:p>
        </w:tc>
        <w:tc>
          <w:tcPr>
            <w:tcW w:type="dxa" w:w="1036"/>
            <w:vAlign w:val="top"/>
          </w:tcPr>
          <w:p>
            <w:pPr>
              <w:spacing w:after="40" w:before="0" w:line="259" w:lineRule="auto"/>
            </w:pPr>
            <w:r>
              <w:rPr>
                <w:rFonts w:ascii="Calibri" w:hAnsi="Calibri"/>
                <w:b w:val="0"/>
                <w:i w:val="0"/>
                <w:color w:val="212121"/>
                <w:sz w:val="16"/>
              </w:rPr>
              <w:t>Distinguishes benign teething from dehydrating illness</w:t>
            </w:r>
          </w:p>
        </w:tc>
        <w:tc>
          <w:tcPr>
            <w:tcW w:type="dxa" w:w="1036"/>
            <w:vAlign w:val="top"/>
          </w:tcPr>
          <w:p>
            <w:pPr>
              <w:spacing w:after="40" w:before="0" w:line="259" w:lineRule="auto"/>
            </w:pPr>
            <w:r>
              <w:rPr>
                <w:rFonts w:ascii="Calibri" w:hAnsi="Calibri"/>
                <w:b w:val="0"/>
                <w:i w:val="0"/>
                <w:color w:val="212121"/>
                <w:sz w:val="16"/>
              </w:rPr>
              <w:t>All teething infants</w:t>
            </w:r>
          </w:p>
        </w:tc>
        <w:tc>
          <w:tcPr>
            <w:tcW w:type="dxa" w:w="720"/>
            <w:vAlign w:val="top"/>
          </w:tcPr>
          <w:p>
            <w:pPr>
              <w:spacing w:after="40" w:before="0" w:line="259" w:lineRule="auto"/>
            </w:pPr>
            <w:r>
              <w:rPr>
                <w:rFonts w:ascii="Calibri" w:hAnsi="Calibri"/>
                <w:b w:val="0"/>
                <w:i w:val="0"/>
                <w:color w:val="212121"/>
                <w:sz w:val="16"/>
              </w:rPr>
              <w:t>Water; Sleep</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Dehydration is never due to teething alone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Care practices &amp; remedies</w:t>
            </w:r>
          </w:p>
        </w:tc>
        <w:tc>
          <w:tcPr>
            <w:tcW w:type="dxa" w:w="979"/>
            <w:vAlign w:val="top"/>
          </w:tcPr>
          <w:p>
            <w:pPr>
              <w:spacing w:after="40" w:before="0" w:line="259" w:lineRule="auto"/>
            </w:pPr>
            <w:r>
              <w:rPr>
                <w:rFonts w:ascii="Calibri" w:hAnsi="Calibri"/>
                <w:b w:val="0"/>
                <w:i w:val="0"/>
                <w:color w:val="212121"/>
                <w:sz w:val="16"/>
              </w:rPr>
              <w:t>Use of gels, homeopathic tablets, necklaces, honey, gum-lancing</w:t>
            </w:r>
          </w:p>
        </w:tc>
        <w:tc>
          <w:tcPr>
            <w:tcW w:type="dxa" w:w="950"/>
            <w:vAlign w:val="top"/>
          </w:tcPr>
          <w:p>
            <w:pPr>
              <w:spacing w:after="40" w:before="0" w:line="259" w:lineRule="auto"/>
            </w:pPr>
            <w:r>
              <w:rPr>
                <w:rFonts w:ascii="Calibri" w:hAnsi="Calibri"/>
                <w:b w:val="0"/>
                <w:i w:val="0"/>
                <w:color w:val="212121"/>
                <w:sz w:val="16"/>
              </w:rPr>
              <w:t>Safe soothing only</w:t>
            </w:r>
          </w:p>
        </w:tc>
        <w:tc>
          <w:tcPr>
            <w:tcW w:type="dxa" w:w="950"/>
            <w:vAlign w:val="top"/>
          </w:tcPr>
          <w:p>
            <w:pPr>
              <w:spacing w:after="40" w:before="0" w:line="259" w:lineRule="auto"/>
            </w:pPr>
            <w:r>
              <w:rPr>
                <w:rFonts w:ascii="Calibri" w:hAnsi="Calibri"/>
                <w:b w:val="0"/>
                <w:i w:val="0"/>
                <w:color w:val="212121"/>
                <w:sz w:val="16"/>
              </w:rPr>
              <w:t>Unsafe remedies in use</w:t>
            </w:r>
          </w:p>
        </w:tc>
        <w:tc>
          <w:tcPr>
            <w:tcW w:type="dxa" w:w="1036"/>
            <w:vAlign w:val="top"/>
          </w:tcPr>
          <w:p>
            <w:pPr>
              <w:spacing w:after="40" w:before="0" w:line="259" w:lineRule="auto"/>
            </w:pPr>
            <w:r>
              <w:rPr>
                <w:rFonts w:ascii="Calibri" w:hAnsi="Calibri"/>
                <w:b w:val="0"/>
                <w:i w:val="0"/>
                <w:color w:val="212121"/>
                <w:sz w:val="16"/>
              </w:rPr>
              <w:t>Identifies harmful practices to stop</w:t>
            </w:r>
          </w:p>
        </w:tc>
        <w:tc>
          <w:tcPr>
            <w:tcW w:type="dxa" w:w="1036"/>
            <w:vAlign w:val="top"/>
          </w:tcPr>
          <w:p>
            <w:pPr>
              <w:spacing w:after="40" w:before="0" w:line="259" w:lineRule="auto"/>
            </w:pPr>
            <w:r>
              <w:rPr>
                <w:rFonts w:ascii="Calibri" w:hAnsi="Calibri"/>
                <w:b w:val="0"/>
                <w:i w:val="0"/>
                <w:color w:val="212121"/>
                <w:sz w:val="16"/>
              </w:rPr>
              <w:t>At-risk families</w:t>
            </w:r>
          </w:p>
        </w:tc>
        <w:tc>
          <w:tcPr>
            <w:tcW w:type="dxa" w:w="720"/>
            <w:vAlign w:val="top"/>
          </w:tcPr>
          <w:p>
            <w:pPr>
              <w:spacing w:after="40" w:before="0" w:line="259" w:lineRule="auto"/>
            </w:pPr>
            <w:r>
              <w:rPr>
                <w:rFonts w:ascii="Calibri" w:hAnsi="Calibri"/>
                <w:b w:val="0"/>
                <w:i w:val="0"/>
                <w:color w:val="212121"/>
                <w:sz w:val="16"/>
              </w:rPr>
              <w:t>Hygiene; Alcohol</w:t>
            </w:r>
          </w:p>
        </w:tc>
        <w:tc>
          <w:tcPr>
            <w:tcW w:type="dxa" w:w="720"/>
            <w:vAlign w:val="top"/>
          </w:tcPr>
          <w:p>
            <w:pPr>
              <w:spacing w:after="40" w:before="0" w:line="259" w:lineRule="auto"/>
            </w:pPr>
            <w:r>
              <w:rPr>
                <w:rFonts w:ascii="Calibri" w:hAnsi="Calibri"/>
                <w:b w:val="0"/>
                <w:i w:val="0"/>
                <w:color w:val="212121"/>
                <w:sz w:val="16"/>
              </w:rPr>
              <w:t>Modifiable</w:t>
            </w:r>
          </w:p>
        </w:tc>
        <w:tc>
          <w:tcPr>
            <w:tcW w:type="dxa" w:w="720"/>
            <w:vAlign w:val="top"/>
          </w:tcPr>
          <w:p>
            <w:pPr>
              <w:spacing w:after="40" w:before="0" w:line="259" w:lineRule="auto"/>
            </w:pPr>
            <w:r>
              <w:rPr>
                <w:rFonts w:ascii="Calibri" w:hAnsi="Calibri"/>
                <w:b w:val="0"/>
                <w:i w:val="0"/>
                <w:color w:val="212121"/>
                <w:sz w:val="16"/>
              </w:rPr>
              <w:t>Counsel against benzocaine gels and teething necklaces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Oral / gum inspection</w:t>
            </w:r>
          </w:p>
        </w:tc>
        <w:tc>
          <w:tcPr>
            <w:tcW w:type="dxa" w:w="979"/>
            <w:vAlign w:val="top"/>
          </w:tcPr>
          <w:p>
            <w:pPr>
              <w:spacing w:after="40" w:before="0" w:line="259" w:lineRule="auto"/>
            </w:pPr>
            <w:r>
              <w:rPr>
                <w:rFonts w:ascii="Calibri" w:hAnsi="Calibri"/>
                <w:b w:val="0"/>
                <w:i w:val="0"/>
                <w:color w:val="212121"/>
                <w:sz w:val="16"/>
              </w:rPr>
              <w:t>Erupting crown, gum redness/swelling, eruption cyst</w:t>
            </w:r>
          </w:p>
        </w:tc>
        <w:tc>
          <w:tcPr>
            <w:tcW w:type="dxa" w:w="950"/>
            <w:vAlign w:val="top"/>
          </w:tcPr>
          <w:p>
            <w:pPr>
              <w:spacing w:after="40" w:before="0" w:line="259" w:lineRule="auto"/>
            </w:pPr>
            <w:r>
              <w:rPr>
                <w:rFonts w:ascii="Calibri" w:hAnsi="Calibri"/>
                <w:b w:val="0"/>
                <w:i w:val="0"/>
                <w:color w:val="212121"/>
                <w:sz w:val="16"/>
              </w:rPr>
              <w:t>Localized benign findings</w:t>
            </w:r>
          </w:p>
        </w:tc>
        <w:tc>
          <w:tcPr>
            <w:tcW w:type="dxa" w:w="950"/>
            <w:vAlign w:val="top"/>
          </w:tcPr>
          <w:p>
            <w:pPr>
              <w:spacing w:after="40" w:before="0" w:line="259" w:lineRule="auto"/>
            </w:pPr>
            <w:r>
              <w:rPr>
                <w:rFonts w:ascii="Calibri" w:hAnsi="Calibri"/>
                <w:b w:val="0"/>
                <w:i w:val="0"/>
                <w:color w:val="212121"/>
                <w:sz w:val="16"/>
              </w:rPr>
              <w:t>Ulceration, thrush, cyst, bleeding</w:t>
            </w:r>
          </w:p>
        </w:tc>
        <w:tc>
          <w:tcPr>
            <w:tcW w:type="dxa" w:w="1036"/>
            <w:vAlign w:val="top"/>
          </w:tcPr>
          <w:p>
            <w:pPr>
              <w:spacing w:after="40" w:before="0" w:line="259" w:lineRule="auto"/>
            </w:pPr>
            <w:r>
              <w:rPr>
                <w:rFonts w:ascii="Calibri" w:hAnsi="Calibri"/>
                <w:b w:val="0"/>
                <w:i w:val="0"/>
                <w:color w:val="212121"/>
                <w:sz w:val="16"/>
              </w:rPr>
              <w:t>Confirms the local cause of discomfort</w:t>
            </w:r>
          </w:p>
        </w:tc>
        <w:tc>
          <w:tcPr>
            <w:tcW w:type="dxa" w:w="1036"/>
            <w:vAlign w:val="top"/>
          </w:tcPr>
          <w:p>
            <w:pPr>
              <w:spacing w:after="40" w:before="0" w:line="259" w:lineRule="auto"/>
            </w:pPr>
            <w:r>
              <w:rPr>
                <w:rFonts w:ascii="Calibri" w:hAnsi="Calibri"/>
                <w:b w:val="0"/>
                <w:i w:val="0"/>
                <w:color w:val="212121"/>
                <w:sz w:val="16"/>
              </w:rPr>
              <w:t>All teething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Gentle finger palpation of the alveolar ridge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Systemic / ENT examination</w:t>
            </w:r>
          </w:p>
        </w:tc>
        <w:tc>
          <w:tcPr>
            <w:tcW w:type="dxa" w:w="979"/>
            <w:vAlign w:val="top"/>
          </w:tcPr>
          <w:p>
            <w:pPr>
              <w:spacing w:after="40" w:before="0" w:line="259" w:lineRule="auto"/>
            </w:pPr>
            <w:r>
              <w:rPr>
                <w:rFonts w:ascii="Calibri" w:hAnsi="Calibri"/>
                <w:b w:val="0"/>
                <w:i w:val="0"/>
                <w:color w:val="212121"/>
                <w:sz w:val="16"/>
              </w:rPr>
              <w:t>Hydration, ears, throat, chest, abdomen, skin</w:t>
            </w:r>
          </w:p>
        </w:tc>
        <w:tc>
          <w:tcPr>
            <w:tcW w:type="dxa" w:w="950"/>
            <w:vAlign w:val="top"/>
          </w:tcPr>
          <w:p>
            <w:pPr>
              <w:spacing w:after="40" w:before="0" w:line="259" w:lineRule="auto"/>
            </w:pPr>
            <w:r>
              <w:rPr>
                <w:rFonts w:ascii="Calibri" w:hAnsi="Calibri"/>
                <w:b w:val="0"/>
                <w:i w:val="0"/>
                <w:color w:val="212121"/>
                <w:sz w:val="16"/>
              </w:rPr>
              <w:t>Well child, no focus</w:t>
            </w:r>
          </w:p>
        </w:tc>
        <w:tc>
          <w:tcPr>
            <w:tcW w:type="dxa" w:w="950"/>
            <w:vAlign w:val="top"/>
          </w:tcPr>
          <w:p>
            <w:pPr>
              <w:spacing w:after="40" w:before="0" w:line="259" w:lineRule="auto"/>
            </w:pPr>
            <w:r>
              <w:rPr>
                <w:rFonts w:ascii="Calibri" w:hAnsi="Calibri"/>
                <w:b w:val="0"/>
                <w:i w:val="0"/>
                <w:color w:val="212121"/>
                <w:sz w:val="16"/>
              </w:rPr>
              <w:t>Otitis media, pharyngitis, chest signs, rash</w:t>
            </w:r>
          </w:p>
        </w:tc>
        <w:tc>
          <w:tcPr>
            <w:tcW w:type="dxa" w:w="1036"/>
            <w:vAlign w:val="top"/>
          </w:tcPr>
          <w:p>
            <w:pPr>
              <w:spacing w:after="40" w:before="0" w:line="259" w:lineRule="auto"/>
            </w:pPr>
            <w:r>
              <w:rPr>
                <w:rFonts w:ascii="Calibri" w:hAnsi="Calibri"/>
                <w:b w:val="0"/>
                <w:i w:val="0"/>
                <w:color w:val="212121"/>
                <w:sz w:val="16"/>
              </w:rPr>
              <w:t>Finds the true source when an infant is unwell</w:t>
            </w:r>
          </w:p>
        </w:tc>
        <w:tc>
          <w:tcPr>
            <w:tcW w:type="dxa" w:w="1036"/>
            <w:vAlign w:val="top"/>
          </w:tcPr>
          <w:p>
            <w:pPr>
              <w:spacing w:after="40" w:before="0" w:line="259" w:lineRule="auto"/>
            </w:pPr>
            <w:r>
              <w:rPr>
                <w:rFonts w:ascii="Calibri" w:hAnsi="Calibri"/>
                <w:b w:val="0"/>
                <w:i w:val="0"/>
                <w:color w:val="212121"/>
                <w:sz w:val="16"/>
              </w:rPr>
              <w:t>Febrile or very fretful infants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Ear-tugging may indicate otitis media rather than teething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Growth / development</w:t>
            </w:r>
          </w:p>
        </w:tc>
        <w:tc>
          <w:tcPr>
            <w:tcW w:type="dxa" w:w="950"/>
            <w:vAlign w:val="top"/>
          </w:tcPr>
          <w:p>
            <w:pPr>
              <w:spacing w:after="40" w:before="0" w:line="259" w:lineRule="auto"/>
            </w:pPr>
            <w:r>
              <w:rPr>
                <w:rFonts w:ascii="Calibri" w:hAnsi="Calibri"/>
                <w:b w:val="0"/>
                <w:i w:val="0"/>
                <w:color w:val="212121"/>
                <w:sz w:val="16"/>
              </w:rPr>
              <w:t>Anthropometry &amp; milestones</w:t>
            </w:r>
          </w:p>
        </w:tc>
        <w:tc>
          <w:tcPr>
            <w:tcW w:type="dxa" w:w="979"/>
            <w:vAlign w:val="top"/>
          </w:tcPr>
          <w:p>
            <w:pPr>
              <w:spacing w:after="40" w:before="0" w:line="259" w:lineRule="auto"/>
            </w:pPr>
            <w:r>
              <w:rPr>
                <w:rFonts w:ascii="Calibri" w:hAnsi="Calibri"/>
                <w:b w:val="0"/>
                <w:i w:val="0"/>
                <w:color w:val="212121"/>
                <w:sz w:val="16"/>
              </w:rPr>
              <w:t>Weight/length, development, eruption for age</w:t>
            </w:r>
          </w:p>
        </w:tc>
        <w:tc>
          <w:tcPr>
            <w:tcW w:type="dxa" w:w="950"/>
            <w:vAlign w:val="top"/>
          </w:tcPr>
          <w:p>
            <w:pPr>
              <w:spacing w:after="40" w:before="0" w:line="259" w:lineRule="auto"/>
            </w:pPr>
            <w:r>
              <w:rPr>
                <w:rFonts w:ascii="Calibri" w:hAnsi="Calibri"/>
                <w:b w:val="0"/>
                <w:i w:val="0"/>
                <w:color w:val="212121"/>
                <w:sz w:val="16"/>
              </w:rPr>
              <w:t>On track for age</w:t>
            </w:r>
          </w:p>
        </w:tc>
        <w:tc>
          <w:tcPr>
            <w:tcW w:type="dxa" w:w="950"/>
            <w:vAlign w:val="top"/>
          </w:tcPr>
          <w:p>
            <w:pPr>
              <w:spacing w:after="40" w:before="0" w:line="259" w:lineRule="auto"/>
            </w:pPr>
            <w:r>
              <w:rPr>
                <w:rFonts w:ascii="Calibri" w:hAnsi="Calibri"/>
                <w:b w:val="0"/>
                <w:i w:val="0"/>
                <w:color w:val="212121"/>
                <w:sz w:val="16"/>
              </w:rPr>
              <w:t>Faltering growth, gross eruption delay</w:t>
            </w:r>
          </w:p>
        </w:tc>
        <w:tc>
          <w:tcPr>
            <w:tcW w:type="dxa" w:w="1036"/>
            <w:vAlign w:val="top"/>
          </w:tcPr>
          <w:p>
            <w:pPr>
              <w:spacing w:after="40" w:before="0" w:line="259" w:lineRule="auto"/>
            </w:pPr>
            <w:r>
              <w:rPr>
                <w:rFonts w:ascii="Calibri" w:hAnsi="Calibri"/>
                <w:b w:val="0"/>
                <w:i w:val="0"/>
                <w:color w:val="212121"/>
                <w:sz w:val="16"/>
              </w:rPr>
              <w:t>Flags nutritional or systemic causes of delayed eruption</w:t>
            </w:r>
          </w:p>
        </w:tc>
        <w:tc>
          <w:tcPr>
            <w:tcW w:type="dxa" w:w="1036"/>
            <w:vAlign w:val="top"/>
          </w:tcPr>
          <w:p>
            <w:pPr>
              <w:spacing w:after="40" w:before="0" w:line="259" w:lineRule="auto"/>
            </w:pPr>
            <w:r>
              <w:rPr>
                <w:rFonts w:ascii="Calibri" w:hAnsi="Calibri"/>
                <w:b w:val="0"/>
                <w:i w:val="0"/>
                <w:color w:val="212121"/>
                <w:sz w:val="16"/>
              </w:rPr>
              <w:t>Infants with delayed teething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Check vitamin D and nutrition if eruption is delayed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Excess drooling (salivation)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saliva from gum stimulation; may wet the chin and cause a drool rash.</w:t>
            </w:r>
          </w:p>
        </w:tc>
      </w:tr>
      <w:tr>
        <w:trPr>
          <w:cantSplit/>
        </w:trPr>
        <w:tc>
          <w:tcPr>
            <w:tcW w:type="dxa" w:w="2304"/>
            <w:vAlign w:val="top"/>
          </w:tcPr>
          <w:p>
            <w:pPr>
              <w:spacing w:after="40" w:before="0" w:line="259" w:lineRule="auto"/>
            </w:pPr>
            <w:r>
              <w:rPr>
                <w:rFonts w:ascii="Calibri" w:hAnsi="Calibri"/>
                <w:b/>
                <w:i w:val="0"/>
                <w:color w:val="212121"/>
                <w:sz w:val="19"/>
              </w:rPr>
              <w:t>Urge to bite, chew and gnaw</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Counter-pressure relieves gum discomfort, so the baby mouths fingers, toys and teethers.</w:t>
            </w:r>
          </w:p>
        </w:tc>
      </w:tr>
      <w:tr>
        <w:trPr>
          <w:cantSplit/>
        </w:trPr>
        <w:tc>
          <w:tcPr>
            <w:tcW w:type="dxa" w:w="2304"/>
            <w:vAlign w:val="top"/>
          </w:tcPr>
          <w:p>
            <w:pPr>
              <w:spacing w:after="40" w:before="0" w:line="259" w:lineRule="auto"/>
            </w:pPr>
            <w:r>
              <w:rPr>
                <w:rFonts w:ascii="Calibri" w:hAnsi="Calibri"/>
                <w:b/>
                <w:i w:val="0"/>
                <w:color w:val="212121"/>
                <w:sz w:val="19"/>
              </w:rPr>
              <w:t>Sore, tender, swollen gum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Localized inflammation of the gum over the erupting crown.</w:t>
            </w:r>
          </w:p>
        </w:tc>
      </w:tr>
      <w:tr>
        <w:trPr>
          <w:cantSplit/>
        </w:trPr>
        <w:tc>
          <w:tcPr>
            <w:tcW w:type="dxa" w:w="2304"/>
            <w:vAlign w:val="top"/>
          </w:tcPr>
          <w:p>
            <w:pPr>
              <w:spacing w:after="40" w:before="0" w:line="259" w:lineRule="auto"/>
            </w:pPr>
            <w:r>
              <w:rPr>
                <w:rFonts w:ascii="Calibri" w:hAnsi="Calibri"/>
                <w:b/>
                <w:i w:val="0"/>
                <w:color w:val="212121"/>
                <w:sz w:val="19"/>
              </w:rPr>
              <w:t>Irritability and fretfulness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makes the baby cranky, clingy and harder to settle.</w:t>
            </w:r>
          </w:p>
        </w:tc>
      </w:tr>
      <w:tr>
        <w:trPr>
          <w:cantSplit/>
        </w:trPr>
        <w:tc>
          <w:tcPr>
            <w:tcW w:type="dxa" w:w="2304"/>
            <w:vAlign w:val="top"/>
          </w:tcPr>
          <w:p>
            <w:pPr>
              <w:spacing w:after="40" w:before="0" w:line="259" w:lineRule="auto"/>
            </w:pPr>
            <w:r>
              <w:rPr>
                <w:rFonts w:ascii="Calibri" w:hAnsi="Calibri"/>
                <w:b/>
                <w:i w:val="0"/>
                <w:color w:val="212121"/>
                <w:sz w:val="19"/>
              </w:rPr>
              <w:t>Disturbed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Gum discomfort briefly disrupts night sleep around each eruption.</w:t>
            </w:r>
          </w:p>
        </w:tc>
      </w:tr>
      <w:tr>
        <w:trPr>
          <w:cantSplit/>
        </w:trPr>
        <w:tc>
          <w:tcPr>
            <w:tcW w:type="dxa" w:w="2304"/>
            <w:vAlign w:val="top"/>
          </w:tcPr>
          <w:p>
            <w:pPr>
              <w:spacing w:after="40" w:before="0" w:line="259" w:lineRule="auto"/>
            </w:pPr>
            <w:r>
              <w:rPr>
                <w:rFonts w:ascii="Calibri" w:hAnsi="Calibri"/>
                <w:b/>
                <w:i w:val="0"/>
                <w:color w:val="212121"/>
                <w:sz w:val="19"/>
              </w:rPr>
              <w:t>Reduced appetite / fussy feeding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Sore gums make sucking or chewing uncomfortable; usually transient.</w:t>
            </w:r>
          </w:p>
        </w:tc>
      </w:tr>
      <w:tr>
        <w:trPr>
          <w:cantSplit/>
        </w:trPr>
        <w:tc>
          <w:tcPr>
            <w:tcW w:type="dxa" w:w="2304"/>
            <w:vAlign w:val="top"/>
          </w:tcPr>
          <w:p>
            <w:pPr>
              <w:spacing w:after="40" w:before="0" w:line="259" w:lineRule="auto"/>
            </w:pPr>
            <w:r>
              <w:rPr>
                <w:rFonts w:ascii="Calibri" w:hAnsi="Calibri"/>
                <w:b/>
                <w:i w:val="0"/>
                <w:color w:val="212121"/>
                <w:sz w:val="19"/>
              </w:rPr>
              <w:t>Flushed cheek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Reddening of the cheek on the side of the erupting tooth.</w:t>
            </w:r>
          </w:p>
        </w:tc>
      </w:tr>
      <w:tr>
        <w:trPr>
          <w:cantSplit/>
        </w:trPr>
        <w:tc>
          <w:tcPr>
            <w:tcW w:type="dxa" w:w="2304"/>
            <w:vAlign w:val="top"/>
          </w:tcPr>
          <w:p>
            <w:pPr>
              <w:spacing w:after="40" w:before="0" w:line="259" w:lineRule="auto"/>
            </w:pPr>
            <w:r>
              <w:rPr>
                <w:rFonts w:ascii="Calibri" w:hAnsi="Calibri"/>
                <w:b/>
                <w:i w:val="0"/>
                <w:color w:val="212121"/>
                <w:sz w:val="19"/>
              </w:rPr>
              <w:t>Cheek or ear rubbing on the affected side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Referred sensation from the erupting tooth; ear-rubbing can, however, also indicate otitis media.</w:t>
            </w:r>
          </w:p>
        </w:tc>
      </w:tr>
      <w:tr>
        <w:trPr>
          <w:cantSplit/>
        </w:trPr>
        <w:tc>
          <w:tcPr>
            <w:tcW w:type="dxa" w:w="2304"/>
            <w:vAlign w:val="top"/>
          </w:tcPr>
          <w:p>
            <w:pPr>
              <w:spacing w:after="40" w:before="0" w:line="259" w:lineRule="auto"/>
            </w:pPr>
            <w:r>
              <w:rPr>
                <w:rFonts w:ascii="Calibri" w:hAnsi="Calibri"/>
                <w:b/>
                <w:i w:val="0"/>
                <w:color w:val="212121"/>
                <w:sz w:val="19"/>
              </w:rPr>
              <w:t>Drool rash around the mouth and chin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Skin irritation from constant saliva.</w:t>
            </w:r>
          </w:p>
        </w:tc>
      </w:tr>
      <w:tr>
        <w:trPr>
          <w:cantSplit/>
        </w:trPr>
        <w:tc>
          <w:tcPr>
            <w:tcW w:type="dxa" w:w="2304"/>
            <w:vAlign w:val="top"/>
          </w:tcPr>
          <w:p>
            <w:pPr>
              <w:spacing w:after="40" w:before="0" w:line="259" w:lineRule="auto"/>
            </w:pPr>
            <w:r>
              <w:rPr>
                <w:rFonts w:ascii="Calibri" w:hAnsi="Calibri"/>
                <w:b/>
                <w:i w:val="0"/>
                <w:color w:val="212121"/>
                <w:sz w:val="19"/>
              </w:rPr>
              <w:t>Mild low-grade temperature (&lt; 38°C)</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Only a slight rise; a temperature ≥ 38°C indicates illness, not teething.</w:t>
            </w:r>
          </w:p>
        </w:tc>
      </w:tr>
      <w:tr>
        <w:trPr>
          <w:cantSplit/>
        </w:trPr>
        <w:tc>
          <w:tcPr>
            <w:tcW w:type="dxa" w:w="2304"/>
            <w:vAlign w:val="top"/>
          </w:tcPr>
          <w:p>
            <w:pPr>
              <w:spacing w:after="40" w:before="0" w:line="259" w:lineRule="auto"/>
            </w:pPr>
            <w:r>
              <w:rPr>
                <w:rFonts w:ascii="Calibri" w:hAnsi="Calibri"/>
                <w:b/>
                <w:i w:val="0"/>
                <w:color w:val="212121"/>
                <w:sz w:val="19"/>
              </w:rPr>
              <w:t>Mild loose stools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Often coincidental (swallowed saliva, hand-to-mouth exposure); significant diarrhoea is a separate illness — there is no evidence teething causes diarrhoea.</w:t>
            </w:r>
          </w:p>
        </w:tc>
      </w:tr>
      <w:tr>
        <w:trPr>
          <w:cantSplit/>
        </w:trPr>
        <w:tc>
          <w:tcPr>
            <w:tcW w:type="dxa" w:w="2304"/>
            <w:vAlign w:val="top"/>
          </w:tcPr>
          <w:p>
            <w:pPr>
              <w:spacing w:after="40" w:before="0" w:line="259" w:lineRule="auto"/>
            </w:pPr>
            <w:r>
              <w:rPr>
                <w:rFonts w:ascii="Calibri" w:hAnsi="Calibri"/>
                <w:b/>
                <w:i w:val="0"/>
                <w:color w:val="212121"/>
                <w:sz w:val="19"/>
              </w:rPr>
              <w:t>Gum bleeding or bluish eruption cyst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small blood-filled swelling can appear over an erupting tooth; it is benign and self-resolving.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Erupting tooth / white crown at the gum margin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tooth visible or palpable emerging through the gum.</w:t>
            </w:r>
          </w:p>
        </w:tc>
      </w:tr>
      <w:tr>
        <w:trPr>
          <w:cantSplit/>
        </w:trPr>
        <w:tc>
          <w:tcPr>
            <w:tcW w:type="dxa" w:w="3456"/>
            <w:vAlign w:val="top"/>
          </w:tcPr>
          <w:p>
            <w:pPr>
              <w:spacing w:after="40" w:before="0" w:line="259" w:lineRule="auto"/>
            </w:pPr>
            <w:r>
              <w:rPr>
                <w:rFonts w:ascii="Calibri" w:hAnsi="Calibri"/>
                <w:b/>
                <w:i w:val="0"/>
                <w:color w:val="212121"/>
                <w:sz w:val="19"/>
              </w:rPr>
              <w:t>Localized red, swollen, tender gum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Gingival inflammation over the erupting tooth.</w:t>
            </w:r>
          </w:p>
        </w:tc>
      </w:tr>
      <w:tr>
        <w:trPr>
          <w:cantSplit/>
        </w:trPr>
        <w:tc>
          <w:tcPr>
            <w:tcW w:type="dxa" w:w="3456"/>
            <w:vAlign w:val="top"/>
          </w:tcPr>
          <w:p>
            <w:pPr>
              <w:spacing w:after="40" w:before="0" w:line="259" w:lineRule="auto"/>
            </w:pPr>
            <w:r>
              <w:rPr>
                <w:rFonts w:ascii="Calibri" w:hAnsi="Calibri"/>
                <w:b/>
                <w:i w:val="0"/>
                <w:color w:val="212121"/>
                <w:sz w:val="19"/>
              </w:rPr>
              <w:t>Visible excess salivation / wet chin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Drooling evident on examination.</w:t>
            </w:r>
          </w:p>
        </w:tc>
      </w:tr>
      <w:tr>
        <w:trPr>
          <w:cantSplit/>
        </w:trPr>
        <w:tc>
          <w:tcPr>
            <w:tcW w:type="dxa" w:w="3456"/>
            <w:vAlign w:val="top"/>
          </w:tcPr>
          <w:p>
            <w:pPr>
              <w:spacing w:after="40" w:before="0" w:line="259" w:lineRule="auto"/>
            </w:pPr>
            <w:r>
              <w:rPr>
                <w:rFonts w:ascii="Calibri" w:hAnsi="Calibri"/>
                <w:b/>
                <w:i w:val="0"/>
                <w:color w:val="212121"/>
                <w:sz w:val="19"/>
              </w:rPr>
              <w:t>Perioral drool rash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Erythematous rash on the chin and cheeks from saliva.</w:t>
            </w:r>
          </w:p>
        </w:tc>
      </w:tr>
      <w:tr>
        <w:trPr>
          <w:cantSplit/>
        </w:trPr>
        <w:tc>
          <w:tcPr>
            <w:tcW w:type="dxa" w:w="3456"/>
            <w:vAlign w:val="top"/>
          </w:tcPr>
          <w:p>
            <w:pPr>
              <w:spacing w:after="40" w:before="0" w:line="259" w:lineRule="auto"/>
            </w:pPr>
            <w:r>
              <w:rPr>
                <w:rFonts w:ascii="Calibri" w:hAnsi="Calibri"/>
                <w:b/>
                <w:i w:val="0"/>
                <w:color w:val="212121"/>
                <w:sz w:val="19"/>
              </w:rPr>
              <w:t>Eagerness to bite the examiner’s finger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infant bites down for counter-pressure on the gum.</w:t>
            </w:r>
          </w:p>
        </w:tc>
      </w:tr>
      <w:tr>
        <w:trPr>
          <w:cantSplit/>
        </w:trPr>
        <w:tc>
          <w:tcPr>
            <w:tcW w:type="dxa" w:w="3456"/>
            <w:vAlign w:val="top"/>
          </w:tcPr>
          <w:p>
            <w:pPr>
              <w:spacing w:after="40" w:before="0" w:line="259" w:lineRule="auto"/>
            </w:pPr>
            <w:r>
              <w:rPr>
                <w:rFonts w:ascii="Calibri" w:hAnsi="Calibri"/>
                <w:b/>
                <w:i w:val="0"/>
                <w:color w:val="212121"/>
                <w:sz w:val="19"/>
              </w:rPr>
              <w:t>Flushed cheek over the erupting side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Unilateral facial flush.</w:t>
            </w:r>
          </w:p>
        </w:tc>
      </w:tr>
      <w:tr>
        <w:trPr>
          <w:cantSplit/>
        </w:trPr>
        <w:tc>
          <w:tcPr>
            <w:tcW w:type="dxa" w:w="3456"/>
            <w:vAlign w:val="top"/>
          </w:tcPr>
          <w:p>
            <w:pPr>
              <w:spacing w:after="40" w:before="0" w:line="259" w:lineRule="auto"/>
            </w:pPr>
            <w:r>
              <w:rPr>
                <w:rFonts w:ascii="Calibri" w:hAnsi="Calibri"/>
                <w:b/>
                <w:i w:val="0"/>
                <w:color w:val="212121"/>
                <w:sz w:val="19"/>
              </w:rPr>
              <w:t>Mild temperature elevation &lt; 38°C on thermometry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 objective but only slight rise; higher readings point to illness.</w:t>
            </w:r>
          </w:p>
        </w:tc>
      </w:tr>
      <w:tr>
        <w:trPr>
          <w:cantSplit/>
        </w:trPr>
        <w:tc>
          <w:tcPr>
            <w:tcW w:type="dxa" w:w="3456"/>
            <w:vAlign w:val="top"/>
          </w:tcPr>
          <w:p>
            <w:pPr>
              <w:spacing w:after="40" w:before="0" w:line="259" w:lineRule="auto"/>
            </w:pPr>
            <w:r>
              <w:rPr>
                <w:rFonts w:ascii="Calibri" w:hAnsi="Calibri"/>
                <w:b/>
                <w:i w:val="0"/>
                <w:color w:val="212121"/>
                <w:sz w:val="19"/>
              </w:rPr>
              <w:t>Eruption cyst / haematoma (bluish gum swelling)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dome-shaped swelling over the crown that resolves as the tooth erupts.</w:t>
            </w:r>
          </w:p>
        </w:tc>
      </w:tr>
      <w:tr>
        <w:trPr>
          <w:cantSplit/>
        </w:trPr>
        <w:tc>
          <w:tcPr>
            <w:tcW w:type="dxa" w:w="3456"/>
            <w:vAlign w:val="top"/>
          </w:tcPr>
          <w:p>
            <w:pPr>
              <w:spacing w:after="40" w:before="0" w:line="259" w:lineRule="auto"/>
            </w:pPr>
            <w:r>
              <w:rPr>
                <w:rFonts w:ascii="Calibri" w:hAnsi="Calibri"/>
                <w:b/>
                <w:i w:val="0"/>
                <w:color w:val="212121"/>
                <w:sz w:val="19"/>
              </w:rPr>
              <w:t>Riga-Fede sublingual ulcer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Ulceration on the underside of the tongue caused by lower incisors, typically with natal/neonatal teeth.</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Perioral drool rash / dermatitis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disturbance of sleep and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Minor gum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Eruption cyst / haematoma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Parental distress and fatigue</w:t>
            </w:r>
          </w:p>
        </w:tc>
        <w:tc>
          <w:tcPr>
            <w:tcW w:type="dxa" w:w="2980"/>
            <w:vAlign w:val="top"/>
          </w:tcPr>
          <w:p>
            <w:pPr>
              <w:spacing w:after="40" w:before="0" w:line="259" w:lineRule="auto"/>
            </w:pPr>
            <w:r>
              <w:rPr>
                <w:rFonts w:ascii="Calibri" w:hAnsi="Calibri"/>
                <w:b w:val="0"/>
                <w:i w:val="0"/>
                <w:color w:val="212121"/>
                <w:sz w:val="19"/>
              </w:rPr>
              <w:t>Minor, self-limiting local effects of normal tooth eruption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 childhood caries from sugary or honey soothers on newly erupted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Choking or gum / dental injury from hard or unsafe teethers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Methemoglobinemia from benzocaine numbing gels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Toxicity from homeopathic teething tablets (some containing belladonna)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infection from unhygienic mouthing objects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Gum trauma or infection from traditional gum-lancing</w:t>
            </w:r>
          </w:p>
        </w:tc>
        <w:tc>
          <w:tcPr>
            <w:tcW w:type="dxa" w:w="2980"/>
            <w:vAlign w:val="top"/>
          </w:tcPr>
          <w:p>
            <w:pPr>
              <w:spacing w:after="40" w:before="0" w:line="259" w:lineRule="auto"/>
            </w:pPr>
            <w:r>
              <w:rPr>
                <w:rFonts w:ascii="Calibri" w:hAnsi="Calibri"/>
                <w:b w:val="0"/>
                <w:i w:val="0"/>
                <w:color w:val="212121"/>
                <w:sz w:val="19"/>
              </w:rPr>
              <w:t>Largely preventable iatrogenic and folk-remedy harms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recognition and treatment of serious illness (dehydrating gastroenteritis, pneumonia, UTI, meningitis, malaria, sepsis) dismissed as ‘teething’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Strangulation or choking death from amber / teething necklaces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methemoglobinemia from benzocaine gels</w:t>
            </w:r>
          </w:p>
        </w:tc>
        <w:tc>
          <w:tcPr>
            <w:tcW w:type="dxa" w:w="2980"/>
            <w:vAlign w:val="top"/>
          </w:tcPr>
          <w:p>
            <w:pPr>
              <w:spacing w:after="40" w:before="0" w:line="259" w:lineRule="auto"/>
            </w:pPr>
            <w:r>
              <w:rPr>
                <w:rFonts w:ascii="Calibri" w:hAnsi="Calibri"/>
                <w:b w:val="0"/>
                <w:i w:val="0"/>
                <w:color w:val="212121"/>
                <w:sz w:val="19"/>
              </w:rPr>
              <w:t>Serious, sometimes fatal outcomes of misattribution or unsafe practices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gastroenteritis / diarrhoea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coincides with and is misattributed to teething; a separate illness needing oral rehydration and zinc. Increased hand-to-mouth and object-mouthing during teething raises faecal-oral exposure, but teething itself does not cause diarrhoea.</w:t>
            </w:r>
          </w:p>
        </w:tc>
      </w:tr>
      <w:tr>
        <w:trPr>
          <w:cantSplit/>
        </w:trPr>
        <w:tc>
          <w:tcPr>
            <w:tcW w:type="dxa" w:w="2232"/>
            <w:vAlign w:val="top"/>
          </w:tcPr>
          <w:p>
            <w:pPr>
              <w:spacing w:after="40" w:before="0" w:line="259" w:lineRule="auto"/>
            </w:pPr>
            <w:r>
              <w:rPr>
                <w:rFonts w:ascii="Calibri" w:hAnsi="Calibri"/>
                <w:b/>
                <w:i w:val="0"/>
                <w:color w:val="212121"/>
                <w:sz w:val="19"/>
              </w:rPr>
              <w:t>Otitis media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Ear- and cheek-rubbing overlaps with teething behaviour, and a febrile ear infection is easily blamed on teething, delaying antibiotics where indicated.</w:t>
            </w:r>
          </w:p>
        </w:tc>
      </w:tr>
      <w:tr>
        <w:trPr>
          <w:cantSplit/>
        </w:trPr>
        <w:tc>
          <w:tcPr>
            <w:tcW w:type="dxa" w:w="2232"/>
            <w:vAlign w:val="top"/>
          </w:tcPr>
          <w:p>
            <w:pPr>
              <w:spacing w:after="40" w:before="0" w:line="259" w:lineRule="auto"/>
            </w:pPr>
            <w:r>
              <w:rPr>
                <w:rFonts w:ascii="Calibri" w:hAnsi="Calibri"/>
                <w:b/>
                <w:i w:val="0"/>
                <w:color w:val="212121"/>
                <w:sz w:val="19"/>
              </w:rPr>
              <w:t>Upper respiratory tract infection (common cold)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Coincident rhinorrhoea, cough and low-grade fever in the teething months are commonly attributed to teething rather than a viral infection.</w:t>
            </w:r>
          </w:p>
        </w:tc>
      </w:tr>
      <w:tr>
        <w:trPr>
          <w:cantSplit/>
        </w:trPr>
        <w:tc>
          <w:tcPr>
            <w:tcW w:type="dxa" w:w="2232"/>
            <w:vAlign w:val="top"/>
          </w:tcPr>
          <w:p>
            <w:pPr>
              <w:spacing w:after="40" w:before="0" w:line="259" w:lineRule="auto"/>
            </w:pPr>
            <w:r>
              <w:rPr>
                <w:rFonts w:ascii="Calibri" w:hAnsi="Calibri"/>
                <w:b/>
                <w:i w:val="0"/>
                <w:color w:val="212121"/>
                <w:sz w:val="19"/>
              </w:rPr>
              <w:t>Urinary tract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common occult cause of unexplained infant fever that is dangerous to dismiss as teething; needs urine testing.</w:t>
            </w:r>
          </w:p>
        </w:tc>
      </w:tr>
      <w:tr>
        <w:trPr>
          <w:cantSplit/>
        </w:trPr>
        <w:tc>
          <w:tcPr>
            <w:tcW w:type="dxa" w:w="2232"/>
            <w:vAlign w:val="top"/>
          </w:tcPr>
          <w:p>
            <w:pPr>
              <w:spacing w:after="40" w:before="0" w:line="259" w:lineRule="auto"/>
            </w:pPr>
            <w:r>
              <w:rPr>
                <w:rFonts w:ascii="Calibri" w:hAnsi="Calibri"/>
                <w:b/>
                <w:i w:val="0"/>
                <w:color w:val="212121"/>
                <w:sz w:val="19"/>
              </w:rPr>
              <w:t>Early childhood caries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Sugary, honey-based or night-bottle soothing used for teething promotes rapid decay of the newly erupted primary teeth.</w:t>
            </w:r>
          </w:p>
        </w:tc>
      </w:tr>
      <w:tr>
        <w:trPr>
          <w:cantSplit/>
        </w:trPr>
        <w:tc>
          <w:tcPr>
            <w:tcW w:type="dxa" w:w="2232"/>
            <w:vAlign w:val="top"/>
          </w:tcPr>
          <w:p>
            <w:pPr>
              <w:spacing w:after="40" w:before="0" w:line="259" w:lineRule="auto"/>
            </w:pPr>
            <w:r>
              <w:rPr>
                <w:rFonts w:ascii="Calibri" w:hAnsi="Calibri"/>
                <w:b/>
                <w:i w:val="0"/>
                <w:color w:val="212121"/>
                <w:sz w:val="19"/>
              </w:rPr>
              <w:t>Oral candidiasis (thrush)</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Causes oral discomfort and feeding refusal in infants that can mimic difficult teething; needs its own antifungal treatment.</w:t>
            </w:r>
          </w:p>
        </w:tc>
      </w:tr>
      <w:tr>
        <w:trPr>
          <w:cantSplit/>
        </w:trPr>
        <w:tc>
          <w:tcPr>
            <w:tcW w:type="dxa" w:w="2232"/>
            <w:vAlign w:val="top"/>
          </w:tcPr>
          <w:p>
            <w:pPr>
              <w:spacing w:after="40" w:before="0" w:line="259" w:lineRule="auto"/>
            </w:pPr>
            <w:r>
              <w:rPr>
                <w:rFonts w:ascii="Calibri" w:hAnsi="Calibri"/>
                <w:b/>
                <w:i w:val="0"/>
                <w:color w:val="212121"/>
                <w:sz w:val="19"/>
              </w:rPr>
              <w:t>Primary herpetic gingivostomatitis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Primary HSV infection in infants and toddlers causes fever with painful gums and ulcers, readily confused with ‘difficult teething’.</w:t>
            </w:r>
          </w:p>
        </w:tc>
      </w:tr>
      <w:tr>
        <w:trPr>
          <w:cantSplit/>
        </w:trPr>
        <w:tc>
          <w:tcPr>
            <w:tcW w:type="dxa" w:w="2232"/>
            <w:vAlign w:val="top"/>
          </w:tcPr>
          <w:p>
            <w:pPr>
              <w:spacing w:after="40" w:before="0" w:line="259" w:lineRule="auto"/>
            </w:pPr>
            <w:r>
              <w:rPr>
                <w:rFonts w:ascii="Calibri" w:hAnsi="Calibri"/>
                <w:b/>
                <w:i w:val="0"/>
                <w:color w:val="212121"/>
                <w:sz w:val="19"/>
              </w:rPr>
              <w:t>Eruption cyst / haematoma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 benign, self-resolving bluish swelling that forms directly over an erupting crown as part of the eruption process.</w:t>
            </w:r>
          </w:p>
        </w:tc>
      </w:tr>
      <w:tr>
        <w:trPr>
          <w:cantSplit/>
        </w:trPr>
        <w:tc>
          <w:tcPr>
            <w:tcW w:type="dxa" w:w="2232"/>
            <w:vAlign w:val="top"/>
          </w:tcPr>
          <w:p>
            <w:pPr>
              <w:spacing w:after="40" w:before="0" w:line="259" w:lineRule="auto"/>
            </w:pPr>
            <w:r>
              <w:rPr>
                <w:rFonts w:ascii="Calibri" w:hAnsi="Calibri"/>
                <w:b/>
                <w:i w:val="0"/>
                <w:color w:val="212121"/>
                <w:sz w:val="19"/>
              </w:rPr>
              <w:t>Natal / neonatal teeth (Riga-Fede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Very early eruption that can cause tongue ulceration and feeding difficulty and occasionally requires removal.</w:t>
            </w:r>
          </w:p>
        </w:tc>
      </w:tr>
      <w:tr>
        <w:trPr>
          <w:cantSplit/>
        </w:trPr>
        <w:tc>
          <w:tcPr>
            <w:tcW w:type="dxa" w:w="2232"/>
            <w:vAlign w:val="top"/>
          </w:tcPr>
          <w:p>
            <w:pPr>
              <w:spacing w:after="40" w:before="0" w:line="259" w:lineRule="auto"/>
            </w:pPr>
            <w:r>
              <w:rPr>
                <w:rFonts w:ascii="Calibri" w:hAnsi="Calibri"/>
                <w:b/>
                <w:i w:val="0"/>
                <w:color w:val="212121"/>
                <w:sz w:val="19"/>
              </w:rPr>
              <w:t>Benzocaine-induced methemoglobinemia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serious, potentially fatal complication of topical teething gels used to soothe eruption pain; the FDA advises against these products in infants.</w:t>
            </w:r>
          </w:p>
        </w:tc>
      </w:tr>
      <w:tr>
        <w:trPr>
          <w:cantSplit/>
        </w:trPr>
        <w:tc>
          <w:tcPr>
            <w:tcW w:type="dxa" w:w="2232"/>
            <w:vAlign w:val="top"/>
          </w:tcPr>
          <w:p>
            <w:pPr>
              <w:spacing w:after="40" w:before="0" w:line="259" w:lineRule="auto"/>
            </w:pPr>
            <w:r>
              <w:rPr>
                <w:rFonts w:ascii="Calibri" w:hAnsi="Calibri"/>
                <w:b/>
                <w:i w:val="0"/>
                <w:color w:val="212121"/>
                <w:sz w:val="19"/>
              </w:rPr>
              <w:t>Roseola infantum (HHV-6)</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classic teething-age illness with high fever followed by a rash, commonly misattributed to teething during the febrile phase.</w:t>
            </w:r>
          </w:p>
        </w:tc>
      </w:tr>
      <w:tr>
        <w:trPr>
          <w:cantSplit/>
        </w:trPr>
        <w:tc>
          <w:tcPr>
            <w:tcW w:type="dxa" w:w="2232"/>
            <w:vAlign w:val="top"/>
          </w:tcPr>
          <w:p>
            <w:pPr>
              <w:spacing w:after="40" w:before="0" w:line="259" w:lineRule="auto"/>
            </w:pPr>
            <w:r>
              <w:rPr>
                <w:rFonts w:ascii="Calibri" w:hAnsi="Calibri"/>
                <w:b/>
                <w:i w:val="0"/>
                <w:color w:val="212121"/>
                <w:sz w:val="19"/>
              </w:rPr>
              <w:t>Vitamin D deficiency / rickets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Delays and disturbs primary tooth eruption and enamel formation, altering the expected teething timeline; prevalent in Indian infants.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teething is normal and self-limiting: the first tooth usually appears around 6 months and all 20 milk teeth by about 2.5–3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real signs — drooling, gum-rubbing, biting, a red sore gum, a flushed cheek, mild fretfulness and slightly disturbed sleep — mostly only in the days a tooth emerges.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that teething does NOT cause high fever (≥ 38°C), significant diarrhoea, vomiting, cough, convulsions or a very unwell baby — treat these as illness and seek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unsafe remedies: avoid benzocaine or lidocaine gels, homeopathic teething tablets, and teething / amber necklaces, which have caused serious harm and deaths.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traditional gum-lancing, honey or sugar on the gums, and ‘nazar’ necklaces, and keep small objects away to prevent choking.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the baby’s new teeth twice daily and avoid sweetened bottles or soothers to prevent early tooth decay.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Grandmothers / extended family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ASHA &amp; anganwadi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using folk remedies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Soothe safely: let the baby chew a clean, firm, chilled (not frozen) rubber teether and gently rub the sore gum with a clean finger.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extra comfort, cuddles and distraction, and wipe drool and apply a barrier emollient to prevent chin rash.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genuine pain, weight-based paracetamol can be used from 2 months and ibuprofen from 3 months for a short period, following the dosing instructions.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 chilled (not frozen) teething ring or clean washcloth and cool soft weaning foods can help older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promptly if the baby develops fever ≥ 38°C, diarrhoea, vomiting, poor feeding, lethargy or any concerning feature — do not assume it is teething.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teething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managing a fretful baby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supervised oral-motor play with safe teethers and clean textured toys so the baby can chew and self-soothe.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active distraction — play, songs, movement and tummy time — to settle a fretful teething baby.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supervise chewing to prevent choking, and check teethers regularly for damage or small detachable parts.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normal daily routine of play and rest to support sleep and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Teething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put honey, sugar or jaggery on the gums or in bottles — this causes tooth decay, and honey before 1 year also risks infant botulism.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weaning-age babies, offer chilled soft foods (such as cool cucumber or banana pieces) under supervision to soothe the gums.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the erupting teeth and limit frequent sugary snacks and drinks to protect the new dentition.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baby well hydrated, particularly when drooling is heavy.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Weaning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using sweet soothers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a chilled (not frozen) teether or a clean cold spoon or washcloth to numb the sore gum.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cold, soft, easy-to-eat foods when gums are sore, and continue breastfeeding for comfort and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the baby is feeding less, offer smaller, more frequent feeds and ensure adequate wet nappies.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diarrhoea occurs, treat it as a separate illness with oral rehydration solution and zinc and seek advice — not as teething.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Fretful feeders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Teething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a few unsettled nights around each tooth and keep a calm, consistent bedtime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Comfort and re-settle the baby; a bedtime dose of age-appropriate analgesia may help during a difficult eruption.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persistent night waking, inconsolable crying or lethargy as possible illness rather than routine teething.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cot safe — no teething necklaces or loose objects where the baby sleeps.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teething infants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home and car completely smoke-free: second-hand smoke increases infant colds and ear infections that are easily mistaken for teething.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 one should smoke near the baby or while handling teethers, bottles or feeds.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Reducing smoke exposure lowers the respiratory and ear illness that overlaps with the teething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exposed to smoke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use alcohol-containing gels, ‘gripe waters’ or folk remedies on a baby’s gums — alcohol is dangerous for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rub any spirit or alcohol on the gums to ‘numb’ teething.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all household alcohol and alcohol-based products safely out of reach of infants.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using traditional remedies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anxious caregivers that teething is normal and brief, and avoid over-treating or over-investigating.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caregiver fatigue and stress from disturbed nights by sharing caregiving and resting when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Trust parental instinct — if the baby seems genuinely unwell rather than just teething, seek medical advice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Resist pressure from relatives to use unsafe traditional remedies.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First-time &amp; stressed caregivers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hs.uk/conditions/baby/babys-development/teething/baby-teething-symptoms/" TargetMode="External"/><Relationship Id="rId10" Type="http://schemas.openxmlformats.org/officeDocument/2006/relationships/hyperlink" Target="https://www.mayoclinic.org/healthy-lifestyle/infant-and-toddler-health/in-depth/teething/art-20046378" TargetMode="External"/><Relationship Id="rId11" Type="http://schemas.openxmlformats.org/officeDocument/2006/relationships/hyperlink" Target="https://www.fda.gov/consumers/consumer-updates/safely-soothing-teething-pain-and-sensory-needs-babies-and-older-children" TargetMode="External"/><Relationship Id="rId12" Type="http://schemas.openxmlformats.org/officeDocument/2006/relationships/hyperlink" Target="https://www.nhs.uk/conditions/baby/babys-development/teething/tips-for-helping-your-teething-ba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