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Traumatic Dental Injury</w:t>
      </w:r>
    </w:p>
    <w:p>
      <w:pPr>
        <w:spacing w:before="0" w:after="160"/>
      </w:pPr>
      <w:r>
        <w:rPr>
          <w:rFonts w:ascii="Calibri" w:hAnsi="Calibri"/>
          <w:b/>
          <w:i w:val="0"/>
          <w:color w:val="212121"/>
          <w:sz w:val="22"/>
        </w:rPr>
        <w:t xml:space="preserve">AKA </w:t>
      </w:r>
      <w:r>
        <w:rPr>
          <w:rFonts w:ascii="Calibri" w:hAnsi="Calibri"/>
          <w:b w:val="0"/>
          <w:i w:val="0"/>
          <w:color w:val="212121"/>
          <w:sz w:val="22"/>
        </w:rPr>
        <w:t>i.e., Dental trauma, Traumatic dental injuries (TDI), Dentoalveolar trauma, Tooth injury, Chipped / broken / knocked-out tooth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Traumatic dental injury (TDI) refers to acute damage to the teeth and their supporting structures - the periodontal ligament, alveolar bone, gingiva and oral mucosa - caused by an external mechanical force. Injuries range in severity from a barely visible enamel crack (infraction) through crown and root fractures to displacement of the tooth within its socket (luxation) or complete knocking-out of the tooth (avulsion). TDI is overwhelmingly a condition of children and adolescents, most often affecting the upper front (maxillary central incisor) teeth, and, because it can compromise a developing dentition for life, it is regarded as an important but frequently neglected public-health problem.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Traumatic dental injury is very common in India. A national systematic review and meta-analysis found a pooled prevalence of about 13% (13 in every 100 people), rising to roughly 15-17% in pre-school children with primary teeth and settling around 9-13% for permanent teeth in school-age children and adolescents, with an increasing trend over time. City-level Indian surveys report 11.4% in Patiala (8-12 years), 9.89% in Kolkata (7-14 years) and 17% for primary anterior teeth in Delhi pre-schoolers. Globally the figures are similar or higher - about 15.2% of people have injured a permanent tooth and 22.7% a primary tooth, so that more than one billion living people have sustained a TDI.</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Traumatic dental injury is a clinical and radiographic diagnosis made at the emergency visit and confirmed on structured follow-up. Assessment covers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focused trauma history - when, where and how the injury happened, and especially the time elapsed since the injury (decisive for the survival of an avulsed, replanted tooth), plus tetanus immunisation status and any loss of consciousness, vomiting or associated head, neck or facial injury;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extraoral examination for facial lacerations, swelling, bony steps or asymmetry, limited or deviated jaw opening (possible mandibular / condylar fracture) and cranial-nerve or neurological signs;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intraoral soft-tissue examination for lacerations, degloving and tooth or foreign-body fragments embedded in the lip, tongue or floor of the mouth (radiograph the lip if a fragment is unaccounted for);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hard-tissue and periodontal examination of each injured and adjacent tooth for crown fracture (with or without a visible red pulp exposure), abnormal position, disturbed occlusion, mobility and tenderness to percussion;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pulp sensibility (thermal and/or electric) testing recorded at baseline and repeated at follow-up, remembering that an initially non-responsive traumatised tooth may recover over weeks to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radiographs - intraoral periapical, occlusal and panoramic views, with cone-beam CT where indicated - to detect root fractures, the direction and extent of luxation, alveolar-bone fractures, the stage of root development (open vs closed apex) and any retained fragments;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classification of the injury using the Andreasen / WHO epidemiological system (or the Ellis classification) to record the exact injury type and guide treatment and prognosis.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Traumatic dental injuries are grouped by the tissue injured, most commonly using the Andreasen / WHO classification into four broad categories:</w:t>
      </w:r>
    </w:p>
    <w:p>
      <w:pPr>
        <w:spacing w:before="0" w:after="80"/>
      </w:pPr>
      <w:r>
        <w:rPr>
          <w:rFonts w:ascii="Calibri" w:hAnsi="Calibri"/>
          <w:b w:val="0"/>
          <w:i w:val="0"/>
          <w:color w:val="212121"/>
          <w:sz w:val="21"/>
        </w:rPr>
        <w:t>(1) Injuries to the hard dental tissues and pulp - enamel infraction (crack); uncomplicated crown fracture (enamel, or enamel-dentine, without pulp exposure); complicated crown fracture (involving the pulp); uncomplicated and complicated crown-root fractures; and root fracture;</w:t>
      </w:r>
    </w:p>
    <w:p>
      <w:pPr>
        <w:spacing w:before="0" w:after="80"/>
      </w:pPr>
      <w:r>
        <w:rPr>
          <w:rFonts w:ascii="Calibri" w:hAnsi="Calibri"/>
          <w:b w:val="0"/>
          <w:i w:val="0"/>
          <w:color w:val="212121"/>
          <w:sz w:val="21"/>
        </w:rPr>
        <w:t>(2) Injuries to the periodontal (supporting) tissues - concussion (tender but not loosened or displaced), subluxation (loosened but not displaced), extrusive luxation (partial displacement out of the socket), lateral luxation, intrusive luxation (driven into the bone) and avulsion (the tooth is completely knocked out of its socket);</w:t>
      </w:r>
    </w:p>
    <w:p>
      <w:pPr>
        <w:spacing w:before="0" w:after="80"/>
      </w:pPr>
      <w:r>
        <w:rPr>
          <w:rFonts w:ascii="Calibri" w:hAnsi="Calibri"/>
          <w:b w:val="0"/>
          <w:i w:val="0"/>
          <w:color w:val="212121"/>
          <w:sz w:val="21"/>
        </w:rPr>
        <w:t>(3) Injuries to the supporting bone - comminution or fracture of the alveolar socket wall or the alveolar process, and fractures of the mandible or maxilla;</w:t>
      </w:r>
    </w:p>
    <w:p>
      <w:pPr>
        <w:spacing w:before="0" w:after="80"/>
      </w:pPr>
      <w:r>
        <w:rPr>
          <w:rFonts w:ascii="Calibri" w:hAnsi="Calibri"/>
          <w:b w:val="0"/>
          <w:i w:val="0"/>
          <w:color w:val="212121"/>
          <w:sz w:val="21"/>
        </w:rPr>
        <w:t>(4) Injuries to the gingiva and oral mucosa - laceration, contusion (bruise) and abrasion of the soft tissues. Injuries are further described by the dentition affected (primary vs permanent), because trauma to a primary tooth can damage the developing permanent successor beneath it.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Falls: The single most common cause at every age - toddlers learning to walk and run, falls at home, in the playground and at school, and falls during epileptic seizures or fainting.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Collisions and sports injuries: Contact and recreational sports (cricket, football, hockey, kabaddi), cycling, skating and playground collisions; dental injuries are the commonest orofacial sports injury.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Road-traffic accidents: Two-wheeler, bicycle and pedestrian crashes are a major cause of dentofacial trauma in Indian adolescents and adults, often producing more severe, multi-tooth injuries.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Violence and assault: Physical altercations and interpersonal violence; in infants and young children, unexplained or repeated oro-facial injury should raise suspicion of non-accidental injury (child abuse).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Predisposing oral morphology: Increased overjet (protruding upper front teeth, &gt;3 mm), Angle Class II division 1 malocclusion and an incompetent or short upper lip that fails to cover and protect the incisors.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Predisposing medical conditions: Epilepsy and seizure disorders, ADHD, cerebral palsy, intellectual disability and visual impairment increase the frequency of falls and collisions.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Other and iatrogenic causes: Hard foods and using the teeth as tools, oral / lip piercings, and laryngoscopy or intubation during anaesthesia.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Toddlers &amp; pre-schoolers (1-6 years, primary teeth)</w:t>
            </w:r>
          </w:p>
        </w:tc>
        <w:tc>
          <w:tcPr>
            <w:tcW w:type="dxa" w:w="4276"/>
            <w:vAlign w:val="top"/>
          </w:tcPr>
          <w:p>
            <w:pPr>
              <w:spacing w:after="60" w:line="259" w:lineRule="auto"/>
            </w:pPr>
            <w:r>
              <w:rPr>
                <w:rFonts w:ascii="Calibri" w:hAnsi="Calibri"/>
                <w:b w:val="0"/>
                <w:i w:val="0"/>
                <w:color w:val="212121"/>
                <w:sz w:val="19"/>
              </w:rPr>
              <w:t>Immature motor coordination and balance while learning to walk, run and climb lead to frequent falls onto the face; the upper primary incisors, which erupt first and protrude, take the impact.</w:t>
            </w:r>
          </w:p>
          <w:p>
            <w:pPr>
              <w:spacing w:after="40" w:before="60" w:line="259" w:lineRule="auto"/>
            </w:pPr>
            <w:r>
              <w:rPr>
                <w:rFonts w:ascii="Calibri" w:hAnsi="Calibri"/>
                <w:b w:val="0"/>
                <w:i w:val="0"/>
                <w:color w:val="212121"/>
                <w:sz w:val="19"/>
              </w:rPr>
              <w:t>Prevalence of traumatic injury to primary anterior teeth was 17% among 2-6 year olds in the Delhi National Capital Region, and global primary-dentition prevalence is about 22.7%.</w:t>
            </w:r>
          </w:p>
          <w:p>
            <w:pPr>
              <w:spacing w:after="40" w:line="252" w:lineRule="auto"/>
            </w:pPr>
            <w:hyperlink r:id="rId9">
              <w:r>
                <w:rPr>
                  <w:rFonts w:ascii="Calibri" w:hAnsi="Calibri" w:cs="Calibri"/>
                  <w:sz w:val="18"/>
                  <w:color w:val="1155CC"/>
                  <w:u w:val="single"/>
                </w:rPr>
                <w:t xml:space="preserve">pubmed.ncbi.nlm.nih.gov/36440519 - Delhi NCR primary teeth</w:t>
              </w:r>
            </w:hyperlink>
          </w:p>
          <w:p>
            <w:pPr>
              <w:spacing w:before="60" w:after="40"/>
            </w:pPr>
            <w:r>
              <w:rPr>
                <w:rFonts w:ascii="Calibri" w:hAnsi="Calibri"/>
                <w:b w:val="0"/>
                <w:i w:val="0"/>
                <w:color w:val="5A5A5A"/>
                <w:sz w:val="18"/>
              </w:rPr>
              <w:t>#primaryteeth  #toddlerfalls  #incisor  #playgroundinjury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(8-12 years, permanent teeth)</w:t>
            </w:r>
          </w:p>
        </w:tc>
        <w:tc>
          <w:tcPr>
            <w:tcW w:type="dxa" w:w="4276"/>
            <w:vAlign w:val="top"/>
          </w:tcPr>
          <w:p>
            <w:pPr>
              <w:spacing w:after="60" w:line="259" w:lineRule="auto"/>
            </w:pPr>
            <w:r>
              <w:rPr>
                <w:rFonts w:ascii="Calibri" w:hAnsi="Calibri"/>
                <w:b w:val="0"/>
                <w:i w:val="0"/>
                <w:color w:val="212121"/>
                <w:sz w:val="19"/>
              </w:rPr>
              <w:t>The newly erupted, incompletely developed permanent incisors are exposed just as children become highly active in play and sport, making this the peak age for trauma to permanent front teeth.</w:t>
            </w:r>
          </w:p>
          <w:p>
            <w:pPr>
              <w:spacing w:after="40" w:before="60" w:line="259" w:lineRule="auto"/>
            </w:pPr>
            <w:r>
              <w:rPr>
                <w:rFonts w:ascii="Calibri" w:hAnsi="Calibri"/>
                <w:b w:val="0"/>
                <w:i w:val="0"/>
                <w:color w:val="212121"/>
                <w:sz w:val="19"/>
              </w:rPr>
              <w:t>In Patiala schoolchildren the prevalence was 11.4%, with the maximum number of injuries in the 11-year age group.</w:t>
            </w:r>
          </w:p>
          <w:p>
            <w:pPr>
              <w:spacing w:after="40" w:line="252" w:lineRule="auto"/>
            </w:pPr>
            <w:hyperlink r:id="rId10">
              <w:r>
                <w:rPr>
                  <w:rFonts w:ascii="Calibri" w:hAnsi="Calibri" w:cs="Calibri"/>
                  <w:sz w:val="18"/>
                  <w:color w:val="1155CC"/>
                  <w:u w:val="single"/>
                </w:rPr>
                <w:t xml:space="preserve">pmc.ncbi.nlm.nih.gov/PMC6710947 - Patiala 8-12 yr</w:t>
              </w:r>
            </w:hyperlink>
          </w:p>
          <w:p>
            <w:pPr>
              <w:spacing w:before="60" w:after="40"/>
            </w:pPr>
            <w:r>
              <w:rPr>
                <w:rFonts w:ascii="Calibri" w:hAnsi="Calibri"/>
                <w:b w:val="0"/>
                <w:i w:val="0"/>
                <w:color w:val="5A5A5A"/>
                <w:sz w:val="18"/>
              </w:rPr>
              <w:t>#permanentteeth  #schoolchildren  #openapex  #peakage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Sports, cycling and two-wheeler use, risk-taking behaviour and interpersonal violence add road-traffic and assault mechanisms, often producing more severe, multi-tooth injuries.</w:t>
            </w:r>
          </w:p>
          <w:p>
            <w:pPr>
              <w:spacing w:after="40" w:before="60" w:line="259" w:lineRule="auto"/>
            </w:pPr>
            <w:r>
              <w:rPr>
                <w:rFonts w:ascii="Calibri" w:hAnsi="Calibri"/>
                <w:b w:val="0"/>
                <w:i w:val="0"/>
                <w:color w:val="212121"/>
                <w:sz w:val="19"/>
              </w:rPr>
              <w:t>Prevalence of dental trauma in permanent teeth in Indian children and adolescents pooled at about 11% and shows an increasing trend with time.</w:t>
            </w:r>
          </w:p>
          <w:p>
            <w:pPr>
              <w:spacing w:after="40" w:line="252" w:lineRule="auto"/>
            </w:pPr>
            <w:hyperlink r:id="rId11">
              <w:r>
                <w:rPr>
                  <w:rFonts w:ascii="Calibri" w:hAnsi="Calibri" w:cs="Calibri"/>
                  <w:sz w:val="18"/>
                  <w:color w:val="1155CC"/>
                  <w:u w:val="single"/>
                </w:rPr>
                <w:t xml:space="preserve">pubmed.ncbi.nlm.nih.gov/35197391 - India permanent teeth</w:t>
              </w:r>
            </w:hyperlink>
          </w:p>
          <w:p>
            <w:pPr>
              <w:spacing w:before="60" w:after="40"/>
            </w:pPr>
            <w:r>
              <w:rPr>
                <w:rFonts w:ascii="Calibri" w:hAnsi="Calibri"/>
                <w:b w:val="0"/>
                <w:i w:val="0"/>
                <w:color w:val="5A5A5A"/>
                <w:sz w:val="18"/>
              </w:rPr>
              <w:t>#adolescents  #sportsinjury  #roadtrafficaccident  #risktaking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(boys)</w:t>
            </w:r>
          </w:p>
        </w:tc>
        <w:tc>
          <w:tcPr>
            <w:tcW w:type="dxa" w:w="4276"/>
            <w:vAlign w:val="top"/>
          </w:tcPr>
          <w:p>
            <w:pPr>
              <w:spacing w:after="60" w:line="259" w:lineRule="auto"/>
            </w:pPr>
            <w:r>
              <w:rPr>
                <w:rFonts w:ascii="Calibri" w:hAnsi="Calibri"/>
                <w:b w:val="0"/>
                <w:i w:val="0"/>
                <w:color w:val="212121"/>
                <w:sz w:val="19"/>
              </w:rPr>
              <w:t>Boys sustain more TDI than girls because of more vigorous physical play, greater participation in contact sports and higher exposure to road-traffic and assault injuries.</w:t>
            </w:r>
          </w:p>
          <w:p>
            <w:pPr>
              <w:spacing w:after="40" w:before="60" w:line="259" w:lineRule="auto"/>
            </w:pPr>
            <w:r>
              <w:rPr>
                <w:rFonts w:ascii="Calibri" w:hAnsi="Calibri"/>
                <w:b w:val="0"/>
                <w:i w:val="0"/>
                <w:color w:val="212121"/>
                <w:sz w:val="19"/>
              </w:rPr>
              <w:t>Boys:girls ratio was 1.7:1 in Patiala; the pooled odds of TDI for males was 1.52 (95% CI 1.37-1.70) in India and the global male-to-female prevalence ratio is 1.43.</w:t>
            </w:r>
          </w:p>
          <w:p>
            <w:pPr>
              <w:spacing w:after="40" w:line="252" w:lineRule="auto"/>
            </w:pPr>
            <w:hyperlink r:id="rId11">
              <w:r>
                <w:rPr>
                  <w:rFonts w:ascii="Calibri" w:hAnsi="Calibri" w:cs="Calibri"/>
                  <w:sz w:val="18"/>
                  <w:color w:val="1155CC"/>
                  <w:u w:val="single"/>
                </w:rPr>
                <w:t xml:space="preserve">pubmed.ncbi.nlm.nih.gov/35197391 - male OR 1.52</w:t>
              </w:r>
            </w:hyperlink>
          </w:p>
          <w:p>
            <w:pPr>
              <w:spacing w:before="60" w:after="40"/>
            </w:pPr>
            <w:r>
              <w:rPr>
                <w:rFonts w:ascii="Calibri" w:hAnsi="Calibri"/>
                <w:b w:val="0"/>
                <w:i w:val="0"/>
                <w:color w:val="5A5A5A"/>
                <w:sz w:val="18"/>
              </w:rPr>
              <w:t>#boys  #malepredominance  #contactsport  #roughplay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Higher-SES urban children (private schooling)</w:t>
            </w:r>
          </w:p>
        </w:tc>
        <w:tc>
          <w:tcPr>
            <w:tcW w:type="dxa" w:w="4276"/>
            <w:vAlign w:val="top"/>
          </w:tcPr>
          <w:p>
            <w:pPr>
              <w:spacing w:after="60" w:line="259" w:lineRule="auto"/>
            </w:pPr>
            <w:r>
              <w:rPr>
                <w:rFonts w:ascii="Calibri" w:hAnsi="Calibri"/>
                <w:b w:val="0"/>
                <w:i w:val="0"/>
                <w:color w:val="212121"/>
                <w:sz w:val="19"/>
              </w:rPr>
              <w:t>Greater access to sports, recreation, cycling, skating and travel raises exposure to trauma; at the same time lower-SES children are more likely to leave injuries untreated.</w:t>
            </w:r>
          </w:p>
          <w:p>
            <w:pPr>
              <w:spacing w:after="40" w:before="60" w:line="259" w:lineRule="auto"/>
            </w:pPr>
            <w:r>
              <w:rPr>
                <w:rFonts w:ascii="Calibri" w:hAnsi="Calibri"/>
                <w:b w:val="0"/>
                <w:i w:val="0"/>
                <w:color w:val="212121"/>
                <w:sz w:val="19"/>
              </w:rPr>
              <w:t>In Kolkata schoolchildren, those of higher socioeconomic status had an increased prevalence of TDI, yet only a very small percentage of injured children had received any treatment.</w:t>
            </w:r>
          </w:p>
          <w:p>
            <w:pPr>
              <w:spacing w:after="40" w:line="252" w:lineRule="auto"/>
            </w:pPr>
            <w:hyperlink r:id="rId12">
              <w:r>
                <w:rPr>
                  <w:rFonts w:ascii="Calibri" w:hAnsi="Calibri" w:cs="Calibri"/>
                  <w:sz w:val="18"/>
                  <w:color w:val="1155CC"/>
                  <w:u w:val="single"/>
                </w:rPr>
                <w:t xml:space="preserve">pmc.ncbi.nlm.nih.gov/PMC10499846 - Kolkata SES</w:t>
              </w:r>
            </w:hyperlink>
          </w:p>
          <w:p>
            <w:pPr>
              <w:spacing w:before="60" w:after="40"/>
            </w:pPr>
            <w:r>
              <w:rPr>
                <w:rFonts w:ascii="Calibri" w:hAnsi="Calibri"/>
                <w:b w:val="0"/>
                <w:i w:val="0"/>
                <w:color w:val="5A5A5A"/>
                <w:sz w:val="18"/>
              </w:rPr>
              <w:t>#socioeconomic  #untreated  #accesstocare  #urban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country</w:t>
            </w:r>
          </w:p>
        </w:tc>
        <w:tc>
          <w:tcPr>
            <w:tcW w:type="dxa" w:w="2160"/>
            <w:vAlign w:val="top"/>
          </w:tcPr>
          <w:p>
            <w:pPr>
              <w:spacing w:after="40" w:before="0" w:line="259" w:lineRule="auto"/>
            </w:pPr>
            <w:r>
              <w:rPr>
                <w:rFonts w:ascii="Calibri" w:hAnsi="Calibri"/>
                <w:b w:val="0"/>
                <w:i w:val="0"/>
                <w:color w:val="212121"/>
                <w:sz w:val="19"/>
              </w:rPr>
              <w:t>Indian children &amp; adolescents (national)</w:t>
            </w:r>
          </w:p>
        </w:tc>
        <w:tc>
          <w:tcPr>
            <w:tcW w:type="dxa" w:w="4276"/>
            <w:vAlign w:val="top"/>
          </w:tcPr>
          <w:p>
            <w:pPr>
              <w:spacing w:after="60" w:line="259" w:lineRule="auto"/>
            </w:pPr>
            <w:r>
              <w:rPr>
                <w:rFonts w:ascii="Calibri" w:hAnsi="Calibri"/>
                <w:b w:val="0"/>
                <w:i w:val="0"/>
                <w:color w:val="212121"/>
                <w:sz w:val="19"/>
              </w:rPr>
              <w:t>Consistent risk across Indian regions reflects high childhood activity levels, dense traffic, playground and home hazards, and limited use of protective gear and prompt emergency dental care.</w:t>
            </w:r>
          </w:p>
          <w:p>
            <w:pPr>
              <w:spacing w:after="40" w:before="60" w:line="259" w:lineRule="auto"/>
            </w:pPr>
            <w:r>
              <w:rPr>
                <w:rFonts w:ascii="Calibri" w:hAnsi="Calibri"/>
                <w:b w:val="0"/>
                <w:i w:val="0"/>
                <w:color w:val="212121"/>
                <w:sz w:val="19"/>
              </w:rPr>
              <w:t>National Indian systematic review and meta-analysis of 48 studies found a pooled TDI prevalence of 13% (13 in every 100 individuals).</w:t>
            </w:r>
          </w:p>
          <w:p>
            <w:pPr>
              <w:spacing w:after="40" w:line="252" w:lineRule="auto"/>
            </w:pPr>
            <w:hyperlink r:id="rId13">
              <w:r>
                <w:rPr>
                  <w:rFonts w:ascii="Calibri" w:hAnsi="Calibri" w:cs="Calibri"/>
                  <w:sz w:val="18"/>
                  <w:color w:val="1155CC"/>
                  <w:u w:val="single"/>
                </w:rPr>
                <w:t xml:space="preserve">pubmed.ncbi.nlm.nih.gov/33107464 - India pooled 13%</w:t>
              </w:r>
            </w:hyperlink>
          </w:p>
          <w:p>
            <w:pPr>
              <w:spacing w:before="60" w:after="40"/>
            </w:pPr>
            <w:r>
              <w:rPr>
                <w:rFonts w:ascii="Calibri" w:hAnsi="Calibri"/>
                <w:b w:val="0"/>
                <w:i w:val="0"/>
                <w:color w:val="5A5A5A"/>
                <w:sz w:val="18"/>
              </w:rPr>
              <w:t>#india  #nationalprevalence  #publichealth  #neglectedinjury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Place of occurrence</w:t>
            </w:r>
          </w:p>
        </w:tc>
        <w:tc>
          <w:tcPr>
            <w:tcW w:type="dxa" w:w="2160"/>
            <w:vAlign w:val="top"/>
          </w:tcPr>
          <w:p>
            <w:pPr>
              <w:spacing w:after="40" w:before="0" w:line="259" w:lineRule="auto"/>
            </w:pPr>
            <w:r>
              <w:rPr>
                <w:rFonts w:ascii="Calibri" w:hAnsi="Calibri"/>
                <w:b w:val="0"/>
                <w:i w:val="0"/>
                <w:color w:val="212121"/>
                <w:sz w:val="19"/>
              </w:rPr>
              <w:t>Home, playground &amp; school settings</w:t>
            </w:r>
          </w:p>
        </w:tc>
        <w:tc>
          <w:tcPr>
            <w:tcW w:type="dxa" w:w="4276"/>
            <w:vAlign w:val="top"/>
          </w:tcPr>
          <w:p>
            <w:pPr>
              <w:spacing w:after="60" w:line="259" w:lineRule="auto"/>
            </w:pPr>
            <w:r>
              <w:rPr>
                <w:rFonts w:ascii="Calibri" w:hAnsi="Calibri"/>
                <w:b w:val="0"/>
                <w:i w:val="0"/>
                <w:color w:val="212121"/>
                <w:sz w:val="19"/>
              </w:rPr>
              <w:t>Younger children are most often injured at home while learning to move; older children are injured at the playground, in school and during sport - the environments where they spend active time.</w:t>
            </w:r>
          </w:p>
          <w:p>
            <w:pPr>
              <w:spacing w:after="40" w:before="60" w:line="259" w:lineRule="auto"/>
            </w:pPr>
            <w:r>
              <w:rPr>
                <w:rFonts w:ascii="Calibri" w:hAnsi="Calibri"/>
                <w:b w:val="0"/>
                <w:i w:val="0"/>
                <w:color w:val="212121"/>
                <w:sz w:val="19"/>
              </w:rPr>
              <w:t>Across Indian studies the home was the most frequent place of injury in younger children and the playground / school in older children, with falls the leading cause throughout.</w:t>
            </w:r>
          </w:p>
          <w:p>
            <w:pPr>
              <w:spacing w:after="40" w:line="252" w:lineRule="auto"/>
            </w:pPr>
            <w:hyperlink r:id="rId9">
              <w:r>
                <w:rPr>
                  <w:rFonts w:ascii="Calibri" w:hAnsi="Calibri" w:cs="Calibri"/>
                  <w:sz w:val="18"/>
                  <w:color w:val="1155CC"/>
                  <w:u w:val="single"/>
                </w:rPr>
                <w:t xml:space="preserve">pubmed.ncbi.nlm.nih.gov/36440519 - place &amp; cause</w:t>
              </w:r>
            </w:hyperlink>
          </w:p>
          <w:p>
            <w:pPr>
              <w:spacing w:before="60" w:after="40"/>
            </w:pPr>
            <w:r>
              <w:rPr>
                <w:rFonts w:ascii="Calibri" w:hAnsi="Calibri"/>
                <w:b w:val="0"/>
                <w:i w:val="0"/>
                <w:color w:val="5A5A5A"/>
                <w:sz w:val="18"/>
              </w:rPr>
              <w:t>#home  #playground  #falls  #environment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Sports &amp; physical activity</w:t>
            </w:r>
          </w:p>
        </w:tc>
        <w:tc>
          <w:tcPr>
            <w:tcW w:type="dxa" w:w="2160"/>
            <w:vAlign w:val="top"/>
          </w:tcPr>
          <w:p>
            <w:pPr>
              <w:spacing w:after="40" w:before="0" w:line="259" w:lineRule="auto"/>
            </w:pPr>
            <w:r>
              <w:rPr>
                <w:rFonts w:ascii="Calibri" w:hAnsi="Calibri"/>
                <w:b w:val="0"/>
                <w:i w:val="0"/>
                <w:color w:val="212121"/>
                <w:sz w:val="19"/>
              </w:rPr>
              <w:t>Contact-sport &amp; recreational athletes</w:t>
            </w:r>
          </w:p>
        </w:tc>
        <w:tc>
          <w:tcPr>
            <w:tcW w:type="dxa" w:w="4276"/>
            <w:vAlign w:val="top"/>
          </w:tcPr>
          <w:p>
            <w:pPr>
              <w:spacing w:after="60" w:line="259" w:lineRule="auto"/>
            </w:pPr>
            <w:r>
              <w:rPr>
                <w:rFonts w:ascii="Calibri" w:hAnsi="Calibri"/>
                <w:b w:val="0"/>
                <w:i w:val="0"/>
                <w:color w:val="212121"/>
                <w:sz w:val="19"/>
              </w:rPr>
              <w:t>Cricket, football, hockey, kabaddi, cycling and skating expose the face to balls, sticks, elbows and falls; teeth are the most frequently injured orofacial structure and mouthguards are rarely worn.</w:t>
            </w:r>
          </w:p>
          <w:p>
            <w:pPr>
              <w:spacing w:after="40" w:before="60" w:line="259" w:lineRule="auto"/>
            </w:pPr>
            <w:r>
              <w:rPr>
                <w:rFonts w:ascii="Calibri" w:hAnsi="Calibri"/>
                <w:b w:val="0"/>
                <w:i w:val="0"/>
                <w:color w:val="212121"/>
                <w:sz w:val="19"/>
              </w:rPr>
              <w:t>An Indian systematic review confirmed dental injuries are the most common orofacial injury in sport, with awareness and use of mouthguards generally low.</w:t>
            </w:r>
          </w:p>
          <w:p>
            <w:pPr>
              <w:spacing w:after="40" w:line="252" w:lineRule="auto"/>
            </w:pPr>
            <w:hyperlink r:id="rId14">
              <w:r>
                <w:rPr>
                  <w:rFonts w:ascii="Calibri" w:hAnsi="Calibri" w:cs="Calibri"/>
                  <w:sz w:val="18"/>
                  <w:color w:val="1155CC"/>
                  <w:u w:val="single"/>
                </w:rPr>
                <w:t xml:space="preserve">pubmed.ncbi.nlm.nih.gov/35439876 - India sports trauma</w:t>
              </w:r>
            </w:hyperlink>
          </w:p>
          <w:p>
            <w:pPr>
              <w:spacing w:before="60" w:after="40"/>
            </w:pPr>
            <w:r>
              <w:rPr>
                <w:rFonts w:ascii="Calibri" w:hAnsi="Calibri"/>
                <w:b w:val="0"/>
                <w:i w:val="0"/>
                <w:color w:val="5A5A5A"/>
                <w:sz w:val="18"/>
              </w:rPr>
              <w:t>#sports  #mouthguard  #cricket  #cycling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Road use</w:t>
            </w:r>
          </w:p>
        </w:tc>
        <w:tc>
          <w:tcPr>
            <w:tcW w:type="dxa" w:w="2160"/>
            <w:vAlign w:val="top"/>
          </w:tcPr>
          <w:p>
            <w:pPr>
              <w:spacing w:after="40" w:before="0" w:line="259" w:lineRule="auto"/>
            </w:pPr>
            <w:r>
              <w:rPr>
                <w:rFonts w:ascii="Calibri" w:hAnsi="Calibri"/>
                <w:b w:val="0"/>
                <w:i w:val="0"/>
                <w:color w:val="212121"/>
                <w:sz w:val="19"/>
              </w:rPr>
              <w:t>Two-wheeler riders, cyclists &amp; pedestrians</w:t>
            </w:r>
          </w:p>
        </w:tc>
        <w:tc>
          <w:tcPr>
            <w:tcW w:type="dxa" w:w="4276"/>
            <w:vAlign w:val="top"/>
          </w:tcPr>
          <w:p>
            <w:pPr>
              <w:spacing w:after="60" w:line="259" w:lineRule="auto"/>
            </w:pPr>
            <w:r>
              <w:rPr>
                <w:rFonts w:ascii="Calibri" w:hAnsi="Calibri"/>
                <w:b w:val="0"/>
                <w:i w:val="0"/>
                <w:color w:val="212121"/>
                <w:sz w:val="19"/>
              </w:rPr>
              <w:t>India's high road-traffic injury burden, frequent non-use of helmets and full-face guards, and crowded roads make crashes a major cause of severe dentofacial and multi-tooth trauma.</w:t>
            </w:r>
          </w:p>
          <w:p>
            <w:pPr>
              <w:spacing w:after="40" w:before="60" w:line="259" w:lineRule="auto"/>
            </w:pPr>
            <w:r>
              <w:rPr>
                <w:rFonts w:ascii="Calibri" w:hAnsi="Calibri"/>
                <w:b w:val="0"/>
                <w:i w:val="0"/>
                <w:color w:val="212121"/>
                <w:sz w:val="19"/>
              </w:rPr>
              <w:t>Road-traffic accidents are a leading mechanism of dentofacial trauma in Indian adolescents and adults and typically cause more extensive injuries than simple falls.</w:t>
            </w:r>
          </w:p>
          <w:p>
            <w:pPr>
              <w:spacing w:after="40" w:line="252" w:lineRule="auto"/>
            </w:pPr>
            <w:hyperlink r:id="rId14">
              <w:r>
                <w:rPr>
                  <w:rFonts w:ascii="Calibri" w:hAnsi="Calibri" w:cs="Calibri"/>
                  <w:sz w:val="18"/>
                  <w:color w:val="1155CC"/>
                  <w:u w:val="single"/>
                </w:rPr>
                <w:t xml:space="preserve">pubmed.ncbi.nlm.nih.gov/35439876 - facial trauma review</w:t>
              </w:r>
            </w:hyperlink>
          </w:p>
          <w:p>
            <w:pPr>
              <w:spacing w:before="60" w:after="40"/>
            </w:pPr>
            <w:r>
              <w:rPr>
                <w:rFonts w:ascii="Calibri" w:hAnsi="Calibri"/>
                <w:b w:val="0"/>
                <w:i w:val="0"/>
                <w:color w:val="5A5A5A"/>
                <w:sz w:val="18"/>
              </w:rPr>
              <w:t>#roadsafety  #helmet  #twowheeler  #RTA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w:t>
            </w:r>
          </w:p>
        </w:tc>
        <w:tc>
          <w:tcPr>
            <w:tcW w:type="dxa" w:w="2160"/>
            <w:vAlign w:val="top"/>
          </w:tcPr>
          <w:p>
            <w:pPr>
              <w:spacing w:after="40" w:before="0" w:line="259" w:lineRule="auto"/>
            </w:pPr>
            <w:r>
              <w:rPr>
                <w:rFonts w:ascii="Calibri" w:hAnsi="Calibri"/>
                <w:b w:val="0"/>
                <w:i w:val="0"/>
                <w:color w:val="212121"/>
                <w:sz w:val="19"/>
              </w:rPr>
              <w:t>Alcohol-related injury (adolescents &amp; adults)</w:t>
            </w:r>
          </w:p>
        </w:tc>
        <w:tc>
          <w:tcPr>
            <w:tcW w:type="dxa" w:w="4276"/>
            <w:vAlign w:val="top"/>
          </w:tcPr>
          <w:p>
            <w:pPr>
              <w:spacing w:after="60" w:line="259" w:lineRule="auto"/>
            </w:pPr>
            <w:r>
              <w:rPr>
                <w:rFonts w:ascii="Calibri" w:hAnsi="Calibri"/>
                <w:b w:val="0"/>
                <w:i w:val="0"/>
                <w:color w:val="212121"/>
                <w:sz w:val="19"/>
              </w:rPr>
              <w:t>Intoxication impairs balance and judgement and is strongly linked to falls, assaults and road-traffic crashes, all of which commonly injure the anterior teeth.</w:t>
            </w:r>
          </w:p>
          <w:p>
            <w:pPr>
              <w:spacing w:after="40" w:before="60" w:line="259" w:lineRule="auto"/>
            </w:pPr>
            <w:r>
              <w:rPr>
                <w:rFonts w:ascii="Calibri" w:hAnsi="Calibri"/>
                <w:b w:val="0"/>
                <w:i w:val="0"/>
                <w:color w:val="212121"/>
                <w:sz w:val="19"/>
              </w:rPr>
              <w:t>Alcohol and substance use are recognised contributors to the assault and road-traffic mechanisms that cause dentofacial trauma in older adolescents and adults.</w:t>
            </w:r>
          </w:p>
          <w:p>
            <w:pPr>
              <w:spacing w:before="60" w:after="40"/>
            </w:pPr>
            <w:r>
              <w:rPr>
                <w:rFonts w:ascii="Calibri" w:hAnsi="Calibri"/>
                <w:b w:val="0"/>
                <w:i w:val="0"/>
                <w:color w:val="5A5A5A"/>
                <w:sz w:val="18"/>
              </w:rPr>
              <w:t>#alcohol  #assault  #RTA  #intoxication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Overweight &amp; obese children</w:t>
            </w:r>
          </w:p>
        </w:tc>
        <w:tc>
          <w:tcPr>
            <w:tcW w:type="dxa" w:w="4276"/>
            <w:vAlign w:val="top"/>
          </w:tcPr>
          <w:p>
            <w:pPr>
              <w:spacing w:after="60" w:line="259" w:lineRule="auto"/>
            </w:pPr>
            <w:r>
              <w:rPr>
                <w:rFonts w:ascii="Calibri" w:hAnsi="Calibri"/>
                <w:b w:val="0"/>
                <w:i w:val="0"/>
                <w:color w:val="212121"/>
                <w:sz w:val="19"/>
              </w:rPr>
              <w:t>Diet-driven excess weight is associated with more falls and a higher chance of dental trauma, possibly through altered balance, gait and activity patterns.</w:t>
            </w:r>
          </w:p>
          <w:p>
            <w:pPr>
              <w:spacing w:after="40" w:before="60" w:line="259" w:lineRule="auto"/>
            </w:pPr>
            <w:r>
              <w:rPr>
                <w:rFonts w:ascii="Calibri" w:hAnsi="Calibri"/>
                <w:b w:val="0"/>
                <w:i w:val="0"/>
                <w:color w:val="212121"/>
                <w:sz w:val="19"/>
              </w:rPr>
              <w:t>A meta-analysis of 17 studies (nearly 28,000 children) found overweight/obese children had a significantly higher risk of TDI (pooled odds ratio 1.30, 95% CI 1.11-1.53).</w:t>
            </w:r>
          </w:p>
          <w:p>
            <w:pPr>
              <w:spacing w:after="40" w:line="252" w:lineRule="auto"/>
            </w:pPr>
            <w:hyperlink r:id="rId15">
              <w:r>
                <w:rPr>
                  <w:rFonts w:ascii="Calibri" w:hAnsi="Calibri" w:cs="Calibri"/>
                  <w:sz w:val="18"/>
                  <w:color w:val="1155CC"/>
                  <w:u w:val="single"/>
                </w:rPr>
                <w:t xml:space="preserve">pubmed.ncbi.nlm.nih.gov/25864932 - overweight OR 1.30</w:t>
              </w:r>
            </w:hyperlink>
          </w:p>
          <w:p>
            <w:pPr>
              <w:spacing w:before="60" w:after="40"/>
            </w:pPr>
            <w:r>
              <w:rPr>
                <w:rFonts w:ascii="Calibri" w:hAnsi="Calibri"/>
                <w:b w:val="0"/>
                <w:i w:val="0"/>
                <w:color w:val="5A5A5A"/>
                <w:sz w:val="18"/>
              </w:rPr>
              <w:t>#obesity  #overweight  #balance  #childhoodBMI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Enamel-weakening diet &amp; defects</w:t>
            </w:r>
          </w:p>
        </w:tc>
        <w:tc>
          <w:tcPr>
            <w:tcW w:type="dxa" w:w="2160"/>
            <w:vAlign w:val="top"/>
          </w:tcPr>
          <w:p>
            <w:pPr>
              <w:spacing w:after="40" w:before="0" w:line="259" w:lineRule="auto"/>
            </w:pPr>
            <w:r>
              <w:rPr>
                <w:rFonts w:ascii="Calibri" w:hAnsi="Calibri"/>
                <w:b w:val="0"/>
                <w:i w:val="0"/>
                <w:color w:val="212121"/>
                <w:sz w:val="19"/>
              </w:rPr>
              <w:t>Children with erosive diet or enamel defects (e.g., MIH)</w:t>
            </w:r>
          </w:p>
        </w:tc>
        <w:tc>
          <w:tcPr>
            <w:tcW w:type="dxa" w:w="4276"/>
            <w:vAlign w:val="top"/>
          </w:tcPr>
          <w:p>
            <w:pPr>
              <w:spacing w:after="60" w:line="259" w:lineRule="auto"/>
            </w:pPr>
            <w:r>
              <w:rPr>
                <w:rFonts w:ascii="Calibri" w:hAnsi="Calibri"/>
                <w:b w:val="0"/>
                <w:i w:val="0"/>
                <w:color w:val="212121"/>
                <w:sz w:val="19"/>
              </w:rPr>
              <w:t>Frequent acidic drinks and developmental enamel defects such as molar-incisor hypomineralisation leave the incisor enamel softer and more brittle, so it chips and fractures under forces a sound tooth would resist.</w:t>
            </w:r>
          </w:p>
          <w:p>
            <w:pPr>
              <w:spacing w:after="40" w:before="60" w:line="259" w:lineRule="auto"/>
            </w:pPr>
            <w:r>
              <w:rPr>
                <w:rFonts w:ascii="Calibri" w:hAnsi="Calibri"/>
                <w:b w:val="0"/>
                <w:i w:val="0"/>
                <w:color w:val="212121"/>
                <w:sz w:val="19"/>
              </w:rPr>
              <w:t>Teeth with hypomineralised or hypoplastic enamel are clinically recognised to fracture more readily on minor impact; specific pooled figures for India are not established.</w:t>
            </w:r>
          </w:p>
          <w:p>
            <w:pPr>
              <w:spacing w:before="60" w:after="40"/>
            </w:pPr>
            <w:r>
              <w:rPr>
                <w:rFonts w:ascii="Calibri" w:hAnsi="Calibri"/>
                <w:b w:val="0"/>
                <w:i w:val="0"/>
                <w:color w:val="5A5A5A"/>
                <w:sz w:val="18"/>
              </w:rPr>
              <w:t>#enameldefect  #MIH  #erosion  #brittleenamel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Craniofacial morphology</w:t>
            </w:r>
          </w:p>
        </w:tc>
        <w:tc>
          <w:tcPr>
            <w:tcW w:type="dxa" w:w="2160"/>
            <w:vAlign w:val="top"/>
          </w:tcPr>
          <w:p>
            <w:pPr>
              <w:spacing w:after="40" w:before="0" w:line="259" w:lineRule="auto"/>
            </w:pPr>
            <w:r>
              <w:rPr>
                <w:rFonts w:ascii="Calibri" w:hAnsi="Calibri"/>
                <w:b w:val="0"/>
                <w:i w:val="0"/>
                <w:color w:val="212121"/>
                <w:sz w:val="19"/>
              </w:rPr>
              <w:t>Increased overjet (&gt;3-5 mm), Angle Class II div 1</w:t>
            </w:r>
          </w:p>
        </w:tc>
        <w:tc>
          <w:tcPr>
            <w:tcW w:type="dxa" w:w="4276"/>
            <w:vAlign w:val="top"/>
          </w:tcPr>
          <w:p>
            <w:pPr>
              <w:spacing w:after="60" w:line="259" w:lineRule="auto"/>
            </w:pPr>
            <w:r>
              <w:rPr>
                <w:rFonts w:ascii="Calibri" w:hAnsi="Calibri"/>
                <w:b w:val="0"/>
                <w:i w:val="0"/>
                <w:color w:val="212121"/>
                <w:sz w:val="19"/>
              </w:rPr>
              <w:t>Heritable jaw and dental morphology that leaves the upper incisors protruding beyond the protection of the lip greatly increases their exposure to any frontal impact.</w:t>
            </w:r>
          </w:p>
          <w:p>
            <w:pPr>
              <w:spacing w:after="40" w:before="60" w:line="259" w:lineRule="auto"/>
            </w:pPr>
            <w:r>
              <w:rPr>
                <w:rFonts w:ascii="Calibri" w:hAnsi="Calibri"/>
                <w:b w:val="0"/>
                <w:i w:val="0"/>
                <w:color w:val="212121"/>
                <w:sz w:val="19"/>
              </w:rPr>
              <w:t>Overjet greater than 3.5 mm carried a pooled odds ratio of 4.84 (95% CI 2.86-8.19) and overjet &gt;5.5 mm an OR of 4.93 in Indian children; overjet &gt;3 mm had an OR of 3.53 in the national meta-analysis.</w:t>
            </w:r>
          </w:p>
          <w:p>
            <w:pPr>
              <w:spacing w:after="40" w:line="252" w:lineRule="auto"/>
            </w:pPr>
            <w:hyperlink r:id="rId11">
              <w:r>
                <w:rPr>
                  <w:rFonts w:ascii="Calibri" w:hAnsi="Calibri" w:cs="Calibri"/>
                  <w:sz w:val="18"/>
                  <w:color w:val="1155CC"/>
                  <w:u w:val="single"/>
                </w:rPr>
                <w:t xml:space="preserve">pubmed.ncbi.nlm.nih.gov/35197391 - overjet OR</w:t>
              </w:r>
            </w:hyperlink>
          </w:p>
          <w:p>
            <w:pPr>
              <w:spacing w:before="60" w:after="40"/>
            </w:pPr>
            <w:r>
              <w:rPr>
                <w:rFonts w:ascii="Calibri" w:hAnsi="Calibri"/>
                <w:b w:val="0"/>
                <w:i w:val="0"/>
                <w:color w:val="5A5A5A"/>
                <w:sz w:val="18"/>
              </w:rPr>
              <w:t>#overjet  #malocclusion  #classII  #protrudingteeth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Lip competence</w:t>
            </w:r>
          </w:p>
        </w:tc>
        <w:tc>
          <w:tcPr>
            <w:tcW w:type="dxa" w:w="2160"/>
            <w:vAlign w:val="top"/>
          </w:tcPr>
          <w:p>
            <w:pPr>
              <w:spacing w:after="40" w:before="0" w:line="259" w:lineRule="auto"/>
            </w:pPr>
            <w:r>
              <w:rPr>
                <w:rFonts w:ascii="Calibri" w:hAnsi="Calibri"/>
                <w:b w:val="0"/>
                <w:i w:val="0"/>
                <w:color w:val="212121"/>
                <w:sz w:val="19"/>
              </w:rPr>
              <w:t>Incompetent / short upper lip, habitual mouth-breathers</w:t>
            </w:r>
          </w:p>
        </w:tc>
        <w:tc>
          <w:tcPr>
            <w:tcW w:type="dxa" w:w="4276"/>
            <w:vAlign w:val="top"/>
          </w:tcPr>
          <w:p>
            <w:pPr>
              <w:spacing w:after="60" w:line="259" w:lineRule="auto"/>
            </w:pPr>
            <w:r>
              <w:rPr>
                <w:rFonts w:ascii="Calibri" w:hAnsi="Calibri"/>
                <w:b w:val="0"/>
                <w:i w:val="0"/>
                <w:color w:val="212121"/>
                <w:sz w:val="19"/>
              </w:rPr>
              <w:t>An inherited or habit-related failure of the lips to seal over the upper incisors removes their natural cushion, so impacts are transmitted directly to the teeth.</w:t>
            </w:r>
          </w:p>
          <w:p>
            <w:pPr>
              <w:spacing w:after="40" w:before="60" w:line="259" w:lineRule="auto"/>
            </w:pPr>
            <w:r>
              <w:rPr>
                <w:rFonts w:ascii="Calibri" w:hAnsi="Calibri"/>
                <w:b w:val="0"/>
                <w:i w:val="0"/>
                <w:color w:val="212121"/>
                <w:sz w:val="19"/>
              </w:rPr>
              <w:t>Inadequate lip coverage carried a pooled odds ratio of 3.35 in the Indian national meta-analysis and 4.76 (95% CI 3.18-7.11) in the review of permanent-teeth studies.</w:t>
            </w:r>
          </w:p>
          <w:p>
            <w:pPr>
              <w:spacing w:after="40" w:line="252" w:lineRule="auto"/>
            </w:pPr>
            <w:hyperlink r:id="rId13">
              <w:r>
                <w:rPr>
                  <w:rFonts w:ascii="Calibri" w:hAnsi="Calibri" w:cs="Calibri"/>
                  <w:sz w:val="18"/>
                  <w:color w:val="1155CC"/>
                  <w:u w:val="single"/>
                </w:rPr>
                <w:t xml:space="preserve">pubmed.ncbi.nlm.nih.gov/33107464 - lip coverage OR 3.35</w:t>
              </w:r>
            </w:hyperlink>
          </w:p>
          <w:p>
            <w:pPr>
              <w:spacing w:before="60" w:after="40"/>
            </w:pPr>
            <w:r>
              <w:rPr>
                <w:rFonts w:ascii="Calibri" w:hAnsi="Calibri"/>
                <w:b w:val="0"/>
                <w:i w:val="0"/>
                <w:color w:val="5A5A5A"/>
                <w:sz w:val="18"/>
              </w:rPr>
              <w:t>#lipincompetence  #mouthbreathing  #unprotectedincisors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Hereditary tooth-structure disorders</w:t>
            </w:r>
          </w:p>
        </w:tc>
        <w:tc>
          <w:tcPr>
            <w:tcW w:type="dxa" w:w="2160"/>
            <w:vAlign w:val="top"/>
          </w:tcPr>
          <w:p>
            <w:pPr>
              <w:spacing w:after="40" w:before="0" w:line="259" w:lineRule="auto"/>
            </w:pPr>
            <w:r>
              <w:rPr>
                <w:rFonts w:ascii="Calibri" w:hAnsi="Calibri"/>
                <w:b w:val="0"/>
                <w:i w:val="0"/>
                <w:color w:val="212121"/>
                <w:sz w:val="19"/>
              </w:rPr>
              <w:t>Amelogenesis / dentinogenesis imperfecta</w:t>
            </w:r>
          </w:p>
        </w:tc>
        <w:tc>
          <w:tcPr>
            <w:tcW w:type="dxa" w:w="4276"/>
            <w:vAlign w:val="top"/>
          </w:tcPr>
          <w:p>
            <w:pPr>
              <w:spacing w:after="60" w:line="259" w:lineRule="auto"/>
            </w:pPr>
            <w:r>
              <w:rPr>
                <w:rFonts w:ascii="Calibri" w:hAnsi="Calibri"/>
                <w:b w:val="0"/>
                <w:i w:val="0"/>
                <w:color w:val="212121"/>
                <w:sz w:val="19"/>
              </w:rPr>
              <w:t>Inherited defects of enamel or dentine formation produce structurally weak, brittle teeth that chip, fracture and wear far more easily than normal teeth.</w:t>
            </w:r>
          </w:p>
          <w:p>
            <w:pPr>
              <w:spacing w:after="40" w:before="60" w:line="259" w:lineRule="auto"/>
            </w:pPr>
            <w:r>
              <w:rPr>
                <w:rFonts w:ascii="Calibri" w:hAnsi="Calibri"/>
                <w:b w:val="0"/>
                <w:i w:val="0"/>
                <w:color w:val="212121"/>
                <w:sz w:val="19"/>
              </w:rPr>
              <w:t>These rare hereditary conditions are clinically associated with fragile crowns prone to fracture; population-level TDI figures specific to them are not established.</w:t>
            </w:r>
          </w:p>
          <w:p>
            <w:pPr>
              <w:spacing w:before="60" w:after="40"/>
            </w:pPr>
            <w:r>
              <w:rPr>
                <w:rFonts w:ascii="Calibri" w:hAnsi="Calibri"/>
                <w:b w:val="0"/>
                <w:i w:val="0"/>
                <w:color w:val="5A5A5A"/>
                <w:sz w:val="18"/>
              </w:rPr>
              <w:t>#amelogenesisimperfecta  #dentinogenesis  #brittleteeth  #hereditary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ADHD</w:t>
            </w:r>
          </w:p>
        </w:tc>
        <w:tc>
          <w:tcPr>
            <w:tcW w:type="dxa" w:w="2160"/>
            <w:vAlign w:val="top"/>
          </w:tcPr>
          <w:p>
            <w:pPr>
              <w:spacing w:after="40" w:before="0" w:line="259" w:lineRule="auto"/>
            </w:pPr>
            <w:r>
              <w:rPr>
                <w:rFonts w:ascii="Calibri" w:hAnsi="Calibri"/>
                <w:b w:val="0"/>
                <w:i w:val="0"/>
                <w:color w:val="212121"/>
                <w:sz w:val="19"/>
              </w:rPr>
              <w:t>Children &amp; adolescents with ADHD</w:t>
            </w:r>
          </w:p>
        </w:tc>
        <w:tc>
          <w:tcPr>
            <w:tcW w:type="dxa" w:w="4276"/>
            <w:vAlign w:val="top"/>
          </w:tcPr>
          <w:p>
            <w:pPr>
              <w:spacing w:after="60" w:line="259" w:lineRule="auto"/>
            </w:pPr>
            <w:r>
              <w:rPr>
                <w:rFonts w:ascii="Calibri" w:hAnsi="Calibri"/>
                <w:b w:val="0"/>
                <w:i w:val="0"/>
                <w:color w:val="212121"/>
                <w:sz w:val="19"/>
              </w:rPr>
              <w:t>Impulsivity, hyperactivity and inattention increase risk-taking and accidental falls and collisions, raising the likelihood of dental trauma.</w:t>
            </w:r>
          </w:p>
          <w:p>
            <w:pPr>
              <w:spacing w:after="40" w:before="60" w:line="259" w:lineRule="auto"/>
            </w:pPr>
            <w:r>
              <w:rPr>
                <w:rFonts w:ascii="Calibri" w:hAnsi="Calibri"/>
                <w:b w:val="0"/>
                <w:i w:val="0"/>
                <w:color w:val="212121"/>
                <w:sz w:val="19"/>
              </w:rPr>
              <w:t>Meta-analysis found children and adolescents with ADHD were significantly more likely to have dental trauma (pooled odds ratio 1.80, 95% CI 1.16-2.80).</w:t>
            </w:r>
          </w:p>
          <w:p>
            <w:pPr>
              <w:spacing w:after="40" w:line="252" w:lineRule="auto"/>
            </w:pPr>
            <w:hyperlink r:id="rId16">
              <w:r>
                <w:rPr>
                  <w:rFonts w:ascii="Calibri" w:hAnsi="Calibri" w:cs="Calibri"/>
                  <w:sz w:val="18"/>
                  <w:color w:val="1155CC"/>
                  <w:u w:val="single"/>
                </w:rPr>
                <w:t xml:space="preserve">pubmed.ncbi.nlm.nih.gov/36606334 - ADHD OR 1.80</w:t>
              </w:r>
            </w:hyperlink>
          </w:p>
          <w:p>
            <w:pPr>
              <w:spacing w:before="60" w:after="40"/>
            </w:pPr>
            <w:r>
              <w:rPr>
                <w:rFonts w:ascii="Calibri" w:hAnsi="Calibri"/>
                <w:b w:val="0"/>
                <w:i w:val="0"/>
                <w:color w:val="5A5A5A"/>
                <w:sz w:val="18"/>
              </w:rPr>
              <w:t>#ADHD  #impulsivity  #hyperactivity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Epilepsy / seizure disorders</w:t>
            </w:r>
          </w:p>
        </w:tc>
        <w:tc>
          <w:tcPr>
            <w:tcW w:type="dxa" w:w="2160"/>
            <w:vAlign w:val="top"/>
          </w:tcPr>
          <w:p>
            <w:pPr>
              <w:spacing w:after="40" w:before="0" w:line="259" w:lineRule="auto"/>
            </w:pPr>
            <w:r>
              <w:rPr>
                <w:rFonts w:ascii="Calibri" w:hAnsi="Calibri"/>
                <w:b w:val="0"/>
                <w:i w:val="0"/>
                <w:color w:val="212121"/>
                <w:sz w:val="19"/>
              </w:rPr>
              <w:t>Children &amp; adults with epilepsy</w:t>
            </w:r>
          </w:p>
        </w:tc>
        <w:tc>
          <w:tcPr>
            <w:tcW w:type="dxa" w:w="4276"/>
            <w:vAlign w:val="top"/>
          </w:tcPr>
          <w:p>
            <w:pPr>
              <w:spacing w:after="60" w:line="259" w:lineRule="auto"/>
            </w:pPr>
            <w:r>
              <w:rPr>
                <w:rFonts w:ascii="Calibri" w:hAnsi="Calibri"/>
                <w:b w:val="0"/>
                <w:i w:val="0"/>
                <w:color w:val="212121"/>
                <w:sz w:val="19"/>
              </w:rPr>
              <w:t>Sudden loss of postural control and protective reflexes during a seizure leads to unguarded falls that frequently strike the face and anterior teeth.</w:t>
            </w:r>
          </w:p>
          <w:p>
            <w:pPr>
              <w:spacing w:after="40" w:before="60" w:line="259" w:lineRule="auto"/>
            </w:pPr>
            <w:r>
              <w:rPr>
                <w:rFonts w:ascii="Calibri" w:hAnsi="Calibri"/>
                <w:b w:val="0"/>
                <w:i w:val="0"/>
                <w:color w:val="212121"/>
                <w:sz w:val="19"/>
              </w:rPr>
              <w:t>Seizure-related falls are a well-recognised cause of dentofacial and anterior-tooth trauma, particularly where seizures are poorly controlled.</w:t>
            </w:r>
          </w:p>
          <w:p>
            <w:pPr>
              <w:spacing w:before="60" w:after="40"/>
            </w:pPr>
            <w:r>
              <w:rPr>
                <w:rFonts w:ascii="Calibri" w:hAnsi="Calibri"/>
                <w:b w:val="0"/>
                <w:i w:val="0"/>
                <w:color w:val="5A5A5A"/>
                <w:sz w:val="18"/>
              </w:rPr>
              <w:t>#epilepsy  #seizure  #falls  #unguardedimpact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Special healthcare needs</w:t>
            </w:r>
          </w:p>
        </w:tc>
        <w:tc>
          <w:tcPr>
            <w:tcW w:type="dxa" w:w="2160"/>
            <w:vAlign w:val="top"/>
          </w:tcPr>
          <w:p>
            <w:pPr>
              <w:spacing w:after="40" w:before="0" w:line="259" w:lineRule="auto"/>
            </w:pPr>
            <w:r>
              <w:rPr>
                <w:rFonts w:ascii="Calibri" w:hAnsi="Calibri"/>
                <w:b w:val="0"/>
                <w:i w:val="0"/>
                <w:color w:val="212121"/>
                <w:sz w:val="19"/>
              </w:rPr>
              <w:t>Cerebral palsy, intellectual disability, visual impairment</w:t>
            </w:r>
          </w:p>
        </w:tc>
        <w:tc>
          <w:tcPr>
            <w:tcW w:type="dxa" w:w="4276"/>
            <w:vAlign w:val="top"/>
          </w:tcPr>
          <w:p>
            <w:pPr>
              <w:spacing w:after="60" w:line="259" w:lineRule="auto"/>
            </w:pPr>
            <w:r>
              <w:rPr>
                <w:rFonts w:ascii="Calibri" w:hAnsi="Calibri"/>
                <w:b w:val="0"/>
                <w:i w:val="0"/>
                <w:color w:val="212121"/>
                <w:sz w:val="19"/>
              </w:rPr>
              <w:t>Impaired coordination, balance, protective reflexes, vision and often a protruding-incisor morphology combine to make falls and dental trauma much more frequent in children with special needs.</w:t>
            </w:r>
          </w:p>
          <w:p>
            <w:pPr>
              <w:spacing w:after="40" w:before="60" w:line="259" w:lineRule="auto"/>
            </w:pPr>
            <w:r>
              <w:rPr>
                <w:rFonts w:ascii="Calibri" w:hAnsi="Calibri"/>
                <w:b w:val="0"/>
                <w:i w:val="0"/>
                <w:color w:val="212121"/>
                <w:sz w:val="19"/>
              </w:rPr>
              <w:t>Among children with special healthcare needs in Puducherry the prevalence of TDI was 40.5%, far above the general-population figure, mostly enamel fractures of the maxillary central incisors.</w:t>
            </w:r>
          </w:p>
          <w:p>
            <w:pPr>
              <w:spacing w:after="40" w:line="252" w:lineRule="auto"/>
            </w:pPr>
            <w:hyperlink r:id="rId17">
              <w:r>
                <w:rPr>
                  <w:rFonts w:ascii="Calibri" w:hAnsi="Calibri" w:cs="Calibri"/>
                  <w:sz w:val="18"/>
                  <w:color w:val="1155CC"/>
                  <w:u w:val="single"/>
                </w:rPr>
                <w:t xml:space="preserve">pmc.ncbi.nlm.nih.gov/PMC9016911 - special needs 40.5%</w:t>
              </w:r>
            </w:hyperlink>
          </w:p>
          <w:p>
            <w:pPr>
              <w:spacing w:before="60" w:after="40"/>
            </w:pPr>
            <w:r>
              <w:rPr>
                <w:rFonts w:ascii="Calibri" w:hAnsi="Calibri"/>
                <w:b w:val="0"/>
                <w:i w:val="0"/>
                <w:color w:val="5A5A5A"/>
                <w:sz w:val="18"/>
              </w:rPr>
              <w:t>#specialneeds  #cerebralpalsy  #disability  #highrisk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play and contact sport are the settings in which most childhood TDI occurs; dental injuries are the most common orofacial sports injury, yet the protective effect of correctly used mouthguards is well established and under-utilised.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an indirect role: overweight/obese children have a modestly higher TDI risk (pooled OR 1.30), hard foods can fracture teeth, and frequent acidic drinks weaken enamel so it chips more readily.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between sleep and dental trauma; excessive daytime sleepiness or poorly controlled nocturnal seizures could theoretically raise fall risk but evidence is lacking.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TDI, but tobacco impairs pulpal and periodontal healing and bone turnover, which can worsen outcomes after luxation, root fracture or replantation.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Intoxication impairs balance and judgement and is a recognised contributor to the falls, assaults and road-traffic crashes that cause dentofacial trauma in older adolescents and adults.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ADHD roughly doubles the odds of dental trauma (OR 1.80); conversely a visible injured or lost front tooth measurably reduces oral health-related quality of life and can cause embarrassment, teasing and social avoidance.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Oral hygiene does not prevent the injury itself, but plaque control and a clean, infection-free mouth improve healing of soft-tissue wounds and the prognosis of luxated or replanted teeth and reduce post-trauma pulp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TDI is by definition event-driven: falls (the commonest cause), sports and playground collisions, road-traffic accidents, assault and seizure-related falls are the direct triggers, and time-to-treatment critically determines the outcome of an avulsed tooth.</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Unsteady gait and impaired balance - in toddlers, and in children with cerebral palsy, epilepsy or visual impairment - increase the frequency of falls that injure the anterior teeth.</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Overjet (mm)</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&lt; 3 mm</w:t>
            </w:r>
          </w:p>
        </w:tc>
        <w:tc>
          <w:tcPr>
            <w:tcW w:type="dxa" w:w="1512"/>
            <w:vAlign w:val="top"/>
          </w:tcPr>
          <w:p>
            <w:pPr>
              <w:spacing w:after="40" w:before="0" w:line="259" w:lineRule="auto"/>
            </w:pPr>
            <w:r>
              <w:rPr>
                <w:rFonts w:ascii="Calibri" w:hAnsi="Calibri"/>
                <w:b w:val="0"/>
                <w:i w:val="0"/>
                <w:color w:val="212121"/>
                <w:sz w:val="19"/>
              </w:rPr>
              <w:t>&gt; 3.5 mm (and especially &gt; 5.5 mm)</w:t>
            </w:r>
          </w:p>
        </w:tc>
        <w:tc>
          <w:tcPr>
            <w:tcW w:type="dxa" w:w="1468"/>
            <w:vAlign w:val="top"/>
          </w:tcPr>
          <w:p>
            <w:pPr>
              <w:spacing w:after="60" w:line="259" w:lineRule="auto"/>
            </w:pPr>
            <w:r>
              <w:rPr>
                <w:rFonts w:ascii="Calibri" w:hAnsi="Calibri"/>
                <w:b w:val="0"/>
                <w:i w:val="0"/>
                <w:color w:val="212121"/>
                <w:sz w:val="19"/>
              </w:rPr>
              <w:t>Increasing overjet steeply raises trauma risk (OR 4.8 at &gt;3.5 mm, 4.9 at &gt;5.5 mm)</w:t>
            </w:r>
          </w:p>
          <w:p>
            <w:pPr>
              <w:spacing w:after="40" w:line="252" w:lineRule="auto"/>
            </w:pPr>
            <w:hyperlink r:id="rId11">
              <w:r>
                <w:rPr>
                  <w:rFonts w:ascii="Calibri" w:hAnsi="Calibri" w:cs="Calibri"/>
                  <w:sz w:val="18"/>
                  <w:color w:val="1155CC"/>
                  <w:u w:val="single"/>
                </w:rPr>
                <w:t xml:space="preserve">https://pubmed.ncbi.nlm.nih.gov/35197391/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Lip coverage / competence</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Competent lips fully covering the upper incisors</w:t>
            </w:r>
          </w:p>
        </w:tc>
        <w:tc>
          <w:tcPr>
            <w:tcW w:type="dxa" w:w="1512"/>
            <w:vAlign w:val="top"/>
          </w:tcPr>
          <w:p>
            <w:pPr>
              <w:spacing w:after="40" w:before="0" w:line="259" w:lineRule="auto"/>
            </w:pPr>
            <w:r>
              <w:rPr>
                <w:rFonts w:ascii="Calibri" w:hAnsi="Calibri"/>
                <w:b w:val="0"/>
                <w:i w:val="0"/>
                <w:color w:val="212121"/>
                <w:sz w:val="19"/>
              </w:rPr>
              <w:t>Incompetent / short upper lip at rest</w:t>
            </w:r>
          </w:p>
        </w:tc>
        <w:tc>
          <w:tcPr>
            <w:tcW w:type="dxa" w:w="1468"/>
            <w:vAlign w:val="top"/>
          </w:tcPr>
          <w:p>
            <w:pPr>
              <w:spacing w:after="60" w:line="259" w:lineRule="auto"/>
            </w:pPr>
            <w:r>
              <w:rPr>
                <w:rFonts w:ascii="Calibri" w:hAnsi="Calibri"/>
                <w:b w:val="0"/>
                <w:i w:val="0"/>
                <w:color w:val="212121"/>
                <w:sz w:val="19"/>
              </w:rPr>
              <w:t>Inadequate lip coverage carried an OR of 3.35-4.76 for TDI</w:t>
            </w:r>
          </w:p>
          <w:p>
            <w:pPr>
              <w:spacing w:after="40" w:line="252" w:lineRule="auto"/>
            </w:pPr>
            <w:hyperlink r:id="rId13">
              <w:r>
                <w:rPr>
                  <w:rFonts w:ascii="Calibri" w:hAnsi="Calibri" w:cs="Calibri"/>
                  <w:sz w:val="18"/>
                  <w:color w:val="1155CC"/>
                  <w:u w:val="single"/>
                </w:rPr>
                <w:t xml:space="preserve">https://pubmed.ncbi.nlm.nih.gov/33107464/</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Mouthguard use during contact sport</w:t>
            </w:r>
          </w:p>
        </w:tc>
        <w:tc>
          <w:tcPr>
            <w:tcW w:type="dxa" w:w="1655"/>
            <w:vAlign w:val="top"/>
          </w:tcPr>
          <w:p>
            <w:pPr>
              <w:spacing w:after="40" w:before="0" w:line="259" w:lineRule="auto"/>
            </w:pPr>
            <w:r>
              <w:rPr>
                <w:rFonts w:ascii="Calibri" w:hAnsi="Calibri"/>
                <w:b w:val="0"/>
                <w:i w:val="0"/>
                <w:color w:val="212121"/>
                <w:sz w:val="19"/>
              </w:rPr>
              <w:t>Sports participants</w:t>
            </w:r>
          </w:p>
        </w:tc>
        <w:tc>
          <w:tcPr>
            <w:tcW w:type="dxa" w:w="1512"/>
            <w:vAlign w:val="top"/>
          </w:tcPr>
          <w:p>
            <w:pPr>
              <w:spacing w:after="40" w:before="0" w:line="259" w:lineRule="auto"/>
            </w:pPr>
            <w:r>
              <w:rPr>
                <w:rFonts w:ascii="Calibri" w:hAnsi="Calibri"/>
                <w:b w:val="0"/>
                <w:i w:val="0"/>
                <w:color w:val="212121"/>
                <w:sz w:val="19"/>
              </w:rPr>
              <w:t>Custom-fitted mouthguard worn for all contact / collision sport</w:t>
            </w:r>
          </w:p>
        </w:tc>
        <w:tc>
          <w:tcPr>
            <w:tcW w:type="dxa" w:w="1512"/>
            <w:vAlign w:val="top"/>
          </w:tcPr>
          <w:p>
            <w:pPr>
              <w:spacing w:after="40" w:before="0" w:line="259" w:lineRule="auto"/>
            </w:pPr>
            <w:r>
              <w:rPr>
                <w:rFonts w:ascii="Calibri" w:hAnsi="Calibri"/>
                <w:b w:val="0"/>
                <w:i w:val="0"/>
                <w:color w:val="212121"/>
                <w:sz w:val="19"/>
              </w:rPr>
              <w:t>No mouthguard worn</w:t>
            </w:r>
          </w:p>
        </w:tc>
        <w:tc>
          <w:tcPr>
            <w:tcW w:type="dxa" w:w="1468"/>
            <w:vAlign w:val="top"/>
          </w:tcPr>
          <w:p>
            <w:pPr>
              <w:spacing w:after="60" w:line="259" w:lineRule="auto"/>
            </w:pPr>
            <w:r>
              <w:rPr>
                <w:rFonts w:ascii="Calibri" w:hAnsi="Calibri"/>
                <w:b w:val="0"/>
                <w:i w:val="0"/>
                <w:color w:val="212121"/>
                <w:sz w:val="19"/>
              </w:rPr>
              <w:t>Mouthguards absorb and distribute impact and markedly reduce dental and orofacial injury</w:t>
            </w:r>
          </w:p>
          <w:p>
            <w:pPr>
              <w:spacing w:after="40" w:line="252" w:lineRule="auto"/>
            </w:pPr>
            <w:hyperlink r:id="rId14">
              <w:r>
                <w:rPr>
                  <w:rFonts w:ascii="Calibri" w:hAnsi="Calibri" w:cs="Calibri"/>
                  <w:sz w:val="18"/>
                  <w:color w:val="1155CC"/>
                  <w:u w:val="single"/>
                </w:rPr>
                <w:t xml:space="preserve">https://pubmed.ncbi.nlm.nih.gov/35439876/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Helmet / face-guard on two-wheelers &amp; bicycles</w:t>
            </w:r>
          </w:p>
        </w:tc>
        <w:tc>
          <w:tcPr>
            <w:tcW w:type="dxa" w:w="1655"/>
            <w:vAlign w:val="top"/>
          </w:tcPr>
          <w:p>
            <w:pPr>
              <w:spacing w:after="40" w:before="0" w:line="259" w:lineRule="auto"/>
            </w:pPr>
            <w:r>
              <w:rPr>
                <w:rFonts w:ascii="Calibri" w:hAnsi="Calibri"/>
                <w:b w:val="0"/>
                <w:i w:val="0"/>
                <w:color w:val="212121"/>
                <w:sz w:val="19"/>
              </w:rPr>
              <w:t>Riders &amp; cyclists</w:t>
            </w:r>
          </w:p>
        </w:tc>
        <w:tc>
          <w:tcPr>
            <w:tcW w:type="dxa" w:w="1512"/>
            <w:vAlign w:val="top"/>
          </w:tcPr>
          <w:p>
            <w:pPr>
              <w:spacing w:after="40" w:before="0" w:line="259" w:lineRule="auto"/>
            </w:pPr>
            <w:r>
              <w:rPr>
                <w:rFonts w:ascii="Calibri" w:hAnsi="Calibri"/>
                <w:b w:val="0"/>
                <w:i w:val="0"/>
                <w:color w:val="212121"/>
                <w:sz w:val="19"/>
              </w:rPr>
              <w:t>Correctly fastened helmet (full-face where available)</w:t>
            </w:r>
          </w:p>
        </w:tc>
        <w:tc>
          <w:tcPr>
            <w:tcW w:type="dxa" w:w="1512"/>
            <w:vAlign w:val="top"/>
          </w:tcPr>
          <w:p>
            <w:pPr>
              <w:spacing w:after="40" w:before="0" w:line="259" w:lineRule="auto"/>
            </w:pPr>
            <w:r>
              <w:rPr>
                <w:rFonts w:ascii="Calibri" w:hAnsi="Calibri"/>
                <w:b w:val="0"/>
                <w:i w:val="0"/>
                <w:color w:val="212121"/>
                <w:sz w:val="19"/>
              </w:rPr>
              <w:t>No helmet / face protection</w:t>
            </w:r>
          </w:p>
        </w:tc>
        <w:tc>
          <w:tcPr>
            <w:tcW w:type="dxa" w:w="1468"/>
            <w:vAlign w:val="top"/>
          </w:tcPr>
          <w:p>
            <w:pPr>
              <w:spacing w:after="40" w:before="0" w:line="259" w:lineRule="auto"/>
            </w:pPr>
            <w:r>
              <w:rPr>
                <w:rFonts w:ascii="Calibri" w:hAnsi="Calibri"/>
                <w:b w:val="0"/>
                <w:i w:val="0"/>
                <w:color w:val="212121"/>
                <w:sz w:val="19"/>
              </w:rPr>
              <w:t>Reduces the severity of dentofacial injury in road-traffic crashes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(age/sex percentile)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Healthy-weight percentile</w:t>
            </w:r>
          </w:p>
        </w:tc>
        <w:tc>
          <w:tcPr>
            <w:tcW w:type="dxa" w:w="1512"/>
            <w:vAlign w:val="top"/>
          </w:tcPr>
          <w:p>
            <w:pPr>
              <w:spacing w:after="40" w:before="0" w:line="259" w:lineRule="auto"/>
            </w:pPr>
            <w:r>
              <w:rPr>
                <w:rFonts w:ascii="Calibri" w:hAnsi="Calibri"/>
                <w:b w:val="0"/>
                <w:i w:val="0"/>
                <w:color w:val="212121"/>
                <w:sz w:val="19"/>
              </w:rPr>
              <w:t>Overweight / obese percentile</w:t>
            </w:r>
          </w:p>
        </w:tc>
        <w:tc>
          <w:tcPr>
            <w:tcW w:type="dxa" w:w="1468"/>
            <w:vAlign w:val="top"/>
          </w:tcPr>
          <w:p>
            <w:pPr>
              <w:spacing w:after="60" w:line="259" w:lineRule="auto"/>
            </w:pPr>
            <w:r>
              <w:rPr>
                <w:rFonts w:ascii="Calibri" w:hAnsi="Calibri"/>
                <w:b w:val="0"/>
                <w:i w:val="0"/>
                <w:color w:val="212121"/>
                <w:sz w:val="19"/>
              </w:rPr>
              <w:t>Overweight/obesity modestly increases TDI risk (OR 1.30)</w:t>
            </w:r>
          </w:p>
          <w:p>
            <w:pPr>
              <w:spacing w:after="40" w:line="252" w:lineRule="auto"/>
            </w:pPr>
            <w:hyperlink r:id="rId15">
              <w:r>
                <w:rPr>
                  <w:rFonts w:ascii="Calibri" w:hAnsi="Calibri" w:cs="Calibri"/>
                  <w:sz w:val="18"/>
                  <w:color w:val="1155CC"/>
                  <w:u w:val="single"/>
                </w:rPr>
                <w:t xml:space="preserve">https://pubmed.ncbi.nlm.nih.gov/25864932/</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Seizure control (seizures per month)</w:t>
            </w:r>
          </w:p>
        </w:tc>
        <w:tc>
          <w:tcPr>
            <w:tcW w:type="dxa" w:w="1655"/>
            <w:vAlign w:val="top"/>
          </w:tcPr>
          <w:p>
            <w:pPr>
              <w:spacing w:after="40" w:before="0" w:line="259" w:lineRule="auto"/>
            </w:pPr>
            <w:r>
              <w:rPr>
                <w:rFonts w:ascii="Calibri" w:hAnsi="Calibri"/>
                <w:b w:val="0"/>
                <w:i w:val="0"/>
                <w:color w:val="212121"/>
                <w:sz w:val="19"/>
              </w:rPr>
              <w:t>Patients with epilepsy</w:t>
            </w:r>
          </w:p>
        </w:tc>
        <w:tc>
          <w:tcPr>
            <w:tcW w:type="dxa" w:w="1512"/>
            <w:vAlign w:val="top"/>
          </w:tcPr>
          <w:p>
            <w:pPr>
              <w:spacing w:after="40" w:before="0" w:line="259" w:lineRule="auto"/>
            </w:pPr>
            <w:r>
              <w:rPr>
                <w:rFonts w:ascii="Calibri" w:hAnsi="Calibri"/>
                <w:b w:val="0"/>
                <w:i w:val="0"/>
                <w:color w:val="212121"/>
                <w:sz w:val="19"/>
              </w:rPr>
              <w:t>Seizure-free on treatment</w:t>
            </w:r>
          </w:p>
        </w:tc>
        <w:tc>
          <w:tcPr>
            <w:tcW w:type="dxa" w:w="1512"/>
            <w:vAlign w:val="top"/>
          </w:tcPr>
          <w:p>
            <w:pPr>
              <w:spacing w:after="40" w:before="0" w:line="259" w:lineRule="auto"/>
            </w:pPr>
            <w:r>
              <w:rPr>
                <w:rFonts w:ascii="Calibri" w:hAnsi="Calibri"/>
                <w:b w:val="0"/>
                <w:i w:val="0"/>
                <w:color w:val="212121"/>
                <w:sz w:val="19"/>
              </w:rPr>
              <w:t>Frequent / poorly controlled seizures</w:t>
            </w:r>
          </w:p>
        </w:tc>
        <w:tc>
          <w:tcPr>
            <w:tcW w:type="dxa" w:w="1468"/>
            <w:vAlign w:val="top"/>
          </w:tcPr>
          <w:p>
            <w:pPr>
              <w:spacing w:after="40" w:before="0" w:line="259" w:lineRule="auto"/>
            </w:pPr>
            <w:r>
              <w:rPr>
                <w:rFonts w:ascii="Calibri" w:hAnsi="Calibri"/>
                <w:b w:val="0"/>
                <w:i w:val="0"/>
                <w:color w:val="212121"/>
                <w:sz w:val="19"/>
              </w:rPr>
              <w:t>Uncontrolled seizures cause unguarded falls that injure the anterior teeth</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 / occasion)</w:t>
            </w:r>
          </w:p>
        </w:tc>
        <w:tc>
          <w:tcPr>
            <w:tcW w:type="dxa" w:w="1655"/>
            <w:vAlign w:val="top"/>
          </w:tcPr>
          <w:p>
            <w:pPr>
              <w:spacing w:after="40" w:before="0" w:line="259" w:lineRule="auto"/>
            </w:pPr>
            <w:r>
              <w:rPr>
                <w:rFonts w:ascii="Calibri" w:hAnsi="Calibri"/>
                <w:b w:val="0"/>
                <w:i w:val="0"/>
                <w:color w:val="212121"/>
                <w:sz w:val="19"/>
              </w:rPr>
              <w:t>Adolescents &amp; adults</w:t>
            </w:r>
          </w:p>
        </w:tc>
        <w:tc>
          <w:tcPr>
            <w:tcW w:type="dxa" w:w="1512"/>
            <w:vAlign w:val="top"/>
          </w:tcPr>
          <w:p>
            <w:pPr>
              <w:spacing w:after="40" w:before="0" w:line="259" w:lineRule="auto"/>
            </w:pPr>
            <w:r>
              <w:rPr>
                <w:rFonts w:ascii="Calibri" w:hAnsi="Calibri"/>
                <w:b w:val="0"/>
                <w:i w:val="0"/>
                <w:color w:val="212121"/>
                <w:sz w:val="19"/>
              </w:rPr>
              <w:t>None / non-hazardous</w:t>
            </w:r>
          </w:p>
        </w:tc>
        <w:tc>
          <w:tcPr>
            <w:tcW w:type="dxa" w:w="1512"/>
            <w:vAlign w:val="top"/>
          </w:tcPr>
          <w:p>
            <w:pPr>
              <w:spacing w:after="40" w:before="0" w:line="259" w:lineRule="auto"/>
            </w:pPr>
            <w:r>
              <w:rPr>
                <w:rFonts w:ascii="Calibri" w:hAnsi="Calibri"/>
                <w:b w:val="0"/>
                <w:i w:val="0"/>
                <w:color w:val="212121"/>
                <w:sz w:val="19"/>
              </w:rPr>
              <w:t>Binge drinking / intoxication</w:t>
            </w:r>
          </w:p>
        </w:tc>
        <w:tc>
          <w:tcPr>
            <w:tcW w:type="dxa" w:w="1468"/>
            <w:vAlign w:val="top"/>
          </w:tcPr>
          <w:p>
            <w:pPr>
              <w:spacing w:after="40" w:before="0" w:line="259" w:lineRule="auto"/>
            </w:pPr>
            <w:r>
              <w:rPr>
                <w:rFonts w:ascii="Calibri" w:hAnsi="Calibri"/>
                <w:b w:val="0"/>
                <w:i w:val="0"/>
                <w:color w:val="212121"/>
                <w:sz w:val="19"/>
              </w:rPr>
              <w:t>Intoxication is linked to falls, assault and road-traffic dentofacial trauma</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Extra-alveolar time for an avulsed permanent tooth</w:t>
            </w:r>
          </w:p>
        </w:tc>
        <w:tc>
          <w:tcPr>
            <w:tcW w:type="dxa" w:w="1655"/>
            <w:vAlign w:val="top"/>
          </w:tcPr>
          <w:p>
            <w:pPr>
              <w:spacing w:after="40" w:before="0" w:line="259" w:lineRule="auto"/>
            </w:pPr>
            <w:r>
              <w:rPr>
                <w:rFonts w:ascii="Calibri" w:hAnsi="Calibri"/>
                <w:b w:val="0"/>
                <w:i w:val="0"/>
                <w:color w:val="212121"/>
                <w:sz w:val="19"/>
              </w:rPr>
              <w:t>Avulsion cases</w:t>
            </w:r>
          </w:p>
        </w:tc>
        <w:tc>
          <w:tcPr>
            <w:tcW w:type="dxa" w:w="1512"/>
            <w:vAlign w:val="top"/>
          </w:tcPr>
          <w:p>
            <w:pPr>
              <w:spacing w:after="40" w:before="0" w:line="259" w:lineRule="auto"/>
            </w:pPr>
            <w:r>
              <w:rPr>
                <w:rFonts w:ascii="Calibri" w:hAnsi="Calibri"/>
                <w:b w:val="0"/>
                <w:i w:val="0"/>
                <w:color w:val="212121"/>
                <w:sz w:val="19"/>
              </w:rPr>
              <w:t>Replant immediately, or store in milk/HBSS/saliva and replant within 30-60 min</w:t>
            </w:r>
          </w:p>
        </w:tc>
        <w:tc>
          <w:tcPr>
            <w:tcW w:type="dxa" w:w="1512"/>
            <w:vAlign w:val="top"/>
          </w:tcPr>
          <w:p>
            <w:pPr>
              <w:spacing w:after="40" w:before="0" w:line="259" w:lineRule="auto"/>
            </w:pPr>
            <w:r>
              <w:rPr>
                <w:rFonts w:ascii="Calibri" w:hAnsi="Calibri"/>
                <w:b w:val="0"/>
                <w:i w:val="0"/>
                <w:color w:val="212121"/>
                <w:sz w:val="19"/>
              </w:rPr>
              <w:t>Dry storage or &gt; 60 min extra-alveolar time</w:t>
            </w:r>
          </w:p>
        </w:tc>
        <w:tc>
          <w:tcPr>
            <w:tcW w:type="dxa" w:w="1468"/>
            <w:vAlign w:val="top"/>
          </w:tcPr>
          <w:p>
            <w:pPr>
              <w:spacing w:after="60" w:line="259" w:lineRule="auto"/>
            </w:pPr>
            <w:r>
              <w:rPr>
                <w:rFonts w:ascii="Calibri" w:hAnsi="Calibri"/>
                <w:b w:val="0"/>
                <w:i w:val="0"/>
                <w:color w:val="212121"/>
                <w:sz w:val="19"/>
              </w:rPr>
              <w:t>Extra-alveolar time under one hour is decisive for tooth survival after replantation</w:t>
            </w:r>
          </w:p>
          <w:p>
            <w:pPr>
              <w:spacing w:after="40" w:line="252" w:lineRule="auto"/>
            </w:pPr>
            <w:hyperlink r:id="rId18">
              <w:r>
                <w:rPr>
                  <w:rFonts w:ascii="Calibri" w:hAnsi="Calibri" w:cs="Calibri"/>
                  <w:sz w:val="18"/>
                  <w:color w:val="1155CC"/>
                  <w:u w:val="single"/>
                </w:rPr>
                <w:t xml:space="preserve">https://pubmed.ncbi.nlm.nih.gov/37194850/</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Supervision during play (toddlers)</w:t>
            </w:r>
          </w:p>
        </w:tc>
        <w:tc>
          <w:tcPr>
            <w:tcW w:type="dxa" w:w="1655"/>
            <w:vAlign w:val="top"/>
          </w:tcPr>
          <w:p>
            <w:pPr>
              <w:spacing w:after="40" w:before="0" w:line="259" w:lineRule="auto"/>
            </w:pPr>
            <w:r>
              <w:rPr>
                <w:rFonts w:ascii="Calibri" w:hAnsi="Calibri"/>
                <w:b w:val="0"/>
                <w:i w:val="0"/>
                <w:color w:val="212121"/>
                <w:sz w:val="19"/>
              </w:rPr>
              <w:t>Children 1-6 years</w:t>
            </w:r>
          </w:p>
        </w:tc>
        <w:tc>
          <w:tcPr>
            <w:tcW w:type="dxa" w:w="1512"/>
            <w:vAlign w:val="top"/>
          </w:tcPr>
          <w:p>
            <w:pPr>
              <w:spacing w:after="40" w:before="0" w:line="259" w:lineRule="auto"/>
            </w:pPr>
            <w:r>
              <w:rPr>
                <w:rFonts w:ascii="Calibri" w:hAnsi="Calibri"/>
                <w:b w:val="0"/>
                <w:i w:val="0"/>
                <w:color w:val="212121"/>
                <w:sz w:val="19"/>
              </w:rPr>
              <w:t>Age-appropriate supervision and a hazard-proofed environment</w:t>
            </w:r>
          </w:p>
        </w:tc>
        <w:tc>
          <w:tcPr>
            <w:tcW w:type="dxa" w:w="1512"/>
            <w:vAlign w:val="top"/>
          </w:tcPr>
          <w:p>
            <w:pPr>
              <w:spacing w:after="40" w:before="0" w:line="259" w:lineRule="auto"/>
            </w:pPr>
            <w:r>
              <w:rPr>
                <w:rFonts w:ascii="Calibri" w:hAnsi="Calibri"/>
                <w:b w:val="0"/>
                <w:i w:val="0"/>
                <w:color w:val="212121"/>
                <w:sz w:val="19"/>
              </w:rPr>
              <w:t>Unsupervised play near hard edges, stairs or wet floors</w:t>
            </w:r>
          </w:p>
        </w:tc>
        <w:tc>
          <w:tcPr>
            <w:tcW w:type="dxa" w:w="1468"/>
            <w:vAlign w:val="top"/>
          </w:tcPr>
          <w:p>
            <w:pPr>
              <w:spacing w:after="40" w:before="0" w:line="259" w:lineRule="auto"/>
            </w:pPr>
            <w:r>
              <w:rPr>
                <w:rFonts w:ascii="Calibri" w:hAnsi="Calibri"/>
                <w:b w:val="0"/>
                <w:i w:val="0"/>
                <w:color w:val="212121"/>
                <w:sz w:val="19"/>
              </w:rPr>
              <w:t>Most primary-tooth trauma is fall-related and occurs at home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Root fracture, periapical status, root-development stage</w:t>
            </w:r>
          </w:p>
        </w:tc>
        <w:tc>
          <w:tcPr>
            <w:tcW w:type="dxa" w:w="892"/>
            <w:vAlign w:val="top"/>
          </w:tcPr>
          <w:p>
            <w:pPr>
              <w:spacing w:after="40" w:before="0" w:line="259" w:lineRule="auto"/>
            </w:pPr>
            <w:r>
              <w:rPr>
                <w:rFonts w:ascii="Calibri" w:hAnsi="Calibri"/>
                <w:b w:val="0"/>
                <w:i w:val="0"/>
                <w:color w:val="212121"/>
                <w:sz w:val="16"/>
              </w:rPr>
              <w:t>Intraoral periapical (IOPA) radiograph</w:t>
            </w:r>
          </w:p>
        </w:tc>
        <w:tc>
          <w:tcPr>
            <w:tcW w:type="dxa" w:w="950"/>
            <w:vAlign w:val="top"/>
          </w:tcPr>
          <w:p>
            <w:pPr>
              <w:spacing w:after="40" w:before="0" w:line="259" w:lineRule="auto"/>
            </w:pPr>
            <w:r>
              <w:rPr>
                <w:rFonts w:ascii="Calibri" w:hAnsi="Calibri"/>
                <w:b w:val="0"/>
                <w:i w:val="0"/>
                <w:color w:val="212121"/>
                <w:sz w:val="16"/>
              </w:rPr>
              <w:t>Intact tooth, normal periodontal-ligament space, apex appropriate for age</w:t>
            </w:r>
          </w:p>
        </w:tc>
        <w:tc>
          <w:tcPr>
            <w:tcW w:type="dxa" w:w="950"/>
            <w:vAlign w:val="top"/>
          </w:tcPr>
          <w:p>
            <w:pPr>
              <w:spacing w:after="40" w:before="0" w:line="259" w:lineRule="auto"/>
            </w:pPr>
            <w:r>
              <w:rPr>
                <w:rFonts w:ascii="Calibri" w:hAnsi="Calibri"/>
                <w:b w:val="0"/>
                <w:i w:val="0"/>
                <w:color w:val="212121"/>
                <w:sz w:val="16"/>
              </w:rPr>
              <w:t>Root fracture line, widened PDL space, periapical radiolucency, external root resorption</w:t>
            </w:r>
          </w:p>
        </w:tc>
        <w:tc>
          <w:tcPr>
            <w:tcW w:type="dxa" w:w="1036"/>
            <w:vAlign w:val="top"/>
          </w:tcPr>
          <w:p>
            <w:pPr>
              <w:spacing w:after="40" w:before="0" w:line="259" w:lineRule="auto"/>
            </w:pPr>
            <w:r>
              <w:rPr>
                <w:rFonts w:ascii="Calibri" w:hAnsi="Calibri"/>
                <w:b w:val="0"/>
                <w:i w:val="0"/>
                <w:color w:val="212121"/>
                <w:sz w:val="16"/>
              </w:rPr>
              <w:t>First-line film to detect root fracture, luxation and root maturity and to monitor healing</w:t>
            </w:r>
          </w:p>
        </w:tc>
        <w:tc>
          <w:tcPr>
            <w:tcW w:type="dxa" w:w="1036"/>
            <w:vAlign w:val="top"/>
          </w:tcPr>
          <w:p>
            <w:pPr>
              <w:spacing w:after="40" w:before="0" w:line="259" w:lineRule="auto"/>
            </w:pPr>
            <w:r>
              <w:rPr>
                <w:rFonts w:ascii="Calibri" w:hAnsi="Calibri"/>
                <w:b w:val="0"/>
                <w:i w:val="0"/>
                <w:color w:val="212121"/>
                <w:sz w:val="16"/>
              </w:rPr>
              <w:t>All patients with a traumatised tooth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Take angled / multiple views; open apex favours pulp survival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Root fractures &amp; tooth displacement</w:t>
            </w:r>
          </w:p>
        </w:tc>
        <w:tc>
          <w:tcPr>
            <w:tcW w:type="dxa" w:w="892"/>
            <w:vAlign w:val="top"/>
          </w:tcPr>
          <w:p>
            <w:pPr>
              <w:spacing w:after="40" w:before="0" w:line="259" w:lineRule="auto"/>
            </w:pPr>
            <w:r>
              <w:rPr>
                <w:rFonts w:ascii="Calibri" w:hAnsi="Calibri"/>
                <w:b w:val="0"/>
                <w:i w:val="0"/>
                <w:color w:val="212121"/>
                <w:sz w:val="16"/>
              </w:rPr>
              <w:t>Occlusal radiograph</w:t>
            </w:r>
          </w:p>
        </w:tc>
        <w:tc>
          <w:tcPr>
            <w:tcW w:type="dxa" w:w="950"/>
            <w:vAlign w:val="top"/>
          </w:tcPr>
          <w:p>
            <w:pPr>
              <w:spacing w:after="40" w:before="0" w:line="259" w:lineRule="auto"/>
            </w:pPr>
            <w:r>
              <w:rPr>
                <w:rFonts w:ascii="Calibri" w:hAnsi="Calibri"/>
                <w:b w:val="0"/>
                <w:i w:val="0"/>
                <w:color w:val="212121"/>
                <w:sz w:val="16"/>
              </w:rPr>
              <w:t>No fracture or displacement</w:t>
            </w:r>
          </w:p>
        </w:tc>
        <w:tc>
          <w:tcPr>
            <w:tcW w:type="dxa" w:w="950"/>
            <w:vAlign w:val="top"/>
          </w:tcPr>
          <w:p>
            <w:pPr>
              <w:spacing w:after="40" w:before="0" w:line="259" w:lineRule="auto"/>
            </w:pPr>
            <w:r>
              <w:rPr>
                <w:rFonts w:ascii="Calibri" w:hAnsi="Calibri"/>
                <w:b w:val="0"/>
                <w:i w:val="0"/>
                <w:color w:val="212121"/>
                <w:sz w:val="16"/>
              </w:rPr>
              <w:t>Mid/apical root fracture, lateral displacement, foreign body</w:t>
            </w:r>
          </w:p>
        </w:tc>
        <w:tc>
          <w:tcPr>
            <w:tcW w:type="dxa" w:w="1036"/>
            <w:vAlign w:val="top"/>
          </w:tcPr>
          <w:p>
            <w:pPr>
              <w:spacing w:after="40" w:before="0" w:line="259" w:lineRule="auto"/>
            </w:pPr>
            <w:r>
              <w:rPr>
                <w:rFonts w:ascii="Calibri" w:hAnsi="Calibri"/>
                <w:b w:val="0"/>
                <w:i w:val="0"/>
                <w:color w:val="212121"/>
                <w:sz w:val="16"/>
              </w:rPr>
              <w:t>Complements the periapical view for root fractures and the direction of luxation</w:t>
            </w:r>
          </w:p>
        </w:tc>
        <w:tc>
          <w:tcPr>
            <w:tcW w:type="dxa" w:w="1036"/>
            <w:vAlign w:val="top"/>
          </w:tcPr>
          <w:p>
            <w:pPr>
              <w:spacing w:after="40" w:before="0" w:line="259" w:lineRule="auto"/>
            </w:pPr>
            <w:r>
              <w:rPr>
                <w:rFonts w:ascii="Calibri" w:hAnsi="Calibri"/>
                <w:b w:val="0"/>
                <w:i w:val="0"/>
                <w:color w:val="212121"/>
                <w:sz w:val="16"/>
              </w:rPr>
              <w:t>Suspected root fracture or luxation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imaging</w:t>
            </w:r>
          </w:p>
        </w:tc>
        <w:tc>
          <w:tcPr>
            <w:tcW w:type="dxa" w:w="720"/>
            <w:vAlign w:val="top"/>
          </w:tcPr>
          <w:p>
            <w:pPr>
              <w:spacing w:after="40" w:before="0" w:line="259" w:lineRule="auto"/>
            </w:pPr>
            <w:r>
              <w:rPr>
                <w:rFonts w:ascii="Calibri" w:hAnsi="Calibri"/>
                <w:b w:val="0"/>
                <w:i w:val="0"/>
                <w:color w:val="212121"/>
                <w:sz w:val="16"/>
              </w:rPr>
              <w:t>Useful when a periapical view is inconclusive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Alveolar &amp; jaw fractures, overall dentition</w:t>
            </w:r>
          </w:p>
        </w:tc>
        <w:tc>
          <w:tcPr>
            <w:tcW w:type="dxa" w:w="892"/>
            <w:vAlign w:val="top"/>
          </w:tcPr>
          <w:p>
            <w:pPr>
              <w:spacing w:after="40" w:before="0" w:line="259" w:lineRule="auto"/>
            </w:pPr>
            <w:r>
              <w:rPr>
                <w:rFonts w:ascii="Calibri" w:hAnsi="Calibri"/>
                <w:b w:val="0"/>
                <w:i w:val="0"/>
                <w:color w:val="212121"/>
                <w:sz w:val="16"/>
              </w:rPr>
              <w:t>Panoramic radiograph (OPG)</w:t>
            </w:r>
          </w:p>
        </w:tc>
        <w:tc>
          <w:tcPr>
            <w:tcW w:type="dxa" w:w="950"/>
            <w:vAlign w:val="top"/>
          </w:tcPr>
          <w:p>
            <w:pPr>
              <w:spacing w:after="40" w:before="0" w:line="259" w:lineRule="auto"/>
            </w:pPr>
            <w:r>
              <w:rPr>
                <w:rFonts w:ascii="Calibri" w:hAnsi="Calibri"/>
                <w:b w:val="0"/>
                <w:i w:val="0"/>
                <w:color w:val="212121"/>
                <w:sz w:val="16"/>
              </w:rPr>
              <w:t>Intact alveolus and jaws</w:t>
            </w:r>
          </w:p>
        </w:tc>
        <w:tc>
          <w:tcPr>
            <w:tcW w:type="dxa" w:w="950"/>
            <w:vAlign w:val="top"/>
          </w:tcPr>
          <w:p>
            <w:pPr>
              <w:spacing w:after="40" w:before="0" w:line="259" w:lineRule="auto"/>
            </w:pPr>
            <w:r>
              <w:rPr>
                <w:rFonts w:ascii="Calibri" w:hAnsi="Calibri"/>
                <w:b w:val="0"/>
                <w:i w:val="0"/>
                <w:color w:val="212121"/>
                <w:sz w:val="16"/>
              </w:rPr>
              <w:t>Alveolar-process fracture, mandibular / condylar fracture, multiple injured teeth</w:t>
            </w:r>
          </w:p>
        </w:tc>
        <w:tc>
          <w:tcPr>
            <w:tcW w:type="dxa" w:w="1036"/>
            <w:vAlign w:val="top"/>
          </w:tcPr>
          <w:p>
            <w:pPr>
              <w:spacing w:after="40" w:before="0" w:line="259" w:lineRule="auto"/>
            </w:pPr>
            <w:r>
              <w:rPr>
                <w:rFonts w:ascii="Calibri" w:hAnsi="Calibri"/>
                <w:b w:val="0"/>
                <w:i w:val="0"/>
                <w:color w:val="212121"/>
                <w:sz w:val="16"/>
              </w:rPr>
              <w:t>Screens the jaws and alveolus when wider or multi-tooth injury is suspected</w:t>
            </w:r>
          </w:p>
        </w:tc>
        <w:tc>
          <w:tcPr>
            <w:tcW w:type="dxa" w:w="1036"/>
            <w:vAlign w:val="top"/>
          </w:tcPr>
          <w:p>
            <w:pPr>
              <w:spacing w:after="40" w:before="0" w:line="259" w:lineRule="auto"/>
            </w:pPr>
            <w:r>
              <w:rPr>
                <w:rFonts w:ascii="Calibri" w:hAnsi="Calibri"/>
                <w:b w:val="0"/>
                <w:i w:val="0"/>
                <w:color w:val="212121"/>
                <w:sz w:val="16"/>
              </w:rPr>
              <w:t>Multi-tooth trauma, suspected jaw fracture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Survey imaging</w:t>
            </w:r>
          </w:p>
        </w:tc>
        <w:tc>
          <w:tcPr>
            <w:tcW w:type="dxa" w:w="720"/>
            <w:vAlign w:val="top"/>
          </w:tcPr>
          <w:p>
            <w:pPr>
              <w:spacing w:after="40" w:before="0" w:line="259" w:lineRule="auto"/>
            </w:pPr>
            <w:r>
              <w:rPr>
                <w:rFonts w:ascii="Calibri" w:hAnsi="Calibri"/>
                <w:b w:val="0"/>
                <w:i w:val="0"/>
                <w:color w:val="212121"/>
                <w:sz w:val="16"/>
              </w:rPr>
              <w:t>Low detail for individual teeth - supplement with intraoral films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 (3-D)</w:t>
            </w:r>
          </w:p>
        </w:tc>
        <w:tc>
          <w:tcPr>
            <w:tcW w:type="dxa" w:w="1036"/>
            <w:vAlign w:val="top"/>
          </w:tcPr>
          <w:p>
            <w:pPr>
              <w:spacing w:after="40" w:before="0" w:line="259" w:lineRule="auto"/>
            </w:pPr>
            <w:r>
              <w:rPr>
                <w:rFonts w:ascii="Calibri" w:hAnsi="Calibri"/>
                <w:b w:val="0"/>
                <w:i w:val="0"/>
                <w:color w:val="212121"/>
                <w:sz w:val="16"/>
              </w:rPr>
              <w:t>Complex root / alveolar fractures, luxation extent</w:t>
            </w:r>
          </w:p>
        </w:tc>
        <w:tc>
          <w:tcPr>
            <w:tcW w:type="dxa" w:w="892"/>
            <w:vAlign w:val="top"/>
          </w:tcPr>
          <w:p>
            <w:pPr>
              <w:spacing w:after="40" w:before="0" w:line="259" w:lineRule="auto"/>
            </w:pPr>
            <w:r>
              <w:rPr>
                <w:rFonts w:ascii="Calibri" w:hAnsi="Calibri"/>
                <w:b w:val="0"/>
                <w:i w:val="0"/>
                <w:color w:val="212121"/>
                <w:sz w:val="16"/>
              </w:rPr>
              <w:t>Cone-beam computed tomography (CBCT)</w:t>
            </w:r>
          </w:p>
        </w:tc>
        <w:tc>
          <w:tcPr>
            <w:tcW w:type="dxa" w:w="950"/>
            <w:vAlign w:val="top"/>
          </w:tcPr>
          <w:p>
            <w:pPr>
              <w:spacing w:after="40" w:before="0" w:line="259" w:lineRule="auto"/>
            </w:pPr>
            <w:r>
              <w:rPr>
                <w:rFonts w:ascii="Calibri" w:hAnsi="Calibri"/>
                <w:b w:val="0"/>
                <w:i w:val="0"/>
                <w:color w:val="212121"/>
                <w:sz w:val="16"/>
              </w:rPr>
              <w:t>No fracture on 3-D reconstruction</w:t>
            </w:r>
          </w:p>
        </w:tc>
        <w:tc>
          <w:tcPr>
            <w:tcW w:type="dxa" w:w="950"/>
            <w:vAlign w:val="top"/>
          </w:tcPr>
          <w:p>
            <w:pPr>
              <w:spacing w:after="40" w:before="0" w:line="259" w:lineRule="auto"/>
            </w:pPr>
            <w:r>
              <w:rPr>
                <w:rFonts w:ascii="Calibri" w:hAnsi="Calibri"/>
                <w:b w:val="0"/>
                <w:i w:val="0"/>
                <w:color w:val="212121"/>
                <w:sz w:val="16"/>
              </w:rPr>
              <w:t>Complex crown-root or alveolar fracture, precise luxation direction and bone loss</w:t>
            </w:r>
          </w:p>
        </w:tc>
        <w:tc>
          <w:tcPr>
            <w:tcW w:type="dxa" w:w="1036"/>
            <w:vAlign w:val="top"/>
          </w:tcPr>
          <w:p>
            <w:pPr>
              <w:spacing w:after="40" w:before="0" w:line="259" w:lineRule="auto"/>
            </w:pPr>
            <w:r>
              <w:rPr>
                <w:rFonts w:ascii="Calibri" w:hAnsi="Calibri"/>
                <w:b w:val="0"/>
                <w:i w:val="0"/>
                <w:color w:val="212121"/>
                <w:sz w:val="16"/>
              </w:rPr>
              <w:t>Reserved for complex or equivocal injuries where 2-D films are inadequate</w:t>
            </w:r>
          </w:p>
        </w:tc>
        <w:tc>
          <w:tcPr>
            <w:tcW w:type="dxa" w:w="1036"/>
            <w:vAlign w:val="top"/>
          </w:tcPr>
          <w:p>
            <w:pPr>
              <w:spacing w:after="40" w:before="0" w:line="259" w:lineRule="auto"/>
            </w:pPr>
            <w:r>
              <w:rPr>
                <w:rFonts w:ascii="Calibri" w:hAnsi="Calibri"/>
                <w:b w:val="0"/>
                <w:i w:val="0"/>
                <w:color w:val="212121"/>
                <w:sz w:val="16"/>
              </w:rPr>
              <w:t>Complex crown-root, alveolar or intrusion injuries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Problem-solving imaging</w:t>
            </w:r>
          </w:p>
        </w:tc>
        <w:tc>
          <w:tcPr>
            <w:tcW w:type="dxa" w:w="720"/>
            <w:vAlign w:val="top"/>
          </w:tcPr>
          <w:p>
            <w:pPr>
              <w:spacing w:after="40" w:before="0" w:line="259" w:lineRule="auto"/>
            </w:pPr>
            <w:r>
              <w:rPr>
                <w:rFonts w:ascii="Calibri" w:hAnsi="Calibri"/>
                <w:b w:val="0"/>
                <w:i w:val="0"/>
                <w:color w:val="212121"/>
                <w:sz w:val="16"/>
              </w:rPr>
              <w:t>Higher dose - use selectively, especially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Pulp vitality</w:t>
            </w:r>
          </w:p>
        </w:tc>
        <w:tc>
          <w:tcPr>
            <w:tcW w:type="dxa" w:w="1036"/>
            <w:vAlign w:val="top"/>
          </w:tcPr>
          <w:p>
            <w:pPr>
              <w:spacing w:after="40" w:before="0" w:line="259" w:lineRule="auto"/>
            </w:pPr>
            <w:r>
              <w:rPr>
                <w:rFonts w:ascii="Calibri" w:hAnsi="Calibri"/>
                <w:b w:val="0"/>
                <w:i w:val="0"/>
                <w:color w:val="212121"/>
                <w:sz w:val="16"/>
              </w:rPr>
              <w:t>Pulp sensibility (thermal / electric pulp test)</w:t>
            </w:r>
          </w:p>
        </w:tc>
        <w:tc>
          <w:tcPr>
            <w:tcW w:type="dxa" w:w="892"/>
            <w:vAlign w:val="top"/>
          </w:tcPr>
          <w:p>
            <w:pPr>
              <w:spacing w:after="40" w:before="0" w:line="259" w:lineRule="auto"/>
            </w:pPr>
            <w:r>
              <w:rPr>
                <w:rFonts w:ascii="Calibri" w:hAnsi="Calibri"/>
                <w:b w:val="0"/>
                <w:i w:val="0"/>
                <w:color w:val="212121"/>
                <w:sz w:val="16"/>
              </w:rPr>
              <w:t>Sensibility testing</w:t>
            </w:r>
          </w:p>
        </w:tc>
        <w:tc>
          <w:tcPr>
            <w:tcW w:type="dxa" w:w="950"/>
            <w:vAlign w:val="top"/>
          </w:tcPr>
          <w:p>
            <w:pPr>
              <w:spacing w:after="40" w:before="0" w:line="259" w:lineRule="auto"/>
            </w:pPr>
            <w:r>
              <w:rPr>
                <w:rFonts w:ascii="Calibri" w:hAnsi="Calibri"/>
                <w:b w:val="0"/>
                <w:i w:val="0"/>
                <w:color w:val="212121"/>
                <w:sz w:val="16"/>
              </w:rPr>
              <w:t>Responds to cold / electric stimulus</w:t>
            </w:r>
          </w:p>
        </w:tc>
        <w:tc>
          <w:tcPr>
            <w:tcW w:type="dxa" w:w="950"/>
            <w:vAlign w:val="top"/>
          </w:tcPr>
          <w:p>
            <w:pPr>
              <w:spacing w:after="40" w:before="0" w:line="259" w:lineRule="auto"/>
            </w:pPr>
            <w:r>
              <w:rPr>
                <w:rFonts w:ascii="Calibri" w:hAnsi="Calibri"/>
                <w:b w:val="0"/>
                <w:i w:val="0"/>
                <w:color w:val="212121"/>
                <w:sz w:val="16"/>
              </w:rPr>
              <w:t>No response (possible necrosis) or altered response</w:t>
            </w:r>
          </w:p>
        </w:tc>
        <w:tc>
          <w:tcPr>
            <w:tcW w:type="dxa" w:w="1036"/>
            <w:vAlign w:val="top"/>
          </w:tcPr>
          <w:p>
            <w:pPr>
              <w:spacing w:after="40" w:before="0" w:line="259" w:lineRule="auto"/>
            </w:pPr>
            <w:r>
              <w:rPr>
                <w:rFonts w:ascii="Calibri" w:hAnsi="Calibri"/>
                <w:b w:val="0"/>
                <w:i w:val="0"/>
                <w:color w:val="212121"/>
                <w:sz w:val="16"/>
              </w:rPr>
              <w:t>Assesses pulp status; an early non-response may be transient 'pulp shock' and must be re-tested</w:t>
            </w:r>
          </w:p>
        </w:tc>
        <w:tc>
          <w:tcPr>
            <w:tcW w:type="dxa" w:w="1036"/>
            <w:vAlign w:val="top"/>
          </w:tcPr>
          <w:p>
            <w:pPr>
              <w:spacing w:after="40" w:before="0" w:line="259" w:lineRule="auto"/>
            </w:pPr>
            <w:r>
              <w:rPr>
                <w:rFonts w:ascii="Calibri" w:hAnsi="Calibri"/>
                <w:b w:val="0"/>
                <w:i w:val="0"/>
                <w:color w:val="212121"/>
                <w:sz w:val="16"/>
              </w:rPr>
              <w:t>All traumatised teeth, at baseline and on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Baseline &amp; monitoring</w:t>
            </w:r>
          </w:p>
        </w:tc>
        <w:tc>
          <w:tcPr>
            <w:tcW w:type="dxa" w:w="720"/>
            <w:vAlign w:val="top"/>
          </w:tcPr>
          <w:p>
            <w:pPr>
              <w:spacing w:after="40" w:before="0" w:line="259" w:lineRule="auto"/>
            </w:pPr>
            <w:r>
              <w:rPr>
                <w:rFonts w:ascii="Calibri" w:hAnsi="Calibri"/>
                <w:b w:val="0"/>
                <w:i w:val="0"/>
                <w:color w:val="212121"/>
                <w:sz w:val="16"/>
              </w:rPr>
              <w:t>Interpret with radiographs and colour change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test</w:t>
            </w:r>
          </w:p>
        </w:tc>
        <w:tc>
          <w:tcPr>
            <w:tcW w:type="dxa" w:w="1036"/>
            <w:vAlign w:val="top"/>
          </w:tcPr>
          <w:p>
            <w:pPr>
              <w:spacing w:after="40" w:before="0" w:line="259" w:lineRule="auto"/>
            </w:pPr>
            <w:r>
              <w:rPr>
                <w:rFonts w:ascii="Calibri" w:hAnsi="Calibri"/>
                <w:b w:val="0"/>
                <w:i w:val="0"/>
                <w:color w:val="212121"/>
                <w:sz w:val="16"/>
              </w:rPr>
              <w:t>Percussion tone &amp; mobility</w:t>
            </w:r>
          </w:p>
        </w:tc>
        <w:tc>
          <w:tcPr>
            <w:tcW w:type="dxa" w:w="892"/>
            <w:vAlign w:val="top"/>
          </w:tcPr>
          <w:p>
            <w:pPr>
              <w:spacing w:after="40" w:before="0" w:line="259" w:lineRule="auto"/>
            </w:pPr>
            <w:r>
              <w:rPr>
                <w:rFonts w:ascii="Calibri" w:hAnsi="Calibri"/>
                <w:b w:val="0"/>
                <w:i w:val="0"/>
                <w:color w:val="212121"/>
                <w:sz w:val="16"/>
              </w:rPr>
              <w:t>Percussion and mobility testing</w:t>
            </w:r>
          </w:p>
        </w:tc>
        <w:tc>
          <w:tcPr>
            <w:tcW w:type="dxa" w:w="950"/>
            <w:vAlign w:val="top"/>
          </w:tcPr>
          <w:p>
            <w:pPr>
              <w:spacing w:after="40" w:before="0" w:line="259" w:lineRule="auto"/>
            </w:pPr>
            <w:r>
              <w:rPr>
                <w:rFonts w:ascii="Calibri" w:hAnsi="Calibri"/>
                <w:b w:val="0"/>
                <w:i w:val="0"/>
                <w:color w:val="212121"/>
                <w:sz w:val="16"/>
              </w:rPr>
              <w:t>Normal tone, physiological mobility</w:t>
            </w:r>
          </w:p>
        </w:tc>
        <w:tc>
          <w:tcPr>
            <w:tcW w:type="dxa" w:w="950"/>
            <w:vAlign w:val="top"/>
          </w:tcPr>
          <w:p>
            <w:pPr>
              <w:spacing w:after="40" w:before="0" w:line="259" w:lineRule="auto"/>
            </w:pPr>
            <w:r>
              <w:rPr>
                <w:rFonts w:ascii="Calibri" w:hAnsi="Calibri"/>
                <w:b w:val="0"/>
                <w:i w:val="0"/>
                <w:color w:val="212121"/>
                <w:sz w:val="16"/>
              </w:rPr>
              <w:t>High/metallic tone (ankylosis), dull tone, tenderness or increased/decreased mobility</w:t>
            </w:r>
          </w:p>
        </w:tc>
        <w:tc>
          <w:tcPr>
            <w:tcW w:type="dxa" w:w="1036"/>
            <w:vAlign w:val="top"/>
          </w:tcPr>
          <w:p>
            <w:pPr>
              <w:spacing w:after="40" w:before="0" w:line="259" w:lineRule="auto"/>
            </w:pPr>
            <w:r>
              <w:rPr>
                <w:rFonts w:ascii="Calibri" w:hAnsi="Calibri"/>
                <w:b w:val="0"/>
                <w:i w:val="0"/>
                <w:color w:val="212121"/>
                <w:sz w:val="16"/>
              </w:rPr>
              <w:t>Differentiates concussion, subluxation, luxation and early ankylosis</w:t>
            </w:r>
          </w:p>
        </w:tc>
        <w:tc>
          <w:tcPr>
            <w:tcW w:type="dxa" w:w="1036"/>
            <w:vAlign w:val="top"/>
          </w:tcPr>
          <w:p>
            <w:pPr>
              <w:spacing w:after="40" w:before="0" w:line="259" w:lineRule="auto"/>
            </w:pPr>
            <w:r>
              <w:rPr>
                <w:rFonts w:ascii="Calibri" w:hAnsi="Calibri"/>
                <w:b w:val="0"/>
                <w:i w:val="0"/>
                <w:color w:val="212121"/>
                <w:sz w:val="16"/>
              </w:rPr>
              <w:t>All injured and adjacent teeth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test</w:t>
            </w:r>
          </w:p>
        </w:tc>
        <w:tc>
          <w:tcPr>
            <w:tcW w:type="dxa" w:w="720"/>
            <w:vAlign w:val="top"/>
          </w:tcPr>
          <w:p>
            <w:pPr>
              <w:spacing w:after="40" w:before="0" w:line="259" w:lineRule="auto"/>
            </w:pPr>
            <w:r>
              <w:rPr>
                <w:rFonts w:ascii="Calibri" w:hAnsi="Calibri"/>
                <w:b w:val="0"/>
                <w:i w:val="0"/>
                <w:color w:val="212121"/>
                <w:sz w:val="16"/>
              </w:rPr>
              <w:t>Compare with contralateral sound teeth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Mechanism &amp; timing of injury</w:t>
            </w:r>
          </w:p>
        </w:tc>
        <w:tc>
          <w:tcPr>
            <w:tcW w:type="dxa" w:w="979"/>
            <w:vAlign w:val="top"/>
          </w:tcPr>
          <w:p>
            <w:pPr>
              <w:spacing w:after="40" w:before="0" w:line="259" w:lineRule="auto"/>
            </w:pPr>
            <w:r>
              <w:rPr>
                <w:rFonts w:ascii="Calibri" w:hAnsi="Calibri"/>
                <w:b w:val="0"/>
                <w:i w:val="0"/>
                <w:color w:val="212121"/>
                <w:sz w:val="16"/>
              </w:rPr>
              <w:t>When, where and how; time elapsed since injury</w:t>
            </w:r>
          </w:p>
        </w:tc>
        <w:tc>
          <w:tcPr>
            <w:tcW w:type="dxa" w:w="950"/>
            <w:vAlign w:val="top"/>
          </w:tcPr>
          <w:p>
            <w:pPr>
              <w:spacing w:after="40" w:before="0" w:line="259" w:lineRule="auto"/>
            </w:pPr>
            <w:r>
              <w:rPr>
                <w:rFonts w:ascii="Calibri" w:hAnsi="Calibri"/>
                <w:b w:val="0"/>
                <w:i w:val="0"/>
                <w:color w:val="212121"/>
                <w:sz w:val="16"/>
              </w:rPr>
              <w:t>N/A</w:t>
            </w:r>
          </w:p>
        </w:tc>
        <w:tc>
          <w:tcPr>
            <w:tcW w:type="dxa" w:w="950"/>
            <w:vAlign w:val="top"/>
          </w:tcPr>
          <w:p>
            <w:pPr>
              <w:spacing w:after="40" w:before="0" w:line="259" w:lineRule="auto"/>
            </w:pPr>
            <w:r>
              <w:rPr>
                <w:rFonts w:ascii="Calibri" w:hAnsi="Calibri"/>
                <w:b w:val="0"/>
                <w:i w:val="0"/>
                <w:color w:val="212121"/>
                <w:sz w:val="16"/>
              </w:rPr>
              <w:t>Any dentofacial trauma; prolonged extra-alveolar/dry time for an avulsed tooth</w:t>
            </w:r>
          </w:p>
        </w:tc>
        <w:tc>
          <w:tcPr>
            <w:tcW w:type="dxa" w:w="1036"/>
            <w:vAlign w:val="top"/>
          </w:tcPr>
          <w:p>
            <w:pPr>
              <w:spacing w:after="40" w:before="0" w:line="259" w:lineRule="auto"/>
            </w:pPr>
            <w:r>
              <w:rPr>
                <w:rFonts w:ascii="Calibri" w:hAnsi="Calibri"/>
                <w:b w:val="0"/>
                <w:i w:val="0"/>
                <w:color w:val="212121"/>
                <w:sz w:val="16"/>
              </w:rPr>
              <w:t>Time to treatment (especially for avulsion) is the single strongest determinant of prognosis</w:t>
            </w:r>
          </w:p>
        </w:tc>
        <w:tc>
          <w:tcPr>
            <w:tcW w:type="dxa" w:w="1036"/>
            <w:vAlign w:val="top"/>
          </w:tcPr>
          <w:p>
            <w:pPr>
              <w:spacing w:after="40" w:before="0" w:line="259" w:lineRule="auto"/>
            </w:pPr>
            <w:r>
              <w:rPr>
                <w:rFonts w:ascii="Calibri" w:hAnsi="Calibri"/>
                <w:b w:val="0"/>
                <w:i w:val="0"/>
                <w:color w:val="212121"/>
                <w:sz w:val="16"/>
              </w:rPr>
              <w:t>All trauma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For an avulsed tooth, record dry vs storage-medium time precisely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Tetanus immunisation status</w:t>
            </w:r>
          </w:p>
        </w:tc>
        <w:tc>
          <w:tcPr>
            <w:tcW w:type="dxa" w:w="979"/>
            <w:vAlign w:val="top"/>
          </w:tcPr>
          <w:p>
            <w:pPr>
              <w:spacing w:after="40" w:before="0" w:line="259" w:lineRule="auto"/>
            </w:pPr>
            <w:r>
              <w:rPr>
                <w:rFonts w:ascii="Calibri" w:hAnsi="Calibri"/>
                <w:b w:val="0"/>
                <w:i w:val="0"/>
                <w:color w:val="212121"/>
                <w:sz w:val="16"/>
              </w:rPr>
              <w:t>Tetanus vaccination up to date?</w:t>
            </w:r>
          </w:p>
        </w:tc>
        <w:tc>
          <w:tcPr>
            <w:tcW w:type="dxa" w:w="950"/>
            <w:vAlign w:val="top"/>
          </w:tcPr>
          <w:p>
            <w:pPr>
              <w:spacing w:after="40" w:before="0" w:line="259" w:lineRule="auto"/>
            </w:pPr>
            <w:r>
              <w:rPr>
                <w:rFonts w:ascii="Calibri" w:hAnsi="Calibri"/>
                <w:b w:val="0"/>
                <w:i w:val="0"/>
                <w:color w:val="212121"/>
                <w:sz w:val="16"/>
              </w:rPr>
              <w:t>Fully immunised</w:t>
            </w:r>
          </w:p>
        </w:tc>
        <w:tc>
          <w:tcPr>
            <w:tcW w:type="dxa" w:w="950"/>
            <w:vAlign w:val="top"/>
          </w:tcPr>
          <w:p>
            <w:pPr>
              <w:spacing w:after="40" w:before="0" w:line="259" w:lineRule="auto"/>
            </w:pPr>
            <w:r>
              <w:rPr>
                <w:rFonts w:ascii="Calibri" w:hAnsi="Calibri"/>
                <w:b w:val="0"/>
                <w:i w:val="0"/>
                <w:color w:val="212121"/>
                <w:sz w:val="16"/>
              </w:rPr>
              <w:t>Incomplete / unknown, with a contaminated wound</w:t>
            </w:r>
          </w:p>
        </w:tc>
        <w:tc>
          <w:tcPr>
            <w:tcW w:type="dxa" w:w="1036"/>
            <w:vAlign w:val="top"/>
          </w:tcPr>
          <w:p>
            <w:pPr>
              <w:spacing w:after="40" w:before="0" w:line="259" w:lineRule="auto"/>
            </w:pPr>
            <w:r>
              <w:rPr>
                <w:rFonts w:ascii="Calibri" w:hAnsi="Calibri"/>
                <w:b w:val="0"/>
                <w:i w:val="0"/>
                <w:color w:val="212121"/>
                <w:sz w:val="16"/>
              </w:rPr>
              <w:t>Contaminated soft-tissue wounds need tetanus prophylaxis</w:t>
            </w:r>
          </w:p>
        </w:tc>
        <w:tc>
          <w:tcPr>
            <w:tcW w:type="dxa" w:w="1036"/>
            <w:vAlign w:val="top"/>
          </w:tcPr>
          <w:p>
            <w:pPr>
              <w:spacing w:after="40" w:before="0" w:line="259" w:lineRule="auto"/>
            </w:pPr>
            <w:r>
              <w:rPr>
                <w:rFonts w:ascii="Calibri" w:hAnsi="Calibri"/>
                <w:b w:val="0"/>
                <w:i w:val="0"/>
                <w:color w:val="212121"/>
                <w:sz w:val="16"/>
              </w:rPr>
              <w:t>Soil-contaminated or dirty wounds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Arrange a tetanus booster / immunoglobulin as indicated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Head-injury &amp; neurological screen</w:t>
            </w:r>
          </w:p>
        </w:tc>
        <w:tc>
          <w:tcPr>
            <w:tcW w:type="dxa" w:w="979"/>
            <w:vAlign w:val="top"/>
          </w:tcPr>
          <w:p>
            <w:pPr>
              <w:spacing w:after="40" w:before="0" w:line="259" w:lineRule="auto"/>
            </w:pPr>
            <w:r>
              <w:rPr>
                <w:rFonts w:ascii="Calibri" w:hAnsi="Calibri"/>
                <w:b w:val="0"/>
                <w:i w:val="0"/>
                <w:color w:val="212121"/>
                <w:sz w:val="16"/>
              </w:rPr>
              <w:t>Loss of consciousness, amnesia, vomiting, headache</w:t>
            </w:r>
          </w:p>
        </w:tc>
        <w:tc>
          <w:tcPr>
            <w:tcW w:type="dxa" w:w="950"/>
            <w:vAlign w:val="top"/>
          </w:tcPr>
          <w:p>
            <w:pPr>
              <w:spacing w:after="40" w:before="0" w:line="259" w:lineRule="auto"/>
            </w:pPr>
            <w:r>
              <w:rPr>
                <w:rFonts w:ascii="Calibri" w:hAnsi="Calibri"/>
                <w:b w:val="0"/>
                <w:i w:val="0"/>
                <w:color w:val="212121"/>
                <w:sz w:val="16"/>
              </w:rPr>
              <w:t>Alert, no red flags</w:t>
            </w:r>
          </w:p>
        </w:tc>
        <w:tc>
          <w:tcPr>
            <w:tcW w:type="dxa" w:w="950"/>
            <w:vAlign w:val="top"/>
          </w:tcPr>
          <w:p>
            <w:pPr>
              <w:spacing w:after="40" w:before="0" w:line="259" w:lineRule="auto"/>
            </w:pPr>
            <w:r>
              <w:rPr>
                <w:rFonts w:ascii="Calibri" w:hAnsi="Calibri"/>
                <w:b w:val="0"/>
                <w:i w:val="0"/>
                <w:color w:val="212121"/>
                <w:sz w:val="16"/>
              </w:rPr>
              <w:t>LOC, confusion, repeated vomiting or focal signs</w:t>
            </w:r>
          </w:p>
        </w:tc>
        <w:tc>
          <w:tcPr>
            <w:tcW w:type="dxa" w:w="1036"/>
            <w:vAlign w:val="top"/>
          </w:tcPr>
          <w:p>
            <w:pPr>
              <w:spacing w:after="40" w:before="0" w:line="259" w:lineRule="auto"/>
            </w:pPr>
            <w:r>
              <w:rPr>
                <w:rFonts w:ascii="Calibri" w:hAnsi="Calibri"/>
                <w:b w:val="0"/>
                <w:i w:val="0"/>
                <w:color w:val="212121"/>
                <w:sz w:val="16"/>
              </w:rPr>
              <w:t>Excludes a concomitant head, cervical-spine or facial-bone injury needing urgent referral</w:t>
            </w:r>
          </w:p>
        </w:tc>
        <w:tc>
          <w:tcPr>
            <w:tcW w:type="dxa" w:w="1036"/>
            <w:vAlign w:val="top"/>
          </w:tcPr>
          <w:p>
            <w:pPr>
              <w:spacing w:after="40" w:before="0" w:line="259" w:lineRule="auto"/>
            </w:pPr>
            <w:r>
              <w:rPr>
                <w:rFonts w:ascii="Calibri" w:hAnsi="Calibri"/>
                <w:b w:val="0"/>
                <w:i w:val="0"/>
                <w:color w:val="212121"/>
                <w:sz w:val="16"/>
              </w:rPr>
              <w:t>High-energy trauma, RTA, assault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triage</w:t>
            </w:r>
          </w:p>
        </w:tc>
        <w:tc>
          <w:tcPr>
            <w:tcW w:type="dxa" w:w="720"/>
            <w:vAlign w:val="top"/>
          </w:tcPr>
          <w:p>
            <w:pPr>
              <w:spacing w:after="40" w:before="0" w:line="259" w:lineRule="auto"/>
            </w:pPr>
            <w:r>
              <w:rPr>
                <w:rFonts w:ascii="Calibri" w:hAnsi="Calibri"/>
                <w:b w:val="0"/>
                <w:i w:val="0"/>
                <w:color w:val="212121"/>
                <w:sz w:val="16"/>
              </w:rPr>
              <w:t>Manage life-threatening injuries before the teeth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Past dental-trauma history</w:t>
            </w:r>
          </w:p>
        </w:tc>
        <w:tc>
          <w:tcPr>
            <w:tcW w:type="dxa" w:w="979"/>
            <w:vAlign w:val="top"/>
          </w:tcPr>
          <w:p>
            <w:pPr>
              <w:spacing w:after="40" w:before="0" w:line="259" w:lineRule="auto"/>
            </w:pPr>
            <w:r>
              <w:rPr>
                <w:rFonts w:ascii="Calibri" w:hAnsi="Calibri"/>
                <w:b w:val="0"/>
                <w:i w:val="0"/>
                <w:color w:val="212121"/>
                <w:sz w:val="16"/>
              </w:rPr>
              <w:t>Previous injury to the same or other teeth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prior TDIs</w:t>
            </w:r>
          </w:p>
        </w:tc>
        <w:tc>
          <w:tcPr>
            <w:tcW w:type="dxa" w:w="1036"/>
            <w:vAlign w:val="top"/>
          </w:tcPr>
          <w:p>
            <w:pPr>
              <w:spacing w:after="40" w:before="0" w:line="259" w:lineRule="auto"/>
            </w:pPr>
            <w:r>
              <w:rPr>
                <w:rFonts w:ascii="Calibri" w:hAnsi="Calibri"/>
                <w:b w:val="0"/>
                <w:i w:val="0"/>
                <w:color w:val="212121"/>
                <w:sz w:val="16"/>
              </w:rPr>
              <w:t>A past history of trauma is among the strongest predictors of a further injury</w:t>
            </w:r>
          </w:p>
        </w:tc>
        <w:tc>
          <w:tcPr>
            <w:tcW w:type="dxa" w:w="1036"/>
            <w:vAlign w:val="top"/>
          </w:tcPr>
          <w:p>
            <w:pPr>
              <w:spacing w:after="40" w:before="0" w:line="259" w:lineRule="auto"/>
            </w:pPr>
            <w:r>
              <w:rPr>
                <w:rFonts w:ascii="Calibri" w:hAnsi="Calibri"/>
                <w:b w:val="0"/>
                <w:i w:val="0"/>
                <w:color w:val="212121"/>
                <w:sz w:val="16"/>
              </w:rPr>
              <w:t>Children with overjet / lip incompetence / prior trauma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Flag for prevention (mouthguard, orthodontic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Extraoral inspection &amp; palpation</w:t>
            </w:r>
          </w:p>
        </w:tc>
        <w:tc>
          <w:tcPr>
            <w:tcW w:type="dxa" w:w="979"/>
            <w:vAlign w:val="top"/>
          </w:tcPr>
          <w:p>
            <w:pPr>
              <w:spacing w:after="40" w:before="0" w:line="259" w:lineRule="auto"/>
            </w:pPr>
            <w:r>
              <w:rPr>
                <w:rFonts w:ascii="Calibri" w:hAnsi="Calibri"/>
                <w:b w:val="0"/>
                <w:i w:val="0"/>
                <w:color w:val="212121"/>
                <w:sz w:val="16"/>
              </w:rPr>
              <w:t>Facial swelling, lacerations, bony steps, TMJ / jaw opening</w:t>
            </w:r>
          </w:p>
        </w:tc>
        <w:tc>
          <w:tcPr>
            <w:tcW w:type="dxa" w:w="950"/>
            <w:vAlign w:val="top"/>
          </w:tcPr>
          <w:p>
            <w:pPr>
              <w:spacing w:after="40" w:before="0" w:line="259" w:lineRule="auto"/>
            </w:pPr>
            <w:r>
              <w:rPr>
                <w:rFonts w:ascii="Calibri" w:hAnsi="Calibri"/>
                <w:b w:val="0"/>
                <w:i w:val="0"/>
                <w:color w:val="212121"/>
                <w:sz w:val="16"/>
              </w:rPr>
              <w:t>Symmetrical, full pain-free opening</w:t>
            </w:r>
          </w:p>
        </w:tc>
        <w:tc>
          <w:tcPr>
            <w:tcW w:type="dxa" w:w="950"/>
            <w:vAlign w:val="top"/>
          </w:tcPr>
          <w:p>
            <w:pPr>
              <w:spacing w:after="40" w:before="0" w:line="259" w:lineRule="auto"/>
            </w:pPr>
            <w:r>
              <w:rPr>
                <w:rFonts w:ascii="Calibri" w:hAnsi="Calibri"/>
                <w:b w:val="0"/>
                <w:i w:val="0"/>
                <w:color w:val="212121"/>
                <w:sz w:val="16"/>
              </w:rPr>
              <w:t>Laceration, step deformity, deviated or limited opening</w:t>
            </w:r>
          </w:p>
        </w:tc>
        <w:tc>
          <w:tcPr>
            <w:tcW w:type="dxa" w:w="1036"/>
            <w:vAlign w:val="top"/>
          </w:tcPr>
          <w:p>
            <w:pPr>
              <w:spacing w:after="40" w:before="0" w:line="259" w:lineRule="auto"/>
            </w:pPr>
            <w:r>
              <w:rPr>
                <w:rFonts w:ascii="Calibri" w:hAnsi="Calibri"/>
                <w:b w:val="0"/>
                <w:i w:val="0"/>
                <w:color w:val="212121"/>
                <w:sz w:val="16"/>
              </w:rPr>
              <w:t>Detects facial soft-tissue wounds and mandibular / midface fractures</w:t>
            </w:r>
          </w:p>
        </w:tc>
        <w:tc>
          <w:tcPr>
            <w:tcW w:type="dxa" w:w="1036"/>
            <w:vAlign w:val="top"/>
          </w:tcPr>
          <w:p>
            <w:pPr>
              <w:spacing w:after="40" w:before="0" w:line="259" w:lineRule="auto"/>
            </w:pPr>
            <w:r>
              <w:rPr>
                <w:rFonts w:ascii="Calibri" w:hAnsi="Calibri"/>
                <w:b w:val="0"/>
                <w:i w:val="0"/>
                <w:color w:val="212121"/>
                <w:sz w:val="16"/>
              </w:rPr>
              <w:t>All trauma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Palpate orbital rims, zygoma and mandibular borders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Intraoral soft-tissue examination</w:t>
            </w:r>
          </w:p>
        </w:tc>
        <w:tc>
          <w:tcPr>
            <w:tcW w:type="dxa" w:w="979"/>
            <w:vAlign w:val="top"/>
          </w:tcPr>
          <w:p>
            <w:pPr>
              <w:spacing w:after="40" w:before="0" w:line="259" w:lineRule="auto"/>
            </w:pPr>
            <w:r>
              <w:rPr>
                <w:rFonts w:ascii="Calibri" w:hAnsi="Calibri"/>
                <w:b w:val="0"/>
                <w:i w:val="0"/>
                <w:color w:val="212121"/>
                <w:sz w:val="16"/>
              </w:rPr>
              <w:t>Lacerations, degloving, embedded tooth/foreign fragments</w:t>
            </w:r>
          </w:p>
        </w:tc>
        <w:tc>
          <w:tcPr>
            <w:tcW w:type="dxa" w:w="950"/>
            <w:vAlign w:val="top"/>
          </w:tcPr>
          <w:p>
            <w:pPr>
              <w:spacing w:after="40" w:before="0" w:line="259" w:lineRule="auto"/>
            </w:pPr>
            <w:r>
              <w:rPr>
                <w:rFonts w:ascii="Calibri" w:hAnsi="Calibri"/>
                <w:b w:val="0"/>
                <w:i w:val="0"/>
                <w:color w:val="212121"/>
                <w:sz w:val="16"/>
              </w:rPr>
              <w:t>Intact mucosa</w:t>
            </w:r>
          </w:p>
        </w:tc>
        <w:tc>
          <w:tcPr>
            <w:tcW w:type="dxa" w:w="950"/>
            <w:vAlign w:val="top"/>
          </w:tcPr>
          <w:p>
            <w:pPr>
              <w:spacing w:after="40" w:before="0" w:line="259" w:lineRule="auto"/>
            </w:pPr>
            <w:r>
              <w:rPr>
                <w:rFonts w:ascii="Calibri" w:hAnsi="Calibri"/>
                <w:b w:val="0"/>
                <w:i w:val="0"/>
                <w:color w:val="212121"/>
                <w:sz w:val="16"/>
              </w:rPr>
              <w:t>Lip, tongue or sulcus laceration; unaccounted-for missing tooth fragment</w:t>
            </w:r>
          </w:p>
        </w:tc>
        <w:tc>
          <w:tcPr>
            <w:tcW w:type="dxa" w:w="1036"/>
            <w:vAlign w:val="top"/>
          </w:tcPr>
          <w:p>
            <w:pPr>
              <w:spacing w:after="40" w:before="0" w:line="259" w:lineRule="auto"/>
            </w:pPr>
            <w:r>
              <w:rPr>
                <w:rFonts w:ascii="Calibri" w:hAnsi="Calibri"/>
                <w:b w:val="0"/>
                <w:i w:val="0"/>
                <w:color w:val="212121"/>
                <w:sz w:val="16"/>
              </w:rPr>
              <w:t>Identifies wounds needing cleaning/suture and fragments buried in the lip</w:t>
            </w:r>
          </w:p>
        </w:tc>
        <w:tc>
          <w:tcPr>
            <w:tcW w:type="dxa" w:w="1036"/>
            <w:vAlign w:val="top"/>
          </w:tcPr>
          <w:p>
            <w:pPr>
              <w:spacing w:after="40" w:before="0" w:line="259" w:lineRule="auto"/>
            </w:pPr>
            <w:r>
              <w:rPr>
                <w:rFonts w:ascii="Calibri" w:hAnsi="Calibri"/>
                <w:b w:val="0"/>
                <w:i w:val="0"/>
                <w:color w:val="212121"/>
                <w:sz w:val="16"/>
              </w:rPr>
              <w:t>Lip / mucosal wounds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Radiograph the lip if a fragment is missing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Tooth position, mobility &amp; displacement</w:t>
            </w:r>
          </w:p>
        </w:tc>
        <w:tc>
          <w:tcPr>
            <w:tcW w:type="dxa" w:w="979"/>
            <w:vAlign w:val="top"/>
          </w:tcPr>
          <w:p>
            <w:pPr>
              <w:spacing w:after="40" w:before="0" w:line="259" w:lineRule="auto"/>
            </w:pPr>
            <w:r>
              <w:rPr>
                <w:rFonts w:ascii="Calibri" w:hAnsi="Calibri"/>
                <w:b w:val="0"/>
                <w:i w:val="0"/>
                <w:color w:val="212121"/>
                <w:sz w:val="16"/>
              </w:rPr>
              <w:t>Concussion vs subluxation vs luxation vs avulsion</w:t>
            </w:r>
          </w:p>
        </w:tc>
        <w:tc>
          <w:tcPr>
            <w:tcW w:type="dxa" w:w="950"/>
            <w:vAlign w:val="top"/>
          </w:tcPr>
          <w:p>
            <w:pPr>
              <w:spacing w:after="40" w:before="0" w:line="259" w:lineRule="auto"/>
            </w:pPr>
            <w:r>
              <w:rPr>
                <w:rFonts w:ascii="Calibri" w:hAnsi="Calibri"/>
                <w:b w:val="0"/>
                <w:i w:val="0"/>
                <w:color w:val="212121"/>
                <w:sz w:val="16"/>
              </w:rPr>
              <w:t>Tooth in place, physiological mobility</w:t>
            </w:r>
          </w:p>
        </w:tc>
        <w:tc>
          <w:tcPr>
            <w:tcW w:type="dxa" w:w="950"/>
            <w:vAlign w:val="top"/>
          </w:tcPr>
          <w:p>
            <w:pPr>
              <w:spacing w:after="40" w:before="0" w:line="259" w:lineRule="auto"/>
            </w:pPr>
            <w:r>
              <w:rPr>
                <w:rFonts w:ascii="Calibri" w:hAnsi="Calibri"/>
                <w:b w:val="0"/>
                <w:i w:val="0"/>
                <w:color w:val="212121"/>
                <w:sz w:val="16"/>
              </w:rPr>
              <w:t>Loosened, displaced, intruded, extruded or avulsed tooth</w:t>
            </w:r>
          </w:p>
        </w:tc>
        <w:tc>
          <w:tcPr>
            <w:tcW w:type="dxa" w:w="1036"/>
            <w:vAlign w:val="top"/>
          </w:tcPr>
          <w:p>
            <w:pPr>
              <w:spacing w:after="40" w:before="0" w:line="259" w:lineRule="auto"/>
            </w:pPr>
            <w:r>
              <w:rPr>
                <w:rFonts w:ascii="Calibri" w:hAnsi="Calibri"/>
                <w:b w:val="0"/>
                <w:i w:val="0"/>
                <w:color w:val="212121"/>
                <w:sz w:val="16"/>
              </w:rPr>
              <w:t>Classifies the periodontal injury and dictates repositioning / splinting / replantation</w:t>
            </w:r>
          </w:p>
        </w:tc>
        <w:tc>
          <w:tcPr>
            <w:tcW w:type="dxa" w:w="1036"/>
            <w:vAlign w:val="top"/>
          </w:tcPr>
          <w:p>
            <w:pPr>
              <w:spacing w:after="40" w:before="0" w:line="259" w:lineRule="auto"/>
            </w:pPr>
            <w:r>
              <w:rPr>
                <w:rFonts w:ascii="Calibri" w:hAnsi="Calibri"/>
                <w:b w:val="0"/>
                <w:i w:val="0"/>
                <w:color w:val="212121"/>
                <w:sz w:val="16"/>
              </w:rPr>
              <w:t>All injured teeth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Grade mobility and note direction of displacement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Occlusion check</w:t>
            </w:r>
          </w:p>
        </w:tc>
        <w:tc>
          <w:tcPr>
            <w:tcW w:type="dxa" w:w="979"/>
            <w:vAlign w:val="top"/>
          </w:tcPr>
          <w:p>
            <w:pPr>
              <w:spacing w:after="40" w:before="0" w:line="259" w:lineRule="auto"/>
            </w:pPr>
            <w:r>
              <w:rPr>
                <w:rFonts w:ascii="Calibri" w:hAnsi="Calibri"/>
                <w:b w:val="0"/>
                <w:i w:val="0"/>
                <w:color w:val="212121"/>
                <w:sz w:val="16"/>
              </w:rPr>
              <w:t>Bite relationship after injury</w:t>
            </w:r>
          </w:p>
        </w:tc>
        <w:tc>
          <w:tcPr>
            <w:tcW w:type="dxa" w:w="950"/>
            <w:vAlign w:val="top"/>
          </w:tcPr>
          <w:p>
            <w:pPr>
              <w:spacing w:after="40" w:before="0" w:line="259" w:lineRule="auto"/>
            </w:pPr>
            <w:r>
              <w:rPr>
                <w:rFonts w:ascii="Calibri" w:hAnsi="Calibri"/>
                <w:b w:val="0"/>
                <w:i w:val="0"/>
                <w:color w:val="212121"/>
                <w:sz w:val="16"/>
              </w:rPr>
              <w:t>Reproducible, comfortable occlusion</w:t>
            </w:r>
          </w:p>
        </w:tc>
        <w:tc>
          <w:tcPr>
            <w:tcW w:type="dxa" w:w="950"/>
            <w:vAlign w:val="top"/>
          </w:tcPr>
          <w:p>
            <w:pPr>
              <w:spacing w:after="40" w:before="0" w:line="259" w:lineRule="auto"/>
            </w:pPr>
            <w:r>
              <w:rPr>
                <w:rFonts w:ascii="Calibri" w:hAnsi="Calibri"/>
                <w:b w:val="0"/>
                <w:i w:val="0"/>
                <w:color w:val="212121"/>
                <w:sz w:val="16"/>
              </w:rPr>
              <w:t>Deranged bite / premature contact</w:t>
            </w:r>
          </w:p>
        </w:tc>
        <w:tc>
          <w:tcPr>
            <w:tcW w:type="dxa" w:w="1036"/>
            <w:vAlign w:val="top"/>
          </w:tcPr>
          <w:p>
            <w:pPr>
              <w:spacing w:after="40" w:before="0" w:line="259" w:lineRule="auto"/>
            </w:pPr>
            <w:r>
              <w:rPr>
                <w:rFonts w:ascii="Calibri" w:hAnsi="Calibri"/>
                <w:b w:val="0"/>
                <w:i w:val="0"/>
                <w:color w:val="212121"/>
                <w:sz w:val="16"/>
              </w:rPr>
              <w:t>A disturbed bite signals luxation, alveolar-segment or jaw fracture</w:t>
            </w:r>
          </w:p>
        </w:tc>
        <w:tc>
          <w:tcPr>
            <w:tcW w:type="dxa" w:w="1036"/>
            <w:vAlign w:val="top"/>
          </w:tcPr>
          <w:p>
            <w:pPr>
              <w:spacing w:after="40" w:before="0" w:line="259" w:lineRule="auto"/>
            </w:pPr>
            <w:r>
              <w:rPr>
                <w:rFonts w:ascii="Calibri" w:hAnsi="Calibri"/>
                <w:b w:val="0"/>
                <w:i w:val="0"/>
                <w:color w:val="212121"/>
                <w:sz w:val="16"/>
              </w:rPr>
              <w:t>Displaced teeth, alveolar fractures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Reposition displaced teeth to restore a normal bite before splinting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 in the injured tooth or jaw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Immediate pain from the fractured tooth, bruised ligament or surrounding soft tissue.</w:t>
            </w:r>
          </w:p>
        </w:tc>
      </w:tr>
      <w:tr>
        <w:trPr>
          <w:cantSplit/>
        </w:trPr>
        <w:tc>
          <w:tcPr>
            <w:tcW w:type="dxa" w:w="2304"/>
            <w:vAlign w:val="top"/>
          </w:tcPr>
          <w:p>
            <w:pPr>
              <w:spacing w:after="40" w:before="0" w:line="259" w:lineRule="auto"/>
            </w:pPr>
            <w:r>
              <w:rPr>
                <w:rFonts w:ascii="Calibri" w:hAnsi="Calibri"/>
                <w:b/>
                <w:i w:val="0"/>
                <w:color w:val="212121"/>
                <w:sz w:val="19"/>
              </w:rPr>
              <w:t>Sensitivity to cold, heat or 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Exposure of dentine after an enamel-dentine crown fracture makes the tooth sharply sensitive to stimuli.</w:t>
            </w:r>
          </w:p>
        </w:tc>
      </w:tr>
      <w:tr>
        <w:trPr>
          <w:cantSplit/>
        </w:trPr>
        <w:tc>
          <w:tcPr>
            <w:tcW w:type="dxa" w:w="2304"/>
            <w:vAlign w:val="top"/>
          </w:tcPr>
          <w:p>
            <w:pPr>
              <w:spacing w:after="40" w:before="0" w:line="259" w:lineRule="auto"/>
            </w:pPr>
            <w:r>
              <w:rPr>
                <w:rFonts w:ascii="Calibri" w:hAnsi="Calibri"/>
                <w:b/>
                <w:i w:val="0"/>
                <w:color w:val="212121"/>
                <w:sz w:val="19"/>
              </w:rPr>
              <w:t>Chipped, cracked or broken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loss of tooth structure, from a small enamel chip to a large fracture exposing dentine or pulp.</w:t>
            </w:r>
          </w:p>
        </w:tc>
      </w:tr>
      <w:tr>
        <w:trPr>
          <w:cantSplit/>
        </w:trPr>
        <w:tc>
          <w:tcPr>
            <w:tcW w:type="dxa" w:w="2304"/>
            <w:vAlign w:val="top"/>
          </w:tcPr>
          <w:p>
            <w:pPr>
              <w:spacing w:after="40" w:before="0" w:line="259" w:lineRule="auto"/>
            </w:pPr>
            <w:r>
              <w:rPr>
                <w:rFonts w:ascii="Calibri" w:hAnsi="Calibri"/>
                <w:b/>
                <w:i w:val="0"/>
                <w:color w:val="212121"/>
                <w:sz w:val="19"/>
              </w:rPr>
              <w:t>Loose or wobbly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mobility indicates subluxation, luxation or a root fracture.</w:t>
            </w:r>
          </w:p>
        </w:tc>
      </w:tr>
      <w:tr>
        <w:trPr>
          <w:cantSplit/>
        </w:trPr>
        <w:tc>
          <w:tcPr>
            <w:tcW w:type="dxa" w:w="2304"/>
            <w:vAlign w:val="top"/>
          </w:tcPr>
          <w:p>
            <w:pPr>
              <w:spacing w:after="40" w:before="0" w:line="259" w:lineRule="auto"/>
            </w:pPr>
            <w:r>
              <w:rPr>
                <w:rFonts w:ascii="Calibri" w:hAnsi="Calibri"/>
                <w:b/>
                <w:i w:val="0"/>
                <w:color w:val="212121"/>
                <w:sz w:val="19"/>
              </w:rPr>
              <w:t>Tooth pushed out of position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tooth that looks longer, shorter, tilted or displaced signifies a luxation injury.</w:t>
            </w:r>
          </w:p>
        </w:tc>
      </w:tr>
      <w:tr>
        <w:trPr>
          <w:cantSplit/>
        </w:trPr>
        <w:tc>
          <w:tcPr>
            <w:tcW w:type="dxa" w:w="2304"/>
            <w:vAlign w:val="top"/>
          </w:tcPr>
          <w:p>
            <w:pPr>
              <w:spacing w:after="40" w:before="0" w:line="259" w:lineRule="auto"/>
            </w:pPr>
            <w:r>
              <w:rPr>
                <w:rFonts w:ascii="Calibri" w:hAnsi="Calibri"/>
                <w:b/>
                <w:i w:val="0"/>
                <w:color w:val="212121"/>
                <w:sz w:val="19"/>
              </w:rPr>
              <w:t>Bleeding from the gum or lip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Bleeding from the gingival margin, socket or a torn lip or tongue accompanies most moderate injuries.</w:t>
            </w:r>
          </w:p>
        </w:tc>
      </w:tr>
      <w:tr>
        <w:trPr>
          <w:cantSplit/>
        </w:trPr>
        <w:tc>
          <w:tcPr>
            <w:tcW w:type="dxa" w:w="2304"/>
            <w:vAlign w:val="top"/>
          </w:tcPr>
          <w:p>
            <w:pPr>
              <w:spacing w:after="40" w:before="0" w:line="259" w:lineRule="auto"/>
            </w:pPr>
            <w:r>
              <w:rPr>
                <w:rFonts w:ascii="Calibri" w:hAnsi="Calibri"/>
                <w:b/>
                <w:i w:val="0"/>
                <w:color w:val="212121"/>
                <w:sz w:val="19"/>
              </w:rPr>
              <w:t>Pain on biting / feeling the bite is 'off'</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displaced tooth or alveolar fracture produces a premature contact and pain on closing.</w:t>
            </w:r>
          </w:p>
        </w:tc>
      </w:tr>
      <w:tr>
        <w:trPr>
          <w:cantSplit/>
        </w:trPr>
        <w:tc>
          <w:tcPr>
            <w:tcW w:type="dxa" w:w="2304"/>
            <w:vAlign w:val="top"/>
          </w:tcPr>
          <w:p>
            <w:pPr>
              <w:spacing w:after="40" w:before="0" w:line="259" w:lineRule="auto"/>
            </w:pPr>
            <w:r>
              <w:rPr>
                <w:rFonts w:ascii="Calibri" w:hAnsi="Calibri"/>
                <w:b/>
                <w:i w:val="0"/>
                <w:color w:val="212121"/>
                <w:sz w:val="19"/>
              </w:rPr>
              <w:t>Tooth completely knocked out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Avulsion of the whole tooth from its socket - a true dental emergency requiring immediate action.</w:t>
            </w:r>
          </w:p>
        </w:tc>
      </w:tr>
      <w:tr>
        <w:trPr>
          <w:cantSplit/>
        </w:trPr>
        <w:tc>
          <w:tcPr>
            <w:tcW w:type="dxa" w:w="2304"/>
            <w:vAlign w:val="top"/>
          </w:tcPr>
          <w:p>
            <w:pPr>
              <w:spacing w:after="40" w:before="0" w:line="259" w:lineRule="auto"/>
            </w:pPr>
            <w:r>
              <w:rPr>
                <w:rFonts w:ascii="Calibri" w:hAnsi="Calibri"/>
                <w:b/>
                <w:i w:val="0"/>
                <w:color w:val="212121"/>
                <w:sz w:val="19"/>
              </w:rPr>
              <w:t>Tooth pushed up into the gum (looks shorter)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Intrusive luxation, which in children can damage the developing permanent tooth beneath.</w:t>
            </w:r>
          </w:p>
        </w:tc>
      </w:tr>
      <w:tr>
        <w:trPr>
          <w:cantSplit/>
        </w:trPr>
        <w:tc>
          <w:tcPr>
            <w:tcW w:type="dxa" w:w="2304"/>
            <w:vAlign w:val="top"/>
          </w:tcPr>
          <w:p>
            <w:pPr>
              <w:spacing w:after="40" w:before="0" w:line="259" w:lineRule="auto"/>
            </w:pPr>
            <w:r>
              <w:rPr>
                <w:rFonts w:ascii="Calibri" w:hAnsi="Calibri"/>
                <w:b/>
                <w:i w:val="0"/>
                <w:color w:val="212121"/>
                <w:sz w:val="19"/>
              </w:rPr>
              <w:t>Tooth darkening / discolouration (grey or yellow)</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late sign of pulp bleeding, necrosis or calcific change appearing weeks to months after the injury.</w:t>
            </w:r>
          </w:p>
        </w:tc>
      </w:tr>
      <w:tr>
        <w:trPr>
          <w:cantSplit/>
        </w:trPr>
        <w:tc>
          <w:tcPr>
            <w:tcW w:type="dxa" w:w="2304"/>
            <w:vAlign w:val="top"/>
          </w:tcPr>
          <w:p>
            <w:pPr>
              <w:spacing w:after="40" w:before="0" w:line="259" w:lineRule="auto"/>
            </w:pPr>
            <w:r>
              <w:rPr>
                <w:rFonts w:ascii="Calibri" w:hAnsi="Calibri"/>
                <w:b/>
                <w:i w:val="0"/>
                <w:color w:val="212121"/>
                <w:sz w:val="19"/>
              </w:rPr>
              <w:t>Gum swelling, pimple or pus near the tooth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late sinus tract or abscess signals pulp death and periapical infection following the trauma.</w:t>
            </w:r>
          </w:p>
        </w:tc>
      </w:tr>
      <w:tr>
        <w:trPr>
          <w:cantSplit/>
        </w:trPr>
        <w:tc>
          <w:tcPr>
            <w:tcW w:type="dxa" w:w="2304"/>
            <w:vAlign w:val="top"/>
          </w:tcPr>
          <w:p>
            <w:pPr>
              <w:spacing w:after="40" w:before="0" w:line="259" w:lineRule="auto"/>
            </w:pPr>
            <w:r>
              <w:rPr>
                <w:rFonts w:ascii="Calibri" w:hAnsi="Calibri"/>
                <w:b/>
                <w:i w:val="0"/>
                <w:color w:val="212121"/>
                <w:sz w:val="19"/>
              </w:rPr>
              <w:t>No symptoms at all (silent injury)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Minor infractions or concussions and some primary-tooth injuries may be painless and found only on examination.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Crown fracture (enamel / enamel-dentine / pulp exposure)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crown structure; a pink or bleeding spot indicates a complicated fracture with pulp exposure.</w:t>
            </w:r>
          </w:p>
        </w:tc>
      </w:tr>
      <w:tr>
        <w:trPr>
          <w:cantSplit/>
        </w:trPr>
        <w:tc>
          <w:tcPr>
            <w:tcW w:type="dxa" w:w="3456"/>
            <w:vAlign w:val="top"/>
          </w:tcPr>
          <w:p>
            <w:pPr>
              <w:spacing w:after="40" w:before="0" w:line="259" w:lineRule="auto"/>
            </w:pPr>
            <w:r>
              <w:rPr>
                <w:rFonts w:ascii="Calibri" w:hAnsi="Calibri"/>
                <w:b/>
                <w:i w:val="0"/>
                <w:color w:val="212121"/>
                <w:sz w:val="19"/>
              </w:rPr>
              <w:t>Increased tooth mobility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Graded loosening on gentle pressure - subluxation, luxation or root fracture.</w:t>
            </w:r>
          </w:p>
        </w:tc>
      </w:tr>
      <w:tr>
        <w:trPr>
          <w:cantSplit/>
        </w:trPr>
        <w:tc>
          <w:tcPr>
            <w:tcW w:type="dxa" w:w="3456"/>
            <w:vAlign w:val="top"/>
          </w:tcPr>
          <w:p>
            <w:pPr>
              <w:spacing w:after="40" w:before="0" w:line="259" w:lineRule="auto"/>
            </w:pPr>
            <w:r>
              <w:rPr>
                <w:rFonts w:ascii="Calibri" w:hAnsi="Calibri"/>
                <w:b/>
                <w:i w:val="0"/>
                <w:color w:val="212121"/>
                <w:sz w:val="19"/>
              </w:rPr>
              <w:t>Tooth displacement / malposition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Extrusion, intrusion or lateral displacement visible against the adjacent teeth.</w:t>
            </w:r>
          </w:p>
        </w:tc>
      </w:tr>
      <w:tr>
        <w:trPr>
          <w:cantSplit/>
        </w:trPr>
        <w:tc>
          <w:tcPr>
            <w:tcW w:type="dxa" w:w="3456"/>
            <w:vAlign w:val="top"/>
          </w:tcPr>
          <w:p>
            <w:pPr>
              <w:spacing w:after="40" w:before="0" w:line="259" w:lineRule="auto"/>
            </w:pPr>
            <w:r>
              <w:rPr>
                <w:rFonts w:ascii="Calibri" w:hAnsi="Calibri"/>
                <w:b/>
                <w:i w:val="0"/>
                <w:color w:val="212121"/>
                <w:sz w:val="19"/>
              </w:rPr>
              <w:t>Tenderness to percussion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tapping indicates periodontal-ligament injury; a high metallic tone suggests ankylosis at follow-up.</w:t>
            </w:r>
          </w:p>
        </w:tc>
      </w:tr>
      <w:tr>
        <w:trPr>
          <w:cantSplit/>
        </w:trPr>
        <w:tc>
          <w:tcPr>
            <w:tcW w:type="dxa" w:w="3456"/>
            <w:vAlign w:val="top"/>
          </w:tcPr>
          <w:p>
            <w:pPr>
              <w:spacing w:after="40" w:before="0" w:line="259" w:lineRule="auto"/>
            </w:pPr>
            <w:r>
              <w:rPr>
                <w:rFonts w:ascii="Calibri" w:hAnsi="Calibri"/>
                <w:b/>
                <w:i w:val="0"/>
                <w:color w:val="212121"/>
                <w:sz w:val="19"/>
              </w:rPr>
              <w:t>Gingival / mucosal laceration or bruising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Soft-tissue wounds of the lip, gum or sulcus commonly accompany the dental injury.</w:t>
            </w:r>
          </w:p>
        </w:tc>
      </w:tr>
      <w:tr>
        <w:trPr>
          <w:cantSplit/>
        </w:trPr>
        <w:tc>
          <w:tcPr>
            <w:tcW w:type="dxa" w:w="3456"/>
            <w:vAlign w:val="top"/>
          </w:tcPr>
          <w:p>
            <w:pPr>
              <w:spacing w:after="40" w:before="0" w:line="259" w:lineRule="auto"/>
            </w:pPr>
            <w:r>
              <w:rPr>
                <w:rFonts w:ascii="Calibri" w:hAnsi="Calibri"/>
                <w:b/>
                <w:i w:val="0"/>
                <w:color w:val="212121"/>
                <w:sz w:val="19"/>
              </w:rPr>
              <w:t>Empty or bleeding socket (avulsion)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socket with the tooth missing confirms avulsion and demands immediate replantation or appropriate storage.</w:t>
            </w:r>
          </w:p>
        </w:tc>
      </w:tr>
      <w:tr>
        <w:trPr>
          <w:cantSplit/>
        </w:trPr>
        <w:tc>
          <w:tcPr>
            <w:tcW w:type="dxa" w:w="3456"/>
            <w:vAlign w:val="top"/>
          </w:tcPr>
          <w:p>
            <w:pPr>
              <w:spacing w:after="40" w:before="0" w:line="259" w:lineRule="auto"/>
            </w:pPr>
            <w:r>
              <w:rPr>
                <w:rFonts w:ascii="Calibri" w:hAnsi="Calibri"/>
                <w:b/>
                <w:i w:val="0"/>
                <w:color w:val="212121"/>
                <w:sz w:val="19"/>
              </w:rPr>
              <w:t>Altered or absent pulp sensibility response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response to thermal/electric testing may be transient 'pulp shock' or established necrosis - must be re-tested over time.</w:t>
            </w:r>
          </w:p>
        </w:tc>
      </w:tr>
      <w:tr>
        <w:trPr>
          <w:cantSplit/>
        </w:trPr>
        <w:tc>
          <w:tcPr>
            <w:tcW w:type="dxa" w:w="3456"/>
            <w:vAlign w:val="top"/>
          </w:tcPr>
          <w:p>
            <w:pPr>
              <w:spacing w:after="40" w:before="0" w:line="259" w:lineRule="auto"/>
            </w:pPr>
            <w:r>
              <w:rPr>
                <w:rFonts w:ascii="Calibri" w:hAnsi="Calibri"/>
                <w:b/>
                <w:i w:val="0"/>
                <w:color w:val="212121"/>
                <w:sz w:val="19"/>
              </w:rPr>
              <w:t>Deranged occlusion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tooth or segment out of the bite indicates luxation or alveolar / jaw fracture.</w:t>
            </w:r>
          </w:p>
        </w:tc>
      </w:tr>
      <w:tr>
        <w:trPr>
          <w:cantSplit/>
        </w:trPr>
        <w:tc>
          <w:tcPr>
            <w:tcW w:type="dxa" w:w="3456"/>
            <w:vAlign w:val="top"/>
          </w:tcPr>
          <w:p>
            <w:pPr>
              <w:spacing w:after="40" w:before="0" w:line="259" w:lineRule="auto"/>
            </w:pPr>
            <w:r>
              <w:rPr>
                <w:rFonts w:ascii="Calibri" w:hAnsi="Calibri"/>
                <w:b/>
                <w:i w:val="0"/>
                <w:color w:val="212121"/>
                <w:sz w:val="19"/>
              </w:rPr>
              <w:t>Palpable alveolar step or mobile bony segment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Movement of several teeth together on palpation indicates an alveolar-process fracture.</w:t>
            </w:r>
          </w:p>
        </w:tc>
      </w:tr>
      <w:tr>
        <w:trPr>
          <w:cantSplit/>
        </w:trPr>
        <w:tc>
          <w:tcPr>
            <w:tcW w:type="dxa" w:w="3456"/>
            <w:vAlign w:val="top"/>
          </w:tcPr>
          <w:p>
            <w:pPr>
              <w:spacing w:after="40" w:before="0" w:line="259" w:lineRule="auto"/>
            </w:pPr>
            <w:r>
              <w:rPr>
                <w:rFonts w:ascii="Calibri" w:hAnsi="Calibri"/>
                <w:b/>
                <w:i w:val="0"/>
                <w:color w:val="212121"/>
                <w:sz w:val="19"/>
              </w:rPr>
              <w:t>Crown discolouration (grey / dark)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Later colour change of the crown reflecting pulp necrosis or pulp-canal obliteration.</w:t>
            </w:r>
          </w:p>
        </w:tc>
      </w:tr>
      <w:tr>
        <w:trPr>
          <w:cantSplit/>
        </w:trPr>
        <w:tc>
          <w:tcPr>
            <w:tcW w:type="dxa" w:w="3456"/>
            <w:vAlign w:val="top"/>
          </w:tcPr>
          <w:p>
            <w:pPr>
              <w:spacing w:after="40" w:before="0" w:line="259" w:lineRule="auto"/>
            </w:pPr>
            <w:r>
              <w:rPr>
                <w:rFonts w:ascii="Calibri" w:hAnsi="Calibri"/>
                <w:b/>
                <w:i w:val="0"/>
                <w:color w:val="212121"/>
                <w:sz w:val="19"/>
              </w:rPr>
              <w:t>Radiographic root fracture / widened PDL / resorption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Imaging shows the fracture line, luxation-related PDL widening or later inflammatory / replacement root resorption.</w:t>
            </w:r>
          </w:p>
        </w:tc>
      </w:tr>
      <w:tr>
        <w:trPr>
          <w:cantSplit/>
        </w:trPr>
        <w:tc>
          <w:tcPr>
            <w:tcW w:type="dxa" w:w="3456"/>
            <w:vAlign w:val="top"/>
          </w:tcPr>
          <w:p>
            <w:pPr>
              <w:spacing w:after="40" w:before="0" w:line="259" w:lineRule="auto"/>
            </w:pPr>
            <w:r>
              <w:rPr>
                <w:rFonts w:ascii="Calibri" w:hAnsi="Calibri"/>
                <w:b/>
                <w:i w:val="0"/>
                <w:color w:val="212121"/>
                <w:sz w:val="19"/>
              </w:rPr>
              <w:t>Sinus tract / periapical radiolucency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draining sinus with a periapical radiolucency indicates established post-traumatic pulp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Uncomplicated crown fracture (enamel / enamel-dentine, dentine exposed)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Complicated crown fracture with pulp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Crown-root and root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Luxation injuries - concussion, subluxation, extrusive, lateral and intrusive luxation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Avulsion (complete knocking-out of the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Alveolar-bone / socket-wall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Soft-tissue lacerations, degloving and haemorrhage</w:t>
            </w:r>
          </w:p>
        </w:tc>
        <w:tc>
          <w:tcPr>
            <w:tcW w:type="dxa" w:w="2980"/>
            <w:vAlign w:val="top"/>
          </w:tcPr>
          <w:p>
            <w:pPr>
              <w:spacing w:after="40" w:before="0" w:line="259" w:lineRule="auto"/>
            </w:pPr>
            <w:r>
              <w:rPr>
                <w:rFonts w:ascii="Calibri" w:hAnsi="Calibri"/>
                <w:b w:val="0"/>
                <w:i w:val="0"/>
                <w:color w:val="212121"/>
                <w:sz w:val="19"/>
              </w:rPr>
              <w:t>The immediate, direct physical damage to the tooth, its socket and the surrounding soft tissue at the moment of injury.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Pulp necrosis and post-traumatic pulp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Pulp-canal obliteration (calcific metamorphosis) and crown discolouration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Inflammatory (external) root resorption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Replacement resorption with ankylosis (fusion of tooth to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Periapical abscess and acute or chronic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Marginal alveolar-bone loss and loss of pulp sensibility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Damage to the developing permanent successor after primary-tooth trauma (enamel defects, dilaceration, eruption disturbance)</w:t>
            </w:r>
          </w:p>
        </w:tc>
        <w:tc>
          <w:tcPr>
            <w:tcW w:type="dxa" w:w="2980"/>
            <w:vAlign w:val="top"/>
          </w:tcPr>
          <w:p>
            <w:pPr>
              <w:spacing w:after="40" w:before="0" w:line="259" w:lineRule="auto"/>
            </w:pPr>
            <w:r>
              <w:rPr>
                <w:rFonts w:ascii="Calibri" w:hAnsi="Calibri"/>
                <w:b w:val="0"/>
                <w:i w:val="0"/>
                <w:color w:val="212121"/>
                <w:sz w:val="19"/>
              </w:rPr>
              <w:t>Delayed biological consequences of the injury and of infection, developing over weeks to years, especially where treatment is delayed.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or eventual loss of the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Ankylosis with infraocclusion, disturbing alveolar-ridge growth in a growing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Malocclusion, drifting and space loss after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Aesthetic and functional impairment (chewing,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oral health-related quality of life, embarrassment and social / psychological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need for restorative, endodontic, orthodontic or prosthetic (implant/bridge) rehabilitation and cost</w:t>
            </w:r>
          </w:p>
        </w:tc>
        <w:tc>
          <w:tcPr>
            <w:tcW w:type="dxa" w:w="2980"/>
            <w:vAlign w:val="top"/>
          </w:tcPr>
          <w:p>
            <w:pPr>
              <w:spacing w:after="40" w:before="0" w:line="259" w:lineRule="auto"/>
            </w:pPr>
            <w:r>
              <w:rPr>
                <w:rFonts w:ascii="Calibri" w:hAnsi="Calibri"/>
                <w:b w:val="0"/>
                <w:i w:val="0"/>
                <w:color w:val="212121"/>
                <w:sz w:val="19"/>
              </w:rPr>
              <w:t>Long-term, often irreversible outcomes that follow untreated or severe injuries and their secondary complications, affecting function, appearance, development and wellbeing.</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Malocclusion with increased overjet / Angle Class II div 1</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Protruding, poorly lip-covered upper incisors are the strongest structural risk factor for TDI (overjet &gt;3.5 mm OR ~4.8; &gt;5.5 mm OR ~4.9); orthodontic correction reduces future risk.</w:t>
            </w:r>
          </w:p>
        </w:tc>
      </w:tr>
      <w:tr>
        <w:trPr>
          <w:cantSplit/>
        </w:trPr>
        <w:tc>
          <w:tcPr>
            <w:tcW w:type="dxa" w:w="2232"/>
            <w:vAlign w:val="top"/>
          </w:tcPr>
          <w:p>
            <w:pPr>
              <w:spacing w:after="40" w:before="0" w:line="259" w:lineRule="auto"/>
            </w:pPr>
            <w:r>
              <w:rPr>
                <w:rFonts w:ascii="Calibri" w:hAnsi="Calibri"/>
                <w:b/>
                <w:i w:val="0"/>
                <w:color w:val="212121"/>
                <w:sz w:val="19"/>
              </w:rPr>
              <w:t>Incompetent / short upper lip</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Failure of the lips to cover and cushion the upper incisors leaves them unprotected (OR 3.35-4.76 for TDI).</w:t>
            </w:r>
          </w:p>
        </w:tc>
      </w:tr>
      <w:tr>
        <w:trPr>
          <w:cantSplit/>
        </w:trPr>
        <w:tc>
          <w:tcPr>
            <w:tcW w:type="dxa" w:w="2232"/>
            <w:vAlign w:val="top"/>
          </w:tcPr>
          <w:p>
            <w:pPr>
              <w:spacing w:after="40" w:before="0" w:line="259" w:lineRule="auto"/>
            </w:pPr>
            <w:r>
              <w:rPr>
                <w:rFonts w:ascii="Calibri" w:hAnsi="Calibri"/>
                <w:b/>
                <w:i w:val="0"/>
                <w:color w:val="212121"/>
                <w:sz w:val="19"/>
              </w:rPr>
              <w:t>Attention-deficit / hyperactivity disorder (ADHD)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Impulsivity and hyperactivity raise accidental-injury risk; children with ADHD have roughly 1.8-fold higher odds of dental trauma and may need behavioural support for treatment.</w:t>
            </w:r>
          </w:p>
        </w:tc>
      </w:tr>
      <w:tr>
        <w:trPr>
          <w:cantSplit/>
        </w:trPr>
        <w:tc>
          <w:tcPr>
            <w:tcW w:type="dxa" w:w="2232"/>
            <w:vAlign w:val="top"/>
          </w:tcPr>
          <w:p>
            <w:pPr>
              <w:spacing w:after="40" w:before="0" w:line="259" w:lineRule="auto"/>
            </w:pPr>
            <w:r>
              <w:rPr>
                <w:rFonts w:ascii="Calibri" w:hAnsi="Calibri"/>
                <w:b/>
                <w:i w:val="0"/>
                <w:color w:val="212121"/>
                <w:sz w:val="19"/>
              </w:rPr>
              <w:t>Epilepsy / seizure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Sudden falls during seizures frequently strike the anterior teeth; poor seizure control and treatment sedation both affect management.</w:t>
            </w:r>
          </w:p>
        </w:tc>
      </w:tr>
      <w:tr>
        <w:trPr>
          <w:cantSplit/>
        </w:trPr>
        <w:tc>
          <w:tcPr>
            <w:tcW w:type="dxa" w:w="2232"/>
            <w:vAlign w:val="top"/>
          </w:tcPr>
          <w:p>
            <w:pPr>
              <w:spacing w:after="40" w:before="0" w:line="259" w:lineRule="auto"/>
            </w:pPr>
            <w:r>
              <w:rPr>
                <w:rFonts w:ascii="Calibri" w:hAnsi="Calibri"/>
                <w:b/>
                <w:i w:val="0"/>
                <w:color w:val="212121"/>
                <w:sz w:val="19"/>
              </w:rPr>
              <w:t>Special healthcare needs (cerebral palsy, intellectual disability, visual impairment)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coordination, balance and protective reflexes greatly increase TDI - prevalence up to 40.5% in one Indian cohort - and complicate delivery of dental care.</w:t>
            </w:r>
          </w:p>
          <w:p>
            <w:pPr>
              <w:spacing w:after="40" w:before="0" w:line="259" w:lineRule="auto"/>
            </w:pPr>
            <w:r>
              <w:rPr>
                <w:rFonts w:ascii="Calibri" w:hAnsi="Calibri"/>
                <w:b/>
                <w:i w:val="0"/>
                <w:color w:val="212121"/>
                <w:sz w:val="19"/>
              </w:rPr>
              <w:t>Up to 40.5%</w:t>
            </w:r>
          </w:p>
        </w:tc>
      </w:tr>
      <w:tr>
        <w:trPr>
          <w:cantSplit/>
        </w:trPr>
        <w:tc>
          <w:tcPr>
            <w:tcW w:type="dxa" w:w="2232"/>
            <w:vAlign w:val="top"/>
          </w:tcPr>
          <w:p>
            <w:pPr>
              <w:spacing w:after="40" w:before="0" w:line="259" w:lineRule="auto"/>
            </w:pPr>
            <w:r>
              <w:rPr>
                <w:rFonts w:ascii="Calibri" w:hAnsi="Calibri"/>
                <w:b/>
                <w:i w:val="0"/>
                <w:color w:val="212121"/>
                <w:sz w:val="19"/>
              </w:rPr>
              <w:t>Overweight / obesity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Diet-driven excess weight is associated with a modestly higher risk of dental trauma in children (pooled OR 1.30).</w:t>
            </w:r>
          </w:p>
        </w:tc>
      </w:tr>
      <w:tr>
        <w:trPr>
          <w:cantSplit/>
        </w:trPr>
        <w:tc>
          <w:tcPr>
            <w:tcW w:type="dxa" w:w="2232"/>
            <w:vAlign w:val="top"/>
          </w:tcPr>
          <w:p>
            <w:pPr>
              <w:spacing w:after="40" w:before="0" w:line="259" w:lineRule="auto"/>
            </w:pPr>
            <w:r>
              <w:rPr>
                <w:rFonts w:ascii="Calibri" w:hAnsi="Calibri"/>
                <w:b/>
                <w:i w:val="0"/>
                <w:color w:val="212121"/>
                <w:sz w:val="19"/>
              </w:rPr>
              <w:t>Enamel developmental defects (molar-incisor hypomineralisation, hypoplasia)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Weak, brittle enamel chips and fractures under minor impact and complicates bonding and restoration.</w:t>
            </w:r>
          </w:p>
        </w:tc>
      </w:tr>
      <w:tr>
        <w:trPr>
          <w:cantSplit/>
        </w:trPr>
        <w:tc>
          <w:tcPr>
            <w:tcW w:type="dxa" w:w="2232"/>
            <w:vAlign w:val="top"/>
          </w:tcPr>
          <w:p>
            <w:pPr>
              <w:spacing w:after="40" w:before="0" w:line="259" w:lineRule="auto"/>
            </w:pPr>
            <w:r>
              <w:rPr>
                <w:rFonts w:ascii="Calibri" w:hAnsi="Calibri"/>
                <w:b/>
                <w:i w:val="0"/>
                <w:color w:val="212121"/>
                <w:sz w:val="19"/>
              </w:rPr>
              <w:t>Pulp necrosis &amp; periapical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frequent sequel of crown fracture, luxation or avulsion; if the pulp dies, root-canal treatment is needed to save the tooth.</w:t>
            </w:r>
          </w:p>
        </w:tc>
      </w:tr>
      <w:tr>
        <w:trPr>
          <w:cantSplit/>
        </w:trPr>
        <w:tc>
          <w:tcPr>
            <w:tcW w:type="dxa" w:w="2232"/>
            <w:vAlign w:val="top"/>
          </w:tcPr>
          <w:p>
            <w:pPr>
              <w:spacing w:after="40" w:before="0" w:line="259" w:lineRule="auto"/>
            </w:pPr>
            <w:r>
              <w:rPr>
                <w:rFonts w:ascii="Calibri" w:hAnsi="Calibri"/>
                <w:b/>
                <w:i w:val="0"/>
                <w:color w:val="212121"/>
                <w:sz w:val="19"/>
              </w:rPr>
              <w:t>External root resorption &amp; ankylosis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Inflammatory or replacement resorption after luxation or replantation can progressively destroy the root and fuse the tooth to bone, leading to loss.</w:t>
            </w:r>
          </w:p>
        </w:tc>
      </w:tr>
      <w:tr>
        <w:trPr>
          <w:cantSplit/>
        </w:trPr>
        <w:tc>
          <w:tcPr>
            <w:tcW w:type="dxa" w:w="2232"/>
            <w:vAlign w:val="top"/>
          </w:tcPr>
          <w:p>
            <w:pPr>
              <w:spacing w:after="40" w:before="0" w:line="259" w:lineRule="auto"/>
            </w:pPr>
            <w:r>
              <w:rPr>
                <w:rFonts w:ascii="Calibri" w:hAnsi="Calibri"/>
                <w:b/>
                <w:i w:val="0"/>
                <w:color w:val="212121"/>
                <w:sz w:val="19"/>
              </w:rPr>
              <w:t>Reduced oral health-related quality of life &amp; dental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visible injured or lost front tooth impairs quality of life, appearance and confidence for the child and family, and anxiety can delay care in a bidirectional loop.</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dental trauma is preventable and results from falls, sports and playground collisions, road-traffic accidents and assaults.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Child-proof the home for toddlers - safety gates on stairs, padded edges, dry floors and supervision while learning to walk and run.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children with protruding upper front teeth (increased overjet) or lips that do not cover the teeth assessed for early orthodontic advice, as these greatly increase trauma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simple first aid for a knocked-out permanent tooth: keep the child calm, hold the tooth by the crown (not the root), rinse gently if dirty, and replant it into the socket at once.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the tooth cannot be replanted, store it in cold milk (or the child's saliva / a tooth-preservation solution) - never in dry tissue or water - and reach a dentist within the hour.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replant an avulsed primary (baby) tooth, and always seek prompt dental review after any facial injury even if the teeth look intact.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teachers &amp; sports coaches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increased overjet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special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Sports participants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properly fitted mouthguard (ideally custom-made) for all contact and collision sports such as cricket, hockey, football and kabaddi.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wear a correctly fastened helmet - full-face where available - when cycling, skating or riding a two-wheeler.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playgrounds and sports areas have safe, energy-absorbing surfaces and well-maintained equipment.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Supervise young children during active play and teach safe play habits to reduce falls and collisions.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using the teeth as tools (opening bottles/packets) and avoid oral or lip piercings.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Sports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 &amp; two-wheeler riders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 injury, follow the dentist's advice on a period of rest from contact sport while the tooth and ligament heal and any splint is in place.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a repositioned or replanted tooth with the prescribed flexible splint and avoid biting on it until cleared.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sport only with a protective mouthguard, especially as a past injury strongly predicts a further 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all scheduled follow-up reviews so pulp status and any root resorption are detected and managed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TDI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Splinted / replanted-tooth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athletes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soft diet and avoid biting directly on the injured tooth for the period advised after the injury or splinting.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hard, sticky or crunchy foods that could re-injure or dislodge a healing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frequent sugary and acidic foods and drinks to protect vulnerable, chipped or exposed tooth surfaces from decay and erosion.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healthy weight in children, as overweight is linked to a modestly higher trauma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TDI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chipped / exposed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extra supervision, structure and injury-prevention support for children with ADHD, who are more injury-prone.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seizure control in children and adults with epilepsy to reduce fall-related facial and dental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teasing, embarrassment or anxiety about a visibly injured or discoloured front tooth, and arrange timely aesthetic repair to protect self-esteem.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ADHD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visible tooth injury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other intoxicants that impair balance and judgement and lead to falls, assaults and road-traffic crashes.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ride or drive under the influence, the commonest setting for severe adult dentofacial trauma.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Two-wheeler riders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6440519/" TargetMode="External"/><Relationship Id="rId10" Type="http://schemas.openxmlformats.org/officeDocument/2006/relationships/hyperlink" Target="https://pmc.ncbi.nlm.nih.gov/articles/PMC6710947/" TargetMode="External"/><Relationship Id="rId11" Type="http://schemas.openxmlformats.org/officeDocument/2006/relationships/hyperlink" Target="https://pubmed.ncbi.nlm.nih.gov/35197391/" TargetMode="External"/><Relationship Id="rId12" Type="http://schemas.openxmlformats.org/officeDocument/2006/relationships/hyperlink" Target="https://pmc.ncbi.nlm.nih.gov/articles/PMC10499846/" TargetMode="External"/><Relationship Id="rId13" Type="http://schemas.openxmlformats.org/officeDocument/2006/relationships/hyperlink" Target="https://pubmed.ncbi.nlm.nih.gov/33107464/" TargetMode="External"/><Relationship Id="rId14" Type="http://schemas.openxmlformats.org/officeDocument/2006/relationships/hyperlink" Target="https://pubmed.ncbi.nlm.nih.gov/35439876/" TargetMode="External"/><Relationship Id="rId15" Type="http://schemas.openxmlformats.org/officeDocument/2006/relationships/hyperlink" Target="https://pubmed.ncbi.nlm.nih.gov/25864932/" TargetMode="External"/><Relationship Id="rId16" Type="http://schemas.openxmlformats.org/officeDocument/2006/relationships/hyperlink" Target="https://pubmed.ncbi.nlm.nih.gov/36606334/" TargetMode="External"/><Relationship Id="rId17" Type="http://schemas.openxmlformats.org/officeDocument/2006/relationships/hyperlink" Target="https://pmc.ncbi.nlm.nih.gov/articles/PMC9016911/" TargetMode="External"/><Relationship Id="rId18" Type="http://schemas.openxmlformats.org/officeDocument/2006/relationships/hyperlink" Target="https://pubmed.ncbi.nlm.nih.gov/37194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