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Anemia</w:t>
      </w:r>
    </w:p>
    <w:p>
      <w:pPr>
        <w:spacing w:before="0" w:after="160"/>
      </w:pPr>
      <w:r>
        <w:rPr>
          <w:rFonts w:ascii="Calibri" w:hAnsi="Calibri"/>
          <w:b/>
          <w:i w:val="0"/>
          <w:color w:val="212121"/>
          <w:sz w:val="22"/>
        </w:rPr>
        <w:t xml:space="preserve">AKA </w:t>
      </w:r>
      <w:r>
        <w:rPr>
          <w:rFonts w:ascii="Calibri" w:hAnsi="Calibri"/>
          <w:b w:val="0"/>
          <w:i w:val="0"/>
          <w:color w:val="212121"/>
          <w:sz w:val="22"/>
        </w:rPr>
        <w:t>i.e., Anaemia, Low haemoglobin, Low blood count, 'Khoon ki kami', Iron-deficiency anaemia (when nutritional)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Anaemia is a condition in which the number of red blood cells or their oxygen-carrying capacity (haemoglobin concentration) is below what is needed to meet the body's physiological requirements, resulting in reduced delivery of oxygen to tissues. It is a sign of an underlying disorder rather than a single disease, and in India is overwhelmingly nutritional - iron deficiency being the single most common and most treatable cause - though vitamin B12 and folate deficiency, chronic inflammation and infection, and inherited haemoglobinopathies contribute substantially. It ranges from mild and asymptomatic to severe and life-threatening, and is one of India's largest public-health problems.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Anaemia is hyper-endemic in India. In NFHS-5 (2019-21), 57.0% of women aged 15-49, 25.0% of men aged 15-49, 67.1% of children aged 6-59 months, 59.1% of adolescent girls (15-19 years) and 52.2% of pregnant women were anaemic, with prevalence rising in most groups since NFHS-4 (children up by 8.5 percentage points). Most anaemia is mild-to-moderate, with under 3% of women and children severely anaemic. Iron deficiency is the leading contributor, but recent venous-blood surveys suggest the aetiology is multifactorial - iron-deficiency anaemia may account for less than a third of cases in some Indian populations, with B12/folate deficiency, chronic disease and haemoglobinopathies also important. Prevalence varies widely by state (from about 12% in Meghalaya to about 70% in Assam in one eight-state venous survey), and is highest in poorer, rural, tribal and less-educated communities. The Anaemia Mukt Bharat (AMB) 6x6x6 strategy is the national programme addressing this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Anaemia is defined by a haemoglobin (Hb) concentration below population- and age/sex-specific WHO thresholds, then characterised by red-cell indices and targeted tests to establish the cause; venous samples are preferred as capillary (HemoCue) testing tends to overestimate prevalence: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WHO haemoglobin cut-offs: non-pregnant women &lt; 12.0 g/dL (120 g/L); men &lt; 13.0 g/dL (130 g/L); pregnant women &lt; 11.0 g/dL; children 6-59 months &lt; 11.0 g/dL (the WHO 2024 revision lowered the cut-off for infants 6-23 months to 10.5 g/dL); 5-11 years &lt; 11.5 g/dL; 12-14 years &lt; 12.0 g/dL.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(WHO): mild, moderate and severe categories are defined by graded haemoglobin ranges (for example, in non-pregnant adults severe is &lt; 8.0 g/dL).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Complete blood count with red-cell indices: mean corpuscular volume (MCV) classifies anaemia as microcytic (&lt; 80 fL: iron deficiency, thalassaemia), normocytic (80-100 fL: chronic disease, acute blood loss, CKD, haemolysis) or macrocytic (&gt; 100 fL: B12/folate deficiency); MCH, MCHC and red-cell distribution width (RDW) refine this.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Peripheral blood smear for morphology (hypochromic microcytic cells, macro-ovalocytes, hypersegmented neutrophils, target cells, sickle cells).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Iron studies: serum ferritin (&lt; 15-30 ng/mL indicates iron deficiency, but ferritin is an acute-phase reactant), serum iron, total iron-binding capacity (raised in iron deficiency) and transferrin saturation (&lt; 20%).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vitamin B12 (&lt; 200 pg/mL) and serum/red-cell folate (&lt; 3-4 ng/mL) for megaloblastic anaemia.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Reticulocyte count to separate hypoproliferative anaemia (low) from blood loss or haemolysis (high).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Haemoglobin electrophoresis or HPLC (with HbA2 and HbF) plus sickling/solubility tests to detect thalassaemias and structural haemoglobinopathies, especially in tribal or family-history cases.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Anaemia is classified both by red-cell morphology (MCV-based) and by underlying mechanism/cause; the main clinically important subtypes in India are:</w:t>
      </w:r>
    </w:p>
    <w:p>
      <w:pPr>
        <w:spacing w:before="0" w:after="80"/>
      </w:pPr>
      <w:r>
        <w:rPr>
          <w:rFonts w:ascii="Calibri" w:hAnsi="Calibri"/>
          <w:b w:val="0"/>
          <w:i w:val="0"/>
          <w:color w:val="212121"/>
          <w:sz w:val="21"/>
        </w:rPr>
        <w:t>(1) By morphology: microcytic hypochromic (low MCV - iron deficiency, thalassaemia, sometimes anaemia of chronic disease), normocytic normochromic (normal MCV - anaemia of chronic disease, acute blood loss, chronic kidney disease, haemolysis, aplastic anaemia) and macrocytic (high MCV - megaloblastic B12/folate deficiency, and non-megaloblastic causes such as alcohol, liver disease and hypothyroidism).</w:t>
      </w:r>
    </w:p>
    <w:p>
      <w:pPr>
        <w:spacing w:before="0" w:after="80"/>
      </w:pPr>
      <w:r>
        <w:rPr>
          <w:rFonts w:ascii="Calibri" w:hAnsi="Calibri"/>
          <w:b w:val="0"/>
          <w:i w:val="0"/>
          <w:color w:val="212121"/>
          <w:sz w:val="21"/>
        </w:rPr>
        <w:t>(2) Iron-deficiency anaemia - the dominant type in India: caused by inadequate dietary iron and poor bioavailability (non-heme iron, phytates, tea/coffee with meals), chronic blood loss (menstruation, hookworm, gastrointestinal bleeding) and increased demand (pregnancy, infancy, adolescence); typically microcytic hypochromic with low ferritin.</w:t>
      </w:r>
    </w:p>
    <w:p>
      <w:pPr>
        <w:spacing w:before="0" w:after="80"/>
      </w:pPr>
      <w:r>
        <w:rPr>
          <w:rFonts w:ascii="Calibri" w:hAnsi="Calibri"/>
          <w:b w:val="0"/>
          <w:i w:val="0"/>
          <w:color w:val="212121"/>
          <w:sz w:val="21"/>
        </w:rPr>
        <w:t>(3) Megaloblastic (macrocytic) anaemia: due to vitamin B12 (cobalamin) and/or folate deficiency, strongly linked in India to long-standing vegetarian diets, malabsorption (pernicious anaemia, ileal or gastric disease, H. pylori) and the raised demands of pregnancy.</w:t>
      </w:r>
    </w:p>
    <w:p>
      <w:pPr>
        <w:spacing w:before="0" w:after="80"/>
      </w:pPr>
      <w:r>
        <w:rPr>
          <w:rFonts w:ascii="Calibri" w:hAnsi="Calibri"/>
          <w:b w:val="0"/>
          <w:i w:val="0"/>
          <w:color w:val="212121"/>
          <w:sz w:val="21"/>
        </w:rPr>
        <w:t>(4) Anaemia of chronic disease/inflammation: normocytic (sometimes microcytic), driven by hepcidin-mediated iron sequestration and suppressed erythropoiesis in chronic infection (tuberculosis, HIV, malaria), autoimmune disease, malignancy and chronic kidney disease (where erythropoietin deficiency also contributes).</w:t>
      </w:r>
    </w:p>
    <w:p>
      <w:pPr>
        <w:spacing w:before="0" w:after="80"/>
      </w:pPr>
      <w:r>
        <w:rPr>
          <w:rFonts w:ascii="Calibri" w:hAnsi="Calibri"/>
          <w:b w:val="0"/>
          <w:i w:val="0"/>
          <w:color w:val="212121"/>
          <w:sz w:val="21"/>
        </w:rPr>
        <w:t>(5) Haemolytic anaemias and inherited haemoglobinopathies: increased red-cell destruction from beta-thalassaemia, sickle cell disease, HbE disorders and G6PD deficiency (and acquired/autoimmune haemolysis) - a major and geographically concentrated public-health contributor in India, particularly among tribal populations.</w:t>
      </w:r>
    </w:p>
    <w:p>
      <w:pPr>
        <w:spacing w:before="0" w:after="80"/>
      </w:pPr>
      <w:r>
        <w:rPr>
          <w:rFonts w:ascii="Calibri" w:hAnsi="Calibri"/>
          <w:b w:val="0"/>
          <w:i w:val="0"/>
          <w:color w:val="212121"/>
          <w:sz w:val="21"/>
        </w:rPr>
        <w:t>(6) Other and mixed types: aplastic and bone-marrow-failure anaemias, acute blood-loss anaemia, and combined nutritional deficiencies (iron plus B12/folate) - a dimorphic picture that is common in India.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Nutritional iron deficiency: Low intake of bioavailable (heme) iron and diets high in absorption inhibitors (phytates, tannins from tea/coffee) with few enhancers (vitamin C) - the leading cause of anaemia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Chronic blood loss: Menstrual loss and menorrhagia in women, hookworm and other soil-transmitted helminths, and gastrointestinal bleeding (peptic ulcer, NSAIDs, malignancy) steadily deplete iron.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Vitamin B12 and folate deficiency: Long-term vegetarian/vegan diets, malabsorption and increased demand cause megaloblastic anaemia; B12 deficiency is especially common in Indian vegetarians.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Increased physiological demand: Pregnancy, lactation, infancy and the adolescent growth spurt raise iron and micronutrient requirements beyond typical dietary supply.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disease, inflammation and infection: Tuberculosis, HIV, malaria, autoimmune disease, malignancy and chronic kidney disease raise hepcidin, sequester iron and suppress red-cell production.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Inherited haemoglobinopathies and haemolysis: Beta-thalassaemia, sickle cell disease, HbE and G6PD deficiency cause increased red-cell destruction, concentrated in specific communities and regions.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Socioeconomic and environmental factors: Poverty, food insecurity, poor sanitation, low maternal education and consanguinity amplify both nutritional and inherited anaemias.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w:t>
            </w:r>
          </w:p>
        </w:tc>
        <w:tc>
          <w:tcPr>
            <w:tcW w:type="dxa" w:w="4276"/>
            <w:vAlign w:val="top"/>
          </w:tcPr>
          <w:p>
            <w:pPr>
              <w:spacing w:after="60" w:line="259" w:lineRule="auto"/>
            </w:pPr>
            <w:r>
              <w:rPr>
                <w:rFonts w:ascii="Calibri" w:hAnsi="Calibri"/>
                <w:b w:val="0"/>
                <w:i w:val="0"/>
                <w:color w:val="212121"/>
                <w:sz w:val="19"/>
              </w:rPr>
              <w:t>Reproductive-age adults, especially women, face high risk from menstrual iron loss, repeated pregnancies and diets low in bioavailable iron, B12 and folate, so requirements outstrip intake for years.</w:t>
            </w:r>
          </w:p>
          <w:p>
            <w:pPr>
              <w:spacing w:after="40" w:before="60" w:line="259" w:lineRule="auto"/>
            </w:pPr>
            <w:r>
              <w:rPr>
                <w:rFonts w:ascii="Calibri" w:hAnsi="Calibri"/>
                <w:b w:val="0"/>
                <w:i w:val="0"/>
                <w:color w:val="212121"/>
                <w:sz w:val="19"/>
              </w:rPr>
              <w:t>NFHS-5 (2019-21): 57.0% of Indian women aged 15-49 are anaemic, versus 25.0% of men aged 15-49.</w:t>
            </w:r>
          </w:p>
          <w:p>
            <w:pPr>
              <w:spacing w:after="40" w:line="252" w:lineRule="auto"/>
            </w:pPr>
            <w:hyperlink r:id="rId9">
              <w:r>
                <w:rPr>
                  <w:rFonts w:ascii="Calibri" w:hAnsi="Calibri" w:cs="Calibri"/>
                  <w:sz w:val="18"/>
                  <w:color w:val="1155CC"/>
                  <w:u w:val="single"/>
                </w:rPr>
                <w:t xml:space="preserve">pib.gov.in — NFHS-5 anaemia prevalence</w:t>
              </w:r>
            </w:hyperlink>
          </w:p>
          <w:p>
            <w:pPr>
              <w:spacing w:before="60" w:after="40"/>
            </w:pPr>
            <w:r>
              <w:rPr>
                <w:rFonts w:ascii="Calibri" w:hAnsi="Calibri"/>
                <w:b w:val="0"/>
                <w:i w:val="0"/>
                <w:color w:val="5A5A5A"/>
                <w:sz w:val="18"/>
              </w:rPr>
              <w:t>#irondeficiency  #reproductiveage  #menstrualloss  #nutritionalanaemia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anaemia is typically multifactorial - nutritional deficiency, chronic kidney disease, chronic inflammation and occult gastrointestinal blood loss - and is often a normocytic anaemia of chronic disease that worsens frailty and cardiac reserve.</w:t>
            </w:r>
          </w:p>
          <w:p>
            <w:pPr>
              <w:spacing w:after="40" w:before="60" w:line="259" w:lineRule="auto"/>
            </w:pPr>
            <w:r>
              <w:rPr>
                <w:rFonts w:ascii="Calibri" w:hAnsi="Calibri"/>
                <w:b w:val="0"/>
                <w:i w:val="0"/>
                <w:color w:val="212121"/>
                <w:sz w:val="19"/>
              </w:rPr>
              <w:t>Anaemia of chronic disease rises steeply with age, from 13.9% of anaemic adults aged 18-39 to 56.5% at 80+ years in a North-India series; pooled Indian data estimate about 60% anaemia in those aged 60 and over.</w:t>
            </w:r>
          </w:p>
          <w:p>
            <w:pPr>
              <w:spacing w:after="40" w:line="252" w:lineRule="auto"/>
            </w:pPr>
            <w:hyperlink r:id="rId10">
              <w:r>
                <w:rPr>
                  <w:rFonts w:ascii="Calibri" w:hAnsi="Calibri" w:cs="Calibri"/>
                  <w:sz w:val="18"/>
                  <w:color w:val="1155CC"/>
                  <w:u w:val="single"/>
                </w:rPr>
                <w:t xml:space="preserve">medrxiv.org — anaemia of chronic disease, North India</w:t>
              </w:r>
            </w:hyperlink>
          </w:p>
          <w:p>
            <w:pPr>
              <w:spacing w:before="60" w:after="40"/>
            </w:pPr>
            <w:r>
              <w:rPr>
                <w:rFonts w:ascii="Calibri" w:hAnsi="Calibri"/>
                <w:b w:val="0"/>
                <w:i w:val="0"/>
                <w:color w:val="5A5A5A"/>
                <w:sz w:val="18"/>
              </w:rPr>
              <w:t>#ageing  #anaemiaofchronicdisease  #CKD  #occultbloodloss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(6-59 months)</w:t>
            </w:r>
          </w:p>
        </w:tc>
        <w:tc>
          <w:tcPr>
            <w:tcW w:type="dxa" w:w="4276"/>
            <w:vAlign w:val="top"/>
          </w:tcPr>
          <w:p>
            <w:pPr>
              <w:spacing w:after="60" w:line="259" w:lineRule="auto"/>
            </w:pPr>
            <w:r>
              <w:rPr>
                <w:rFonts w:ascii="Calibri" w:hAnsi="Calibri"/>
                <w:b w:val="0"/>
                <w:i w:val="0"/>
                <w:color w:val="212121"/>
                <w:sz w:val="19"/>
              </w:rPr>
              <w:t>Rapid growth, low iron stores at birth (worse with maternal anaemia or early cord clamping), prolonged milk feeding and low-iron weaning diets make under-fives the highest-risk group; iron deficiency in this window impairs brain and cognitive development.</w:t>
            </w:r>
          </w:p>
          <w:p>
            <w:pPr>
              <w:spacing w:after="40" w:before="60" w:line="259" w:lineRule="auto"/>
            </w:pPr>
            <w:r>
              <w:rPr>
                <w:rFonts w:ascii="Calibri" w:hAnsi="Calibri"/>
                <w:b w:val="0"/>
                <w:i w:val="0"/>
                <w:color w:val="212121"/>
                <w:sz w:val="19"/>
              </w:rPr>
              <w:t>NFHS-5: 67.1% of children aged 6-59 months are anaemic - the highest of any group and up 8.5 percentage points from NFHS-4.</w:t>
            </w:r>
          </w:p>
          <w:p>
            <w:pPr>
              <w:spacing w:after="40" w:line="252" w:lineRule="auto"/>
            </w:pPr>
            <w:hyperlink r:id="rId9">
              <w:r>
                <w:rPr>
                  <w:rFonts w:ascii="Calibri" w:hAnsi="Calibri" w:cs="Calibri"/>
                  <w:sz w:val="18"/>
                  <w:color w:val="1155CC"/>
                  <w:u w:val="single"/>
                </w:rPr>
                <w:t xml:space="preserve">pib.gov.in — NFHS-5 anaemia in children</w:t>
              </w:r>
            </w:hyperlink>
          </w:p>
          <w:p>
            <w:pPr>
              <w:spacing w:before="60" w:after="40"/>
            </w:pPr>
            <w:r>
              <w:rPr>
                <w:rFonts w:ascii="Calibri" w:hAnsi="Calibri"/>
                <w:b w:val="0"/>
                <w:i w:val="0"/>
                <w:color w:val="5A5A5A"/>
                <w:sz w:val="18"/>
              </w:rPr>
              <w:t>#childanaemia  #braindevelopment  #weaning  #ironstores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(adolescent girls)</w:t>
            </w:r>
          </w:p>
        </w:tc>
        <w:tc>
          <w:tcPr>
            <w:tcW w:type="dxa" w:w="4276"/>
            <w:vAlign w:val="top"/>
          </w:tcPr>
          <w:p>
            <w:pPr>
              <w:spacing w:after="60" w:line="259" w:lineRule="auto"/>
            </w:pPr>
            <w:r>
              <w:rPr>
                <w:rFonts w:ascii="Calibri" w:hAnsi="Calibri"/>
                <w:b w:val="0"/>
                <w:i w:val="0"/>
                <w:color w:val="212121"/>
                <w:sz w:val="19"/>
              </w:rPr>
              <w:t>The adolescent growth spurt plus menarche sharply raises iron needs; girls are especially vulnerable and are a priority group for the Weekly Iron-Folic-Acid Supplementation programme under Anaemia Mukt Bharat.</w:t>
            </w:r>
          </w:p>
          <w:p>
            <w:pPr>
              <w:spacing w:after="40" w:before="60" w:line="259" w:lineRule="auto"/>
            </w:pPr>
            <w:r>
              <w:rPr>
                <w:rFonts w:ascii="Calibri" w:hAnsi="Calibri"/>
                <w:b w:val="0"/>
                <w:i w:val="0"/>
                <w:color w:val="212121"/>
                <w:sz w:val="19"/>
              </w:rPr>
              <w:t>NFHS-5: 59.1% of adolescent girls (15-19 years) are anaemic; venous-blood surveys show about 44% anaemia in adolescent girls versus about 24% in adolescent boys.</w:t>
            </w:r>
          </w:p>
          <w:p>
            <w:pPr>
              <w:spacing w:after="40" w:line="252" w:lineRule="auto"/>
            </w:pPr>
            <w:hyperlink r:id="rId9">
              <w:r>
                <w:rPr>
                  <w:rFonts w:ascii="Calibri" w:hAnsi="Calibri" w:cs="Calibri"/>
                  <w:sz w:val="18"/>
                  <w:color w:val="1155CC"/>
                  <w:u w:val="single"/>
                </w:rPr>
                <w:t xml:space="preserve">pib.gov.in — NFHS-5 adolescent anaemia</w:t>
              </w:r>
            </w:hyperlink>
          </w:p>
          <w:p>
            <w:pPr>
              <w:spacing w:before="60" w:after="40"/>
            </w:pPr>
            <w:r>
              <w:rPr>
                <w:rFonts w:ascii="Calibri" w:hAnsi="Calibri"/>
                <w:b w:val="0"/>
                <w:i w:val="0"/>
                <w:color w:val="5A5A5A"/>
                <w:sz w:val="18"/>
              </w:rPr>
              <w:t>#adolescentgirls  #WIFS  #menarche  #growthspurt</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Menstrual blood loss, iron transfer to the fetus in pregnancy, lactation and generally lower dietary iron give women more than double the anaemia burden of men across the life course.</w:t>
            </w:r>
          </w:p>
          <w:p>
            <w:pPr>
              <w:spacing w:after="40" w:before="60" w:line="259" w:lineRule="auto"/>
            </w:pPr>
            <w:r>
              <w:rPr>
                <w:rFonts w:ascii="Calibri" w:hAnsi="Calibri"/>
                <w:b w:val="0"/>
                <w:i w:val="0"/>
                <w:color w:val="212121"/>
                <w:sz w:val="19"/>
              </w:rPr>
              <w:t>NFHS-5: 57.0% of women (15-49) are anaemic versus 25.0% of men; 52.2% of pregnant women are anaemic.</w:t>
            </w:r>
          </w:p>
          <w:p>
            <w:pPr>
              <w:spacing w:after="40" w:line="252" w:lineRule="auto"/>
            </w:pPr>
            <w:hyperlink r:id="rId9">
              <w:r>
                <w:rPr>
                  <w:rFonts w:ascii="Calibri" w:hAnsi="Calibri" w:cs="Calibri"/>
                  <w:sz w:val="18"/>
                  <w:color w:val="1155CC"/>
                  <w:u w:val="single"/>
                </w:rPr>
                <w:t xml:space="preserve">pib.gov.in — NFHS-5 sex differences</w:t>
              </w:r>
            </w:hyperlink>
          </w:p>
          <w:p>
            <w:pPr>
              <w:spacing w:before="60" w:after="40"/>
            </w:pPr>
            <w:r>
              <w:rPr>
                <w:rFonts w:ascii="Calibri" w:hAnsi="Calibri"/>
                <w:b w:val="0"/>
                <w:i w:val="0"/>
                <w:color w:val="5A5A5A"/>
                <w:sz w:val="18"/>
              </w:rPr>
              <w:t>#femalerisk  #menorrhagia  #pregnancy  #irondeficiency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a lower baseline risk but are not spared; anaemia in men more often signals occult gastrointestinal blood loss, chronic disease/CKD or a haemoglobinopathy and therefore warrants investigation rather than empirical iron alone.</w:t>
            </w:r>
          </w:p>
          <w:p>
            <w:pPr>
              <w:spacing w:after="40" w:before="60" w:line="259" w:lineRule="auto"/>
            </w:pPr>
            <w:r>
              <w:rPr>
                <w:rFonts w:ascii="Calibri" w:hAnsi="Calibri"/>
                <w:b w:val="0"/>
                <w:i w:val="0"/>
                <w:color w:val="212121"/>
                <w:sz w:val="19"/>
              </w:rPr>
              <w:t>In men, anaemia disproportionately reflects chronic disease - 48.4% of anaemic men in a North-India tertiary series had anaemia of chronic disease, versus 24% of anaemic women.</w:t>
            </w:r>
          </w:p>
          <w:p>
            <w:pPr>
              <w:spacing w:after="40" w:line="252" w:lineRule="auto"/>
            </w:pPr>
            <w:hyperlink r:id="rId10">
              <w:r>
                <w:rPr>
                  <w:rFonts w:ascii="Calibri" w:hAnsi="Calibri" w:cs="Calibri"/>
                  <w:sz w:val="18"/>
                  <w:color w:val="1155CC"/>
                  <w:u w:val="single"/>
                </w:rPr>
                <w:t xml:space="preserve">medrxiv.org — anaemia of chronic disease by sex</w:t>
              </w:r>
            </w:hyperlink>
          </w:p>
          <w:p>
            <w:pPr>
              <w:spacing w:before="60" w:after="40"/>
            </w:pPr>
            <w:r>
              <w:rPr>
                <w:rFonts w:ascii="Calibri" w:hAnsi="Calibri"/>
                <w:b w:val="0"/>
                <w:i w:val="0"/>
                <w:color w:val="5A5A5A"/>
                <w:sz w:val="18"/>
              </w:rPr>
              <w:t>#malerisk  #GIbleed  #occultblood  #chronicdisease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Life-stage (pregnancy)</w:t>
            </w:r>
          </w:p>
        </w:tc>
        <w:tc>
          <w:tcPr>
            <w:tcW w:type="dxa" w:w="2160"/>
            <w:vAlign w:val="top"/>
          </w:tcPr>
          <w:p>
            <w:pPr>
              <w:spacing w:after="40" w:before="0" w:line="259" w:lineRule="auto"/>
            </w:pPr>
            <w:r>
              <w:rPr>
                <w:rFonts w:ascii="Calibri" w:hAnsi="Calibri"/>
                <w:b w:val="0"/>
                <w:i w:val="0"/>
                <w:color w:val="212121"/>
                <w:sz w:val="19"/>
              </w:rPr>
              <w:t>Pregnant and lactating women</w:t>
            </w:r>
          </w:p>
        </w:tc>
        <w:tc>
          <w:tcPr>
            <w:tcW w:type="dxa" w:w="4276"/>
            <w:vAlign w:val="top"/>
          </w:tcPr>
          <w:p>
            <w:pPr>
              <w:spacing w:after="60" w:line="259" w:lineRule="auto"/>
            </w:pPr>
            <w:r>
              <w:rPr>
                <w:rFonts w:ascii="Calibri" w:hAnsi="Calibri"/>
                <w:b w:val="0"/>
                <w:i w:val="0"/>
                <w:color w:val="212121"/>
                <w:sz w:val="19"/>
              </w:rPr>
              <w:t>Plasma-volume expansion plus fetal iron demand roughly doubles iron requirements; anaemia in pregnancy raises the risks of preterm birth, low birth weight and reduced tolerance of peripartum haemorrhage, and contributes to maternal mortality.</w:t>
            </w:r>
          </w:p>
          <w:p>
            <w:pPr>
              <w:spacing w:after="40" w:before="60" w:line="259" w:lineRule="auto"/>
            </w:pPr>
            <w:r>
              <w:rPr>
                <w:rFonts w:ascii="Calibri" w:hAnsi="Calibri"/>
                <w:b w:val="0"/>
                <w:i w:val="0"/>
                <w:color w:val="212121"/>
                <w:sz w:val="19"/>
              </w:rPr>
              <w:t>NFHS-5: 52.2% of pregnant Indian women are anaemic; pooled Indian estimates put pregnancy anaemia as high as about 72%.</w:t>
            </w:r>
          </w:p>
          <w:p>
            <w:pPr>
              <w:spacing w:after="40" w:line="252" w:lineRule="auto"/>
            </w:pPr>
            <w:hyperlink r:id="rId9">
              <w:r>
                <w:rPr>
                  <w:rFonts w:ascii="Calibri" w:hAnsi="Calibri" w:cs="Calibri"/>
                  <w:sz w:val="18"/>
                  <w:color w:val="1155CC"/>
                  <w:u w:val="single"/>
                </w:rPr>
                <w:t xml:space="preserve">pib.gov.in — NFHS-5 anaemia in pregnancy</w:t>
              </w:r>
            </w:hyperlink>
          </w:p>
          <w:p>
            <w:pPr>
              <w:spacing w:before="60" w:after="40"/>
            </w:pPr>
            <w:r>
              <w:rPr>
                <w:rFonts w:ascii="Calibri" w:hAnsi="Calibri"/>
                <w:b w:val="0"/>
                <w:i w:val="0"/>
                <w:color w:val="5A5A5A"/>
                <w:sz w:val="18"/>
              </w:rPr>
              <w:t>#pregnancyanaemia  #maternalhealth  #preterm  #lowbirthweight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food-insecure, low-education households</w:t>
            </w:r>
          </w:p>
        </w:tc>
        <w:tc>
          <w:tcPr>
            <w:tcW w:type="dxa" w:w="4276"/>
            <w:vAlign w:val="top"/>
          </w:tcPr>
          <w:p>
            <w:pPr>
              <w:spacing w:after="60" w:line="259" w:lineRule="auto"/>
            </w:pPr>
            <w:r>
              <w:rPr>
                <w:rFonts w:ascii="Calibri" w:hAnsi="Calibri"/>
                <w:b w:val="0"/>
                <w:i w:val="0"/>
                <w:color w:val="212121"/>
                <w:sz w:val="19"/>
              </w:rPr>
              <w:t>Poverty limits access to iron-rich animal foods, fruit (vitamin C) and healthcare, while low maternal education, food insecurity and poor sanitation strongly predict childhood and maternal anaemia. Anaemia in India shows a clear socioeconomic gradient.</w:t>
            </w:r>
          </w:p>
          <w:p>
            <w:pPr>
              <w:spacing w:after="40" w:before="60" w:line="259" w:lineRule="auto"/>
            </w:pPr>
            <w:r>
              <w:rPr>
                <w:rFonts w:ascii="Calibri" w:hAnsi="Calibri"/>
                <w:b w:val="0"/>
                <w:i w:val="0"/>
                <w:color w:val="212121"/>
                <w:sz w:val="19"/>
              </w:rPr>
              <w:t>Anaemia is concentrated in poorer, rural, less-educated and Scheduled Caste/Scheduled Tribe households, reflecting diet quality, infection load and access to care.</w:t>
            </w:r>
          </w:p>
          <w:p>
            <w:pPr>
              <w:spacing w:before="60" w:after="40"/>
            </w:pPr>
            <w:r>
              <w:rPr>
                <w:rFonts w:ascii="Calibri" w:hAnsi="Calibri"/>
                <w:b w:val="0"/>
                <w:i w:val="0"/>
                <w:color w:val="5A5A5A"/>
                <w:sz w:val="18"/>
              </w:rPr>
              <w:t>#poverty  #foodinsecurity  #ruralhealth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Tribal (Adivasi) populations</w:t>
            </w:r>
          </w:p>
        </w:tc>
        <w:tc>
          <w:tcPr>
            <w:tcW w:type="dxa" w:w="4276"/>
            <w:vAlign w:val="top"/>
          </w:tcPr>
          <w:p>
            <w:pPr>
              <w:spacing w:after="60" w:line="259" w:lineRule="auto"/>
            </w:pPr>
            <w:r>
              <w:rPr>
                <w:rFonts w:ascii="Calibri" w:hAnsi="Calibri"/>
                <w:b w:val="0"/>
                <w:i w:val="0"/>
                <w:color w:val="212121"/>
                <w:sz w:val="19"/>
              </w:rPr>
              <w:t>Tribal communities carry a double burden - very high rates of nutritional anaemia plus a large share of India's inherited haemoglobinopathies (sickle cell, thalassaemia) - amplified by consanguinity, food insecurity and limited health services.</w:t>
            </w:r>
          </w:p>
          <w:p>
            <w:pPr>
              <w:spacing w:after="40" w:before="60" w:line="259" w:lineRule="auto"/>
            </w:pPr>
            <w:r>
              <w:rPr>
                <w:rFonts w:ascii="Calibri" w:hAnsi="Calibri"/>
                <w:b w:val="0"/>
                <w:i w:val="0"/>
                <w:color w:val="212121"/>
                <w:sz w:val="19"/>
              </w:rPr>
              <w:t>About 73% of Indians carrying HbS (sickle) are from tribal communities; sickle-cell trait reaches roughly 10-15% in some tribes (9.87% trait, up to 15.5% combined in the Garasiya of Southern Rajasthan).</w:t>
            </w:r>
          </w:p>
          <w:p>
            <w:pPr>
              <w:spacing w:after="40" w:line="252" w:lineRule="auto"/>
            </w:pPr>
            <w:hyperlink r:id="rId11">
              <w:r>
                <w:rPr>
                  <w:rFonts w:ascii="Calibri" w:hAnsi="Calibri" w:cs="Calibri"/>
                  <w:sz w:val="18"/>
                  <w:color w:val="1155CC"/>
                  <w:u w:val="single"/>
                </w:rPr>
                <w:t xml:space="preserve">nature.com — sickle cell in tribal Southern Rajasthan</w:t>
              </w:r>
            </w:hyperlink>
          </w:p>
          <w:p>
            <w:pPr>
              <w:spacing w:before="60" w:after="40"/>
            </w:pPr>
            <w:r>
              <w:rPr>
                <w:rFonts w:ascii="Calibri" w:hAnsi="Calibri"/>
                <w:b w:val="0"/>
                <w:i w:val="0"/>
                <w:color w:val="5A5A5A"/>
                <w:sz w:val="18"/>
              </w:rPr>
              <w:t>#tribalhealth  #sicklecell  #thalassaemia  #Adivasi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High-burden states and rural areas</w:t>
            </w:r>
          </w:p>
        </w:tc>
        <w:tc>
          <w:tcPr>
            <w:tcW w:type="dxa" w:w="4276"/>
            <w:vAlign w:val="top"/>
          </w:tcPr>
          <w:p>
            <w:pPr>
              <w:spacing w:after="60" w:line="259" w:lineRule="auto"/>
            </w:pPr>
            <w:r>
              <w:rPr>
                <w:rFonts w:ascii="Calibri" w:hAnsi="Calibri"/>
                <w:b w:val="0"/>
                <w:i w:val="0"/>
                <w:color w:val="212121"/>
                <w:sz w:val="19"/>
              </w:rPr>
              <w:t>Anaemia prevalence varies widely by state and is generally higher in rural and eastern/central India, reflecting diet, sanitation (hookworm), infection load and access to care.</w:t>
            </w:r>
          </w:p>
          <w:p>
            <w:pPr>
              <w:spacing w:after="40" w:before="60" w:line="259" w:lineRule="auto"/>
            </w:pPr>
            <w:r>
              <w:rPr>
                <w:rFonts w:ascii="Calibri" w:hAnsi="Calibri"/>
                <w:b w:val="0"/>
                <w:i w:val="0"/>
                <w:color w:val="212121"/>
                <w:sz w:val="19"/>
              </w:rPr>
              <w:t>A venous-blood survey across eight states found anaemia ranging from about 12% (Meghalaya) to about 70% (Assam); pooled data show pregnancy anaemia reaching about 88% in parts of northern India.</w:t>
            </w:r>
          </w:p>
          <w:p>
            <w:pPr>
              <w:spacing w:after="40" w:line="252" w:lineRule="auto"/>
            </w:pPr>
            <w:hyperlink r:id="rId12">
              <w:r>
                <w:rPr>
                  <w:rFonts w:ascii="Calibri" w:hAnsi="Calibri" w:cs="Calibri"/>
                  <w:sz w:val="18"/>
                  <w:color w:val="1155CC"/>
                  <w:u w:val="single"/>
                </w:rPr>
                <w:t xml:space="preserve">nature.com — venous anaemia survey, eight Indian states</w:t>
              </w:r>
            </w:hyperlink>
          </w:p>
          <w:p>
            <w:pPr>
              <w:spacing w:before="60" w:after="40"/>
            </w:pPr>
            <w:r>
              <w:rPr>
                <w:rFonts w:ascii="Calibri" w:hAnsi="Calibri"/>
                <w:b w:val="0"/>
                <w:i w:val="0"/>
                <w:color w:val="5A5A5A"/>
                <w:sz w:val="18"/>
              </w:rPr>
              <w:t>#regionalvariation  #ruralindia  #hookworm  #statevariation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Physical activity</w:t>
            </w:r>
          </w:p>
        </w:tc>
        <w:tc>
          <w:tcPr>
            <w:tcW w:type="dxa" w:w="2160"/>
            <w:vAlign w:val="top"/>
          </w:tcPr>
          <w:p>
            <w:pPr>
              <w:spacing w:after="40" w:before="0" w:line="259" w:lineRule="auto"/>
            </w:pPr>
            <w:r>
              <w:rPr>
                <w:rFonts w:ascii="Calibri" w:hAnsi="Calibri"/>
                <w:b w:val="0"/>
                <w:i w:val="0"/>
                <w:color w:val="212121"/>
                <w:sz w:val="19"/>
              </w:rPr>
              <w:t>Endurance athletes and heavy manual labourers</w:t>
            </w:r>
          </w:p>
        </w:tc>
        <w:tc>
          <w:tcPr>
            <w:tcW w:type="dxa" w:w="4276"/>
            <w:vAlign w:val="top"/>
          </w:tcPr>
          <w:p>
            <w:pPr>
              <w:spacing w:after="60" w:line="259" w:lineRule="auto"/>
            </w:pPr>
            <w:r>
              <w:rPr>
                <w:rFonts w:ascii="Calibri" w:hAnsi="Calibri"/>
                <w:b w:val="0"/>
                <w:i w:val="0"/>
                <w:color w:val="212121"/>
                <w:sz w:val="19"/>
              </w:rPr>
              <w:t>Intense or prolonged exercise increases iron losses through foot-strike haemolysis, sweat and gastrointestinal microbleeding and transiently raises hepcidin, so athletes - especially menstruating female athletes - are prone to iron deficiency and so-called sports anaemia.</w:t>
            </w:r>
          </w:p>
          <w:p>
            <w:pPr>
              <w:spacing w:after="40" w:before="60" w:line="259" w:lineRule="auto"/>
            </w:pPr>
            <w:r>
              <w:rPr>
                <w:rFonts w:ascii="Calibri" w:hAnsi="Calibri"/>
                <w:b w:val="0"/>
                <w:i w:val="0"/>
                <w:color w:val="212121"/>
                <w:sz w:val="19"/>
              </w:rPr>
              <w:t>Both benign dilutional pseudo-anaemia (from plasma-volume expansion) and true iron deficiency are common in endurance athletes and should be distinguished by ferritin.</w:t>
            </w:r>
          </w:p>
          <w:p>
            <w:pPr>
              <w:spacing w:before="60" w:after="40"/>
            </w:pPr>
            <w:r>
              <w:rPr>
                <w:rFonts w:ascii="Calibri" w:hAnsi="Calibri"/>
                <w:b w:val="0"/>
                <w:i w:val="0"/>
                <w:color w:val="5A5A5A"/>
                <w:sz w:val="18"/>
              </w:rPr>
              <w:t>#sportsanaemia  #footstrikehaemolysis  #irondeficiency  #athletes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and tobacco users</w:t>
            </w:r>
          </w:p>
        </w:tc>
        <w:tc>
          <w:tcPr>
            <w:tcW w:type="dxa" w:w="4276"/>
            <w:vAlign w:val="top"/>
          </w:tcPr>
          <w:p>
            <w:pPr>
              <w:spacing w:after="60" w:line="259" w:lineRule="auto"/>
            </w:pPr>
            <w:r>
              <w:rPr>
                <w:rFonts w:ascii="Calibri" w:hAnsi="Calibri"/>
                <w:b w:val="0"/>
                <w:i w:val="0"/>
                <w:color w:val="212121"/>
                <w:sz w:val="19"/>
              </w:rPr>
              <w:t>Chronic carbon-monoxide exposure raises carboxyhaemoglobin and can elevate measured haemoglobin, masking underlying iron deficiency; smoking also promotes chronic inflammation that contributes to anaemia of chronic disease.</w:t>
            </w:r>
          </w:p>
          <w:p>
            <w:pPr>
              <w:spacing w:after="40" w:before="60" w:line="259" w:lineRule="auto"/>
            </w:pPr>
            <w:r>
              <w:rPr>
                <w:rFonts w:ascii="Calibri" w:hAnsi="Calibri"/>
                <w:b w:val="0"/>
                <w:i w:val="0"/>
                <w:color w:val="212121"/>
                <w:sz w:val="19"/>
              </w:rPr>
              <w:t>WHO recommends adjusting haemoglobin thresholds downward for smokers, because a 'normal' Hb can conceal true iron deficiency in a smoker.</w:t>
            </w:r>
          </w:p>
          <w:p>
            <w:pPr>
              <w:spacing w:before="60" w:after="40"/>
            </w:pPr>
            <w:r>
              <w:rPr>
                <w:rFonts w:ascii="Calibri" w:hAnsi="Calibri"/>
                <w:b w:val="0"/>
                <w:i w:val="0"/>
                <w:color w:val="5A5A5A"/>
                <w:sz w:val="18"/>
              </w:rPr>
              <w:t>#smoking  #maskedanaemia  #carboxyhaemoglobin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Alcohol causes anaemia through several routes - dietary folate deficiency, direct bone-marrow suppression, gastrointestinal bleeding and sideroblastic change - often producing a macrocytic blood picture.</w:t>
            </w:r>
          </w:p>
          <w:p>
            <w:pPr>
              <w:spacing w:after="40" w:before="60" w:line="259" w:lineRule="auto"/>
            </w:pPr>
            <w:r>
              <w:rPr>
                <w:rFonts w:ascii="Calibri" w:hAnsi="Calibri"/>
                <w:b w:val="0"/>
                <w:i w:val="0"/>
                <w:color w:val="212121"/>
                <w:sz w:val="19"/>
              </w:rPr>
              <w:t>Chronic heavy alcohol use is a common cause of macrocytosis and macrocytic anaemia even before overt liver disease develops.</w:t>
            </w:r>
          </w:p>
          <w:p>
            <w:pPr>
              <w:spacing w:before="60" w:after="40"/>
            </w:pPr>
            <w:r>
              <w:rPr>
                <w:rFonts w:ascii="Calibri" w:hAnsi="Calibri"/>
                <w:b w:val="0"/>
                <w:i w:val="0"/>
                <w:color w:val="5A5A5A"/>
                <w:sz w:val="18"/>
              </w:rPr>
              <w:t>#alcohol  #folatedeficiency  #marrowsuppression  #GIbleed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Obese adults (functional iron deficiency)</w:t>
            </w:r>
          </w:p>
        </w:tc>
        <w:tc>
          <w:tcPr>
            <w:tcW w:type="dxa" w:w="4276"/>
            <w:vAlign w:val="top"/>
          </w:tcPr>
          <w:p>
            <w:pPr>
              <w:spacing w:after="60" w:line="259" w:lineRule="auto"/>
            </w:pPr>
            <w:r>
              <w:rPr>
                <w:rFonts w:ascii="Calibri" w:hAnsi="Calibri"/>
                <w:b w:val="0"/>
                <w:i w:val="0"/>
                <w:color w:val="212121"/>
                <w:sz w:val="19"/>
              </w:rPr>
              <w:t>Adipose-tissue inflammation raises hepcidin, which blocks iron absorption from the gut and release from stores, producing functional iron deficiency and anaemia even when dietary iron intake appears adequate.</w:t>
            </w:r>
          </w:p>
          <w:p>
            <w:pPr>
              <w:spacing w:after="40" w:before="60" w:line="259" w:lineRule="auto"/>
            </w:pPr>
            <w:r>
              <w:rPr>
                <w:rFonts w:ascii="Calibri" w:hAnsi="Calibri"/>
                <w:b w:val="0"/>
                <w:i w:val="0"/>
                <w:color w:val="212121"/>
                <w:sz w:val="19"/>
              </w:rPr>
              <w:t>Obesity-associated inflammation is an increasingly recognised cause of poor response to oral iron and functional iron deficiency.</w:t>
            </w:r>
          </w:p>
          <w:p>
            <w:pPr>
              <w:spacing w:before="60" w:after="40"/>
            </w:pPr>
            <w:r>
              <w:rPr>
                <w:rFonts w:ascii="Calibri" w:hAnsi="Calibri"/>
                <w:b w:val="0"/>
                <w:i w:val="0"/>
                <w:color w:val="5A5A5A"/>
                <w:sz w:val="18"/>
              </w:rPr>
              <w:t>#obesity  #hepcidin  #functionalirondeficiency  #inflammation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Vegetarian and vegan diets</w:t>
            </w:r>
          </w:p>
        </w:tc>
        <w:tc>
          <w:tcPr>
            <w:tcW w:type="dxa" w:w="4276"/>
            <w:vAlign w:val="top"/>
          </w:tcPr>
          <w:p>
            <w:pPr>
              <w:spacing w:after="60" w:line="259" w:lineRule="auto"/>
            </w:pPr>
            <w:r>
              <w:rPr>
                <w:rFonts w:ascii="Calibri" w:hAnsi="Calibri"/>
                <w:b w:val="0"/>
                <w:i w:val="0"/>
                <w:color w:val="212121"/>
                <w:sz w:val="19"/>
              </w:rPr>
              <w:t>Plant-based diets provide only poorly-absorbed non-heme iron and negligible vitamin B12; long-standing vegetarians (very common in India) are prone to both iron-deficiency and B12-deficiency (megaloblastic) anaemia.</w:t>
            </w:r>
          </w:p>
          <w:p>
            <w:pPr>
              <w:spacing w:after="40" w:before="60" w:line="259" w:lineRule="auto"/>
            </w:pPr>
            <w:r>
              <w:rPr>
                <w:rFonts w:ascii="Calibri" w:hAnsi="Calibri"/>
                <w:b w:val="0"/>
                <w:i w:val="0"/>
                <w:color w:val="212121"/>
                <w:sz w:val="19"/>
              </w:rPr>
              <w:t>In an Indian tertiary study, 86.4% of patients with vitamin B12 deficiency were pure vegetarians; the ICMR-NIN iron RDA for Indians is set high (men 19, women 29 mg/day) partly because of low dietary bioavailability.</w:t>
            </w:r>
          </w:p>
          <w:p>
            <w:pPr>
              <w:spacing w:after="40" w:line="252" w:lineRule="auto"/>
            </w:pPr>
            <w:hyperlink r:id="rId13">
              <w:r>
                <w:rPr>
                  <w:rFonts w:ascii="Calibri" w:hAnsi="Calibri" w:cs="Calibri"/>
                  <w:sz w:val="18"/>
                  <w:color w:val="1155CC"/>
                  <w:u w:val="single"/>
                </w:rPr>
                <w:t xml:space="preserve">pmc.ncbi.nlm.nih.gov — B12 deficiency and vegetarian diet (India)</w:t>
              </w:r>
            </w:hyperlink>
          </w:p>
          <w:p>
            <w:pPr>
              <w:spacing w:before="60" w:after="40"/>
            </w:pPr>
            <w:r>
              <w:rPr>
                <w:rFonts w:ascii="Calibri" w:hAnsi="Calibri"/>
                <w:b w:val="0"/>
                <w:i w:val="0"/>
                <w:color w:val="5A5A5A"/>
                <w:sz w:val="18"/>
              </w:rPr>
              <w:t>#vegetarian  #B12deficiency  #nonhemeiron  #megaloblastic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Tea/coffee with meals, phytate-rich, low-diversity diets</w:t>
            </w:r>
          </w:p>
        </w:tc>
        <w:tc>
          <w:tcPr>
            <w:tcW w:type="dxa" w:w="4276"/>
            <w:vAlign w:val="top"/>
          </w:tcPr>
          <w:p>
            <w:pPr>
              <w:spacing w:after="60" w:line="259" w:lineRule="auto"/>
            </w:pPr>
            <w:r>
              <w:rPr>
                <w:rFonts w:ascii="Calibri" w:hAnsi="Calibri"/>
                <w:b w:val="0"/>
                <w:i w:val="0"/>
                <w:color w:val="212121"/>
                <w:sz w:val="19"/>
              </w:rPr>
              <w:t>Tannins in tea and coffee and phytates in cereals and legumes markedly inhibit non-heme iron absorption when consumed with meals, while vitamin-C-poor, monotonous diets lack absorption enhancers - a key driver of Indian iron-deficiency anaemia.</w:t>
            </w:r>
          </w:p>
          <w:p>
            <w:pPr>
              <w:spacing w:after="40" w:before="60" w:line="259" w:lineRule="auto"/>
            </w:pPr>
            <w:r>
              <w:rPr>
                <w:rFonts w:ascii="Calibri" w:hAnsi="Calibri"/>
                <w:b w:val="0"/>
                <w:i w:val="0"/>
                <w:color w:val="212121"/>
                <w:sz w:val="19"/>
              </w:rPr>
              <w:t>Drinking tea or coffee with iron-rich meals can reduce non-heme iron absorption substantially; separating them and adding vitamin C improves uptake.</w:t>
            </w:r>
          </w:p>
          <w:p>
            <w:pPr>
              <w:spacing w:before="60" w:after="40"/>
            </w:pPr>
            <w:r>
              <w:rPr>
                <w:rFonts w:ascii="Calibri" w:hAnsi="Calibri"/>
                <w:b w:val="0"/>
                <w:i w:val="0"/>
                <w:color w:val="5A5A5A"/>
                <w:sz w:val="18"/>
              </w:rPr>
              <w:t>#tannins  #phytates  #chaiwithmeals  #ironabsorption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Haemoglobinopathy carriers (thalassaemia / sickle trait)</w:t>
            </w:r>
          </w:p>
        </w:tc>
        <w:tc>
          <w:tcPr>
            <w:tcW w:type="dxa" w:w="4276"/>
            <w:vAlign w:val="top"/>
          </w:tcPr>
          <w:p>
            <w:pPr>
              <w:spacing w:after="60" w:line="259" w:lineRule="auto"/>
            </w:pPr>
            <w:r>
              <w:rPr>
                <w:rFonts w:ascii="Calibri" w:hAnsi="Calibri"/>
                <w:b w:val="0"/>
                <w:i w:val="0"/>
                <w:color w:val="212121"/>
                <w:sz w:val="19"/>
              </w:rPr>
              <w:t>A family history of thalassaemia or sickle cell disease, or parental consanguinity, raises the risk of inherited anaemia; when both parents are carriers there is a 1-in-4 chance of an affected child in each pregnancy, making carrier screening important.</w:t>
            </w:r>
          </w:p>
          <w:p>
            <w:pPr>
              <w:spacing w:after="40" w:before="60" w:line="259" w:lineRule="auto"/>
            </w:pPr>
            <w:r>
              <w:rPr>
                <w:rFonts w:ascii="Calibri" w:hAnsi="Calibri"/>
                <w:b w:val="0"/>
                <w:i w:val="0"/>
                <w:color w:val="212121"/>
                <w:sz w:val="19"/>
              </w:rPr>
              <w:t>India's average beta-thalassaemia carrier rate is 3-4%; a combined haemoglobinopathy carrier rate of 6.8% was found among 33,270 screened pregnant women (2.7% beta-thalassaemia, 3.5% sickle).</w:t>
            </w:r>
          </w:p>
          <w:p>
            <w:pPr>
              <w:spacing w:after="40" w:line="252" w:lineRule="auto"/>
            </w:pPr>
            <w:hyperlink r:id="rId14">
              <w:r>
                <w:rPr>
                  <w:rFonts w:ascii="Calibri" w:hAnsi="Calibri" w:cs="Calibri"/>
                  <w:sz w:val="18"/>
                  <w:color w:val="1155CC"/>
                  <w:u w:val="single"/>
                </w:rPr>
                <w:t xml:space="preserve">ijmr.org.in — prenatal haemoglobinopathy screening in India</w:t>
              </w:r>
            </w:hyperlink>
          </w:p>
          <w:p>
            <w:pPr>
              <w:spacing w:before="60" w:after="40"/>
            </w:pPr>
            <w:r>
              <w:rPr>
                <w:rFonts w:ascii="Calibri" w:hAnsi="Calibri"/>
                <w:b w:val="0"/>
                <w:i w:val="0"/>
                <w:color w:val="5A5A5A"/>
                <w:sz w:val="18"/>
              </w:rPr>
              <w:t>#thalassaemia  #sicklecelltrait  #carrierscreening  #consanguinity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chronic kidney disease</w:t>
            </w:r>
          </w:p>
        </w:tc>
        <w:tc>
          <w:tcPr>
            <w:tcW w:type="dxa" w:w="4276"/>
            <w:vAlign w:val="top"/>
          </w:tcPr>
          <w:p>
            <w:pPr>
              <w:spacing w:after="60" w:line="259" w:lineRule="auto"/>
            </w:pPr>
            <w:r>
              <w:rPr>
                <w:rFonts w:ascii="Calibri" w:hAnsi="Calibri"/>
                <w:b w:val="0"/>
                <w:i w:val="0"/>
                <w:color w:val="212121"/>
                <w:sz w:val="19"/>
              </w:rPr>
              <w:t>Failing kidneys produce less erythropoietin and retain uraemic toxins and inflammatory mediators, causing a normocytic anaemia that worsens as GFR falls and independently raises cardiovascular risk.</w:t>
            </w:r>
          </w:p>
          <w:p>
            <w:pPr>
              <w:spacing w:after="40" w:before="60" w:line="259" w:lineRule="auto"/>
            </w:pPr>
            <w:r>
              <w:rPr>
                <w:rFonts w:ascii="Calibri" w:hAnsi="Calibri"/>
                <w:b w:val="0"/>
                <w:i w:val="0"/>
                <w:color w:val="212121"/>
                <w:sz w:val="19"/>
              </w:rPr>
              <w:t>Anaemia is highly prevalent in CKD and increases with stage; chronic kidney disease was an underlying cause in about 25% of anaemia-of-chronic-disease cases in a North-India series.</w:t>
            </w:r>
          </w:p>
          <w:p>
            <w:pPr>
              <w:spacing w:after="40" w:line="252" w:lineRule="auto"/>
            </w:pPr>
            <w:hyperlink r:id="rId10">
              <w:r>
                <w:rPr>
                  <w:rFonts w:ascii="Calibri" w:hAnsi="Calibri" w:cs="Calibri"/>
                  <w:sz w:val="18"/>
                  <w:color w:val="1155CC"/>
                  <w:u w:val="single"/>
                </w:rPr>
                <w:t xml:space="preserve">medrxiv.org — CKD and anaemia of chronic disease</w:t>
              </w:r>
            </w:hyperlink>
          </w:p>
          <w:p>
            <w:pPr>
              <w:spacing w:before="60" w:after="40"/>
            </w:pPr>
            <w:r>
              <w:rPr>
                <w:rFonts w:ascii="Calibri" w:hAnsi="Calibri"/>
                <w:b w:val="0"/>
                <w:i w:val="0"/>
                <w:color w:val="5A5A5A"/>
                <w:sz w:val="18"/>
              </w:rPr>
              <w:t>#CKD  #erythropoietin  #renalanaemia  #normocytic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infection / inflammation</w:t>
            </w:r>
          </w:p>
        </w:tc>
        <w:tc>
          <w:tcPr>
            <w:tcW w:type="dxa" w:w="2160"/>
            <w:vAlign w:val="top"/>
          </w:tcPr>
          <w:p>
            <w:pPr>
              <w:spacing w:after="40" w:before="0" w:line="259" w:lineRule="auto"/>
            </w:pPr>
            <w:r>
              <w:rPr>
                <w:rFonts w:ascii="Calibri" w:hAnsi="Calibri"/>
                <w:b w:val="0"/>
                <w:i w:val="0"/>
                <w:color w:val="212121"/>
                <w:sz w:val="19"/>
              </w:rPr>
              <w:t>TB, HIV, malaria, hookworm, autoimmune and malignant disease</w:t>
            </w:r>
          </w:p>
        </w:tc>
        <w:tc>
          <w:tcPr>
            <w:tcW w:type="dxa" w:w="4276"/>
            <w:vAlign w:val="top"/>
          </w:tcPr>
          <w:p>
            <w:pPr>
              <w:spacing w:after="60" w:line="259" w:lineRule="auto"/>
            </w:pPr>
            <w:r>
              <w:rPr>
                <w:rFonts w:ascii="Calibri" w:hAnsi="Calibri"/>
                <w:b w:val="0"/>
                <w:i w:val="0"/>
                <w:color w:val="212121"/>
                <w:sz w:val="19"/>
              </w:rPr>
              <w:t>Chronic infections (tuberculosis, HIV, malaria, helminths) and inflammatory or malignant disease raise hepcidin and suppress erythropoiesis, causing anaemia of chronic disease; hookworm additionally causes direct intestinal blood loss and iron deficiency.</w:t>
            </w:r>
          </w:p>
          <w:p>
            <w:pPr>
              <w:spacing w:after="40" w:before="60" w:line="259" w:lineRule="auto"/>
            </w:pPr>
            <w:r>
              <w:rPr>
                <w:rFonts w:ascii="Calibri" w:hAnsi="Calibri"/>
                <w:b w:val="0"/>
                <w:i w:val="0"/>
                <w:color w:val="212121"/>
                <w:sz w:val="19"/>
              </w:rPr>
              <w:t>Anaemia of chronic disease/inflammation accounted for 30.7% of anaemic patients in a North-India tertiary hospital study.</w:t>
            </w:r>
          </w:p>
          <w:p>
            <w:pPr>
              <w:spacing w:after="40" w:line="252" w:lineRule="auto"/>
            </w:pPr>
            <w:hyperlink r:id="rId10">
              <w:r>
                <w:rPr>
                  <w:rFonts w:ascii="Calibri" w:hAnsi="Calibri" w:cs="Calibri"/>
                  <w:sz w:val="18"/>
                  <w:color w:val="1155CC"/>
                  <w:u w:val="single"/>
                </w:rPr>
                <w:t xml:space="preserve">medrxiv.org — prevalence of anaemia of chronic disease</w:t>
              </w:r>
            </w:hyperlink>
          </w:p>
          <w:p>
            <w:pPr>
              <w:spacing w:before="60" w:after="40"/>
            </w:pPr>
            <w:r>
              <w:rPr>
                <w:rFonts w:ascii="Calibri" w:hAnsi="Calibri"/>
                <w:b w:val="0"/>
                <w:i w:val="0"/>
                <w:color w:val="5A5A5A"/>
                <w:sz w:val="18"/>
              </w:rPr>
              <w:t>#anaemiaofchronicdisease  #tuberculosis  #hookworm  #hepcidin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Gastrointestinal / gynaecological disease</w:t>
            </w:r>
          </w:p>
        </w:tc>
        <w:tc>
          <w:tcPr>
            <w:tcW w:type="dxa" w:w="2160"/>
            <w:vAlign w:val="top"/>
          </w:tcPr>
          <w:p>
            <w:pPr>
              <w:spacing w:after="40" w:before="0" w:line="259" w:lineRule="auto"/>
            </w:pPr>
            <w:r>
              <w:rPr>
                <w:rFonts w:ascii="Calibri" w:hAnsi="Calibri"/>
                <w:b w:val="0"/>
                <w:i w:val="0"/>
                <w:color w:val="212121"/>
                <w:sz w:val="19"/>
              </w:rPr>
              <w:t>Peptic ulcer, H. pylori, coeliac, IBD, fibroids, menorrhagia</w:t>
            </w:r>
          </w:p>
        </w:tc>
        <w:tc>
          <w:tcPr>
            <w:tcW w:type="dxa" w:w="4276"/>
            <w:vAlign w:val="top"/>
          </w:tcPr>
          <w:p>
            <w:pPr>
              <w:spacing w:after="60" w:line="259" w:lineRule="auto"/>
            </w:pPr>
            <w:r>
              <w:rPr>
                <w:rFonts w:ascii="Calibri" w:hAnsi="Calibri"/>
                <w:b w:val="0"/>
                <w:i w:val="0"/>
                <w:color w:val="212121"/>
                <w:sz w:val="19"/>
              </w:rPr>
              <w:t>Gastrointestinal conditions cause anaemia via chronic blood loss (peptic ulcer, hookworm, colorectal lesions) or malabsorption of iron, B12 and folate (coeliac disease, H. pylori, atrophic gastritis), while menorrhagia and uterine fibroids drive iron loss in women.</w:t>
            </w:r>
          </w:p>
          <w:p>
            <w:pPr>
              <w:spacing w:after="40" w:before="60" w:line="259" w:lineRule="auto"/>
            </w:pPr>
            <w:r>
              <w:rPr>
                <w:rFonts w:ascii="Calibri" w:hAnsi="Calibri"/>
                <w:b w:val="0"/>
                <w:i w:val="0"/>
                <w:color w:val="212121"/>
                <w:sz w:val="19"/>
              </w:rPr>
              <w:t>Unexplained iron-deficiency anaemia, especially in men and postmenopausal women, mandates gastrointestinal evaluation to exclude occult bleeding or malabsorption.</w:t>
            </w:r>
          </w:p>
          <w:p>
            <w:pPr>
              <w:spacing w:before="60" w:after="40"/>
            </w:pPr>
            <w:r>
              <w:rPr>
                <w:rFonts w:ascii="Calibri" w:hAnsi="Calibri"/>
                <w:b w:val="0"/>
                <w:i w:val="0"/>
                <w:color w:val="5A5A5A"/>
                <w:sz w:val="18"/>
              </w:rPr>
              <w:t>#GIbleed  #malabsorption  #Hpylori  #menorrhagia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Intense and endurance exercise increases iron loss through foot-strike haemolysis, sweat and gastrointestinal microbleeding and transiently raises hepcidin, predisposing athletes (especially menstruating women) to iron deficiency; moderate activity is not harmful and dilutional pseudo-anaemia is benign.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dominant modifiable determinant: intake and bioavailability of iron (heme versus non-heme), vitamin B12 and folate, together with enhancers (vitamin C) and inhibitors (tannins in tea/coffee, phytates), govern risk. Iron and B12/folate deficiency cause the majority of nutritional anaemia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causal link; iron deficiency can cause restless-legs syndrome and disturbed sleep (reverse direction), and anaemia commonly produces fatigue and poor sleep quality.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raises carboxyhaemoglobin and measured haemoglobin, which can mask iron deficiency, and promotes chronic inflammation; WHO advises a downward haemoglobin adjustment for 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causes anaemia through folate deficiency, direct bone-marrow suppression, gastrointestinal bleeding and sideroblastic change, often macrocytic.</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Bidirectional: iron deficiency is linked to fatigue, poor concentration and depressive symptoms, while psychological stress itself has little direct haematological effect.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status alters haemoglobin concentration - dehydration falsely raises and over-hydration/haemodilution lowers measured Hb - but does not change true red-cell mass.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Tannins and polyphenols in tea and coffee taken with meals significantly inhibit non-heme iron absorption; separating tea/coffee from meals improves iron uptake - highly relevant to Indian chai habits.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sanitation drives hookworm and other soil-transmitted helminth infections (a major cause of iron-deficiency anaemia) and infection-related anaemia of chronic disease; deworming reduces anaemia burden.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Menstrual and obstetric blood loss, gastrointestinal bleeding, repeated blood donation, and oxidative triggers (fava beans, oxidant drugs, infection in G6PD deficiency) precipitate or worsen anaemia.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Adults, children, pregnant</w:t>
            </w:r>
          </w:p>
        </w:tc>
        <w:tc>
          <w:tcPr>
            <w:tcW w:type="dxa" w:w="1512"/>
            <w:vAlign w:val="top"/>
          </w:tcPr>
          <w:p>
            <w:pPr>
              <w:spacing w:after="40" w:before="0" w:line="259" w:lineRule="auto"/>
            </w:pPr>
            <w:r>
              <w:rPr>
                <w:rFonts w:ascii="Calibri" w:hAnsi="Calibri"/>
                <w:b w:val="0"/>
                <w:i w:val="0"/>
                <w:color w:val="212121"/>
                <w:sz w:val="19"/>
              </w:rPr>
              <w:t>M &gt;= 13.0; F &gt;= 12.0; pregnant/child 6-59mo &gt;= 11.0</w:t>
            </w:r>
          </w:p>
        </w:tc>
        <w:tc>
          <w:tcPr>
            <w:tcW w:type="dxa" w:w="1512"/>
            <w:vAlign w:val="top"/>
          </w:tcPr>
          <w:p>
            <w:pPr>
              <w:spacing w:after="40" w:before="0" w:line="259" w:lineRule="auto"/>
            </w:pPr>
            <w:r>
              <w:rPr>
                <w:rFonts w:ascii="Calibri" w:hAnsi="Calibri"/>
                <w:b w:val="0"/>
                <w:i w:val="0"/>
                <w:color w:val="212121"/>
                <w:sz w:val="19"/>
              </w:rPr>
              <w:t>Below WHO cut-off for age/sex/pregnancy</w:t>
            </w:r>
          </w:p>
        </w:tc>
        <w:tc>
          <w:tcPr>
            <w:tcW w:type="dxa" w:w="1468"/>
            <w:vAlign w:val="top"/>
          </w:tcPr>
          <w:p>
            <w:pPr>
              <w:spacing w:after="60" w:line="259" w:lineRule="auto"/>
            </w:pPr>
            <w:r>
              <w:rPr>
                <w:rFonts w:ascii="Calibri" w:hAnsi="Calibri"/>
                <w:b w:val="0"/>
                <w:i w:val="0"/>
                <w:color w:val="212121"/>
                <w:sz w:val="19"/>
              </w:rPr>
              <w:t>WHO cut-offs; 2024 revision lowered infants 6-23 months to 10.5 g/dL</w:t>
            </w:r>
          </w:p>
          <w:p>
            <w:pPr>
              <w:spacing w:after="40" w:line="252" w:lineRule="auto"/>
            </w:pPr>
            <w:hyperlink r:id="rId15">
              <w:r>
                <w:rPr>
                  <w:rFonts w:ascii="Calibri" w:hAnsi="Calibri" w:cs="Calibri"/>
                  <w:sz w:val="18"/>
                  <w:color w:val="1155CC"/>
                  <w:u w:val="single"/>
                </w:rPr>
                <w:t xml:space="preserve">https://indianpediatrics.net/july2024/671.pdf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(ng/mL)</w:t>
            </w:r>
          </w:p>
        </w:tc>
        <w:tc>
          <w:tcPr>
            <w:tcW w:type="dxa" w:w="1655"/>
            <w:vAlign w:val="top"/>
          </w:tcPr>
          <w:p>
            <w:pPr>
              <w:spacing w:after="40" w:before="0" w:line="259" w:lineRule="auto"/>
            </w:pPr>
            <w:r>
              <w:rPr>
                <w:rFonts w:ascii="Calibri" w:hAnsi="Calibri"/>
                <w:b w:val="0"/>
                <w:i w:val="0"/>
                <w:color w:val="212121"/>
                <w:sz w:val="19"/>
              </w:rPr>
              <w:t>Adults, women, children</w:t>
            </w:r>
          </w:p>
        </w:tc>
        <w:tc>
          <w:tcPr>
            <w:tcW w:type="dxa" w:w="1512"/>
            <w:vAlign w:val="top"/>
          </w:tcPr>
          <w:p>
            <w:pPr>
              <w:spacing w:after="40" w:before="0" w:line="259" w:lineRule="auto"/>
            </w:pPr>
            <w:r>
              <w:rPr>
                <w:rFonts w:ascii="Calibri" w:hAnsi="Calibri"/>
                <w:b w:val="0"/>
                <w:i w:val="0"/>
                <w:color w:val="212121"/>
                <w:sz w:val="19"/>
              </w:rPr>
              <w:t>&gt;= 30 ng/mL (stores adequate)</w:t>
            </w:r>
          </w:p>
        </w:tc>
        <w:tc>
          <w:tcPr>
            <w:tcW w:type="dxa" w:w="1512"/>
            <w:vAlign w:val="top"/>
          </w:tcPr>
          <w:p>
            <w:pPr>
              <w:spacing w:after="40" w:before="0" w:line="259" w:lineRule="auto"/>
            </w:pPr>
            <w:r>
              <w:rPr>
                <w:rFonts w:ascii="Calibri" w:hAnsi="Calibri"/>
                <w:b w:val="0"/>
                <w:i w:val="0"/>
                <w:color w:val="212121"/>
                <w:sz w:val="19"/>
              </w:rPr>
              <w:t>&lt; 15 ng/mL (iron deficiency); &lt; 30 supportive</w:t>
            </w:r>
          </w:p>
        </w:tc>
        <w:tc>
          <w:tcPr>
            <w:tcW w:type="dxa" w:w="1468"/>
            <w:vAlign w:val="top"/>
          </w:tcPr>
          <w:p>
            <w:pPr>
              <w:spacing w:after="40" w:before="0" w:line="259" w:lineRule="auto"/>
            </w:pPr>
            <w:r>
              <w:rPr>
                <w:rFonts w:ascii="Calibri" w:hAnsi="Calibri"/>
                <w:b w:val="0"/>
                <w:i w:val="0"/>
                <w:color w:val="212121"/>
                <w:sz w:val="19"/>
              </w:rPr>
              <w:t>Acute-phase reactant; use &lt; 70 ng/mL threshold with inflammation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Transferrin saturation (%)</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20-50%</w:t>
            </w:r>
          </w:p>
        </w:tc>
        <w:tc>
          <w:tcPr>
            <w:tcW w:type="dxa" w:w="1512"/>
            <w:vAlign w:val="top"/>
          </w:tcPr>
          <w:p>
            <w:pPr>
              <w:spacing w:after="40" w:before="0" w:line="259" w:lineRule="auto"/>
            </w:pPr>
            <w:r>
              <w:rPr>
                <w:rFonts w:ascii="Calibri" w:hAnsi="Calibri"/>
                <w:b w:val="0"/>
                <w:i w:val="0"/>
                <w:color w:val="212121"/>
                <w:sz w:val="19"/>
              </w:rPr>
              <w:t>&lt; 20%</w:t>
            </w:r>
          </w:p>
        </w:tc>
        <w:tc>
          <w:tcPr>
            <w:tcW w:type="dxa" w:w="1468"/>
            <w:vAlign w:val="top"/>
          </w:tcPr>
          <w:p>
            <w:pPr>
              <w:spacing w:after="40" w:before="0" w:line="259" w:lineRule="auto"/>
            </w:pPr>
            <w:r>
              <w:rPr>
                <w:rFonts w:ascii="Calibri" w:hAnsi="Calibri"/>
                <w:b w:val="0"/>
                <w:i w:val="0"/>
                <w:color w:val="212121"/>
                <w:sz w:val="19"/>
              </w:rPr>
              <w:t>Low saturation indicates iron-deficient erythropoiesis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volume (MCV, fL)</w:t>
            </w:r>
          </w:p>
        </w:tc>
        <w:tc>
          <w:tcPr>
            <w:tcW w:type="dxa" w:w="1655"/>
            <w:vAlign w:val="top"/>
          </w:tcPr>
          <w:p>
            <w:pPr>
              <w:spacing w:after="40" w:before="0" w:line="259" w:lineRule="auto"/>
            </w:pPr>
            <w:r>
              <w:rPr>
                <w:rFonts w:ascii="Calibri" w:hAnsi="Calibri"/>
                <w:b w:val="0"/>
                <w:i w:val="0"/>
                <w:color w:val="212121"/>
                <w:sz w:val="19"/>
              </w:rPr>
              <w:t>All anaemic patients</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&lt; 80 (microcytic: iron/thalassaemia); &gt; 100 (macrocytic: B12/folate)</w:t>
            </w:r>
          </w:p>
        </w:tc>
        <w:tc>
          <w:tcPr>
            <w:tcW w:type="dxa" w:w="1468"/>
            <w:vAlign w:val="top"/>
          </w:tcPr>
          <w:p>
            <w:pPr>
              <w:spacing w:after="40" w:before="0" w:line="259" w:lineRule="auto"/>
            </w:pPr>
            <w:r>
              <w:rPr>
                <w:rFonts w:ascii="Calibri" w:hAnsi="Calibri"/>
                <w:b w:val="0"/>
                <w:i w:val="0"/>
                <w:color w:val="212121"/>
                <w:sz w:val="19"/>
              </w:rPr>
              <w:t>First step in morphological classification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haemoglobin (MCH, pg)</w:t>
            </w:r>
          </w:p>
        </w:tc>
        <w:tc>
          <w:tcPr>
            <w:tcW w:type="dxa" w:w="1655"/>
            <w:vAlign w:val="top"/>
          </w:tcPr>
          <w:p>
            <w:pPr>
              <w:spacing w:after="40" w:before="0" w:line="259" w:lineRule="auto"/>
            </w:pPr>
            <w:r>
              <w:rPr>
                <w:rFonts w:ascii="Calibri" w:hAnsi="Calibri"/>
                <w:b w:val="0"/>
                <w:i w:val="0"/>
                <w:color w:val="212121"/>
                <w:sz w:val="19"/>
              </w:rPr>
              <w:t>All anaemic patients</w:t>
            </w:r>
          </w:p>
        </w:tc>
        <w:tc>
          <w:tcPr>
            <w:tcW w:type="dxa" w:w="1512"/>
            <w:vAlign w:val="top"/>
          </w:tcPr>
          <w:p>
            <w:pPr>
              <w:spacing w:after="40" w:before="0" w:line="259" w:lineRule="auto"/>
            </w:pPr>
            <w:r>
              <w:rPr>
                <w:rFonts w:ascii="Calibri" w:hAnsi="Calibri"/>
                <w:b w:val="0"/>
                <w:i w:val="0"/>
                <w:color w:val="212121"/>
                <w:sz w:val="19"/>
              </w:rPr>
              <w:t>27-33 pg</w:t>
            </w:r>
          </w:p>
        </w:tc>
        <w:tc>
          <w:tcPr>
            <w:tcW w:type="dxa" w:w="1512"/>
            <w:vAlign w:val="top"/>
          </w:tcPr>
          <w:p>
            <w:pPr>
              <w:spacing w:after="40" w:before="0" w:line="259" w:lineRule="auto"/>
            </w:pPr>
            <w:r>
              <w:rPr>
                <w:rFonts w:ascii="Calibri" w:hAnsi="Calibri"/>
                <w:b w:val="0"/>
                <w:i w:val="0"/>
                <w:color w:val="212121"/>
                <w:sz w:val="19"/>
              </w:rPr>
              <w:t>&lt; 27 pg (hypochromia)</w:t>
            </w:r>
          </w:p>
        </w:tc>
        <w:tc>
          <w:tcPr>
            <w:tcW w:type="dxa" w:w="1468"/>
            <w:vAlign w:val="top"/>
          </w:tcPr>
          <w:p>
            <w:pPr>
              <w:spacing w:after="40" w:before="0" w:line="259" w:lineRule="auto"/>
            </w:pPr>
            <w:r>
              <w:rPr>
                <w:rFonts w:ascii="Calibri" w:hAnsi="Calibri"/>
                <w:b w:val="0"/>
                <w:i w:val="0"/>
                <w:color w:val="212121"/>
                <w:sz w:val="19"/>
              </w:rPr>
              <w:t>Low in iron deficiency and thalassaemia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Red-cell distribution width (RDW, %)</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11.5-14.5%</w:t>
            </w:r>
          </w:p>
        </w:tc>
        <w:tc>
          <w:tcPr>
            <w:tcW w:type="dxa" w:w="1512"/>
            <w:vAlign w:val="top"/>
          </w:tcPr>
          <w:p>
            <w:pPr>
              <w:spacing w:after="40" w:before="0" w:line="259" w:lineRule="auto"/>
            </w:pPr>
            <w:r>
              <w:rPr>
                <w:rFonts w:ascii="Calibri" w:hAnsi="Calibri"/>
                <w:b w:val="0"/>
                <w:i w:val="0"/>
                <w:color w:val="212121"/>
                <w:sz w:val="19"/>
              </w:rPr>
              <w:t>&gt; 14.5%</w:t>
            </w:r>
          </w:p>
        </w:tc>
        <w:tc>
          <w:tcPr>
            <w:tcW w:type="dxa" w:w="1468"/>
            <w:vAlign w:val="top"/>
          </w:tcPr>
          <w:p>
            <w:pPr>
              <w:spacing w:after="40" w:before="0" w:line="259" w:lineRule="auto"/>
            </w:pPr>
            <w:r>
              <w:rPr>
                <w:rFonts w:ascii="Calibri" w:hAnsi="Calibri"/>
                <w:b w:val="0"/>
                <w:i w:val="0"/>
                <w:color w:val="212121"/>
                <w:sz w:val="19"/>
              </w:rPr>
              <w:t>Raised early in iron deficiency; often normal in thalassaemia trait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 (pg/mL)</w:t>
            </w:r>
          </w:p>
        </w:tc>
        <w:tc>
          <w:tcPr>
            <w:tcW w:type="dxa" w:w="1655"/>
            <w:vAlign w:val="top"/>
          </w:tcPr>
          <w:p>
            <w:pPr>
              <w:spacing w:after="40" w:before="0" w:line="259" w:lineRule="auto"/>
            </w:pPr>
            <w:r>
              <w:rPr>
                <w:rFonts w:ascii="Calibri" w:hAnsi="Calibri"/>
                <w:b w:val="0"/>
                <w:i w:val="0"/>
                <w:color w:val="212121"/>
                <w:sz w:val="19"/>
              </w:rPr>
              <w:t>Vegetarians, elderly, pregnant</w:t>
            </w:r>
          </w:p>
        </w:tc>
        <w:tc>
          <w:tcPr>
            <w:tcW w:type="dxa" w:w="1512"/>
            <w:vAlign w:val="top"/>
          </w:tcPr>
          <w:p>
            <w:pPr>
              <w:spacing w:after="40" w:before="0" w:line="259" w:lineRule="auto"/>
            </w:pPr>
            <w:r>
              <w:rPr>
                <w:rFonts w:ascii="Calibri" w:hAnsi="Calibri"/>
                <w:b w:val="0"/>
                <w:i w:val="0"/>
                <w:color w:val="212121"/>
                <w:sz w:val="19"/>
              </w:rPr>
              <w:t>&gt; 200-300 pg/mL</w:t>
            </w:r>
          </w:p>
        </w:tc>
        <w:tc>
          <w:tcPr>
            <w:tcW w:type="dxa" w:w="1512"/>
            <w:vAlign w:val="top"/>
          </w:tcPr>
          <w:p>
            <w:pPr>
              <w:spacing w:after="40" w:before="0" w:line="259" w:lineRule="auto"/>
            </w:pPr>
            <w:r>
              <w:rPr>
                <w:rFonts w:ascii="Calibri" w:hAnsi="Calibri"/>
                <w:b w:val="0"/>
                <w:i w:val="0"/>
                <w:color w:val="212121"/>
                <w:sz w:val="19"/>
              </w:rPr>
              <w:t>&lt; 200 pg/mL</w:t>
            </w:r>
          </w:p>
        </w:tc>
        <w:tc>
          <w:tcPr>
            <w:tcW w:type="dxa" w:w="1468"/>
            <w:vAlign w:val="top"/>
          </w:tcPr>
          <w:p>
            <w:pPr>
              <w:spacing w:after="60" w:line="259" w:lineRule="auto"/>
            </w:pPr>
            <w:r>
              <w:rPr>
                <w:rFonts w:ascii="Calibri" w:hAnsi="Calibri"/>
                <w:b w:val="0"/>
                <w:i w:val="0"/>
                <w:color w:val="212121"/>
                <w:sz w:val="19"/>
              </w:rPr>
              <w:t>Low in vegetarians and malabsorption; causes megaloblastic anaemia</w:t>
            </w:r>
          </w:p>
          <w:p>
            <w:pPr>
              <w:spacing w:after="40" w:line="252" w:lineRule="auto"/>
            </w:pPr>
            <w:hyperlink r:id="rId13">
              <w:r>
                <w:rPr>
                  <w:rFonts w:ascii="Calibri" w:hAnsi="Calibri" w:cs="Calibri"/>
                  <w:sz w:val="18"/>
                  <w:color w:val="1155CC"/>
                  <w:u w:val="single"/>
                </w:rPr>
                <w:t xml:space="preserve">https://pmc.ncbi.nlm.nih.gov/articles/PMC9480660/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 red-cell folate (ng/mL)</w:t>
            </w:r>
          </w:p>
        </w:tc>
        <w:tc>
          <w:tcPr>
            <w:tcW w:type="dxa" w:w="1655"/>
            <w:vAlign w:val="top"/>
          </w:tcPr>
          <w:p>
            <w:pPr>
              <w:spacing w:after="40" w:before="0" w:line="259" w:lineRule="auto"/>
            </w:pPr>
            <w:r>
              <w:rPr>
                <w:rFonts w:ascii="Calibri" w:hAnsi="Calibri"/>
                <w:b w:val="0"/>
                <w:i w:val="0"/>
                <w:color w:val="212121"/>
                <w:sz w:val="19"/>
              </w:rPr>
              <w:t>Pregnant, alcohol users, malabsorption</w:t>
            </w:r>
          </w:p>
        </w:tc>
        <w:tc>
          <w:tcPr>
            <w:tcW w:type="dxa" w:w="1512"/>
            <w:vAlign w:val="top"/>
          </w:tcPr>
          <w:p>
            <w:pPr>
              <w:spacing w:after="40" w:before="0" w:line="259" w:lineRule="auto"/>
            </w:pPr>
            <w:r>
              <w:rPr>
                <w:rFonts w:ascii="Calibri" w:hAnsi="Calibri"/>
                <w:b w:val="0"/>
                <w:i w:val="0"/>
                <w:color w:val="212121"/>
                <w:sz w:val="19"/>
              </w:rPr>
              <w:t>&gt; 4 ng/mL (serum)</w:t>
            </w:r>
          </w:p>
        </w:tc>
        <w:tc>
          <w:tcPr>
            <w:tcW w:type="dxa" w:w="1512"/>
            <w:vAlign w:val="top"/>
          </w:tcPr>
          <w:p>
            <w:pPr>
              <w:spacing w:after="40" w:before="0" w:line="259" w:lineRule="auto"/>
            </w:pPr>
            <w:r>
              <w:rPr>
                <w:rFonts w:ascii="Calibri" w:hAnsi="Calibri"/>
                <w:b w:val="0"/>
                <w:i w:val="0"/>
                <w:color w:val="212121"/>
                <w:sz w:val="19"/>
              </w:rPr>
              <w:t>&lt; 3 ng/mL</w:t>
            </w:r>
          </w:p>
        </w:tc>
        <w:tc>
          <w:tcPr>
            <w:tcW w:type="dxa" w:w="1468"/>
            <w:vAlign w:val="top"/>
          </w:tcPr>
          <w:p>
            <w:pPr>
              <w:spacing w:after="40" w:before="0" w:line="259" w:lineRule="auto"/>
            </w:pPr>
            <w:r>
              <w:rPr>
                <w:rFonts w:ascii="Calibri" w:hAnsi="Calibri"/>
                <w:b w:val="0"/>
                <w:i w:val="0"/>
                <w:color w:val="212121"/>
                <w:sz w:val="19"/>
              </w:rPr>
              <w:t>Deficiency causes megaloblastic anaemia; needs rise in pregnancy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iron intake (mg/day)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Meets ICMR-NIN RDA (men 19; women 29 mg/day)</w:t>
            </w:r>
          </w:p>
        </w:tc>
        <w:tc>
          <w:tcPr>
            <w:tcW w:type="dxa" w:w="1512"/>
            <w:vAlign w:val="top"/>
          </w:tcPr>
          <w:p>
            <w:pPr>
              <w:spacing w:after="40" w:before="0" w:line="259" w:lineRule="auto"/>
            </w:pPr>
            <w:r>
              <w:rPr>
                <w:rFonts w:ascii="Calibri" w:hAnsi="Calibri"/>
                <w:b w:val="0"/>
                <w:i w:val="0"/>
                <w:color w:val="212121"/>
                <w:sz w:val="19"/>
              </w:rPr>
              <w:t>Below RDA or low-bioavailability diet</w:t>
            </w:r>
          </w:p>
        </w:tc>
        <w:tc>
          <w:tcPr>
            <w:tcW w:type="dxa" w:w="1468"/>
            <w:vAlign w:val="top"/>
          </w:tcPr>
          <w:p>
            <w:pPr>
              <w:spacing w:after="60" w:line="259" w:lineRule="auto"/>
            </w:pPr>
            <w:r>
              <w:rPr>
                <w:rFonts w:ascii="Calibri" w:hAnsi="Calibri"/>
                <w:b w:val="0"/>
                <w:i w:val="0"/>
                <w:color w:val="212121"/>
                <w:sz w:val="19"/>
              </w:rPr>
              <w:t>Indian RDA is high due to low non-heme bioavailability</w:t>
            </w:r>
          </w:p>
          <w:p>
            <w:pPr>
              <w:spacing w:after="40" w:line="252" w:lineRule="auto"/>
            </w:pPr>
            <w:hyperlink r:id="rId16">
              <w:r>
                <w:rPr>
                  <w:rFonts w:ascii="Calibri" w:hAnsi="Calibri" w:cs="Calibri"/>
                  <w:sz w:val="18"/>
                  <w:color w:val="1155CC"/>
                  <w:u w:val="single"/>
                </w:rPr>
                <w:t xml:space="preserve">https://www.nin.res.in/rdabook/brief_note.pdf</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Tea/coffee timing relative to meals</w:t>
            </w:r>
          </w:p>
        </w:tc>
        <w:tc>
          <w:tcPr>
            <w:tcW w:type="dxa" w:w="1655"/>
            <w:vAlign w:val="top"/>
          </w:tcPr>
          <w:p>
            <w:pPr>
              <w:spacing w:after="40" w:before="0" w:line="259" w:lineRule="auto"/>
            </w:pPr>
            <w:r>
              <w:rPr>
                <w:rFonts w:ascii="Calibri" w:hAnsi="Calibri"/>
                <w:b w:val="0"/>
                <w:i w:val="0"/>
                <w:color w:val="212121"/>
                <w:sz w:val="19"/>
              </w:rPr>
              <w:t>Adults, children</w:t>
            </w:r>
          </w:p>
        </w:tc>
        <w:tc>
          <w:tcPr>
            <w:tcW w:type="dxa" w:w="1512"/>
            <w:vAlign w:val="top"/>
          </w:tcPr>
          <w:p>
            <w:pPr>
              <w:spacing w:after="40" w:before="0" w:line="259" w:lineRule="auto"/>
            </w:pPr>
            <w:r>
              <w:rPr>
                <w:rFonts w:ascii="Calibri" w:hAnsi="Calibri"/>
                <w:b w:val="0"/>
                <w:i w:val="0"/>
                <w:color w:val="212121"/>
                <w:sz w:val="19"/>
              </w:rPr>
              <w:t>Avoid tea/coffee within about 1 hour of iron-rich meals</w:t>
            </w:r>
          </w:p>
        </w:tc>
        <w:tc>
          <w:tcPr>
            <w:tcW w:type="dxa" w:w="1512"/>
            <w:vAlign w:val="top"/>
          </w:tcPr>
          <w:p>
            <w:pPr>
              <w:spacing w:after="40" w:before="0" w:line="259" w:lineRule="auto"/>
            </w:pPr>
            <w:r>
              <w:rPr>
                <w:rFonts w:ascii="Calibri" w:hAnsi="Calibri"/>
                <w:b w:val="0"/>
                <w:i w:val="0"/>
                <w:color w:val="212121"/>
                <w:sz w:val="19"/>
              </w:rPr>
              <w:t>Habitual tea/coffee with meals</w:t>
            </w:r>
          </w:p>
        </w:tc>
        <w:tc>
          <w:tcPr>
            <w:tcW w:type="dxa" w:w="1468"/>
            <w:vAlign w:val="top"/>
          </w:tcPr>
          <w:p>
            <w:pPr>
              <w:spacing w:after="40" w:before="0" w:line="259" w:lineRule="auto"/>
            </w:pPr>
            <w:r>
              <w:rPr>
                <w:rFonts w:ascii="Calibri" w:hAnsi="Calibri"/>
                <w:b w:val="0"/>
                <w:i w:val="0"/>
                <w:color w:val="212121"/>
                <w:sz w:val="19"/>
              </w:rPr>
              <w:t>Tannins inhibit non-heme iron absorption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Minimal to none</w:t>
            </w:r>
          </w:p>
        </w:tc>
        <w:tc>
          <w:tcPr>
            <w:tcW w:type="dxa" w:w="1512"/>
            <w:vAlign w:val="top"/>
          </w:tcPr>
          <w:p>
            <w:pPr>
              <w:spacing w:after="40" w:before="0" w:line="259" w:lineRule="auto"/>
            </w:pPr>
            <w:r>
              <w:rPr>
                <w:rFonts w:ascii="Calibri" w:hAnsi="Calibri"/>
                <w:b w:val="0"/>
                <w:i w:val="0"/>
                <w:color w:val="212121"/>
                <w:sz w:val="19"/>
              </w:rPr>
              <w:t>Heavy or chronic use</w:t>
            </w:r>
          </w:p>
        </w:tc>
        <w:tc>
          <w:tcPr>
            <w:tcW w:type="dxa" w:w="1468"/>
            <w:vAlign w:val="top"/>
          </w:tcPr>
          <w:p>
            <w:pPr>
              <w:spacing w:after="40" w:before="0" w:line="259" w:lineRule="auto"/>
            </w:pPr>
            <w:r>
              <w:rPr>
                <w:rFonts w:ascii="Calibri" w:hAnsi="Calibri"/>
                <w:b w:val="0"/>
                <w:i w:val="0"/>
                <w:color w:val="212121"/>
                <w:sz w:val="19"/>
              </w:rPr>
              <w:t>Causes folate deficiency, marrow suppression and GI bleeding</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Menstrual blood loss</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Normal menses (&lt; 80 mL/cycle)</w:t>
            </w:r>
          </w:p>
        </w:tc>
        <w:tc>
          <w:tcPr>
            <w:tcW w:type="dxa" w:w="1512"/>
            <w:vAlign w:val="top"/>
          </w:tcPr>
          <w:p>
            <w:pPr>
              <w:spacing w:after="40" w:before="0" w:line="259" w:lineRule="auto"/>
            </w:pPr>
            <w:r>
              <w:rPr>
                <w:rFonts w:ascii="Calibri" w:hAnsi="Calibri"/>
                <w:b w:val="0"/>
                <w:i w:val="0"/>
                <w:color w:val="212121"/>
                <w:sz w:val="19"/>
              </w:rPr>
              <w:t>Heavy menstrual bleeding (menorrhagia)</w:t>
            </w:r>
          </w:p>
        </w:tc>
        <w:tc>
          <w:tcPr>
            <w:tcW w:type="dxa" w:w="1468"/>
            <w:vAlign w:val="top"/>
          </w:tcPr>
          <w:p>
            <w:pPr>
              <w:spacing w:after="40" w:before="0" w:line="259" w:lineRule="auto"/>
            </w:pPr>
            <w:r>
              <w:rPr>
                <w:rFonts w:ascii="Calibri" w:hAnsi="Calibri"/>
                <w:b w:val="0"/>
                <w:i w:val="0"/>
                <w:color w:val="212121"/>
                <w:sz w:val="19"/>
              </w:rPr>
              <w:t>Chronic menstrual loss is a leading cause of iron deficiency in women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and Haematocrit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 13.0-17.0; F 12.0-15.0 g/dL</w:t>
            </w:r>
          </w:p>
        </w:tc>
        <w:tc>
          <w:tcPr>
            <w:tcW w:type="dxa" w:w="950"/>
            <w:vAlign w:val="top"/>
          </w:tcPr>
          <w:p>
            <w:pPr>
              <w:spacing w:after="40" w:before="0" w:line="259" w:lineRule="auto"/>
            </w:pPr>
            <w:r>
              <w:rPr>
                <w:rFonts w:ascii="Calibri" w:hAnsi="Calibri"/>
                <w:b w:val="0"/>
                <w:i w:val="0"/>
                <w:color w:val="212121"/>
                <w:sz w:val="16"/>
              </w:rPr>
              <w:t>Below WHO cut-off (M&lt;13, F&lt;12, pregnant/child&lt;11)</w:t>
            </w:r>
          </w:p>
        </w:tc>
        <w:tc>
          <w:tcPr>
            <w:tcW w:type="dxa" w:w="1036"/>
            <w:vAlign w:val="top"/>
          </w:tcPr>
          <w:p>
            <w:pPr>
              <w:spacing w:after="40" w:before="0" w:line="259" w:lineRule="auto"/>
            </w:pPr>
            <w:r>
              <w:rPr>
                <w:rFonts w:ascii="Calibri" w:hAnsi="Calibri"/>
                <w:b w:val="0"/>
                <w:i w:val="0"/>
                <w:color w:val="212121"/>
                <w:sz w:val="16"/>
              </w:rPr>
              <w:t>Confirms and grades anaemia (mild/moderate/severe)</w:t>
            </w:r>
          </w:p>
        </w:tc>
        <w:tc>
          <w:tcPr>
            <w:tcW w:type="dxa" w:w="1036"/>
            <w:vAlign w:val="top"/>
          </w:tcPr>
          <w:p>
            <w:pPr>
              <w:spacing w:after="40" w:before="0" w:line="259" w:lineRule="auto"/>
            </w:pPr>
            <w:r>
              <w:rPr>
                <w:rFonts w:ascii="Calibri" w:hAnsi="Calibri"/>
                <w:b w:val="0"/>
                <w:i w:val="0"/>
                <w:color w:val="212121"/>
                <w:sz w:val="16"/>
              </w:rPr>
              <w:t>All at-risk groups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Capillary (HemoCue) testing overestimates versus venous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RBC indices (MCV, MCH, MCHC, RDW)</w:t>
            </w:r>
          </w:p>
        </w:tc>
        <w:tc>
          <w:tcPr>
            <w:tcW w:type="dxa" w:w="892"/>
            <w:vAlign w:val="top"/>
          </w:tcPr>
          <w:p>
            <w:pPr>
              <w:spacing w:after="40" w:before="0" w:line="259" w:lineRule="auto"/>
            </w:pPr>
            <w:r>
              <w:rPr>
                <w:rFonts w:ascii="Calibri" w:hAnsi="Calibri"/>
                <w:b w:val="0"/>
                <w:i w:val="0"/>
                <w:color w:val="212121"/>
                <w:sz w:val="16"/>
              </w:rPr>
              <w:t>Automated CBC analyser</w:t>
            </w:r>
          </w:p>
        </w:tc>
        <w:tc>
          <w:tcPr>
            <w:tcW w:type="dxa" w:w="950"/>
            <w:vAlign w:val="top"/>
          </w:tcPr>
          <w:p>
            <w:pPr>
              <w:spacing w:after="40" w:before="0" w:line="259" w:lineRule="auto"/>
            </w:pPr>
            <w:r>
              <w:rPr>
                <w:rFonts w:ascii="Calibri" w:hAnsi="Calibri"/>
                <w:b w:val="0"/>
                <w:i w:val="0"/>
                <w:color w:val="212121"/>
                <w:sz w:val="16"/>
              </w:rPr>
              <w:t>MCV 80-100 fL</w:t>
            </w:r>
          </w:p>
        </w:tc>
        <w:tc>
          <w:tcPr>
            <w:tcW w:type="dxa" w:w="950"/>
            <w:vAlign w:val="top"/>
          </w:tcPr>
          <w:p>
            <w:pPr>
              <w:spacing w:after="40" w:before="0" w:line="259" w:lineRule="auto"/>
            </w:pPr>
            <w:r>
              <w:rPr>
                <w:rFonts w:ascii="Calibri" w:hAnsi="Calibri"/>
                <w:b w:val="0"/>
                <w:i w:val="0"/>
                <w:color w:val="212121"/>
                <w:sz w:val="16"/>
              </w:rPr>
              <w:t>&lt; 80 or &gt; 100 fL</w:t>
            </w:r>
          </w:p>
        </w:tc>
        <w:tc>
          <w:tcPr>
            <w:tcW w:type="dxa" w:w="1036"/>
            <w:vAlign w:val="top"/>
          </w:tcPr>
          <w:p>
            <w:pPr>
              <w:spacing w:after="40" w:before="0" w:line="259" w:lineRule="auto"/>
            </w:pPr>
            <w:r>
              <w:rPr>
                <w:rFonts w:ascii="Calibri" w:hAnsi="Calibri"/>
                <w:b w:val="0"/>
                <w:i w:val="0"/>
                <w:color w:val="212121"/>
                <w:sz w:val="16"/>
              </w:rPr>
              <w:t>Classifies microcytic, normocytic or macrocytic anaemia</w:t>
            </w:r>
          </w:p>
        </w:tc>
        <w:tc>
          <w:tcPr>
            <w:tcW w:type="dxa" w:w="1036"/>
            <w:vAlign w:val="top"/>
          </w:tcPr>
          <w:p>
            <w:pPr>
              <w:spacing w:after="40" w:before="0" w:line="259" w:lineRule="auto"/>
            </w:pPr>
            <w:r>
              <w:rPr>
                <w:rFonts w:ascii="Calibri" w:hAnsi="Calibri"/>
                <w:b w:val="0"/>
                <w:i w:val="0"/>
                <w:color w:val="212121"/>
                <w:sz w:val="16"/>
              </w:rPr>
              <w:t>All anaemic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Directs targeted further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Peripheral blood smear</w:t>
            </w:r>
          </w:p>
        </w:tc>
        <w:tc>
          <w:tcPr>
            <w:tcW w:type="dxa" w:w="892"/>
            <w:vAlign w:val="top"/>
          </w:tcPr>
          <w:p>
            <w:pPr>
              <w:spacing w:after="40" w:before="0" w:line="259" w:lineRule="auto"/>
            </w:pPr>
            <w:r>
              <w:rPr>
                <w:rFonts w:ascii="Calibri" w:hAnsi="Calibri"/>
                <w:b w:val="0"/>
                <w:i w:val="0"/>
                <w:color w:val="212121"/>
                <w:sz w:val="16"/>
              </w:rPr>
              <w:t>Microscopy</w:t>
            </w:r>
          </w:p>
        </w:tc>
        <w:tc>
          <w:tcPr>
            <w:tcW w:type="dxa" w:w="950"/>
            <w:vAlign w:val="top"/>
          </w:tcPr>
          <w:p>
            <w:pPr>
              <w:spacing w:after="40" w:before="0" w:line="259" w:lineRule="auto"/>
            </w:pPr>
            <w:r>
              <w:rPr>
                <w:rFonts w:ascii="Calibri" w:hAnsi="Calibri"/>
                <w:b w:val="0"/>
                <w:i w:val="0"/>
                <w:color w:val="212121"/>
                <w:sz w:val="16"/>
              </w:rPr>
              <w:t>Normocytic normochromic red cells</w:t>
            </w:r>
          </w:p>
        </w:tc>
        <w:tc>
          <w:tcPr>
            <w:tcW w:type="dxa" w:w="950"/>
            <w:vAlign w:val="top"/>
          </w:tcPr>
          <w:p>
            <w:pPr>
              <w:spacing w:after="40" w:before="0" w:line="259" w:lineRule="auto"/>
            </w:pPr>
            <w:r>
              <w:rPr>
                <w:rFonts w:ascii="Calibri" w:hAnsi="Calibri"/>
                <w:b w:val="0"/>
                <w:i w:val="0"/>
                <w:color w:val="212121"/>
                <w:sz w:val="16"/>
              </w:rPr>
              <w:t>Microcytic hypochromic, macro-ovalocytes, target/sickle cells</w:t>
            </w:r>
          </w:p>
        </w:tc>
        <w:tc>
          <w:tcPr>
            <w:tcW w:type="dxa" w:w="1036"/>
            <w:vAlign w:val="top"/>
          </w:tcPr>
          <w:p>
            <w:pPr>
              <w:spacing w:after="40" w:before="0" w:line="259" w:lineRule="auto"/>
            </w:pPr>
            <w:r>
              <w:rPr>
                <w:rFonts w:ascii="Calibri" w:hAnsi="Calibri"/>
                <w:b w:val="0"/>
                <w:i w:val="0"/>
                <w:color w:val="212121"/>
                <w:sz w:val="16"/>
              </w:rPr>
              <w:t>Morphology suggests the cause</w:t>
            </w:r>
          </w:p>
        </w:tc>
        <w:tc>
          <w:tcPr>
            <w:tcW w:type="dxa" w:w="1036"/>
            <w:vAlign w:val="top"/>
          </w:tcPr>
          <w:p>
            <w:pPr>
              <w:spacing w:after="40" w:before="0" w:line="259" w:lineRule="auto"/>
            </w:pPr>
            <w:r>
              <w:rPr>
                <w:rFonts w:ascii="Calibri" w:hAnsi="Calibri"/>
                <w:b w:val="0"/>
                <w:i w:val="0"/>
                <w:color w:val="212121"/>
                <w:sz w:val="16"/>
              </w:rPr>
              <w:t>All anaemic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Hypersegmented neutrophils suggest B12/folate deficiency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Iron studies (ferritin, iron, TIBC, transferrin saturation)</w:t>
            </w:r>
          </w:p>
        </w:tc>
        <w:tc>
          <w:tcPr>
            <w:tcW w:type="dxa" w:w="892"/>
            <w:vAlign w:val="top"/>
          </w:tcPr>
          <w:p>
            <w:pPr>
              <w:spacing w:after="40" w:before="0" w:line="259" w:lineRule="auto"/>
            </w:pPr>
            <w:r>
              <w:rPr>
                <w:rFonts w:ascii="Calibri" w:hAnsi="Calibri"/>
                <w:b w:val="0"/>
                <w:i w:val="0"/>
                <w:color w:val="212121"/>
                <w:sz w:val="16"/>
              </w:rPr>
              <w:t>Serum assay</w:t>
            </w:r>
          </w:p>
        </w:tc>
        <w:tc>
          <w:tcPr>
            <w:tcW w:type="dxa" w:w="950"/>
            <w:vAlign w:val="top"/>
          </w:tcPr>
          <w:p>
            <w:pPr>
              <w:spacing w:after="40" w:before="0" w:line="259" w:lineRule="auto"/>
            </w:pPr>
            <w:r>
              <w:rPr>
                <w:rFonts w:ascii="Calibri" w:hAnsi="Calibri"/>
                <w:b w:val="0"/>
                <w:i w:val="0"/>
                <w:color w:val="212121"/>
                <w:sz w:val="16"/>
              </w:rPr>
              <w:t>Ferritin &gt;= 30 ng/mL; TSAT 20-50%</w:t>
            </w:r>
          </w:p>
        </w:tc>
        <w:tc>
          <w:tcPr>
            <w:tcW w:type="dxa" w:w="950"/>
            <w:vAlign w:val="top"/>
          </w:tcPr>
          <w:p>
            <w:pPr>
              <w:spacing w:after="40" w:before="0" w:line="259" w:lineRule="auto"/>
            </w:pPr>
            <w:r>
              <w:rPr>
                <w:rFonts w:ascii="Calibri" w:hAnsi="Calibri"/>
                <w:b w:val="0"/>
                <w:i w:val="0"/>
                <w:color w:val="212121"/>
                <w:sz w:val="16"/>
              </w:rPr>
              <w:t>Ferritin &lt; 15 ng/mL; TSAT &lt; 20%; TIBC raised</w:t>
            </w:r>
          </w:p>
        </w:tc>
        <w:tc>
          <w:tcPr>
            <w:tcW w:type="dxa" w:w="1036"/>
            <w:vAlign w:val="top"/>
          </w:tcPr>
          <w:p>
            <w:pPr>
              <w:spacing w:after="40" w:before="0" w:line="259" w:lineRule="auto"/>
            </w:pPr>
            <w:r>
              <w:rPr>
                <w:rFonts w:ascii="Calibri" w:hAnsi="Calibri"/>
                <w:b w:val="0"/>
                <w:i w:val="0"/>
                <w:color w:val="212121"/>
                <w:sz w:val="16"/>
              </w:rPr>
              <w:t>Diagnoses iron deficiency and separates it from anaemia of chronic disease</w:t>
            </w:r>
          </w:p>
        </w:tc>
        <w:tc>
          <w:tcPr>
            <w:tcW w:type="dxa" w:w="1036"/>
            <w:vAlign w:val="top"/>
          </w:tcPr>
          <w:p>
            <w:pPr>
              <w:spacing w:after="40" w:before="0" w:line="259" w:lineRule="auto"/>
            </w:pPr>
            <w:r>
              <w:rPr>
                <w:rFonts w:ascii="Calibri" w:hAnsi="Calibri"/>
                <w:b w:val="0"/>
                <w:i w:val="0"/>
                <w:color w:val="212121"/>
                <w:sz w:val="16"/>
              </w:rPr>
              <w:t>Women, children, vegetarians, GI blood loss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Ferritin is an acute-phase reactant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Vitamin B12 and Folate</w:t>
            </w:r>
          </w:p>
        </w:tc>
        <w:tc>
          <w:tcPr>
            <w:tcW w:type="dxa" w:w="892"/>
            <w:vAlign w:val="top"/>
          </w:tcPr>
          <w:p>
            <w:pPr>
              <w:spacing w:after="40" w:before="0" w:line="259" w:lineRule="auto"/>
            </w:pPr>
            <w:r>
              <w:rPr>
                <w:rFonts w:ascii="Calibri" w:hAnsi="Calibri"/>
                <w:b w:val="0"/>
                <w:i w:val="0"/>
                <w:color w:val="212121"/>
                <w:sz w:val="16"/>
              </w:rPr>
              <w:t>Serum assay</w:t>
            </w:r>
          </w:p>
        </w:tc>
        <w:tc>
          <w:tcPr>
            <w:tcW w:type="dxa" w:w="950"/>
            <w:vAlign w:val="top"/>
          </w:tcPr>
          <w:p>
            <w:pPr>
              <w:spacing w:after="40" w:before="0" w:line="259" w:lineRule="auto"/>
            </w:pPr>
            <w:r>
              <w:rPr>
                <w:rFonts w:ascii="Calibri" w:hAnsi="Calibri"/>
                <w:b w:val="0"/>
                <w:i w:val="0"/>
                <w:color w:val="212121"/>
                <w:sz w:val="16"/>
              </w:rPr>
              <w:t>B12 &gt; 200 pg/mL; folate &gt; 4 ng/mL</w:t>
            </w:r>
          </w:p>
        </w:tc>
        <w:tc>
          <w:tcPr>
            <w:tcW w:type="dxa" w:w="950"/>
            <w:vAlign w:val="top"/>
          </w:tcPr>
          <w:p>
            <w:pPr>
              <w:spacing w:after="40" w:before="0" w:line="259" w:lineRule="auto"/>
            </w:pPr>
            <w:r>
              <w:rPr>
                <w:rFonts w:ascii="Calibri" w:hAnsi="Calibri"/>
                <w:b w:val="0"/>
                <w:i w:val="0"/>
                <w:color w:val="212121"/>
                <w:sz w:val="16"/>
              </w:rPr>
              <w:t>B12 &lt; 200 pg/mL; folate &lt; 3 ng/mL</w:t>
            </w:r>
          </w:p>
        </w:tc>
        <w:tc>
          <w:tcPr>
            <w:tcW w:type="dxa" w:w="1036"/>
            <w:vAlign w:val="top"/>
          </w:tcPr>
          <w:p>
            <w:pPr>
              <w:spacing w:after="40" w:before="0" w:line="259" w:lineRule="auto"/>
            </w:pPr>
            <w:r>
              <w:rPr>
                <w:rFonts w:ascii="Calibri" w:hAnsi="Calibri"/>
                <w:b w:val="0"/>
                <w:i w:val="0"/>
                <w:color w:val="212121"/>
                <w:sz w:val="16"/>
              </w:rPr>
              <w:t>Diagnoses megaloblastic anaemia</w:t>
            </w:r>
          </w:p>
        </w:tc>
        <w:tc>
          <w:tcPr>
            <w:tcW w:type="dxa" w:w="1036"/>
            <w:vAlign w:val="top"/>
          </w:tcPr>
          <w:p>
            <w:pPr>
              <w:spacing w:after="40" w:before="0" w:line="259" w:lineRule="auto"/>
            </w:pPr>
            <w:r>
              <w:rPr>
                <w:rFonts w:ascii="Calibri" w:hAnsi="Calibri"/>
                <w:b w:val="0"/>
                <w:i w:val="0"/>
                <w:color w:val="212121"/>
                <w:sz w:val="16"/>
              </w:rPr>
              <w:t>Vegetarians, elderly, pregnant,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Check both; add MMA/homocysteine if borderline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Reticulocyte count</w:t>
            </w:r>
          </w:p>
        </w:tc>
        <w:tc>
          <w:tcPr>
            <w:tcW w:type="dxa" w:w="892"/>
            <w:vAlign w:val="top"/>
          </w:tcPr>
          <w:p>
            <w:pPr>
              <w:spacing w:after="40" w:before="0" w:line="259" w:lineRule="auto"/>
            </w:pPr>
            <w:r>
              <w:rPr>
                <w:rFonts w:ascii="Calibri" w:hAnsi="Calibri"/>
                <w:b w:val="0"/>
                <w:i w:val="0"/>
                <w:color w:val="212121"/>
                <w:sz w:val="16"/>
              </w:rPr>
              <w:t>Automated / flow cytometry</w:t>
            </w:r>
          </w:p>
        </w:tc>
        <w:tc>
          <w:tcPr>
            <w:tcW w:type="dxa" w:w="950"/>
            <w:vAlign w:val="top"/>
          </w:tcPr>
          <w:p>
            <w:pPr>
              <w:spacing w:after="40" w:before="0" w:line="259" w:lineRule="auto"/>
            </w:pPr>
            <w:r>
              <w:rPr>
                <w:rFonts w:ascii="Calibri" w:hAnsi="Calibri"/>
                <w:b w:val="0"/>
                <w:i w:val="0"/>
                <w:color w:val="212121"/>
                <w:sz w:val="16"/>
              </w:rPr>
              <w:t>0.5-2.5%</w:t>
            </w:r>
          </w:p>
        </w:tc>
        <w:tc>
          <w:tcPr>
            <w:tcW w:type="dxa" w:w="950"/>
            <w:vAlign w:val="top"/>
          </w:tcPr>
          <w:p>
            <w:pPr>
              <w:spacing w:after="40" w:before="0" w:line="259" w:lineRule="auto"/>
            </w:pPr>
            <w:r>
              <w:rPr>
                <w:rFonts w:ascii="Calibri" w:hAnsi="Calibri"/>
                <w:b w:val="0"/>
                <w:i w:val="0"/>
                <w:color w:val="212121"/>
                <w:sz w:val="16"/>
              </w:rPr>
              <w:t>Low (hypoproliferative) or high (blood loss/haemolysis)</w:t>
            </w:r>
          </w:p>
        </w:tc>
        <w:tc>
          <w:tcPr>
            <w:tcW w:type="dxa" w:w="1036"/>
            <w:vAlign w:val="top"/>
          </w:tcPr>
          <w:p>
            <w:pPr>
              <w:spacing w:after="40" w:before="0" w:line="259" w:lineRule="auto"/>
            </w:pPr>
            <w:r>
              <w:rPr>
                <w:rFonts w:ascii="Calibri" w:hAnsi="Calibri"/>
                <w:b w:val="0"/>
                <w:i w:val="0"/>
                <w:color w:val="212121"/>
                <w:sz w:val="16"/>
              </w:rPr>
              <w:t>Separates a production defect from loss or destruction</w:t>
            </w:r>
          </w:p>
        </w:tc>
        <w:tc>
          <w:tcPr>
            <w:tcW w:type="dxa" w:w="1036"/>
            <w:vAlign w:val="top"/>
          </w:tcPr>
          <w:p>
            <w:pPr>
              <w:spacing w:after="40" w:before="0" w:line="259" w:lineRule="auto"/>
            </w:pPr>
            <w:r>
              <w:rPr>
                <w:rFonts w:ascii="Calibri" w:hAnsi="Calibri"/>
                <w:b w:val="0"/>
                <w:i w:val="0"/>
                <w:color w:val="212121"/>
                <w:sz w:val="16"/>
              </w:rPr>
              <w:t>All anaemic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High count suggests haemolysis or recent bleeding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Haemoglobin electrophoresis / HPLC</w:t>
            </w:r>
          </w:p>
        </w:tc>
        <w:tc>
          <w:tcPr>
            <w:tcW w:type="dxa" w:w="892"/>
            <w:vAlign w:val="top"/>
          </w:tcPr>
          <w:p>
            <w:pPr>
              <w:spacing w:after="40" w:before="0" w:line="259" w:lineRule="auto"/>
            </w:pPr>
            <w:r>
              <w:rPr>
                <w:rFonts w:ascii="Calibri" w:hAnsi="Calibri"/>
                <w:b w:val="0"/>
                <w:i w:val="0"/>
                <w:color w:val="212121"/>
                <w:sz w:val="16"/>
              </w:rPr>
              <w:t>Cation-exchange HPLC</w:t>
            </w:r>
          </w:p>
        </w:tc>
        <w:tc>
          <w:tcPr>
            <w:tcW w:type="dxa" w:w="950"/>
            <w:vAlign w:val="top"/>
          </w:tcPr>
          <w:p>
            <w:pPr>
              <w:spacing w:after="40" w:before="0" w:line="259" w:lineRule="auto"/>
            </w:pPr>
            <w:r>
              <w:rPr>
                <w:rFonts w:ascii="Calibri" w:hAnsi="Calibri"/>
                <w:b w:val="0"/>
                <w:i w:val="0"/>
                <w:color w:val="212121"/>
                <w:sz w:val="16"/>
              </w:rPr>
              <w:t>HbA predominant; HbA2 &lt; 3.5%</w:t>
            </w:r>
          </w:p>
        </w:tc>
        <w:tc>
          <w:tcPr>
            <w:tcW w:type="dxa" w:w="950"/>
            <w:vAlign w:val="top"/>
          </w:tcPr>
          <w:p>
            <w:pPr>
              <w:spacing w:after="40" w:before="0" w:line="259" w:lineRule="auto"/>
            </w:pPr>
            <w:r>
              <w:rPr>
                <w:rFonts w:ascii="Calibri" w:hAnsi="Calibri"/>
                <w:b w:val="0"/>
                <w:i w:val="0"/>
                <w:color w:val="212121"/>
                <w:sz w:val="16"/>
              </w:rPr>
              <w:t>HbA2 &gt; 3.5% (beta-thal trait); HbS/HbE/HbD present</w:t>
            </w:r>
          </w:p>
        </w:tc>
        <w:tc>
          <w:tcPr>
            <w:tcW w:type="dxa" w:w="1036"/>
            <w:vAlign w:val="top"/>
          </w:tcPr>
          <w:p>
            <w:pPr>
              <w:spacing w:after="40" w:before="0" w:line="259" w:lineRule="auto"/>
            </w:pPr>
            <w:r>
              <w:rPr>
                <w:rFonts w:ascii="Calibri" w:hAnsi="Calibri"/>
                <w:b w:val="0"/>
                <w:i w:val="0"/>
                <w:color w:val="212121"/>
                <w:sz w:val="16"/>
              </w:rPr>
              <w:t>Detects thalassaemias and structural haemoglobinopathies</w:t>
            </w:r>
          </w:p>
        </w:tc>
        <w:tc>
          <w:tcPr>
            <w:tcW w:type="dxa" w:w="1036"/>
            <w:vAlign w:val="top"/>
          </w:tcPr>
          <w:p>
            <w:pPr>
              <w:spacing w:after="40" w:before="0" w:line="259" w:lineRule="auto"/>
            </w:pPr>
            <w:r>
              <w:rPr>
                <w:rFonts w:ascii="Calibri" w:hAnsi="Calibri"/>
                <w:b w:val="0"/>
                <w:i w:val="0"/>
                <w:color w:val="212121"/>
                <w:sz w:val="16"/>
              </w:rPr>
              <w:t>Tribal, family history, microcytosis with normal iron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Key for premarital and antenatal carrier screening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Inflammatory and renal markers (CRP/ESR, creatinine/eGFR)</w:t>
            </w:r>
          </w:p>
        </w:tc>
        <w:tc>
          <w:tcPr>
            <w:tcW w:type="dxa" w:w="892"/>
            <w:vAlign w:val="top"/>
          </w:tcPr>
          <w:p>
            <w:pPr>
              <w:spacing w:after="40" w:before="0" w:line="259" w:lineRule="auto"/>
            </w:pPr>
            <w:r>
              <w:rPr>
                <w:rFonts w:ascii="Calibri" w:hAnsi="Calibri"/>
                <w:b w:val="0"/>
                <w:i w:val="0"/>
                <w:color w:val="212121"/>
                <w:sz w:val="16"/>
              </w:rPr>
              <w:t>Serum assay</w:t>
            </w:r>
          </w:p>
        </w:tc>
        <w:tc>
          <w:tcPr>
            <w:tcW w:type="dxa" w:w="950"/>
            <w:vAlign w:val="top"/>
          </w:tcPr>
          <w:p>
            <w:pPr>
              <w:spacing w:after="40" w:before="0" w:line="259" w:lineRule="auto"/>
            </w:pPr>
            <w:r>
              <w:rPr>
                <w:rFonts w:ascii="Calibri" w:hAnsi="Calibri"/>
                <w:b w:val="0"/>
                <w:i w:val="0"/>
                <w:color w:val="212121"/>
                <w:sz w:val="16"/>
              </w:rPr>
              <w:t>CRP &lt; 5 mg/L; eGFR &gt;= 90</w:t>
            </w:r>
          </w:p>
        </w:tc>
        <w:tc>
          <w:tcPr>
            <w:tcW w:type="dxa" w:w="950"/>
            <w:vAlign w:val="top"/>
          </w:tcPr>
          <w:p>
            <w:pPr>
              <w:spacing w:after="40" w:before="0" w:line="259" w:lineRule="auto"/>
            </w:pPr>
            <w:r>
              <w:rPr>
                <w:rFonts w:ascii="Calibri" w:hAnsi="Calibri"/>
                <w:b w:val="0"/>
                <w:i w:val="0"/>
                <w:color w:val="212121"/>
                <w:sz w:val="16"/>
              </w:rPr>
              <w:t>Raised CRP/ESR; low eGFR</w:t>
            </w:r>
          </w:p>
        </w:tc>
        <w:tc>
          <w:tcPr>
            <w:tcW w:type="dxa" w:w="1036"/>
            <w:vAlign w:val="top"/>
          </w:tcPr>
          <w:p>
            <w:pPr>
              <w:spacing w:after="40" w:before="0" w:line="259" w:lineRule="auto"/>
            </w:pPr>
            <w:r>
              <w:rPr>
                <w:rFonts w:ascii="Calibri" w:hAnsi="Calibri"/>
                <w:b w:val="0"/>
                <w:i w:val="0"/>
                <w:color w:val="212121"/>
                <w:sz w:val="16"/>
              </w:rPr>
              <w:t>Supports anaemia of chronic disease or CKD</w:t>
            </w:r>
          </w:p>
        </w:tc>
        <w:tc>
          <w:tcPr>
            <w:tcW w:type="dxa" w:w="1036"/>
            <w:vAlign w:val="top"/>
          </w:tcPr>
          <w:p>
            <w:pPr>
              <w:spacing w:after="40" w:before="0" w:line="259" w:lineRule="auto"/>
            </w:pPr>
            <w:r>
              <w:rPr>
                <w:rFonts w:ascii="Calibri" w:hAnsi="Calibri"/>
                <w:b w:val="0"/>
                <w:i w:val="0"/>
                <w:color w:val="212121"/>
                <w:sz w:val="16"/>
              </w:rPr>
              <w:t>Elderly, chronic infection, CKD, autoimmune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Helps distinguish ACD from iron deficiency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Presenting symptoms</w:t>
            </w:r>
          </w:p>
        </w:tc>
        <w:tc>
          <w:tcPr>
            <w:tcW w:type="dxa" w:w="979"/>
            <w:vAlign w:val="top"/>
          </w:tcPr>
          <w:p>
            <w:pPr>
              <w:spacing w:after="40" w:before="0" w:line="259" w:lineRule="auto"/>
            </w:pPr>
            <w:r>
              <w:rPr>
                <w:rFonts w:ascii="Calibri" w:hAnsi="Calibri"/>
                <w:b w:val="0"/>
                <w:i w:val="0"/>
                <w:color w:val="212121"/>
                <w:sz w:val="16"/>
              </w:rPr>
              <w:t>Fatigue, breathlessness, pallor, pica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Symptomatic anaemia; pica strongly suggests iron deficiency</w:t>
            </w:r>
          </w:p>
        </w:tc>
        <w:tc>
          <w:tcPr>
            <w:tcW w:type="dxa" w:w="1036"/>
            <w:vAlign w:val="top"/>
          </w:tcPr>
          <w:p>
            <w:pPr>
              <w:spacing w:after="40" w:before="0" w:line="259" w:lineRule="auto"/>
            </w:pPr>
            <w:r>
              <w:rPr>
                <w:rFonts w:ascii="Calibri" w:hAnsi="Calibri"/>
                <w:b w:val="0"/>
                <w:i w:val="0"/>
                <w:color w:val="212121"/>
                <w:sz w:val="16"/>
              </w:rPr>
              <w:t>Women, children,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insidious and well tolerated if chronic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Vegetarian diet, iron/B12 intake, tea with meals</w:t>
            </w:r>
          </w:p>
        </w:tc>
        <w:tc>
          <w:tcPr>
            <w:tcW w:type="dxa" w:w="950"/>
            <w:vAlign w:val="top"/>
          </w:tcPr>
          <w:p>
            <w:pPr>
              <w:spacing w:after="40" w:before="0" w:line="259" w:lineRule="auto"/>
            </w:pPr>
            <w:r>
              <w:rPr>
                <w:rFonts w:ascii="Calibri" w:hAnsi="Calibri"/>
                <w:b w:val="0"/>
                <w:i w:val="0"/>
                <w:color w:val="212121"/>
                <w:sz w:val="16"/>
              </w:rPr>
              <w:t>Balanced, iron and B12 adequate</w:t>
            </w:r>
          </w:p>
        </w:tc>
        <w:tc>
          <w:tcPr>
            <w:tcW w:type="dxa" w:w="950"/>
            <w:vAlign w:val="top"/>
          </w:tcPr>
          <w:p>
            <w:pPr>
              <w:spacing w:after="40" w:before="0" w:line="259" w:lineRule="auto"/>
            </w:pPr>
            <w:r>
              <w:rPr>
                <w:rFonts w:ascii="Calibri" w:hAnsi="Calibri"/>
                <w:b w:val="0"/>
                <w:i w:val="0"/>
                <w:color w:val="212121"/>
                <w:sz w:val="16"/>
              </w:rPr>
              <w:t>Vegetarian/low-diversity diet, tea/coffee with meals</w:t>
            </w:r>
          </w:p>
        </w:tc>
        <w:tc>
          <w:tcPr>
            <w:tcW w:type="dxa" w:w="1036"/>
            <w:vAlign w:val="top"/>
          </w:tcPr>
          <w:p>
            <w:pPr>
              <w:spacing w:after="40" w:before="0" w:line="259" w:lineRule="auto"/>
            </w:pPr>
            <w:r>
              <w:rPr>
                <w:rFonts w:ascii="Calibri" w:hAnsi="Calibri"/>
                <w:b w:val="0"/>
                <w:i w:val="0"/>
                <w:color w:val="212121"/>
                <w:sz w:val="16"/>
              </w:rPr>
              <w:t>Identifies nutritional and absorption-related causes</w:t>
            </w:r>
          </w:p>
        </w:tc>
        <w:tc>
          <w:tcPr>
            <w:tcW w:type="dxa" w:w="1036"/>
            <w:vAlign w:val="top"/>
          </w:tcPr>
          <w:p>
            <w:pPr>
              <w:spacing w:after="40" w:before="0" w:line="259" w:lineRule="auto"/>
            </w:pPr>
            <w:r>
              <w:rPr>
                <w:rFonts w:ascii="Calibri" w:hAnsi="Calibri"/>
                <w:b w:val="0"/>
                <w:i w:val="0"/>
                <w:color w:val="212121"/>
                <w:sz w:val="16"/>
              </w:rPr>
              <w:t>Vegetarians, poor households, children</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diet counselling and supplementation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and obstetric history</w:t>
            </w:r>
          </w:p>
        </w:tc>
        <w:tc>
          <w:tcPr>
            <w:tcW w:type="dxa" w:w="979"/>
            <w:vAlign w:val="top"/>
          </w:tcPr>
          <w:p>
            <w:pPr>
              <w:spacing w:after="40" w:before="0" w:line="259" w:lineRule="auto"/>
            </w:pPr>
            <w:r>
              <w:rPr>
                <w:rFonts w:ascii="Calibri" w:hAnsi="Calibri"/>
                <w:b w:val="0"/>
                <w:i w:val="0"/>
                <w:color w:val="212121"/>
                <w:sz w:val="16"/>
              </w:rPr>
              <w:t>Menorrhagia, parity, pregnancy, lactation</w:t>
            </w:r>
          </w:p>
        </w:tc>
        <w:tc>
          <w:tcPr>
            <w:tcW w:type="dxa" w:w="950"/>
            <w:vAlign w:val="top"/>
          </w:tcPr>
          <w:p>
            <w:pPr>
              <w:spacing w:after="40" w:before="0" w:line="259" w:lineRule="auto"/>
            </w:pPr>
            <w:r>
              <w:rPr>
                <w:rFonts w:ascii="Calibri" w:hAnsi="Calibri"/>
                <w:b w:val="0"/>
                <w:i w:val="0"/>
                <w:color w:val="212121"/>
                <w:sz w:val="16"/>
              </w:rPr>
              <w:t>Normal menses, spaced pregnancies</w:t>
            </w:r>
          </w:p>
        </w:tc>
        <w:tc>
          <w:tcPr>
            <w:tcW w:type="dxa" w:w="950"/>
            <w:vAlign w:val="top"/>
          </w:tcPr>
          <w:p>
            <w:pPr>
              <w:spacing w:after="40" w:before="0" w:line="259" w:lineRule="auto"/>
            </w:pPr>
            <w:r>
              <w:rPr>
                <w:rFonts w:ascii="Calibri" w:hAnsi="Calibri"/>
                <w:b w:val="0"/>
                <w:i w:val="0"/>
                <w:color w:val="212121"/>
                <w:sz w:val="16"/>
              </w:rPr>
              <w:t>Heavy menses, close or repeated pregnancies</w:t>
            </w:r>
          </w:p>
        </w:tc>
        <w:tc>
          <w:tcPr>
            <w:tcW w:type="dxa" w:w="1036"/>
            <w:vAlign w:val="top"/>
          </w:tcPr>
          <w:p>
            <w:pPr>
              <w:spacing w:after="40" w:before="0" w:line="259" w:lineRule="auto"/>
            </w:pPr>
            <w:r>
              <w:rPr>
                <w:rFonts w:ascii="Calibri" w:hAnsi="Calibri"/>
                <w:b w:val="0"/>
                <w:i w:val="0"/>
                <w:color w:val="212121"/>
                <w:sz w:val="16"/>
              </w:rPr>
              <w:t>Quantifies iron loss and demand in women</w:t>
            </w:r>
          </w:p>
        </w:tc>
        <w:tc>
          <w:tcPr>
            <w:tcW w:type="dxa" w:w="1036"/>
            <w:vAlign w:val="top"/>
          </w:tcPr>
          <w:p>
            <w:pPr>
              <w:spacing w:after="40" w:before="0" w:line="259" w:lineRule="auto"/>
            </w:pPr>
            <w:r>
              <w:rPr>
                <w:rFonts w:ascii="Calibri" w:hAnsi="Calibri"/>
                <w:b w:val="0"/>
                <w:i w:val="0"/>
                <w:color w:val="212121"/>
                <w:sz w:val="16"/>
              </w:rPr>
              <w:t>Reproductive-age women, pregnant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Menorrhagia is a leading treatable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Blood-loss and drug history</w:t>
            </w:r>
          </w:p>
        </w:tc>
        <w:tc>
          <w:tcPr>
            <w:tcW w:type="dxa" w:w="979"/>
            <w:vAlign w:val="top"/>
          </w:tcPr>
          <w:p>
            <w:pPr>
              <w:spacing w:after="40" w:before="0" w:line="259" w:lineRule="auto"/>
            </w:pPr>
            <w:r>
              <w:rPr>
                <w:rFonts w:ascii="Calibri" w:hAnsi="Calibri"/>
                <w:b w:val="0"/>
                <w:i w:val="0"/>
                <w:color w:val="212121"/>
                <w:sz w:val="16"/>
              </w:rPr>
              <w:t>Melena, haematochezia, NSAIDs, hookworm exposure, blood donation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GI bleeding, NSAID use, barefoot soil exposure</w:t>
            </w:r>
          </w:p>
        </w:tc>
        <w:tc>
          <w:tcPr>
            <w:tcW w:type="dxa" w:w="1036"/>
            <w:vAlign w:val="top"/>
          </w:tcPr>
          <w:p>
            <w:pPr>
              <w:spacing w:after="40" w:before="0" w:line="259" w:lineRule="auto"/>
            </w:pPr>
            <w:r>
              <w:rPr>
                <w:rFonts w:ascii="Calibri" w:hAnsi="Calibri"/>
                <w:b w:val="0"/>
                <w:i w:val="0"/>
                <w:color w:val="212121"/>
                <w:sz w:val="16"/>
              </w:rPr>
              <w:t>Identifies occult blood loss (especially in men/postmenopausal)</w:t>
            </w:r>
          </w:p>
        </w:tc>
        <w:tc>
          <w:tcPr>
            <w:tcW w:type="dxa" w:w="1036"/>
            <w:vAlign w:val="top"/>
          </w:tcPr>
          <w:p>
            <w:pPr>
              <w:spacing w:after="40" w:before="0" w:line="259" w:lineRule="auto"/>
            </w:pPr>
            <w:r>
              <w:rPr>
                <w:rFonts w:ascii="Calibri" w:hAnsi="Calibri"/>
                <w:b w:val="0"/>
                <w:i w:val="0"/>
                <w:color w:val="212121"/>
                <w:sz w:val="16"/>
              </w:rPr>
              <w:t>Men, elderly, rural, NSAID users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Unexplained iron deficiency needs GI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and ethnic history</w:t>
            </w:r>
          </w:p>
        </w:tc>
        <w:tc>
          <w:tcPr>
            <w:tcW w:type="dxa" w:w="979"/>
            <w:vAlign w:val="top"/>
          </w:tcPr>
          <w:p>
            <w:pPr>
              <w:spacing w:after="40" w:before="0" w:line="259" w:lineRule="auto"/>
            </w:pPr>
            <w:r>
              <w:rPr>
                <w:rFonts w:ascii="Calibri" w:hAnsi="Calibri"/>
                <w:b w:val="0"/>
                <w:i w:val="0"/>
                <w:color w:val="212121"/>
                <w:sz w:val="16"/>
              </w:rPr>
              <w:t>Thalassaemia/sickle in family, consanguinity, tribal origin</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Affected relative, consanguinity, high-prevalence community</w:t>
            </w:r>
          </w:p>
        </w:tc>
        <w:tc>
          <w:tcPr>
            <w:tcW w:type="dxa" w:w="1036"/>
            <w:vAlign w:val="top"/>
          </w:tcPr>
          <w:p>
            <w:pPr>
              <w:spacing w:after="40" w:before="0" w:line="259" w:lineRule="auto"/>
            </w:pPr>
            <w:r>
              <w:rPr>
                <w:rFonts w:ascii="Calibri" w:hAnsi="Calibri"/>
                <w:b w:val="0"/>
                <w:i w:val="0"/>
                <w:color w:val="212121"/>
                <w:sz w:val="16"/>
              </w:rPr>
              <w:t>Points to an inherited haemoglobinopathy</w:t>
            </w:r>
          </w:p>
        </w:tc>
        <w:tc>
          <w:tcPr>
            <w:tcW w:type="dxa" w:w="1036"/>
            <w:vAlign w:val="top"/>
          </w:tcPr>
          <w:p>
            <w:pPr>
              <w:spacing w:after="40" w:before="0" w:line="259" w:lineRule="auto"/>
            </w:pPr>
            <w:r>
              <w:rPr>
                <w:rFonts w:ascii="Calibri" w:hAnsi="Calibri"/>
                <w:b w:val="0"/>
                <w:i w:val="0"/>
                <w:color w:val="212121"/>
                <w:sz w:val="16"/>
              </w:rPr>
              <w:t>Tribal,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electrophoresis and carrier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Pallor</w:t>
            </w:r>
          </w:p>
        </w:tc>
        <w:tc>
          <w:tcPr>
            <w:tcW w:type="dxa" w:w="979"/>
            <w:vAlign w:val="top"/>
          </w:tcPr>
          <w:p>
            <w:pPr>
              <w:spacing w:after="40" w:before="0" w:line="259" w:lineRule="auto"/>
            </w:pPr>
            <w:r>
              <w:rPr>
                <w:rFonts w:ascii="Calibri" w:hAnsi="Calibri"/>
                <w:b w:val="0"/>
                <w:i w:val="0"/>
                <w:color w:val="212121"/>
                <w:sz w:val="16"/>
              </w:rPr>
              <w:t>Conjunctival, palmar, tongue and nail-bed pallor</w:t>
            </w:r>
          </w:p>
        </w:tc>
        <w:tc>
          <w:tcPr>
            <w:tcW w:type="dxa" w:w="950"/>
            <w:vAlign w:val="top"/>
          </w:tcPr>
          <w:p>
            <w:pPr>
              <w:spacing w:after="40" w:before="0" w:line="259" w:lineRule="auto"/>
            </w:pPr>
            <w:r>
              <w:rPr>
                <w:rFonts w:ascii="Calibri" w:hAnsi="Calibri"/>
                <w:b w:val="0"/>
                <w:i w:val="0"/>
                <w:color w:val="212121"/>
                <w:sz w:val="16"/>
              </w:rPr>
              <w:t>Pink mucosa and nail beds</w:t>
            </w:r>
          </w:p>
        </w:tc>
        <w:tc>
          <w:tcPr>
            <w:tcW w:type="dxa" w:w="950"/>
            <w:vAlign w:val="top"/>
          </w:tcPr>
          <w:p>
            <w:pPr>
              <w:spacing w:after="40" w:before="0" w:line="259" w:lineRule="auto"/>
            </w:pPr>
            <w:r>
              <w:rPr>
                <w:rFonts w:ascii="Calibri" w:hAnsi="Calibri"/>
                <w:b w:val="0"/>
                <w:i w:val="0"/>
                <w:color w:val="212121"/>
                <w:sz w:val="16"/>
              </w:rPr>
              <w:t>Pallor present</w:t>
            </w:r>
          </w:p>
        </w:tc>
        <w:tc>
          <w:tcPr>
            <w:tcW w:type="dxa" w:w="1036"/>
            <w:vAlign w:val="top"/>
          </w:tcPr>
          <w:p>
            <w:pPr>
              <w:spacing w:after="40" w:before="0" w:line="259" w:lineRule="auto"/>
            </w:pPr>
            <w:r>
              <w:rPr>
                <w:rFonts w:ascii="Calibri" w:hAnsi="Calibri"/>
                <w:b w:val="0"/>
                <w:i w:val="0"/>
                <w:color w:val="212121"/>
                <w:sz w:val="16"/>
              </w:rPr>
              <w:t>Clinical marker of anaemia</w:t>
            </w:r>
          </w:p>
        </w:tc>
        <w:tc>
          <w:tcPr>
            <w:tcW w:type="dxa" w:w="1036"/>
            <w:vAlign w:val="top"/>
          </w:tcPr>
          <w:p>
            <w:pPr>
              <w:spacing w:after="40" w:before="0" w:line="259" w:lineRule="auto"/>
            </w:pPr>
            <w:r>
              <w:rPr>
                <w:rFonts w:ascii="Calibri" w:hAnsi="Calibri"/>
                <w:b w:val="0"/>
                <w:i w:val="0"/>
                <w:color w:val="212121"/>
                <w:sz w:val="16"/>
              </w:rPr>
              <w:t>All at-risk groups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Conjunctival pallor is the most reliable clinical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Deficiency and haemolysis signs</w:t>
            </w:r>
          </w:p>
        </w:tc>
        <w:tc>
          <w:tcPr>
            <w:tcW w:type="dxa" w:w="979"/>
            <w:vAlign w:val="top"/>
          </w:tcPr>
          <w:p>
            <w:pPr>
              <w:spacing w:after="40" w:before="0" w:line="259" w:lineRule="auto"/>
            </w:pPr>
            <w:r>
              <w:rPr>
                <w:rFonts w:ascii="Calibri" w:hAnsi="Calibri"/>
                <w:b w:val="0"/>
                <w:i w:val="0"/>
                <w:color w:val="212121"/>
                <w:sz w:val="16"/>
              </w:rPr>
              <w:t>Koilonychia, glossitis, angular stomatitis, jaundice, splenomegaly, neuro signs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Koilonychia/glossitis suggest iron deficiency; jaundice/splenomegaly suggest haemolysis; neuro signs suggest B12</w:t>
            </w:r>
          </w:p>
        </w:tc>
        <w:tc>
          <w:tcPr>
            <w:tcW w:type="dxa" w:w="1036"/>
            <w:vAlign w:val="top"/>
          </w:tcPr>
          <w:p>
            <w:pPr>
              <w:spacing w:after="40" w:before="0" w:line="259" w:lineRule="auto"/>
            </w:pPr>
            <w:r>
              <w:rPr>
                <w:rFonts w:ascii="Calibri" w:hAnsi="Calibri"/>
                <w:b w:val="0"/>
                <w:i w:val="0"/>
                <w:color w:val="212121"/>
                <w:sz w:val="16"/>
              </w:rPr>
              <w:t>Chronic iron deficiency, haemolytic, B12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Subacute combined degeneration signals severe B12 deficiency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and generalised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oxygen delivery to tissues lowers energy and exercise capacity.</w:t>
            </w:r>
          </w:p>
        </w:tc>
      </w:tr>
      <w:tr>
        <w:trPr>
          <w:cantSplit/>
        </w:trPr>
        <w:tc>
          <w:tcPr>
            <w:tcW w:type="dxa" w:w="2304"/>
            <w:vAlign w:val="top"/>
          </w:tcPr>
          <w:p>
            <w:pPr>
              <w:spacing w:after="40" w:before="0" w:line="259" w:lineRule="auto"/>
            </w:pPr>
            <w:r>
              <w:rPr>
                <w:rFonts w:ascii="Calibri" w:hAnsi="Calibri"/>
                <w:b/>
                <w:i w:val="0"/>
                <w:color w:val="212121"/>
                <w:sz w:val="19"/>
              </w:rPr>
              <w:t>Pallor (skin, conjunctiva, palms)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haemoglobin gives skin and mucous membranes a pale appearance.</w:t>
            </w:r>
          </w:p>
        </w:tc>
      </w:tr>
      <w:tr>
        <w:trPr>
          <w:cantSplit/>
        </w:trPr>
        <w:tc>
          <w:tcPr>
            <w:tcW w:type="dxa" w:w="2304"/>
            <w:vAlign w:val="top"/>
          </w:tcPr>
          <w:p>
            <w:pPr>
              <w:spacing w:after="40" w:before="0" w:line="259" w:lineRule="auto"/>
            </w:pPr>
            <w:r>
              <w:rPr>
                <w:rFonts w:ascii="Calibri" w:hAnsi="Calibri"/>
                <w:b/>
                <w:i w:val="0"/>
                <w:color w:val="212121"/>
                <w:sz w:val="19"/>
              </w:rPr>
              <w:t>Breathlessness on exertion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heart and lungs compensate for reduced oxygen-carrying capacity.</w:t>
            </w:r>
          </w:p>
        </w:tc>
      </w:tr>
      <w:tr>
        <w:trPr>
          <w:cantSplit/>
        </w:trPr>
        <w:tc>
          <w:tcPr>
            <w:tcW w:type="dxa" w:w="2304"/>
            <w:vAlign w:val="top"/>
          </w:tcPr>
          <w:p>
            <w:pPr>
              <w:spacing w:after="40" w:before="0" w:line="259" w:lineRule="auto"/>
            </w:pPr>
            <w:r>
              <w:rPr>
                <w:rFonts w:ascii="Calibri" w:hAnsi="Calibri"/>
                <w:b/>
                <w:i w:val="0"/>
                <w:color w:val="212121"/>
                <w:sz w:val="19"/>
              </w:rPr>
              <w:t>Dizziness or light-headedness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cerebral oxygen delivery, often worse on standing.</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increase in heart rate and cardiac output.</w:t>
            </w:r>
          </w:p>
        </w:tc>
      </w:tr>
      <w:tr>
        <w:trPr>
          <w:cantSplit/>
        </w:trPr>
        <w:tc>
          <w:tcPr>
            <w:tcW w:type="dxa" w:w="2304"/>
            <w:vAlign w:val="top"/>
          </w:tcPr>
          <w:p>
            <w:pPr>
              <w:spacing w:after="40" w:before="0" w:line="259" w:lineRule="auto"/>
            </w:pPr>
            <w:r>
              <w:rPr>
                <w:rFonts w:ascii="Calibri" w:hAnsi="Calibri"/>
                <w:b/>
                <w:i w:val="0"/>
                <w:color w:val="212121"/>
                <w:sz w:val="19"/>
              </w:rPr>
              <w:t>Headache and poor concentration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Cerebral hypoxia impairs cognition and school/work performance.</w:t>
            </w:r>
          </w:p>
        </w:tc>
      </w:tr>
      <w:tr>
        <w:trPr>
          <w:cantSplit/>
        </w:trPr>
        <w:tc>
          <w:tcPr>
            <w:tcW w:type="dxa" w:w="2304"/>
            <w:vAlign w:val="top"/>
          </w:tcPr>
          <w:p>
            <w:pPr>
              <w:spacing w:after="40" w:before="0" w:line="259" w:lineRule="auto"/>
            </w:pPr>
            <w:r>
              <w:rPr>
                <w:rFonts w:ascii="Calibri" w:hAnsi="Calibri"/>
                <w:b/>
                <w:i w:val="0"/>
                <w:color w:val="212121"/>
                <w:sz w:val="19"/>
              </w:rPr>
              <w:t>Reduced work capacity / exercise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 oxygen delivery limits physical performance - a major productivity effect in India.</w:t>
            </w:r>
          </w:p>
        </w:tc>
      </w:tr>
      <w:tr>
        <w:trPr>
          <w:cantSplit/>
        </w:trPr>
        <w:tc>
          <w:tcPr>
            <w:tcW w:type="dxa" w:w="2304"/>
            <w:vAlign w:val="top"/>
          </w:tcPr>
          <w:p>
            <w:pPr>
              <w:spacing w:after="40" w:before="0" w:line="259" w:lineRule="auto"/>
            </w:pPr>
            <w:r>
              <w:rPr>
                <w:rFonts w:ascii="Calibri" w:hAnsi="Calibri"/>
                <w:b/>
                <w:i w:val="0"/>
                <w:color w:val="212121"/>
                <w:sz w:val="19"/>
              </w:rPr>
              <w:t>Pica (craving ice, clay, starch)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Classic behavioural marker of iron deficiency (pagophagia).</w:t>
            </w:r>
          </w:p>
        </w:tc>
      </w:tr>
      <w:tr>
        <w:trPr>
          <w:cantSplit/>
        </w:trPr>
        <w:tc>
          <w:tcPr>
            <w:tcW w:type="dxa" w:w="2304"/>
            <w:vAlign w:val="top"/>
          </w:tcPr>
          <w:p>
            <w:pPr>
              <w:spacing w:after="40" w:before="0" w:line="259" w:lineRule="auto"/>
            </w:pPr>
            <w:r>
              <w:rPr>
                <w:rFonts w:ascii="Calibri" w:hAnsi="Calibri"/>
                <w:b/>
                <w:i w:val="0"/>
                <w:color w:val="212121"/>
                <w:sz w:val="19"/>
              </w:rPr>
              <w:t>Restless legs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Brain iron deficiency is strongly linked to restless-legs syndrome.</w:t>
            </w:r>
          </w:p>
        </w:tc>
      </w:tr>
      <w:tr>
        <w:trPr>
          <w:cantSplit/>
        </w:trPr>
        <w:tc>
          <w:tcPr>
            <w:tcW w:type="dxa" w:w="2304"/>
            <w:vAlign w:val="top"/>
          </w:tcPr>
          <w:p>
            <w:pPr>
              <w:spacing w:after="40" w:before="0" w:line="259" w:lineRule="auto"/>
            </w:pPr>
            <w:r>
              <w:rPr>
                <w:rFonts w:ascii="Calibri" w:hAnsi="Calibri"/>
                <w:b/>
                <w:i w:val="0"/>
                <w:color w:val="212121"/>
                <w:sz w:val="19"/>
              </w:rPr>
              <w:t>Hair fall, brittle nails, cold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 tissue iron deficiency and reduced metabolic heat production.</w:t>
            </w:r>
          </w:p>
        </w:tc>
      </w:tr>
      <w:tr>
        <w:trPr>
          <w:cantSplit/>
        </w:trPr>
        <w:tc>
          <w:tcPr>
            <w:tcW w:type="dxa" w:w="2304"/>
            <w:vAlign w:val="top"/>
          </w:tcPr>
          <w:p>
            <w:pPr>
              <w:spacing w:after="40" w:before="0" w:line="259" w:lineRule="auto"/>
            </w:pPr>
            <w:r>
              <w:rPr>
                <w:rFonts w:ascii="Calibri" w:hAnsi="Calibri"/>
                <w:b/>
                <w:i w:val="0"/>
                <w:color w:val="212121"/>
                <w:sz w:val="19"/>
              </w:rPr>
              <w:t>Numbness/tingling and unsteady gait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vitamin B12 deficiency (subacute combined degeneration of the cord).</w:t>
            </w:r>
          </w:p>
        </w:tc>
      </w:tr>
      <w:tr>
        <w:trPr>
          <w:cantSplit/>
        </w:trPr>
        <w:tc>
          <w:tcPr>
            <w:tcW w:type="dxa" w:w="2304"/>
            <w:vAlign w:val="top"/>
          </w:tcPr>
          <w:p>
            <w:pPr>
              <w:spacing w:after="40" w:before="0" w:line="259" w:lineRule="auto"/>
            </w:pPr>
            <w:r>
              <w:rPr>
                <w:rFonts w:ascii="Calibri" w:hAnsi="Calibri"/>
                <w:b/>
                <w:i w:val="0"/>
                <w:color w:val="212121"/>
                <w:sz w:val="19"/>
              </w:rPr>
              <w:t>Chest pain/angina or fainting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anaemia can precipitate cardiac ischaemia or syncope, especially with heart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Conjunctival and palmar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Most accessible clinical sign of anaemia.</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response to reduced oxygen-carrying capacity.</w:t>
            </w:r>
          </w:p>
        </w:tc>
      </w:tr>
      <w:tr>
        <w:trPr>
          <w:cantSplit/>
        </w:trPr>
        <w:tc>
          <w:tcPr>
            <w:tcW w:type="dxa" w:w="3456"/>
            <w:vAlign w:val="top"/>
          </w:tcPr>
          <w:p>
            <w:pPr>
              <w:spacing w:after="40" w:before="0" w:line="259" w:lineRule="auto"/>
            </w:pPr>
            <w:r>
              <w:rPr>
                <w:rFonts w:ascii="Calibri" w:hAnsi="Calibri"/>
                <w:b/>
                <w:i w:val="0"/>
                <w:color w:val="212121"/>
                <w:sz w:val="19"/>
              </w:rPr>
              <w:t>Koilonychia (spoon-shaped nails)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 of chronic iron-deficiency anaemia.</w:t>
            </w:r>
          </w:p>
        </w:tc>
      </w:tr>
      <w:tr>
        <w:trPr>
          <w:cantSplit/>
        </w:trPr>
        <w:tc>
          <w:tcPr>
            <w:tcW w:type="dxa" w:w="3456"/>
            <w:vAlign w:val="top"/>
          </w:tcPr>
          <w:p>
            <w:pPr>
              <w:spacing w:after="40" w:before="0" w:line="259" w:lineRule="auto"/>
            </w:pPr>
            <w:r>
              <w:rPr>
                <w:rFonts w:ascii="Calibri" w:hAnsi="Calibri"/>
                <w:b/>
                <w:i w:val="0"/>
                <w:color w:val="212121"/>
                <w:sz w:val="19"/>
              </w:rPr>
              <w:t>Atrophic glossitis (smooth, sore tongue)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Seen with iron, B12 or folate deficiency.</w:t>
            </w:r>
          </w:p>
        </w:tc>
      </w:tr>
      <w:tr>
        <w:trPr>
          <w:cantSplit/>
        </w:trPr>
        <w:tc>
          <w:tcPr>
            <w:tcW w:type="dxa" w:w="3456"/>
            <w:vAlign w:val="top"/>
          </w:tcPr>
          <w:p>
            <w:pPr>
              <w:spacing w:after="40" w:before="0" w:line="259" w:lineRule="auto"/>
            </w:pPr>
            <w:r>
              <w:rPr>
                <w:rFonts w:ascii="Calibri" w:hAnsi="Calibri"/>
                <w:b/>
                <w:i w:val="0"/>
                <w:color w:val="212121"/>
                <w:sz w:val="19"/>
              </w:rPr>
              <w:t>Angular stomatitis / cheilitis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Fissures at the corners of the mouth in iron or B-vitamin deficiency.</w:t>
            </w:r>
          </w:p>
        </w:tc>
      </w:tr>
      <w:tr>
        <w:trPr>
          <w:cantSplit/>
        </w:trPr>
        <w:tc>
          <w:tcPr>
            <w:tcW w:type="dxa" w:w="3456"/>
            <w:vAlign w:val="top"/>
          </w:tcPr>
          <w:p>
            <w:pPr>
              <w:spacing w:after="40" w:before="0" w:line="259" w:lineRule="auto"/>
            </w:pPr>
            <w:r>
              <w:rPr>
                <w:rFonts w:ascii="Calibri" w:hAnsi="Calibri"/>
                <w:b/>
                <w:i w:val="0"/>
                <w:color w:val="212121"/>
                <w:sz w:val="19"/>
              </w:rPr>
              <w:t>Systolic flow (haemic)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Hyperdynamic circulation over a structurally normal valve in significant anaemia.</w:t>
            </w:r>
          </w:p>
        </w:tc>
      </w:tr>
      <w:tr>
        <w:trPr>
          <w:cantSplit/>
        </w:trPr>
        <w:tc>
          <w:tcPr>
            <w:tcW w:type="dxa" w:w="3456"/>
            <w:vAlign w:val="top"/>
          </w:tcPr>
          <w:p>
            <w:pPr>
              <w:spacing w:after="40" w:before="0" w:line="259" w:lineRule="auto"/>
            </w:pPr>
            <w:r>
              <w:rPr>
                <w:rFonts w:ascii="Calibri" w:hAnsi="Calibri"/>
                <w:b/>
                <w:i w:val="0"/>
                <w:color w:val="212121"/>
                <w:sz w:val="19"/>
              </w:rPr>
              <w:t>Brittle, ridged or flattened nails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long-standing iron deficiency.</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haemolytic anaemias, thalassaemia and some chronic diseases.</w:t>
            </w:r>
          </w:p>
        </w:tc>
      </w:tr>
      <w:tr>
        <w:trPr>
          <w:cantSplit/>
        </w:trPr>
        <w:tc>
          <w:tcPr>
            <w:tcW w:type="dxa" w:w="3456"/>
            <w:vAlign w:val="top"/>
          </w:tcPr>
          <w:p>
            <w:pPr>
              <w:spacing w:after="40" w:before="0" w:line="259" w:lineRule="auto"/>
            </w:pPr>
            <w:r>
              <w:rPr>
                <w:rFonts w:ascii="Calibri" w:hAnsi="Calibri"/>
                <w:b/>
                <w:i w:val="0"/>
                <w:color w:val="212121"/>
                <w:sz w:val="19"/>
              </w:rPr>
              <w:t>Jaundice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haemolysis (for example G6PD deficiency, thalassaemia, autoimmune haemolysis).</w:t>
            </w:r>
          </w:p>
        </w:tc>
      </w:tr>
      <w:tr>
        <w:trPr>
          <w:cantSplit/>
        </w:trPr>
        <w:tc>
          <w:tcPr>
            <w:tcW w:type="dxa" w:w="3456"/>
            <w:vAlign w:val="top"/>
          </w:tcPr>
          <w:p>
            <w:pPr>
              <w:spacing w:after="40" w:before="0" w:line="259" w:lineRule="auto"/>
            </w:pPr>
            <w:r>
              <w:rPr>
                <w:rFonts w:ascii="Calibri" w:hAnsi="Calibri"/>
                <w:b/>
                <w:i w:val="0"/>
                <w:color w:val="212121"/>
                <w:sz w:val="19"/>
              </w:rPr>
              <w:t>Impaired vibration/proprioception, positive Romberg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Neurological signs of B12 deficiency (subacute combined degeneration).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oxygen-carrying capacity and tissue hypoxia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Compensatory tachycardia and a high-output circulatory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symptomatic anaemia requiring blood transfusion</w:t>
            </w:r>
          </w:p>
        </w:tc>
        <w:tc>
          <w:tcPr>
            <w:tcW w:type="dxa" w:w="2980"/>
            <w:vAlign w:val="top"/>
          </w:tcPr>
          <w:p>
            <w:pPr>
              <w:spacing w:after="40" w:before="0" w:line="259" w:lineRule="auto"/>
            </w:pPr>
            <w:r>
              <w:rPr>
                <w:rFonts w:ascii="Calibri" w:hAnsi="Calibri"/>
                <w:b w:val="0"/>
                <w:i w:val="0"/>
                <w:color w:val="212121"/>
                <w:sz w:val="19"/>
              </w:rPr>
              <w:t>Direct physiological consequences of a low haemoglobin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cognition, poor school and work performance and reduced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preterm birth, low birth weight and poor tolerance of peripartum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growth and neurodevelopment in infants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susceptibility to and severity of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of pre-existing heart failure or angina</w:t>
            </w:r>
          </w:p>
        </w:tc>
        <w:tc>
          <w:tcPr>
            <w:tcW w:type="dxa" w:w="2980"/>
            <w:vAlign w:val="top"/>
          </w:tcPr>
          <w:p>
            <w:pPr>
              <w:spacing w:after="40" w:before="0" w:line="259" w:lineRule="auto"/>
            </w:pPr>
            <w:r>
              <w:rPr>
                <w:rFonts w:ascii="Calibri" w:hAnsi="Calibri"/>
                <w:b w:val="0"/>
                <w:i w:val="0"/>
                <w:color w:val="212121"/>
                <w:sz w:val="19"/>
              </w:rPr>
              <w:t>Organ- and system-level effects of sustained anaemia and its underlying causes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High-output cardiac failure and cardiac decompensation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and perinatal mortality attributable to severe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cognitive and developmental disability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as a leading cause of years lived with disability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Transfusion dependence and iron overload in severe haemoglobinopathies (thalassaemia major)</w:t>
            </w:r>
          </w:p>
        </w:tc>
        <w:tc>
          <w:tcPr>
            <w:tcW w:type="dxa" w:w="2980"/>
            <w:vAlign w:val="top"/>
          </w:tcPr>
          <w:p>
            <w:pPr>
              <w:spacing w:after="40" w:before="0" w:line="259" w:lineRule="auto"/>
            </w:pPr>
            <w:r>
              <w:rPr>
                <w:rFonts w:ascii="Calibri" w:hAnsi="Calibri"/>
                <w:b w:val="0"/>
                <w:i w:val="0"/>
                <w:color w:val="212121"/>
                <w:sz w:val="19"/>
              </w:rPr>
              <w:t>Irreversible, disabling or fatal end-stage outcomes of longstanding or 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Anaemia of chronic disease / inflammation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infection, autoimmune disease and malignancy raise hepcidin and suppress erythropoiesis.</w:t>
            </w:r>
          </w:p>
          <w:p>
            <w:pPr>
              <w:spacing w:after="40" w:before="0" w:line="259" w:lineRule="auto"/>
            </w:pPr>
            <w:r>
              <w:rPr>
                <w:rFonts w:ascii="Calibri" w:hAnsi="Calibri"/>
                <w:b/>
                <w:i w:val="0"/>
                <w:color w:val="212121"/>
                <w:sz w:val="19"/>
              </w:rPr>
              <w:t>~30.7% of anaemic patients (tertiary series)</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Erythropoietin deficiency and uraemia cause a progressive normocytic anaemia that worsens with CKD stage.</w:t>
            </w:r>
          </w:p>
          <w:p>
            <w:pPr>
              <w:spacing w:after="40" w:before="0" w:line="259" w:lineRule="auto"/>
            </w:pPr>
            <w:r>
              <w:rPr>
                <w:rFonts w:ascii="Calibri" w:hAnsi="Calibri"/>
                <w:b/>
                <w:i w:val="0"/>
                <w:color w:val="212121"/>
                <w:sz w:val="19"/>
              </w:rPr>
              <w:t>~25% of ACD cases had CKD</w:t>
            </w:r>
          </w:p>
        </w:tc>
      </w:tr>
      <w:tr>
        <w:trPr>
          <w:cantSplit/>
        </w:trPr>
        <w:tc>
          <w:tcPr>
            <w:tcW w:type="dxa" w:w="2232"/>
            <w:vAlign w:val="top"/>
          </w:tcPr>
          <w:p>
            <w:pPr>
              <w:spacing w:after="40" w:before="0" w:line="259" w:lineRule="auto"/>
            </w:pPr>
            <w:r>
              <w:rPr>
                <w:rFonts w:ascii="Calibri" w:hAnsi="Calibri"/>
                <w:b/>
                <w:i w:val="0"/>
                <w:color w:val="212121"/>
                <w:sz w:val="19"/>
              </w:rPr>
              <w:t>Inherited haemoglobinopathies (thalassaemia, sickle cell)</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Beta-thalassaemia carrier rate is 3-4%; sickle disorders are concentrated in tribal populations.</w:t>
            </w:r>
          </w:p>
          <w:p>
            <w:pPr>
              <w:spacing w:after="40" w:before="0" w:line="259" w:lineRule="auto"/>
            </w:pPr>
            <w:r>
              <w:rPr>
                <w:rFonts w:ascii="Calibri" w:hAnsi="Calibri"/>
                <w:b/>
                <w:i w:val="0"/>
                <w:color w:val="212121"/>
                <w:sz w:val="19"/>
              </w:rPr>
              <w:t>Carrier ~3-4% (beta-thalassaemia)</w:t>
            </w:r>
          </w:p>
        </w:tc>
      </w:tr>
      <w:tr>
        <w:trPr>
          <w:cantSplit/>
        </w:trPr>
        <w:tc>
          <w:tcPr>
            <w:tcW w:type="dxa" w:w="2232"/>
            <w:vAlign w:val="top"/>
          </w:tcPr>
          <w:p>
            <w:pPr>
              <w:spacing w:after="40" w:before="0" w:line="259" w:lineRule="auto"/>
            </w:pPr>
            <w:r>
              <w:rPr>
                <w:rFonts w:ascii="Calibri" w:hAnsi="Calibri"/>
                <w:b/>
                <w:i w:val="0"/>
                <w:color w:val="212121"/>
                <w:sz w:val="19"/>
              </w:rPr>
              <w:t>Vitamin B12 and folate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Indian vegetarians and in pregnancy; can coexist with iron deficiency to give a dimorphic picture.</w:t>
            </w:r>
          </w:p>
        </w:tc>
      </w:tr>
      <w:tr>
        <w:trPr>
          <w:cantSplit/>
        </w:trPr>
        <w:tc>
          <w:tcPr>
            <w:tcW w:type="dxa" w:w="2232"/>
            <w:vAlign w:val="top"/>
          </w:tcPr>
          <w:p>
            <w:pPr>
              <w:spacing w:after="40" w:before="0" w:line="259" w:lineRule="auto"/>
            </w:pPr>
            <w:r>
              <w:rPr>
                <w:rFonts w:ascii="Calibri" w:hAnsi="Calibri"/>
                <w:b/>
                <w:i w:val="0"/>
                <w:color w:val="212121"/>
                <w:sz w:val="19"/>
              </w:rPr>
              <w:t>Chronic infections (tuberculosis, HIV, malaria, hookworm)</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Frequent causes of anaemia in India through blood loss and inflammation.</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Roughly doubles iron demand; a majority of pregnant Indian women are anaemic (52.2% in NFHS-5).</w:t>
            </w:r>
          </w:p>
          <w:p>
            <w:pPr>
              <w:spacing w:after="40" w:before="0" w:line="259" w:lineRule="auto"/>
            </w:pPr>
            <w:r>
              <w:rPr>
                <w:rFonts w:ascii="Calibri" w:hAnsi="Calibri"/>
                <w:b/>
                <w:i w:val="0"/>
                <w:color w:val="212121"/>
                <w:sz w:val="19"/>
              </w:rPr>
              <w:t>52.2% of pregnant women</w:t>
            </w:r>
          </w:p>
        </w:tc>
      </w:tr>
      <w:tr>
        <w:trPr>
          <w:cantSplit/>
        </w:trPr>
        <w:tc>
          <w:tcPr>
            <w:tcW w:type="dxa" w:w="2232"/>
            <w:vAlign w:val="top"/>
          </w:tcPr>
          <w:p>
            <w:pPr>
              <w:spacing w:after="40" w:before="0" w:line="259" w:lineRule="auto"/>
            </w:pPr>
            <w:r>
              <w:rPr>
                <w:rFonts w:ascii="Calibri" w:hAnsi="Calibri"/>
                <w:b/>
                <w:i w:val="0"/>
                <w:color w:val="212121"/>
                <w:sz w:val="19"/>
              </w:rPr>
              <w:t>Menorrhagia and uterine fibroids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menstrual blood loss is a leading cause of iron deficiency in reproductive-age women.</w:t>
            </w:r>
          </w:p>
        </w:tc>
      </w:tr>
      <w:tr>
        <w:trPr>
          <w:cantSplit/>
        </w:trPr>
        <w:tc>
          <w:tcPr>
            <w:tcW w:type="dxa" w:w="2232"/>
            <w:vAlign w:val="top"/>
          </w:tcPr>
          <w:p>
            <w:pPr>
              <w:spacing w:after="40" w:before="0" w:line="259" w:lineRule="auto"/>
            </w:pPr>
            <w:r>
              <w:rPr>
                <w:rFonts w:ascii="Calibri" w:hAnsi="Calibri"/>
                <w:b/>
                <w:i w:val="0"/>
                <w:color w:val="212121"/>
                <w:sz w:val="19"/>
              </w:rPr>
              <w:t>Gastrointestinal disease (peptic ulcer, H. pylori, coeliac, IBD)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 anaemia via chronic blood loss or malabsorption of iron, B12 and folate.</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Anaemia and heart failure are bidirectionally linked and each worsens the other's prognosis.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Can cause a normocytic or macrocytic anaemia and frequently coexists with other deficiencies.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symptoms (tiredness, breathlessness, pallor, poor concentration) and get a haemoglobin test rather than dismissing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anaemia is usually multifactorial - iron, vitamin B12 and folate deficiency, infections and inherited causes can all contribute.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prescribed iron (usually 3-6 months beyond correction) to rebuild iron stores, not just until symptoms 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antenatal care early and take iron-folic acid in pregnancy; ensure children and adolescents receive supplementation and periodic deworming.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carrier screening (haemoglobin electrophoresis) before marriage or pregnancy if there is a family history or a tribal/high-prevalence background.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sanitation and wear footwear to prevent hookworm, and use deworming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iron-rich foods daily: green leafy vegetables, legumes and pulses, jaggery and dates, and - for non-vegetarians - liver, red meat, poultry and fish (heme iron is best absorbed).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iron-rich meals with vitamin C sources (lemon, amla, guava, citrus, tomato) to boost non-heme iron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tea and coffee within about an hour of meals, as tannins block iron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vitamin B12 sources (dairy, eggs, meat) and consider B12-fortified foods or supplements for strict vegetarians and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iron-fortified staples (fortified wheat flour and rice, double-fortified salt) and eat folate-rich foods (leafy greens, legumes, citrus).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phytate load by soaking, sprouting and fermenting cereals and pulses to improve mineral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iron-folic acid (IFA) supplementation as per Anaemia Mukt Bharat schedules where indicated (children, adolescents, pregnant and lactating women).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and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graded physical activity as haemoglobin recovers to rebuild stamina and work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and female athletes should monitor iron status (ferritin) and supplement iron when it is 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over-exertion during severe anaemia to prevent cardiac strain and fainting.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adequate iron and protein intake to support red-cell production.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iron deficiency, which can cause restless-legs syndrome and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to support recovery, appetite and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persistent fatigue by correcting the underlying anaemia rather than relying on stimulants.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Restless-legs sufferers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which raises measured haemoglobin and can mask underlying iron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smoking-related chronic inflammation contributes to anaemia of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that symptomatic smokers with an apparently normal Hb are still evaluated for iron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a common cause of folate deficiency and macrocytic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suppresses the bone marrow and can cause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folate and B-vitamin repletion in people with alcohol-use disorder.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alcohol-use disorder</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fatigue, low mood and poor concentration that accompany anaemia, which improve as it is corrected.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long iron courses, which is often poor because of side-effects and forgetfulness.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in chronic anaemia, given the bidirectional links with iron status.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Page.aspx?PRID=1795421" TargetMode="External"/><Relationship Id="rId10" Type="http://schemas.openxmlformats.org/officeDocument/2006/relationships/hyperlink" Target="https://www.medrxiv.org/content/10.1101/2024.06.26.24309451v1" TargetMode="External"/><Relationship Id="rId11" Type="http://schemas.openxmlformats.org/officeDocument/2006/relationships/hyperlink" Target="https://www.nature.com/articles/s41598-024-81224-1" TargetMode="External"/><Relationship Id="rId12" Type="http://schemas.openxmlformats.org/officeDocument/2006/relationships/hyperlink" Target="https://www.nature.com/articles/s41430-024-01559-w" TargetMode="External"/><Relationship Id="rId13" Type="http://schemas.openxmlformats.org/officeDocument/2006/relationships/hyperlink" Target="https://pmc.ncbi.nlm.nih.gov/articles/PMC9480660/" TargetMode="External"/><Relationship Id="rId14" Type="http://schemas.openxmlformats.org/officeDocument/2006/relationships/hyperlink" Target="https://ijmr.org.in/prenatal-hemoglobinopathy-screening-prevention-in-india-a-cross-sectional-study/" TargetMode="External"/><Relationship Id="rId15" Type="http://schemas.openxmlformats.org/officeDocument/2006/relationships/hyperlink" Target="https://indianpediatrics.net/july2024/671.pdf" TargetMode="External"/><Relationship Id="rId16" Type="http://schemas.openxmlformats.org/officeDocument/2006/relationships/hyperlink" Target="https://www.nin.res.in/rdabook/brief_no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