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Iron Deficiency Anemia</w:t>
      </w:r>
    </w:p>
    <w:p>
      <w:pPr>
        <w:spacing w:before="0" w:after="160"/>
      </w:pPr>
      <w:r>
        <w:rPr>
          <w:rFonts w:ascii="Calibri" w:hAnsi="Calibri"/>
          <w:b/>
          <w:i w:val="0"/>
          <w:color w:val="212121"/>
          <w:sz w:val="22"/>
        </w:rPr>
        <w:t xml:space="preserve">AKA </w:t>
      </w:r>
      <w:r>
        <w:rPr>
          <w:rFonts w:ascii="Calibri" w:hAnsi="Calibri"/>
          <w:b w:val="0"/>
          <w:i w:val="0"/>
          <w:color w:val="212121"/>
          <w:sz w:val="22"/>
        </w:rPr>
        <w:t>i.e., IDA, Iron-deficiency anaemia, Hypochromic microcytic anaemia, Sideropenic anaemia, 'Khoon ki kami' (low blood)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Iron deficiency anaemia (IDA) is a microcytic, hypochromic anaemia that develops when total body iron falls too low to sustain normal red-blood-cell production, reducing haemoglobin synthesis and the oxygen-carrying capacity of blood. It is the final stage of a continuum that begins with depletion of iron stores (low ferritin), progresses to iron-deficient erythropoiesis, and culminates in frank anaemia. Iron deficiency is the most common micronutrient deficiency worldwide and the single largest cause of anaemia, accounting for roughly half of all anaemia cases.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world's highest burdens of iron deficiency anaemia. Per NFHS-5 (2019-21), 67.1% of children aged 6-59 months, 57.0% of women aged 15-49 years (52.2% of pregnant women), 59.1% of adolescent girls (15-19 years) and 25.0% of men (15-49 years) are anaemic. Iron deficiency is the dominant contributor: the Comprehensive National Nutrition Survey (CNNS 2016-18) found iron deficiency in ~31.9% of preschoolers and ~30.4% of adolescent girls, and roughly half (49.7%) of anaemia in Indian children is attributable to iron deficiency. Globally the WHO estimates anaemia affects ~30% of non-pregnant women, 37% of pregnant women and 40% of children under 5, with iron deficiency the leading nutritional cause.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IDA is diagnosed when anaemia (by WHO haemoglobin thresholds) coexists with laboratory evidence of depleted body iron. The typical picture combines low haemoglobin, microcytic-hypochromic indices, and low iron stores: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haemoglobin below WHO cut-offs: &lt; 13 g/dL (adult men), &lt; 12 g/dL (non-pregnant women), &lt; 11 g/dL (pregnant women and children 6-59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microcytic, hypochromic red-cell indices: MCV &lt; 80 fL, MCH &lt; 27 pg, often with raised red-cell distribution width (RDW) reflecting anisocytosis;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serum ferritin (&lt; 15 µg/L in healthy adults; &lt; 30 µg/L when infection or inflammation is present) - the single most useful confirmatory test, as ferritin &gt; 100 µg/L makes IDA very unlikely;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transferrin saturation (&lt; 20%), low serum iron and raised total iron-binding capacity (TIBC); soluble transferrin receptor rises;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reticulocytosis and haemoglobin rise (~1-2 g/dL over 3-4 weeks) after an adequate oral iron trial supports the diagnosis where testing is limited.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Iron deficiency anaemia is classified along several complementary axes - severity, red-cell morphology, biochemical stage, and underlying mechanism:</w:t>
      </w:r>
    </w:p>
    <w:p>
      <w:pPr>
        <w:spacing w:before="0" w:after="80"/>
      </w:pPr>
      <w:r>
        <w:rPr>
          <w:rFonts w:ascii="Calibri" w:hAnsi="Calibri"/>
          <w:b w:val="0"/>
          <w:i w:val="0"/>
          <w:color w:val="212121"/>
          <w:sz w:val="21"/>
        </w:rPr>
        <w:t>(1) By severity (WHO haemoglobin thresholds in non-pregnant adults): mild (Hb 11.0-11.9 g/dL in women; 11.0-12.9 g/dL in men), moderate (8.0-10.9 g/dL) and severe (&lt; 8.0 g/dL). In pregnancy the cut-offs shift to mild 10.0-10.9, moderate 7.0-9.9 and severe &lt; 7.0 g/dL; in Indian surveys mild-to-moderate anaemia predominates.</w:t>
      </w:r>
    </w:p>
    <w:p>
      <w:pPr>
        <w:spacing w:before="0" w:after="80"/>
      </w:pPr>
      <w:r>
        <w:rPr>
          <w:rFonts w:ascii="Calibri" w:hAnsi="Calibri"/>
          <w:b w:val="0"/>
          <w:i w:val="0"/>
          <w:color w:val="212121"/>
          <w:sz w:val="21"/>
        </w:rPr>
        <w:t>(2) By red-cell morphology: IDA is the prototypical microcytic hypochromic anaemia (low MCV, low MCH). Key differentials on a microcytic picture include thalassaemia trait (common across India), anaemia of chronic disease/inflammation, and sideroblastic anaemia - distinguished by iron studies, RDW and haemoglobin electrophoresis.</w:t>
      </w:r>
    </w:p>
    <w:p>
      <w:pPr>
        <w:spacing w:before="0" w:after="80"/>
      </w:pPr>
      <w:r>
        <w:rPr>
          <w:rFonts w:ascii="Calibri" w:hAnsi="Calibri"/>
          <w:b w:val="0"/>
          <w:i w:val="0"/>
          <w:color w:val="212121"/>
          <w:sz w:val="21"/>
        </w:rPr>
        <w:t>(3) By biochemical stage of iron depletion: Stage 1 - iron depletion (low ferritin, normal haemoglobin); Stage 2 - iron-deficient erythropoiesis (falling transferrin saturation, rising transferrin receptor, borderline haemoglobin); Stage 3 - established iron deficiency anaemia (low haemoglobin with microcytosis).</w:t>
      </w:r>
    </w:p>
    <w:p>
      <w:pPr>
        <w:spacing w:before="0" w:after="80"/>
      </w:pPr>
      <w:r>
        <w:rPr>
          <w:rFonts w:ascii="Calibri" w:hAnsi="Calibri"/>
          <w:b w:val="0"/>
          <w:i w:val="0"/>
          <w:color w:val="212121"/>
          <w:sz w:val="21"/>
        </w:rPr>
        <w:t>(4) By underlying mechanism: reduced intake or absorption (poor-bioavailability vegetarian diets, coeliac disease, post-gastrectomy/bariatric surgery, atrophic gastritis, H. pylori), increased loss (menstrual and gastrointestinal blood loss, hookworm), and increased physiological demand (pregnancy, infancy, adolescent growth spurts, lactation).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iron / poor bioavailability: Predominantly vegetarian Indian diets supply ~95% of iron as poorly absorbed non-heme iron, compounded by high phytate and tannin intake that block absorption.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blood loss: Menstrual loss (menorrhagia) in premenopausal women and occult gastrointestinal bleeding (peptic ulcer, hookworm, malignancy, NSAID use) are the commonest causes of negative iron balance.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Malabsorption: Coeliac disease, atrophic gastritis, Helicobacter pylori infection, inflammatory bowel disease and bariatric/gastric surgery impair duodenal iron uptake.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Increased physiological demand: Pregnancy (net requirement ~1000 mg), infancy, adolescent growth spurts and lactation outpace dietary supply.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Parasitic infestation: Hookworm (Ancylostoma/Necator) and other soil-transmitted helminths cause chronic intestinal blood loss and remain endemic where sanitation is poor.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absorption of iron with inflammation: Chronic disease raises hepcidin, trapping iron in stores and causing functional iron deficiency (seen in CKD, heart failure, chronic infection).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(women of reproductive age)</w:t>
            </w:r>
          </w:p>
        </w:tc>
        <w:tc>
          <w:tcPr>
            <w:tcW w:type="dxa" w:w="4276"/>
            <w:vAlign w:val="top"/>
          </w:tcPr>
          <w:p>
            <w:pPr>
              <w:spacing w:after="60" w:line="259" w:lineRule="auto"/>
            </w:pPr>
            <w:r>
              <w:rPr>
                <w:rFonts w:ascii="Calibri" w:hAnsi="Calibri"/>
                <w:b w:val="0"/>
                <w:i w:val="0"/>
                <w:color w:val="212121"/>
                <w:sz w:val="19"/>
              </w:rPr>
              <w:t>Recurrent menstrual iron loss plus the demands of pregnancy and lactation keep reproductive-age women in chronic negative iron balance, the group with the heaviest IDA burden in India.</w:t>
            </w:r>
          </w:p>
          <w:p>
            <w:pPr>
              <w:spacing w:after="40" w:before="60" w:line="259" w:lineRule="auto"/>
            </w:pPr>
            <w:r>
              <w:rPr>
                <w:rFonts w:ascii="Calibri" w:hAnsi="Calibri"/>
                <w:b w:val="0"/>
                <w:i w:val="0"/>
                <w:color w:val="212121"/>
                <w:sz w:val="19"/>
              </w:rPr>
              <w:t>NFHS-5 (2019-21): 57.0% of women aged 15-49 are anaemic (52.2% of pregnant women).</w:t>
            </w:r>
          </w:p>
          <w:p>
            <w:pPr>
              <w:spacing w:after="40" w:line="252" w:lineRule="auto"/>
            </w:pPr>
            <w:hyperlink r:id="rId9">
              <w:r>
                <w:rPr>
                  <w:rFonts w:ascii="Calibri" w:hAnsi="Calibri" w:cs="Calibri"/>
                  <w:sz w:val="18"/>
                  <w:color w:val="1155CC"/>
                  <w:u w:val="single"/>
                </w:rPr>
                <w:t xml:space="preserve">pib.gov.in - Anaemia Mukt Bharat / NFHS-5</w:t>
              </w:r>
            </w:hyperlink>
          </w:p>
          <w:p>
            <w:pPr>
              <w:spacing w:before="60" w:after="40"/>
            </w:pPr>
            <w:r>
              <w:rPr>
                <w:rFonts w:ascii="Calibri" w:hAnsi="Calibri"/>
                <w:b w:val="0"/>
                <w:i w:val="0"/>
                <w:color w:val="5A5A5A"/>
                <w:sz w:val="18"/>
              </w:rPr>
              <w:t>#reproductiveage  #menstrualloss  #nfhs5  #irondeficiency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IDA usually signals chronic occult gastrointestinal blood loss (peptic ulcer, angiodysplasia, colorectal/gastric cancer) or malabsorption, and mandates GI evaluation rather than being assumed dietary.</w:t>
            </w:r>
          </w:p>
          <w:p>
            <w:pPr>
              <w:spacing w:after="40" w:before="60" w:line="259" w:lineRule="auto"/>
            </w:pPr>
            <w:r>
              <w:rPr>
                <w:rFonts w:ascii="Calibri" w:hAnsi="Calibri"/>
                <w:b w:val="0"/>
                <w:i w:val="0"/>
                <w:color w:val="212121"/>
                <w:sz w:val="19"/>
              </w:rPr>
              <w:t>Among IDA patients evaluated for GI sources, colonic carcinoma is found in 5-10% and gastric carcinoma in ~5%.</w:t>
            </w:r>
          </w:p>
          <w:p>
            <w:pPr>
              <w:spacing w:after="40" w:line="252" w:lineRule="auto"/>
            </w:pPr>
            <w:hyperlink r:id="rId10">
              <w:r>
                <w:rPr>
                  <w:rFonts w:ascii="Calibri" w:hAnsi="Calibri" w:cs="Calibri"/>
                  <w:sz w:val="18"/>
                  <w:color w:val="1155CC"/>
                  <w:u w:val="single"/>
                </w:rPr>
                <w:t xml:space="preserve">aafp.org - IDA evaluation and management</w:t>
              </w:r>
            </w:hyperlink>
          </w:p>
          <w:p>
            <w:pPr>
              <w:spacing w:before="60" w:after="40"/>
            </w:pPr>
            <w:r>
              <w:rPr>
                <w:rFonts w:ascii="Calibri" w:hAnsi="Calibri"/>
                <w:b w:val="0"/>
                <w:i w:val="0"/>
                <w:color w:val="5A5A5A"/>
                <w:sz w:val="18"/>
              </w:rPr>
              <w:t>#elderly  #gibleeding  #occultloss  #malignancyworkup</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(adolescent girls)</w:t>
            </w:r>
          </w:p>
        </w:tc>
        <w:tc>
          <w:tcPr>
            <w:tcW w:type="dxa" w:w="4276"/>
            <w:vAlign w:val="top"/>
          </w:tcPr>
          <w:p>
            <w:pPr>
              <w:spacing w:after="60" w:line="259" w:lineRule="auto"/>
            </w:pPr>
            <w:r>
              <w:rPr>
                <w:rFonts w:ascii="Calibri" w:hAnsi="Calibri"/>
                <w:b w:val="0"/>
                <w:i w:val="0"/>
                <w:color w:val="212121"/>
                <w:sz w:val="19"/>
              </w:rPr>
              <w:t>Menarche superimposed on adolescent growth spurts and often iron-poor diets makes adolescent girls a high-risk group; iron deficiency here impairs cognition, school performance and future maternal iron stores.</w:t>
            </w:r>
          </w:p>
          <w:p>
            <w:pPr>
              <w:spacing w:after="40" w:before="60" w:line="259" w:lineRule="auto"/>
            </w:pPr>
            <w:r>
              <w:rPr>
                <w:rFonts w:ascii="Calibri" w:hAnsi="Calibri"/>
                <w:b w:val="0"/>
                <w:i w:val="0"/>
                <w:color w:val="212121"/>
                <w:sz w:val="19"/>
              </w:rPr>
              <w:t>NFHS-5: 59.1% of adolescent girls (15-19 y) are anaemic; CNNS found iron deficiency in ~30.4% of adolescent girls.</w:t>
            </w:r>
          </w:p>
          <w:p>
            <w:pPr>
              <w:spacing w:after="40" w:line="252" w:lineRule="auto"/>
            </w:pPr>
            <w:hyperlink r:id="rId11">
              <w:r>
                <w:rPr>
                  <w:rFonts w:ascii="Calibri" w:hAnsi="Calibri" w:cs="Calibri"/>
                  <w:sz w:val="18"/>
                  <w:color w:val="1155CC"/>
                  <w:u w:val="single"/>
                </w:rPr>
                <w:t xml:space="preserve">pubmed.ncbi.nlm.nih.gov/34049401 - CNNS iron deficiency</w:t>
              </w:r>
            </w:hyperlink>
          </w:p>
          <w:p>
            <w:pPr>
              <w:spacing w:before="60" w:after="40"/>
            </w:pPr>
            <w:r>
              <w:rPr>
                <w:rFonts w:ascii="Calibri" w:hAnsi="Calibri"/>
                <w:b w:val="0"/>
                <w:i w:val="0"/>
                <w:color w:val="5A5A5A"/>
                <w:sz w:val="18"/>
              </w:rPr>
              <w:t>#adolescentgirls  #menarche  #growthspurt  #schoolperformance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IDA is uncommon in adult men because they lack menstrual losses; when present it is abnormal and warrants a search for gastrointestinal blood loss or malabsorption.</w:t>
            </w:r>
          </w:p>
          <w:p>
            <w:pPr>
              <w:spacing w:after="40" w:before="60" w:line="259" w:lineRule="auto"/>
            </w:pPr>
            <w:r>
              <w:rPr>
                <w:rFonts w:ascii="Calibri" w:hAnsi="Calibri"/>
                <w:b w:val="0"/>
                <w:i w:val="0"/>
                <w:color w:val="212121"/>
                <w:sz w:val="19"/>
              </w:rPr>
              <w:t>NFHS-5: 25.0% of men aged 15-49 are anaemic - lower than women but a large absolute number.</w:t>
            </w:r>
          </w:p>
          <w:p>
            <w:pPr>
              <w:spacing w:after="40" w:line="252" w:lineRule="auto"/>
            </w:pPr>
            <w:hyperlink r:id="rId9">
              <w:r>
                <w:rPr>
                  <w:rFonts w:ascii="Calibri" w:hAnsi="Calibri" w:cs="Calibri"/>
                  <w:sz w:val="18"/>
                  <w:color w:val="1155CC"/>
                  <w:u w:val="single"/>
                </w:rPr>
                <w:t xml:space="preserve">pib.gov.in - NFHS-5 men 15-49</w:t>
              </w:r>
            </w:hyperlink>
          </w:p>
          <w:p>
            <w:pPr>
              <w:spacing w:before="60" w:after="40"/>
            </w:pPr>
            <w:r>
              <w:rPr>
                <w:rFonts w:ascii="Calibri" w:hAnsi="Calibri"/>
                <w:b w:val="0"/>
                <w:i w:val="0"/>
                <w:color w:val="5A5A5A"/>
                <w:sz w:val="18"/>
              </w:rPr>
              <w:t>#maleIDA  #gievaluation  #occultbleeding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households, Scheduled Castes/Tribes</w:t>
            </w:r>
          </w:p>
        </w:tc>
        <w:tc>
          <w:tcPr>
            <w:tcW w:type="dxa" w:w="4276"/>
            <w:vAlign w:val="top"/>
          </w:tcPr>
          <w:p>
            <w:pPr>
              <w:spacing w:after="60" w:line="259" w:lineRule="auto"/>
            </w:pPr>
            <w:r>
              <w:rPr>
                <w:rFonts w:ascii="Calibri" w:hAnsi="Calibri"/>
                <w:b w:val="0"/>
                <w:i w:val="0"/>
                <w:color w:val="212121"/>
                <w:sz w:val="19"/>
              </w:rPr>
              <w:t>Food insecurity, limited access to iron-rich foods, poor sanitation and higher helminth exposure concentrate anaemia in disadvantaged and rural communities.</w:t>
            </w:r>
          </w:p>
          <w:p>
            <w:pPr>
              <w:spacing w:after="40" w:before="60" w:line="259" w:lineRule="auto"/>
            </w:pPr>
            <w:r>
              <w:rPr>
                <w:rFonts w:ascii="Calibri" w:hAnsi="Calibri"/>
                <w:b w:val="0"/>
                <w:i w:val="0"/>
                <w:color w:val="212121"/>
                <w:sz w:val="19"/>
              </w:rPr>
              <w:t>High anaemia prevalence correlates with poverty, poor sanitation and Scheduled Caste/Tribe status in India.</w:t>
            </w:r>
          </w:p>
          <w:p>
            <w:pPr>
              <w:spacing w:after="40" w:line="252" w:lineRule="auto"/>
            </w:pPr>
            <w:hyperlink r:id="rId12">
              <w:r>
                <w:rPr>
                  <w:rFonts w:ascii="Calibri" w:hAnsi="Calibri" w:cs="Calibri"/>
                  <w:sz w:val="18"/>
                  <w:color w:val="1155CC"/>
                  <w:u w:val="single"/>
                </w:rPr>
                <w:t xml:space="preserve">mdpi.com/2072-6643/13/10/3538 - plant-based diets &amp; anaemia in India</w:t>
              </w:r>
            </w:hyperlink>
          </w:p>
          <w:p>
            <w:pPr>
              <w:spacing w:before="60" w:after="40"/>
            </w:pPr>
            <w:r>
              <w:rPr>
                <w:rFonts w:ascii="Calibri" w:hAnsi="Calibri"/>
                <w:b w:val="0"/>
                <w:i w:val="0"/>
                <w:color w:val="5A5A5A"/>
                <w:sz w:val="18"/>
              </w:rPr>
              <w:t>#foodinsecurity  #sanitation  #healthequity  #ruralindia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Vegetarian-predominant states (e.g., Gujarat, Rajasthan)</w:t>
            </w:r>
          </w:p>
        </w:tc>
        <w:tc>
          <w:tcPr>
            <w:tcW w:type="dxa" w:w="4276"/>
            <w:vAlign w:val="top"/>
          </w:tcPr>
          <w:p>
            <w:pPr>
              <w:spacing w:after="60" w:line="259" w:lineRule="auto"/>
            </w:pPr>
            <w:r>
              <w:rPr>
                <w:rFonts w:ascii="Calibri" w:hAnsi="Calibri"/>
                <w:b w:val="0"/>
                <w:i w:val="0"/>
                <w:color w:val="212121"/>
                <w:sz w:val="19"/>
              </w:rPr>
              <w:t>States with a high proportion of vegetarians rely on low-bioavailability non-heme iron, whereas fish-eating populations fare better - the form of dietary iron, not just quantity, drives risk.</w:t>
            </w:r>
          </w:p>
          <w:p>
            <w:pPr>
              <w:spacing w:after="40" w:before="60" w:line="259" w:lineRule="auto"/>
            </w:pPr>
            <w:r>
              <w:rPr>
                <w:rFonts w:ascii="Calibri" w:hAnsi="Calibri"/>
                <w:b w:val="0"/>
                <w:i w:val="0"/>
                <w:color w:val="212121"/>
                <w:sz w:val="19"/>
              </w:rPr>
              <w:t>Indian diets are ~95% non-heme iron (2-10% absorbed vs up to 35% for heme iron); Kerala (largely non-vegetarian) shows lower anaemia than more vegetarian states.</w:t>
            </w:r>
          </w:p>
          <w:p>
            <w:pPr>
              <w:spacing w:after="40" w:line="252" w:lineRule="auto"/>
            </w:pPr>
            <w:hyperlink r:id="rId12">
              <w:r>
                <w:rPr>
                  <w:rFonts w:ascii="Calibri" w:hAnsi="Calibri" w:cs="Calibri"/>
                  <w:sz w:val="18"/>
                  <w:color w:val="1155CC"/>
                  <w:u w:val="single"/>
                </w:rPr>
                <w:t xml:space="preserve">mdpi.com/2072-6643/13/10/3538 - non-heme iron in Indian diets</w:t>
              </w:r>
            </w:hyperlink>
          </w:p>
          <w:p>
            <w:pPr>
              <w:spacing w:before="60" w:after="40"/>
            </w:pPr>
            <w:r>
              <w:rPr>
                <w:rFonts w:ascii="Calibri" w:hAnsi="Calibri"/>
                <w:b w:val="0"/>
                <w:i w:val="0"/>
                <w:color w:val="5A5A5A"/>
                <w:sz w:val="18"/>
              </w:rPr>
              <w:t>#vegetarian  #nonhemeiron  #bioavailability  #regionaldiet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High-burden states (e.g., Assam and eastern/central belt)</w:t>
            </w:r>
          </w:p>
        </w:tc>
        <w:tc>
          <w:tcPr>
            <w:tcW w:type="dxa" w:w="4276"/>
            <w:vAlign w:val="top"/>
          </w:tcPr>
          <w:p>
            <w:pPr>
              <w:spacing w:after="60" w:line="259" w:lineRule="auto"/>
            </w:pPr>
            <w:r>
              <w:rPr>
                <w:rFonts w:ascii="Calibri" w:hAnsi="Calibri"/>
                <w:b w:val="0"/>
                <w:i w:val="0"/>
                <w:color w:val="212121"/>
                <w:sz w:val="19"/>
              </w:rPr>
              <w:t>Wide geographic variation reflects diet, sanitation, malaria/helminth load and haemoglobinopathy prevalence; anaemia clusters in the poorer eastern and central states.</w:t>
            </w:r>
          </w:p>
          <w:p>
            <w:pPr>
              <w:spacing w:after="40" w:before="60" w:line="259" w:lineRule="auto"/>
            </w:pPr>
            <w:r>
              <w:rPr>
                <w:rFonts w:ascii="Calibri" w:hAnsi="Calibri"/>
                <w:b w:val="0"/>
                <w:i w:val="0"/>
                <w:color w:val="212121"/>
                <w:sz w:val="19"/>
              </w:rPr>
              <w:t>A venous-blood survey across eight states found anaemia ranging from 12% (Meghalaya) to 70% (Assam).</w:t>
            </w:r>
          </w:p>
          <w:p>
            <w:pPr>
              <w:spacing w:after="40" w:line="252" w:lineRule="auto"/>
            </w:pPr>
            <w:hyperlink r:id="rId13">
              <w:r>
                <w:rPr>
                  <w:rFonts w:ascii="Calibri" w:hAnsi="Calibri" w:cs="Calibri"/>
                  <w:sz w:val="18"/>
                  <w:color w:val="1155CC"/>
                  <w:u w:val="single"/>
                </w:rPr>
                <w:t xml:space="preserve">nature.com - venous-blood anaemia survey, 8 Indian states</w:t>
              </w:r>
            </w:hyperlink>
          </w:p>
          <w:p>
            <w:pPr>
              <w:spacing w:before="60" w:after="40"/>
            </w:pPr>
            <w:r>
              <w:rPr>
                <w:rFonts w:ascii="Calibri" w:hAnsi="Calibri"/>
                <w:b w:val="0"/>
                <w:i w:val="0"/>
                <w:color w:val="5A5A5A"/>
                <w:sz w:val="18"/>
              </w:rPr>
              <w:t>#geographicvariation  #assam  #publichealth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Dietary habit</w:t>
            </w:r>
          </w:p>
        </w:tc>
        <w:tc>
          <w:tcPr>
            <w:tcW w:type="dxa" w:w="2160"/>
            <w:vAlign w:val="top"/>
          </w:tcPr>
          <w:p>
            <w:pPr>
              <w:spacing w:after="40" w:before="0" w:line="259" w:lineRule="auto"/>
            </w:pPr>
            <w:r>
              <w:rPr>
                <w:rFonts w:ascii="Calibri" w:hAnsi="Calibri"/>
                <w:b w:val="0"/>
                <w:i w:val="0"/>
                <w:color w:val="212121"/>
                <w:sz w:val="19"/>
              </w:rPr>
              <w:t>Habitual tea/coffee drinkers with meals</w:t>
            </w:r>
          </w:p>
        </w:tc>
        <w:tc>
          <w:tcPr>
            <w:tcW w:type="dxa" w:w="4276"/>
            <w:vAlign w:val="top"/>
          </w:tcPr>
          <w:p>
            <w:pPr>
              <w:spacing w:after="60" w:line="259" w:lineRule="auto"/>
            </w:pPr>
            <w:r>
              <w:rPr>
                <w:rFonts w:ascii="Calibri" w:hAnsi="Calibri"/>
                <w:b w:val="0"/>
                <w:i w:val="0"/>
                <w:color w:val="212121"/>
                <w:sz w:val="19"/>
              </w:rPr>
              <w:t>Polyphenols (tannins) in tea and coffee bind non-heme iron in the gut and sharply reduce its absorption, a major modifiable factor in India, the world's largest black-tea consumer.</w:t>
            </w:r>
          </w:p>
          <w:p>
            <w:pPr>
              <w:spacing w:after="40" w:before="60" w:line="259" w:lineRule="auto"/>
            </w:pPr>
            <w:r>
              <w:rPr>
                <w:rFonts w:ascii="Calibri" w:hAnsi="Calibri"/>
                <w:b w:val="0"/>
                <w:i w:val="0"/>
                <w:color w:val="212121"/>
                <w:sz w:val="19"/>
              </w:rPr>
              <w:t>As little as 55 mg of tannic acid reduced non-heme iron absorption by ~67%.</w:t>
            </w:r>
          </w:p>
          <w:p>
            <w:pPr>
              <w:spacing w:after="40" w:line="252" w:lineRule="auto"/>
            </w:pPr>
            <w:hyperlink r:id="rId12">
              <w:r>
                <w:rPr>
                  <w:rFonts w:ascii="Calibri" w:hAnsi="Calibri" w:cs="Calibri"/>
                  <w:sz w:val="18"/>
                  <w:color w:val="1155CC"/>
                  <w:u w:val="single"/>
                </w:rPr>
                <w:t xml:space="preserve">mdpi.com/2072-6643/13/10/3538 - tannins &amp; iron absorption</w:t>
              </w:r>
            </w:hyperlink>
          </w:p>
          <w:p>
            <w:pPr>
              <w:spacing w:before="60" w:after="40"/>
            </w:pPr>
            <w:r>
              <w:rPr>
                <w:rFonts w:ascii="Calibri" w:hAnsi="Calibri"/>
                <w:b w:val="0"/>
                <w:i w:val="0"/>
                <w:color w:val="5A5A5A"/>
                <w:sz w:val="18"/>
              </w:rPr>
              <w:t>#tea  #tannins  #mealtiming  #absorptioninhibitor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Endurance athletes and frequent blood donors</w:t>
            </w:r>
          </w:p>
        </w:tc>
        <w:tc>
          <w:tcPr>
            <w:tcW w:type="dxa" w:w="4276"/>
            <w:vAlign w:val="top"/>
          </w:tcPr>
          <w:p>
            <w:pPr>
              <w:spacing w:after="60" w:line="259" w:lineRule="auto"/>
            </w:pPr>
            <w:r>
              <w:rPr>
                <w:rFonts w:ascii="Calibri" w:hAnsi="Calibri"/>
                <w:b w:val="0"/>
                <w:i w:val="0"/>
                <w:color w:val="212121"/>
                <w:sz w:val="19"/>
              </w:rPr>
              <w:t>Foot-strike haemolysis, exercise-induced hepcidin surges, sweat and gastrointestinal micro-losses (in athletes) and ~200-250 mg iron lost per whole-blood donation deplete iron stores, especially in menstruating women.</w:t>
            </w:r>
          </w:p>
          <w:p>
            <w:pPr>
              <w:spacing w:before="60" w:after="40"/>
            </w:pPr>
            <w:r>
              <w:rPr>
                <w:rFonts w:ascii="Calibri" w:hAnsi="Calibri"/>
                <w:b w:val="0"/>
                <w:i w:val="0"/>
                <w:color w:val="5A5A5A"/>
                <w:sz w:val="18"/>
              </w:rPr>
              <w:t>#athletes  #footstrikehemolysis  #blooddonors  #irondepletion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promotes gastritis and peptic ulceration (chronic occult GI loss) and its carbon-monoxide-driven rise in haemoglobin can mask early anaemia, delaying detection; effect is indirect.</w:t>
            </w:r>
          </w:p>
          <w:p>
            <w:pPr>
              <w:spacing w:before="60" w:after="40"/>
            </w:pPr>
            <w:r>
              <w:rPr>
                <w:rFonts w:ascii="Calibri" w:hAnsi="Calibri"/>
                <w:b w:val="0"/>
                <w:i w:val="0"/>
                <w:color w:val="5A5A5A"/>
                <w:sz w:val="18"/>
              </w:rPr>
              <w:t>#smoking  #gastritis  #occultloss  #maskedanemia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alcohol users</w:t>
            </w:r>
          </w:p>
        </w:tc>
        <w:tc>
          <w:tcPr>
            <w:tcW w:type="dxa" w:w="4276"/>
            <w:vAlign w:val="top"/>
          </w:tcPr>
          <w:p>
            <w:pPr>
              <w:spacing w:after="60" w:line="259" w:lineRule="auto"/>
            </w:pPr>
            <w:r>
              <w:rPr>
                <w:rFonts w:ascii="Calibri" w:hAnsi="Calibri"/>
                <w:b w:val="0"/>
                <w:i w:val="0"/>
                <w:color w:val="212121"/>
                <w:sz w:val="19"/>
              </w:rPr>
              <w:t>Alcohol causes gastric/oesophageal mucosal bleeding, poor dietary iron intake and impaired absorption, and coexisting liver disease compounds anaemia.</w:t>
            </w:r>
          </w:p>
          <w:p>
            <w:pPr>
              <w:spacing w:before="60" w:after="40"/>
            </w:pPr>
            <w:r>
              <w:rPr>
                <w:rFonts w:ascii="Calibri" w:hAnsi="Calibri"/>
                <w:b w:val="0"/>
                <w:i w:val="0"/>
                <w:color w:val="5A5A5A"/>
                <w:sz w:val="18"/>
              </w:rPr>
              <w:t>#alcohol  #gibleed  #malnutrition  #liverdisease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Vegetarians and vegans</w:t>
            </w:r>
          </w:p>
        </w:tc>
        <w:tc>
          <w:tcPr>
            <w:tcW w:type="dxa" w:w="4276"/>
            <w:vAlign w:val="top"/>
          </w:tcPr>
          <w:p>
            <w:pPr>
              <w:spacing w:after="60" w:line="259" w:lineRule="auto"/>
            </w:pPr>
            <w:r>
              <w:rPr>
                <w:rFonts w:ascii="Calibri" w:hAnsi="Calibri"/>
                <w:b w:val="0"/>
                <w:i w:val="0"/>
                <w:color w:val="212121"/>
                <w:sz w:val="19"/>
              </w:rPr>
              <w:t>Plant diets provide only non-heme iron of low bioavailability, worsened by phytates in cereals/legumes and tannins in tea; without vitamin-C pairing, iron balance is easily negative.</w:t>
            </w:r>
          </w:p>
          <w:p>
            <w:pPr>
              <w:spacing w:after="40" w:before="60" w:line="259" w:lineRule="auto"/>
            </w:pPr>
            <w:r>
              <w:rPr>
                <w:rFonts w:ascii="Calibri" w:hAnsi="Calibri"/>
                <w:b w:val="0"/>
                <w:i w:val="0"/>
                <w:color w:val="212121"/>
                <w:sz w:val="19"/>
              </w:rPr>
              <w:t>~29% of Indians aged 15+ are vegetarian; daily phytate intake of 1,287-2,500 mg further blocks absorption.</w:t>
            </w:r>
          </w:p>
          <w:p>
            <w:pPr>
              <w:spacing w:after="40" w:line="252" w:lineRule="auto"/>
            </w:pPr>
            <w:hyperlink r:id="rId12">
              <w:r>
                <w:rPr>
                  <w:rFonts w:ascii="Calibri" w:hAnsi="Calibri" w:cs="Calibri"/>
                  <w:sz w:val="18"/>
                  <w:color w:val="1155CC"/>
                  <w:u w:val="single"/>
                </w:rPr>
                <w:t xml:space="preserve">mdpi.com/2072-6643/13/10/3538 - vegetarian diets &amp; phytates</w:t>
              </w:r>
            </w:hyperlink>
          </w:p>
          <w:p>
            <w:pPr>
              <w:spacing w:before="60" w:after="40"/>
            </w:pPr>
            <w:r>
              <w:rPr>
                <w:rFonts w:ascii="Calibri" w:hAnsi="Calibri"/>
                <w:b w:val="0"/>
                <w:i w:val="0"/>
                <w:color w:val="5A5A5A"/>
                <w:sz w:val="18"/>
              </w:rPr>
              <w:t>#vegetarian  #vegan  #phytates  #vitaminC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 toddler feeding</w:t>
            </w:r>
          </w:p>
        </w:tc>
        <w:tc>
          <w:tcPr>
            <w:tcW w:type="dxa" w:w="2160"/>
            <w:vAlign w:val="top"/>
          </w:tcPr>
          <w:p>
            <w:pPr>
              <w:spacing w:after="40" w:before="0" w:line="259" w:lineRule="auto"/>
            </w:pPr>
            <w:r>
              <w:rPr>
                <w:rFonts w:ascii="Calibri" w:hAnsi="Calibri"/>
                <w:b w:val="0"/>
                <w:i w:val="0"/>
                <w:color w:val="212121"/>
                <w:sz w:val="19"/>
              </w:rPr>
              <w:t>Infants on prolonged breast-milk-only or early cow's milk</w:t>
            </w:r>
          </w:p>
        </w:tc>
        <w:tc>
          <w:tcPr>
            <w:tcW w:type="dxa" w:w="4276"/>
            <w:vAlign w:val="top"/>
          </w:tcPr>
          <w:p>
            <w:pPr>
              <w:spacing w:after="60" w:line="259" w:lineRule="auto"/>
            </w:pPr>
            <w:r>
              <w:rPr>
                <w:rFonts w:ascii="Calibri" w:hAnsi="Calibri"/>
                <w:b w:val="0"/>
                <w:i w:val="0"/>
                <w:color w:val="212121"/>
                <w:sz w:val="19"/>
              </w:rPr>
              <w:t>After 6 months breast milk alone cannot meet iron needs; early/excess cow's milk is iron-poor and can cause occult intestinal blood loss, driving toddler IDA during rapid growth.</w:t>
            </w:r>
          </w:p>
          <w:p>
            <w:pPr>
              <w:spacing w:after="40" w:before="60" w:line="259" w:lineRule="auto"/>
            </w:pPr>
            <w:r>
              <w:rPr>
                <w:rFonts w:ascii="Calibri" w:hAnsi="Calibri"/>
                <w:b w:val="0"/>
                <w:i w:val="0"/>
                <w:color w:val="212121"/>
                <w:sz w:val="19"/>
              </w:rPr>
              <w:t>CNNS: iron deficiency affects ~31.9% of children aged 1-4 years in India.</w:t>
            </w:r>
          </w:p>
          <w:p>
            <w:pPr>
              <w:spacing w:after="40" w:line="252" w:lineRule="auto"/>
            </w:pPr>
            <w:hyperlink r:id="rId11">
              <w:r>
                <w:rPr>
                  <w:rFonts w:ascii="Calibri" w:hAnsi="Calibri" w:cs="Calibri"/>
                  <w:sz w:val="18"/>
                  <w:color w:val="1155CC"/>
                  <w:u w:val="single"/>
                </w:rPr>
                <w:t xml:space="preserve">pubmed.ncbi.nlm.nih.gov/34049401 - CNNS preschool iron deficiency</w:t>
              </w:r>
            </w:hyperlink>
          </w:p>
          <w:p>
            <w:pPr>
              <w:spacing w:before="60" w:after="40"/>
            </w:pPr>
            <w:r>
              <w:rPr>
                <w:rFonts w:ascii="Calibri" w:hAnsi="Calibri"/>
                <w:b w:val="0"/>
                <w:i w:val="0"/>
                <w:color w:val="5A5A5A"/>
                <w:sz w:val="18"/>
              </w:rPr>
              <w:t>#infants  #complementaryfeeding  #cowsmilk  #toddleranemia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Inherited bleeding disorders and IRIDA (TMPRSS6)</w:t>
            </w:r>
          </w:p>
        </w:tc>
        <w:tc>
          <w:tcPr>
            <w:tcW w:type="dxa" w:w="4276"/>
            <w:vAlign w:val="top"/>
          </w:tcPr>
          <w:p>
            <w:pPr>
              <w:spacing w:after="60" w:line="259" w:lineRule="auto"/>
            </w:pPr>
            <w:r>
              <w:rPr>
                <w:rFonts w:ascii="Calibri" w:hAnsi="Calibri"/>
                <w:b w:val="0"/>
                <w:i w:val="0"/>
                <w:color w:val="212121"/>
                <w:sz w:val="19"/>
              </w:rPr>
              <w:t>Hereditary bleeding tendencies (e.g., von Willebrand disease causing menorrhagia) and iron-refractory iron deficiency anaemia (IRIDA, from TMPRSS6 mutations elevating hepcidin) produce chronic or treatment-resistant iron deficiency; a family history of coeliac disease also raises risk.</w:t>
            </w:r>
          </w:p>
          <w:p>
            <w:pPr>
              <w:spacing w:before="60" w:after="40"/>
            </w:pPr>
            <w:r>
              <w:rPr>
                <w:rFonts w:ascii="Calibri" w:hAnsi="Calibri"/>
                <w:b w:val="0"/>
                <w:i w:val="0"/>
                <w:color w:val="5A5A5A"/>
                <w:sz w:val="18"/>
              </w:rPr>
              <w:t>#IRIDA  #TMPRSS6  #vonWillebrand  #hereditary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Pregnancy roughly doubles iron requirements (net ~1000 mg) to expand maternal red-cell mass and supply the fetus and placenta; unmet demand causes IDA with serious maternal-fetal consequences.</w:t>
            </w:r>
          </w:p>
          <w:p>
            <w:pPr>
              <w:spacing w:after="40" w:before="60" w:line="259" w:lineRule="auto"/>
            </w:pPr>
            <w:r>
              <w:rPr>
                <w:rFonts w:ascii="Calibri" w:hAnsi="Calibri"/>
                <w:b w:val="0"/>
                <w:i w:val="0"/>
                <w:color w:val="212121"/>
                <w:sz w:val="19"/>
              </w:rPr>
              <w:t>52.2% of pregnant women are anaemic (NFHS-5); severe maternal anaemia carries ~6-fold higher odds of low birth weight.</w:t>
            </w:r>
          </w:p>
          <w:p>
            <w:pPr>
              <w:spacing w:after="40" w:line="252" w:lineRule="auto"/>
            </w:pPr>
            <w:hyperlink r:id="rId14">
              <w:r>
                <w:rPr>
                  <w:rFonts w:ascii="Calibri" w:hAnsi="Calibri" w:cs="Calibri"/>
                  <w:sz w:val="18"/>
                  <w:color w:val="1155CC"/>
                  <w:u w:val="single"/>
                </w:rPr>
                <w:t xml:space="preserve">pmc.ncbi.nlm.nih.gov/PMC5321311 - maternal anaemia &amp; outcomes, Assam</w:t>
              </w:r>
            </w:hyperlink>
          </w:p>
          <w:p>
            <w:pPr>
              <w:spacing w:before="60" w:after="40"/>
            </w:pPr>
            <w:r>
              <w:rPr>
                <w:rFonts w:ascii="Calibri" w:hAnsi="Calibri"/>
                <w:b w:val="0"/>
                <w:i w:val="0"/>
                <w:color w:val="5A5A5A"/>
                <w:sz w:val="18"/>
              </w:rPr>
              <w:t>#pregnancy  #maternalanemia  #lowbirthweight  #IFA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Heavy menstrual bleeding</w:t>
            </w:r>
          </w:p>
        </w:tc>
        <w:tc>
          <w:tcPr>
            <w:tcW w:type="dxa" w:w="2160"/>
            <w:vAlign w:val="top"/>
          </w:tcPr>
          <w:p>
            <w:pPr>
              <w:spacing w:after="40" w:before="0" w:line="259" w:lineRule="auto"/>
            </w:pPr>
            <w:r>
              <w:rPr>
                <w:rFonts w:ascii="Calibri" w:hAnsi="Calibri"/>
                <w:b w:val="0"/>
                <w:i w:val="0"/>
                <w:color w:val="212121"/>
                <w:sz w:val="19"/>
              </w:rPr>
              <w:t>Women with menorrhagia / abnormal uterine bleeding</w:t>
            </w:r>
          </w:p>
        </w:tc>
        <w:tc>
          <w:tcPr>
            <w:tcW w:type="dxa" w:w="4276"/>
            <w:vAlign w:val="top"/>
          </w:tcPr>
          <w:p>
            <w:pPr>
              <w:spacing w:after="60" w:line="259" w:lineRule="auto"/>
            </w:pPr>
            <w:r>
              <w:rPr>
                <w:rFonts w:ascii="Calibri" w:hAnsi="Calibri"/>
                <w:b w:val="0"/>
                <w:i w:val="0"/>
                <w:color w:val="212121"/>
                <w:sz w:val="19"/>
              </w:rPr>
              <w:t>Menstrual blood loss exceeding ~80 mL per cycle is the single commonest cause of IDA in premenopausal women; fibroids, adenomyosis and bleeding disorders amplify the loss.</w:t>
            </w:r>
          </w:p>
          <w:p>
            <w:pPr>
              <w:spacing w:after="40" w:before="60" w:line="259" w:lineRule="auto"/>
            </w:pPr>
            <w:r>
              <w:rPr>
                <w:rFonts w:ascii="Calibri" w:hAnsi="Calibri"/>
                <w:b w:val="0"/>
                <w:i w:val="0"/>
                <w:color w:val="212121"/>
                <w:sz w:val="19"/>
              </w:rPr>
              <w:t>Abnormal uterine bleeding accounts for ~20-30% of IDA in premenopausal women.</w:t>
            </w:r>
          </w:p>
          <w:p>
            <w:pPr>
              <w:spacing w:after="40" w:line="252" w:lineRule="auto"/>
            </w:pPr>
            <w:hyperlink r:id="rId10">
              <w:r>
                <w:rPr>
                  <w:rFonts w:ascii="Calibri" w:hAnsi="Calibri" w:cs="Calibri"/>
                  <w:sz w:val="18"/>
                  <w:color w:val="1155CC"/>
                  <w:u w:val="single"/>
                </w:rPr>
                <w:t xml:space="preserve">aafp.org - IDA in premenopausal women</w:t>
              </w:r>
            </w:hyperlink>
          </w:p>
          <w:p>
            <w:pPr>
              <w:spacing w:before="60" w:after="40"/>
            </w:pPr>
            <w:r>
              <w:rPr>
                <w:rFonts w:ascii="Calibri" w:hAnsi="Calibri"/>
                <w:b w:val="0"/>
                <w:i w:val="0"/>
                <w:color w:val="5A5A5A"/>
                <w:sz w:val="18"/>
              </w:rPr>
              <w:t>#menorrhagia  #AUB  #fibroids  #premenopausal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Coeliac disease / malabsorption</w:t>
            </w:r>
          </w:p>
        </w:tc>
        <w:tc>
          <w:tcPr>
            <w:tcW w:type="dxa" w:w="2160"/>
            <w:vAlign w:val="top"/>
          </w:tcPr>
          <w:p>
            <w:pPr>
              <w:spacing w:after="40" w:before="0" w:line="259" w:lineRule="auto"/>
            </w:pPr>
            <w:r>
              <w:rPr>
                <w:rFonts w:ascii="Calibri" w:hAnsi="Calibri"/>
                <w:b w:val="0"/>
                <w:i w:val="0"/>
                <w:color w:val="212121"/>
                <w:sz w:val="19"/>
              </w:rPr>
              <w:t>Patients with coeliac or other malabsorption</w:t>
            </w:r>
          </w:p>
        </w:tc>
        <w:tc>
          <w:tcPr>
            <w:tcW w:type="dxa" w:w="4276"/>
            <w:vAlign w:val="top"/>
          </w:tcPr>
          <w:p>
            <w:pPr>
              <w:spacing w:after="60" w:line="259" w:lineRule="auto"/>
            </w:pPr>
            <w:r>
              <w:rPr>
                <w:rFonts w:ascii="Calibri" w:hAnsi="Calibri"/>
                <w:b w:val="0"/>
                <w:i w:val="0"/>
                <w:color w:val="212121"/>
                <w:sz w:val="19"/>
              </w:rPr>
              <w:t>Duodenal villous atrophy impairs iron absorption, and IDA unresponsive to oral iron is often the sole presenting feature of undiagnosed coeliac disease.</w:t>
            </w:r>
          </w:p>
          <w:p>
            <w:pPr>
              <w:spacing w:after="40" w:before="60" w:line="259" w:lineRule="auto"/>
            </w:pPr>
            <w:r>
              <w:rPr>
                <w:rFonts w:ascii="Calibri" w:hAnsi="Calibri"/>
                <w:b w:val="0"/>
                <w:i w:val="0"/>
                <w:color w:val="212121"/>
                <w:sz w:val="19"/>
              </w:rPr>
              <w:t>Coeliac disease accounts for ~4-6% of IDA cases in evaluated populations.</w:t>
            </w:r>
          </w:p>
          <w:p>
            <w:pPr>
              <w:spacing w:after="40" w:line="252" w:lineRule="auto"/>
            </w:pPr>
            <w:hyperlink r:id="rId10">
              <w:r>
                <w:rPr>
                  <w:rFonts w:ascii="Calibri" w:hAnsi="Calibri" w:cs="Calibri"/>
                  <w:sz w:val="18"/>
                  <w:color w:val="1155CC"/>
                  <w:u w:val="single"/>
                </w:rPr>
                <w:t xml:space="preserve">aafp.org - coeliac disease in IDA</w:t>
              </w:r>
            </w:hyperlink>
          </w:p>
          <w:p>
            <w:pPr>
              <w:spacing w:before="60" w:after="40"/>
            </w:pPr>
            <w:r>
              <w:rPr>
                <w:rFonts w:ascii="Calibri" w:hAnsi="Calibri"/>
                <w:b w:val="0"/>
                <w:i w:val="0"/>
                <w:color w:val="5A5A5A"/>
                <w:sz w:val="18"/>
              </w:rPr>
              <w:t>#coeliac  #malabsorption  #refractoryIDA  #duodenum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heart failure / CKD</w:t>
            </w:r>
          </w:p>
        </w:tc>
        <w:tc>
          <w:tcPr>
            <w:tcW w:type="dxa" w:w="2160"/>
            <w:vAlign w:val="top"/>
          </w:tcPr>
          <w:p>
            <w:pPr>
              <w:spacing w:after="40" w:before="0" w:line="259" w:lineRule="auto"/>
            </w:pPr>
            <w:r>
              <w:rPr>
                <w:rFonts w:ascii="Calibri" w:hAnsi="Calibri"/>
                <w:b w:val="0"/>
                <w:i w:val="0"/>
                <w:color w:val="212121"/>
                <w:sz w:val="19"/>
              </w:rPr>
              <w:t>Patients with heart failure or chronic kidney disease</w:t>
            </w:r>
          </w:p>
        </w:tc>
        <w:tc>
          <w:tcPr>
            <w:tcW w:type="dxa" w:w="4276"/>
            <w:vAlign w:val="top"/>
          </w:tcPr>
          <w:p>
            <w:pPr>
              <w:spacing w:after="60" w:line="259" w:lineRule="auto"/>
            </w:pPr>
            <w:r>
              <w:rPr>
                <w:rFonts w:ascii="Calibri" w:hAnsi="Calibri"/>
                <w:b w:val="0"/>
                <w:i w:val="0"/>
                <w:color w:val="212121"/>
                <w:sz w:val="19"/>
              </w:rPr>
              <w:t>Chronic inflammation raises hepcidin, causing functional iron deficiency (iron trapped in stores) and true depletion from GI losses/poor intake; iron deficiency independently worsens symptoms and prognosis.</w:t>
            </w:r>
          </w:p>
          <w:p>
            <w:pPr>
              <w:spacing w:after="40" w:before="60" w:line="259" w:lineRule="auto"/>
            </w:pPr>
            <w:r>
              <w:rPr>
                <w:rFonts w:ascii="Calibri" w:hAnsi="Calibri"/>
                <w:b w:val="0"/>
                <w:i w:val="0"/>
                <w:color w:val="212121"/>
                <w:sz w:val="19"/>
              </w:rPr>
              <w:t>Iron deficiency is present in ~50% of patients with chronic heart failure.</w:t>
            </w:r>
          </w:p>
          <w:p>
            <w:pPr>
              <w:spacing w:after="40" w:line="252" w:lineRule="auto"/>
            </w:pPr>
            <w:hyperlink r:id="rId15">
              <w:r>
                <w:rPr>
                  <w:rFonts w:ascii="Calibri" w:hAnsi="Calibri" w:cs="Calibri"/>
                  <w:sz w:val="18"/>
                  <w:color w:val="1155CC"/>
                  <w:u w:val="single"/>
                </w:rPr>
                <w:t xml:space="preserve">escardio.org - iron deficiency in heart failure</w:t>
              </w:r>
            </w:hyperlink>
          </w:p>
          <w:p>
            <w:pPr>
              <w:spacing w:before="60" w:after="40"/>
            </w:pPr>
            <w:r>
              <w:rPr>
                <w:rFonts w:ascii="Calibri" w:hAnsi="Calibri"/>
                <w:b w:val="0"/>
                <w:i w:val="0"/>
                <w:color w:val="5A5A5A"/>
                <w:sz w:val="18"/>
              </w:rPr>
              <w:t>#heartfailure  #CKD  #hepcidin  #functionaliron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Hookworm / helminthiasis</w:t>
            </w:r>
          </w:p>
        </w:tc>
        <w:tc>
          <w:tcPr>
            <w:tcW w:type="dxa" w:w="2160"/>
            <w:vAlign w:val="top"/>
          </w:tcPr>
          <w:p>
            <w:pPr>
              <w:spacing w:after="40" w:before="0" w:line="259" w:lineRule="auto"/>
            </w:pPr>
            <w:r>
              <w:rPr>
                <w:rFonts w:ascii="Calibri" w:hAnsi="Calibri"/>
                <w:b w:val="0"/>
                <w:i w:val="0"/>
                <w:color w:val="212121"/>
                <w:sz w:val="19"/>
              </w:rPr>
              <w:t>Populations with soil-transmitted helminth infection</w:t>
            </w:r>
          </w:p>
        </w:tc>
        <w:tc>
          <w:tcPr>
            <w:tcW w:type="dxa" w:w="4276"/>
            <w:vAlign w:val="top"/>
          </w:tcPr>
          <w:p>
            <w:pPr>
              <w:spacing w:after="60" w:line="259" w:lineRule="auto"/>
            </w:pPr>
            <w:r>
              <w:rPr>
                <w:rFonts w:ascii="Calibri" w:hAnsi="Calibri"/>
                <w:b w:val="0"/>
                <w:i w:val="0"/>
                <w:color w:val="212121"/>
                <w:sz w:val="19"/>
              </w:rPr>
              <w:t>Hookworm attaches to the small-intestinal mucosa and causes chronic occult blood loss; heavy infestation is a leading cause of IDA where sanitation and footwear use are poor.</w:t>
            </w:r>
          </w:p>
          <w:p>
            <w:pPr>
              <w:spacing w:before="60" w:after="40"/>
            </w:pPr>
            <w:r>
              <w:rPr>
                <w:rFonts w:ascii="Calibri" w:hAnsi="Calibri"/>
                <w:b w:val="0"/>
                <w:i w:val="0"/>
                <w:color w:val="5A5A5A"/>
                <w:sz w:val="18"/>
              </w:rPr>
              <w:t>#hookworm  #helminths  #sanitation  #deworming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Moderate activity is beneficial, but intense endurance training raises iron losses (foot-strike haemolysis, sweat, GI micro-bleeding) and exercise-induced hepcidin, so athletes - especially menstruating women - have higher iron deficiency rates.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iron quantity and bioavailability are the central determinants. Indian diets are ~95% low-absorption non-heme iron; heme sources, vitamin C and avoiding inhibitors markedly change iron balance.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Iron deficiency is strongly linked to restless legs syndrome and disrupted sleep (low brain iron affects dopamine); the relationship is bidirectional but sleep is not a primary cause of IDA.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smoking predisposes to gastritis and peptic ulcer (occult GI loss) and CO-driven haemoglobin elevation can mask early anaemia.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causes gastric/oesophageal mucosal bleeding, reduced dietary iron intake and malabsorption, and coexisting liver disease worsens anaemia.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Iron deficiency contributes to fatigue, low mood and impaired concentration, and pica behaviours may accompany it; depression and IDA share a bidirectional association, though the effect on iron status is modest.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intake has little direct effect on iron status; however, water and food hygiene influence helminth and H. pylori exposure, which do cause iron loss.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Tannins/polyphenols in tea and coffee are potent inhibitors of non-heme iron absorption; taken with meals they can cut absorption by up to ~67%, a major issue in tea-drinking India.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and open defecation drive hookworm and other soil-transmitted helminth infections that cause chronic intestinal blood loss and IDA; deworming and sanitation reduce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NSAID/aspirin use, frequent blood or plasma donation, recent surgery, heavy menstruation and GI bleeding acutely provoke or unmask iron deficiency.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iron intake (mg/day)</w:t>
            </w:r>
          </w:p>
        </w:tc>
        <w:tc>
          <w:tcPr>
            <w:tcW w:type="dxa" w:w="1655"/>
            <w:vAlign w:val="top"/>
          </w:tcPr>
          <w:p>
            <w:pPr>
              <w:spacing w:after="40" w:before="0" w:line="259" w:lineRule="auto"/>
            </w:pPr>
            <w:r>
              <w:rPr>
                <w:rFonts w:ascii="Calibri" w:hAnsi="Calibri"/>
                <w:b w:val="0"/>
                <w:i w:val="0"/>
                <w:color w:val="212121"/>
                <w:sz w:val="19"/>
              </w:rPr>
              <w:t>Adolescent girls, women of reproductive age, pregnant women</w:t>
            </w:r>
          </w:p>
        </w:tc>
        <w:tc>
          <w:tcPr>
            <w:tcW w:type="dxa" w:w="1512"/>
            <w:vAlign w:val="top"/>
          </w:tcPr>
          <w:p>
            <w:pPr>
              <w:spacing w:after="40" w:before="0" w:line="259" w:lineRule="auto"/>
            </w:pPr>
            <w:r>
              <w:rPr>
                <w:rFonts w:ascii="Calibri" w:hAnsi="Calibri"/>
                <w:b w:val="0"/>
                <w:i w:val="0"/>
                <w:color w:val="212121"/>
                <w:sz w:val="19"/>
              </w:rPr>
              <w:t>Meet ICMR-NIN recommended intake (higher for Indian diets due to low bioavailability); ~27 mg/day in pregnancy</w:t>
            </w:r>
          </w:p>
        </w:tc>
        <w:tc>
          <w:tcPr>
            <w:tcW w:type="dxa" w:w="1512"/>
            <w:vAlign w:val="top"/>
          </w:tcPr>
          <w:p>
            <w:pPr>
              <w:spacing w:after="40" w:before="0" w:line="259" w:lineRule="auto"/>
            </w:pPr>
            <w:r>
              <w:rPr>
                <w:rFonts w:ascii="Calibri" w:hAnsi="Calibri"/>
                <w:b w:val="0"/>
                <w:i w:val="0"/>
                <w:color w:val="212121"/>
                <w:sz w:val="19"/>
              </w:rPr>
              <w:t>Habitual intake below requirement; predominantly non-heme sources</w:t>
            </w:r>
          </w:p>
        </w:tc>
        <w:tc>
          <w:tcPr>
            <w:tcW w:type="dxa" w:w="1468"/>
            <w:vAlign w:val="top"/>
          </w:tcPr>
          <w:p>
            <w:pPr>
              <w:spacing w:after="40" w:before="0" w:line="259" w:lineRule="auto"/>
            </w:pPr>
            <w:r>
              <w:rPr>
                <w:rFonts w:ascii="Calibri" w:hAnsi="Calibri"/>
                <w:b w:val="0"/>
                <w:i w:val="0"/>
                <w:color w:val="212121"/>
                <w:sz w:val="19"/>
              </w:rPr>
              <w:t>Poor-bioavailability diets need proportionally more iron to meet needs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Vitamin-C pairing with meals</w:t>
            </w:r>
          </w:p>
        </w:tc>
        <w:tc>
          <w:tcPr>
            <w:tcW w:type="dxa" w:w="1655"/>
            <w:vAlign w:val="top"/>
          </w:tcPr>
          <w:p>
            <w:pPr>
              <w:spacing w:after="40" w:before="0" w:line="259" w:lineRule="auto"/>
            </w:pPr>
            <w:r>
              <w:rPr>
                <w:rFonts w:ascii="Calibri" w:hAnsi="Calibri"/>
                <w:b w:val="0"/>
                <w:i w:val="0"/>
                <w:color w:val="212121"/>
                <w:sz w:val="19"/>
              </w:rPr>
              <w:t>Vegetarians, adolescents</w:t>
            </w:r>
          </w:p>
        </w:tc>
        <w:tc>
          <w:tcPr>
            <w:tcW w:type="dxa" w:w="1512"/>
            <w:vAlign w:val="top"/>
          </w:tcPr>
          <w:p>
            <w:pPr>
              <w:spacing w:after="40" w:before="0" w:line="259" w:lineRule="auto"/>
            </w:pPr>
            <w:r>
              <w:rPr>
                <w:rFonts w:ascii="Calibri" w:hAnsi="Calibri"/>
                <w:b w:val="0"/>
                <w:i w:val="0"/>
                <w:color w:val="212121"/>
                <w:sz w:val="19"/>
              </w:rPr>
              <w:t>Include a vitamin-C source (lemon, amla, guava, tomato) with iron-rich meals</w:t>
            </w:r>
          </w:p>
        </w:tc>
        <w:tc>
          <w:tcPr>
            <w:tcW w:type="dxa" w:w="1512"/>
            <w:vAlign w:val="top"/>
          </w:tcPr>
          <w:p>
            <w:pPr>
              <w:spacing w:after="40" w:before="0" w:line="259" w:lineRule="auto"/>
            </w:pPr>
            <w:r>
              <w:rPr>
                <w:rFonts w:ascii="Calibri" w:hAnsi="Calibri"/>
                <w:b w:val="0"/>
                <w:i w:val="0"/>
                <w:color w:val="212121"/>
                <w:sz w:val="19"/>
              </w:rPr>
              <w:t>Iron-rich meals without vitamin C; high phytate load</w:t>
            </w:r>
          </w:p>
        </w:tc>
        <w:tc>
          <w:tcPr>
            <w:tcW w:type="dxa" w:w="1468"/>
            <w:vAlign w:val="top"/>
          </w:tcPr>
          <w:p>
            <w:pPr>
              <w:spacing w:after="60" w:line="259" w:lineRule="auto"/>
            </w:pPr>
            <w:r>
              <w:rPr>
                <w:rFonts w:ascii="Calibri" w:hAnsi="Calibri"/>
                <w:b w:val="0"/>
                <w:i w:val="0"/>
                <w:color w:val="212121"/>
                <w:sz w:val="19"/>
              </w:rPr>
              <w:t>Vitamin C keeps iron in the absorbable ferrous form; phytates 1,287-2,500 mg/day inhibit absorption</w:t>
            </w:r>
          </w:p>
          <w:p>
            <w:pPr>
              <w:spacing w:after="40" w:line="252" w:lineRule="auto"/>
            </w:pPr>
            <w:hyperlink r:id="rId12">
              <w:r>
                <w:rPr>
                  <w:rFonts w:ascii="Calibri" w:hAnsi="Calibri" w:cs="Calibri"/>
                  <w:sz w:val="18"/>
                  <w:color w:val="1155CC"/>
                  <w:u w:val="single"/>
                </w:rPr>
                <w:t xml:space="preserve">https://www.mdpi.com/2072-6643/13/10/3538</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timing relative to meals</w:t>
            </w:r>
          </w:p>
        </w:tc>
        <w:tc>
          <w:tcPr>
            <w:tcW w:type="dxa" w:w="1655"/>
            <w:vAlign w:val="top"/>
          </w:tcPr>
          <w:p>
            <w:pPr>
              <w:spacing w:after="40" w:before="0" w:line="259" w:lineRule="auto"/>
            </w:pPr>
            <w:r>
              <w:rPr>
                <w:rFonts w:ascii="Calibri" w:hAnsi="Calibri"/>
                <w:b w:val="0"/>
                <w:i w:val="0"/>
                <w:color w:val="212121"/>
                <w:sz w:val="19"/>
              </w:rPr>
              <w:t>Adults, adolescents, elderly</w:t>
            </w:r>
          </w:p>
        </w:tc>
        <w:tc>
          <w:tcPr>
            <w:tcW w:type="dxa" w:w="1512"/>
            <w:vAlign w:val="top"/>
          </w:tcPr>
          <w:p>
            <w:pPr>
              <w:spacing w:after="40" w:before="0" w:line="259" w:lineRule="auto"/>
            </w:pPr>
            <w:r>
              <w:rPr>
                <w:rFonts w:ascii="Calibri" w:hAnsi="Calibri"/>
                <w:b w:val="0"/>
                <w:i w:val="0"/>
                <w:color w:val="212121"/>
                <w:sz w:val="19"/>
              </w:rPr>
              <w:t>Avoid tea/coffee within ~1 hour of iron-rich meals or supplements</w:t>
            </w:r>
          </w:p>
        </w:tc>
        <w:tc>
          <w:tcPr>
            <w:tcW w:type="dxa" w:w="1512"/>
            <w:vAlign w:val="top"/>
          </w:tcPr>
          <w:p>
            <w:pPr>
              <w:spacing w:after="40" w:before="0" w:line="259" w:lineRule="auto"/>
            </w:pPr>
            <w:r>
              <w:rPr>
                <w:rFonts w:ascii="Calibri" w:hAnsi="Calibri"/>
                <w:b w:val="0"/>
                <w:i w:val="0"/>
                <w:color w:val="212121"/>
                <w:sz w:val="19"/>
              </w:rPr>
              <w:t>Tea/coffee taken with or immediately after meals</w:t>
            </w:r>
          </w:p>
        </w:tc>
        <w:tc>
          <w:tcPr>
            <w:tcW w:type="dxa" w:w="1468"/>
            <w:vAlign w:val="top"/>
          </w:tcPr>
          <w:p>
            <w:pPr>
              <w:spacing w:after="60" w:line="259" w:lineRule="auto"/>
            </w:pPr>
            <w:r>
              <w:rPr>
                <w:rFonts w:ascii="Calibri" w:hAnsi="Calibri"/>
                <w:b w:val="0"/>
                <w:i w:val="0"/>
                <w:color w:val="212121"/>
                <w:sz w:val="19"/>
              </w:rPr>
              <w:t>~55 mg tannic acid reduced non-heme iron absorption by ~67%</w:t>
            </w:r>
          </w:p>
          <w:p>
            <w:pPr>
              <w:spacing w:after="40" w:line="252" w:lineRule="auto"/>
            </w:pPr>
            <w:hyperlink r:id="rId12">
              <w:r>
                <w:rPr>
                  <w:rFonts w:ascii="Calibri" w:hAnsi="Calibri" w:cs="Calibri"/>
                  <w:sz w:val="18"/>
                  <w:color w:val="1155CC"/>
                  <w:u w:val="single"/>
                </w:rPr>
                <w:t xml:space="preserve">https://www.mdpi.com/2072-6643/13/10/3538</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All groups</w:t>
            </w:r>
          </w:p>
        </w:tc>
        <w:tc>
          <w:tcPr>
            <w:tcW w:type="dxa" w:w="1512"/>
            <w:vAlign w:val="top"/>
          </w:tcPr>
          <w:p>
            <w:pPr>
              <w:spacing w:after="40" w:before="0" w:line="259" w:lineRule="auto"/>
            </w:pPr>
            <w:r>
              <w:rPr>
                <w:rFonts w:ascii="Calibri" w:hAnsi="Calibri"/>
                <w:b w:val="0"/>
                <w:i w:val="0"/>
                <w:color w:val="212121"/>
                <w:sz w:val="19"/>
              </w:rPr>
              <w:t>Men &gt;= 13; non-pregnant women &gt;= 12; pregnant women &gt;= 11 g/dL</w:t>
            </w:r>
          </w:p>
        </w:tc>
        <w:tc>
          <w:tcPr>
            <w:tcW w:type="dxa" w:w="1512"/>
            <w:vAlign w:val="top"/>
          </w:tcPr>
          <w:p>
            <w:pPr>
              <w:spacing w:after="40" w:before="0" w:line="259" w:lineRule="auto"/>
            </w:pPr>
            <w:r>
              <w:rPr>
                <w:rFonts w:ascii="Calibri" w:hAnsi="Calibri"/>
                <w:b w:val="0"/>
                <w:i w:val="0"/>
                <w:color w:val="212121"/>
                <w:sz w:val="19"/>
              </w:rPr>
              <w:t>Men &lt; 13; women &lt; 12; pregnant/children 6-59 mo &lt; 11 g/dL</w:t>
            </w:r>
          </w:p>
        </w:tc>
        <w:tc>
          <w:tcPr>
            <w:tcW w:type="dxa" w:w="1468"/>
            <w:vAlign w:val="top"/>
          </w:tcPr>
          <w:p>
            <w:pPr>
              <w:spacing w:after="60" w:line="259" w:lineRule="auto"/>
            </w:pPr>
            <w:r>
              <w:rPr>
                <w:rFonts w:ascii="Calibri" w:hAnsi="Calibri"/>
                <w:b w:val="0"/>
                <w:i w:val="0"/>
                <w:color w:val="212121"/>
                <w:sz w:val="19"/>
              </w:rPr>
              <w:t>WHO diagnostic thresholds for anaemia</w:t>
            </w:r>
          </w:p>
          <w:p>
            <w:pPr>
              <w:spacing w:after="40" w:line="252" w:lineRule="auto"/>
            </w:pPr>
            <w:hyperlink r:id="rId16">
              <w:r>
                <w:rPr>
                  <w:rFonts w:ascii="Calibri" w:hAnsi="Calibri" w:cs="Calibri"/>
                  <w:sz w:val="18"/>
                  <w:color w:val="1155CC"/>
                  <w:u w:val="single"/>
                </w:rPr>
                <w:t xml:space="preserve">https://www.who.int/news-room/fact-sheets/detail/anaemia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(µg/L)</w:t>
            </w:r>
          </w:p>
        </w:tc>
        <w:tc>
          <w:tcPr>
            <w:tcW w:type="dxa" w:w="1655"/>
            <w:vAlign w:val="top"/>
          </w:tcPr>
          <w:p>
            <w:pPr>
              <w:spacing w:after="40" w:before="0" w:line="259" w:lineRule="auto"/>
            </w:pPr>
            <w:r>
              <w:rPr>
                <w:rFonts w:ascii="Calibri" w:hAnsi="Calibri"/>
                <w:b w:val="0"/>
                <w:i w:val="0"/>
                <w:color w:val="212121"/>
                <w:sz w:val="19"/>
              </w:rPr>
              <w:t>Adults; adjust for inflammation</w:t>
            </w:r>
          </w:p>
        </w:tc>
        <w:tc>
          <w:tcPr>
            <w:tcW w:type="dxa" w:w="1512"/>
            <w:vAlign w:val="top"/>
          </w:tcPr>
          <w:p>
            <w:pPr>
              <w:spacing w:after="40" w:before="0" w:line="259" w:lineRule="auto"/>
            </w:pPr>
            <w:r>
              <w:rPr>
                <w:rFonts w:ascii="Calibri" w:hAnsi="Calibri"/>
                <w:b w:val="0"/>
                <w:i w:val="0"/>
                <w:color w:val="212121"/>
                <w:sz w:val="19"/>
              </w:rPr>
              <w:t>&gt; 30 µg/L (&gt; 100 makes IDA unlikely)</w:t>
            </w:r>
          </w:p>
        </w:tc>
        <w:tc>
          <w:tcPr>
            <w:tcW w:type="dxa" w:w="1512"/>
            <w:vAlign w:val="top"/>
          </w:tcPr>
          <w:p>
            <w:pPr>
              <w:spacing w:after="40" w:before="0" w:line="259" w:lineRule="auto"/>
            </w:pPr>
            <w:r>
              <w:rPr>
                <w:rFonts w:ascii="Calibri" w:hAnsi="Calibri"/>
                <w:b w:val="0"/>
                <w:i w:val="0"/>
                <w:color w:val="212121"/>
                <w:sz w:val="19"/>
              </w:rPr>
              <w:t>&lt; 15 µg/L (healthy); &lt; 30 µg/L with infection/inflammation</w:t>
            </w:r>
          </w:p>
        </w:tc>
        <w:tc>
          <w:tcPr>
            <w:tcW w:type="dxa" w:w="1468"/>
            <w:vAlign w:val="top"/>
          </w:tcPr>
          <w:p>
            <w:pPr>
              <w:spacing w:after="60" w:line="259" w:lineRule="auto"/>
            </w:pPr>
            <w:r>
              <w:rPr>
                <w:rFonts w:ascii="Calibri" w:hAnsi="Calibri"/>
                <w:b w:val="0"/>
                <w:i w:val="0"/>
                <w:color w:val="212121"/>
                <w:sz w:val="19"/>
              </w:rPr>
              <w:t>Single best marker of iron stores; interpret with CRP</w:t>
            </w:r>
          </w:p>
          <w:p>
            <w:pPr>
              <w:spacing w:after="40" w:line="252" w:lineRule="auto"/>
            </w:pPr>
            <w:hyperlink r:id="rId17">
              <w:r>
                <w:rPr>
                  <w:rFonts w:ascii="Calibri" w:hAnsi="Calibri" w:cs="Calibri"/>
                  <w:sz w:val="18"/>
                  <w:color w:val="1155CC"/>
                  <w:u w:val="single"/>
                </w:rPr>
                <w:t xml:space="preserve">https://www.ncbi.nlm.nih.gov/books/NBK569877/table/fm-ch2.tab1/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Transferrin saturation (%)</w:t>
            </w:r>
          </w:p>
        </w:tc>
        <w:tc>
          <w:tcPr>
            <w:tcW w:type="dxa" w:w="1655"/>
            <w:vAlign w:val="top"/>
          </w:tcPr>
          <w:p>
            <w:pPr>
              <w:spacing w:after="40" w:before="0" w:line="259" w:lineRule="auto"/>
            </w:pPr>
            <w:r>
              <w:rPr>
                <w:rFonts w:ascii="Calibri" w:hAnsi="Calibri"/>
                <w:b w:val="0"/>
                <w:i w:val="0"/>
                <w:color w:val="212121"/>
                <w:sz w:val="19"/>
              </w:rPr>
              <w:t>Adults, heart-failure/CKD patients</w:t>
            </w:r>
          </w:p>
        </w:tc>
        <w:tc>
          <w:tcPr>
            <w:tcW w:type="dxa" w:w="1512"/>
            <w:vAlign w:val="top"/>
          </w:tcPr>
          <w:p>
            <w:pPr>
              <w:spacing w:after="40" w:before="0" w:line="259" w:lineRule="auto"/>
            </w:pPr>
            <w:r>
              <w:rPr>
                <w:rFonts w:ascii="Calibri" w:hAnsi="Calibri"/>
                <w:b w:val="0"/>
                <w:i w:val="0"/>
                <w:color w:val="212121"/>
                <w:sz w:val="19"/>
              </w:rPr>
              <w:t>&gt;= 20%</w:t>
            </w:r>
          </w:p>
        </w:tc>
        <w:tc>
          <w:tcPr>
            <w:tcW w:type="dxa" w:w="1512"/>
            <w:vAlign w:val="top"/>
          </w:tcPr>
          <w:p>
            <w:pPr>
              <w:spacing w:after="40" w:before="0" w:line="259" w:lineRule="auto"/>
            </w:pPr>
            <w:r>
              <w:rPr>
                <w:rFonts w:ascii="Calibri" w:hAnsi="Calibri"/>
                <w:b w:val="0"/>
                <w:i w:val="0"/>
                <w:color w:val="212121"/>
                <w:sz w:val="19"/>
              </w:rPr>
              <w:t>&lt; 20% (often &lt; 16%)</w:t>
            </w:r>
          </w:p>
        </w:tc>
        <w:tc>
          <w:tcPr>
            <w:tcW w:type="dxa" w:w="1468"/>
            <w:vAlign w:val="top"/>
          </w:tcPr>
          <w:p>
            <w:pPr>
              <w:spacing w:after="40" w:before="0" w:line="259" w:lineRule="auto"/>
            </w:pPr>
            <w:r>
              <w:rPr>
                <w:rFonts w:ascii="Calibri" w:hAnsi="Calibri"/>
                <w:b w:val="0"/>
                <w:i w:val="0"/>
                <w:color w:val="212121"/>
                <w:sz w:val="19"/>
              </w:rPr>
              <w:t>Low saturation with low ferritin confirms iron-deficient state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(fL)</w:t>
            </w:r>
          </w:p>
        </w:tc>
        <w:tc>
          <w:tcPr>
            <w:tcW w:type="dxa" w:w="1655"/>
            <w:vAlign w:val="top"/>
          </w:tcPr>
          <w:p>
            <w:pPr>
              <w:spacing w:after="40" w:before="0" w:line="259" w:lineRule="auto"/>
            </w:pPr>
            <w:r>
              <w:rPr>
                <w:rFonts w:ascii="Calibri" w:hAnsi="Calibri"/>
                <w:b w:val="0"/>
                <w:i w:val="0"/>
                <w:color w:val="212121"/>
                <w:sz w:val="19"/>
              </w:rPr>
              <w:t>All groups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&lt; 80 fL (microcytosis)</w:t>
            </w:r>
          </w:p>
        </w:tc>
        <w:tc>
          <w:tcPr>
            <w:tcW w:type="dxa" w:w="1468"/>
            <w:vAlign w:val="top"/>
          </w:tcPr>
          <w:p>
            <w:pPr>
              <w:spacing w:after="60" w:line="259" w:lineRule="auto"/>
            </w:pPr>
            <w:r>
              <w:rPr>
                <w:rFonts w:ascii="Calibri" w:hAnsi="Calibri"/>
                <w:b w:val="0"/>
                <w:i w:val="0"/>
                <w:color w:val="212121"/>
                <w:sz w:val="19"/>
              </w:rPr>
              <w:t>MCV &gt; 95 fL makes IDA unlikely; low MCV also seen in thalassaemia</w:t>
            </w:r>
          </w:p>
          <w:p>
            <w:pPr>
              <w:spacing w:after="40" w:line="252" w:lineRule="auto"/>
            </w:pPr>
            <w:hyperlink r:id="rId10">
              <w:r>
                <w:rPr>
                  <w:rFonts w:ascii="Calibri" w:hAnsi="Calibri" w:cs="Calibri"/>
                  <w:sz w:val="18"/>
                  <w:color w:val="1155CC"/>
                  <w:u w:val="single"/>
                </w:rPr>
                <w:t xml:space="preserve">https://www.aafp.org/pubs/afp/issues/2013/0115/p98.html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Menstrual blood loss (mL/cycle)</w:t>
            </w:r>
          </w:p>
        </w:tc>
        <w:tc>
          <w:tcPr>
            <w:tcW w:type="dxa" w:w="1655"/>
            <w:vAlign w:val="top"/>
          </w:tcPr>
          <w:p>
            <w:pPr>
              <w:spacing w:after="40" w:before="0" w:line="259" w:lineRule="auto"/>
            </w:pPr>
            <w:r>
              <w:rPr>
                <w:rFonts w:ascii="Calibri" w:hAnsi="Calibri"/>
                <w:b w:val="0"/>
                <w:i w:val="0"/>
                <w:color w:val="212121"/>
                <w:sz w:val="19"/>
              </w:rPr>
              <w:t>Premenopausal women</w:t>
            </w:r>
          </w:p>
        </w:tc>
        <w:tc>
          <w:tcPr>
            <w:tcW w:type="dxa" w:w="1512"/>
            <w:vAlign w:val="top"/>
          </w:tcPr>
          <w:p>
            <w:pPr>
              <w:spacing w:after="40" w:before="0" w:line="259" w:lineRule="auto"/>
            </w:pPr>
            <w:r>
              <w:rPr>
                <w:rFonts w:ascii="Calibri" w:hAnsi="Calibri"/>
                <w:b w:val="0"/>
                <w:i w:val="0"/>
                <w:color w:val="212121"/>
                <w:sz w:val="19"/>
              </w:rPr>
              <w:t>&lt; 80 mL per cycle</w:t>
            </w:r>
          </w:p>
        </w:tc>
        <w:tc>
          <w:tcPr>
            <w:tcW w:type="dxa" w:w="1512"/>
            <w:vAlign w:val="top"/>
          </w:tcPr>
          <w:p>
            <w:pPr>
              <w:spacing w:after="40" w:before="0" w:line="259" w:lineRule="auto"/>
            </w:pPr>
            <w:r>
              <w:rPr>
                <w:rFonts w:ascii="Calibri" w:hAnsi="Calibri"/>
                <w:b w:val="0"/>
                <w:i w:val="0"/>
                <w:color w:val="212121"/>
                <w:sz w:val="19"/>
              </w:rPr>
              <w:t>&gt;= 80 mL/cycle, clots or flooding (menorrhagia)</w:t>
            </w:r>
          </w:p>
        </w:tc>
        <w:tc>
          <w:tcPr>
            <w:tcW w:type="dxa" w:w="1468"/>
            <w:vAlign w:val="top"/>
          </w:tcPr>
          <w:p>
            <w:pPr>
              <w:spacing w:after="60" w:line="259" w:lineRule="auto"/>
            </w:pPr>
            <w:r>
              <w:rPr>
                <w:rFonts w:ascii="Calibri" w:hAnsi="Calibri"/>
                <w:b w:val="0"/>
                <w:i w:val="0"/>
                <w:color w:val="212121"/>
                <w:sz w:val="19"/>
              </w:rPr>
              <w:t>Menorrhagia is the commonest cause of IDA in premenopausal women</w:t>
            </w:r>
          </w:p>
          <w:p>
            <w:pPr>
              <w:spacing w:after="40" w:line="252" w:lineRule="auto"/>
            </w:pPr>
            <w:hyperlink r:id="rId10">
              <w:r>
                <w:rPr>
                  <w:rFonts w:ascii="Calibri" w:hAnsi="Calibri" w:cs="Calibri"/>
                  <w:sz w:val="18"/>
                  <w:color w:val="1155CC"/>
                  <w:u w:val="single"/>
                </w:rPr>
                <w:t xml:space="preserve">https://www.aafp.org/pubs/afp/issues/2013/0115/p98.html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donation frequency</w:t>
            </w:r>
          </w:p>
        </w:tc>
        <w:tc>
          <w:tcPr>
            <w:tcW w:type="dxa" w:w="1655"/>
            <w:vAlign w:val="top"/>
          </w:tcPr>
          <w:p>
            <w:pPr>
              <w:spacing w:after="40" w:before="0" w:line="259" w:lineRule="auto"/>
            </w:pPr>
            <w:r>
              <w:rPr>
                <w:rFonts w:ascii="Calibri" w:hAnsi="Calibri"/>
                <w:b w:val="0"/>
                <w:i w:val="0"/>
                <w:color w:val="212121"/>
                <w:sz w:val="19"/>
              </w:rPr>
              <w:t>Regular donors</w:t>
            </w:r>
          </w:p>
        </w:tc>
        <w:tc>
          <w:tcPr>
            <w:tcW w:type="dxa" w:w="1512"/>
            <w:vAlign w:val="top"/>
          </w:tcPr>
          <w:p>
            <w:pPr>
              <w:spacing w:after="40" w:before="0" w:line="259" w:lineRule="auto"/>
            </w:pPr>
            <w:r>
              <w:rPr>
                <w:rFonts w:ascii="Calibri" w:hAnsi="Calibri"/>
                <w:b w:val="0"/>
                <w:i w:val="0"/>
                <w:color w:val="212121"/>
                <w:sz w:val="19"/>
              </w:rPr>
              <w:t>Men &lt;= once/3 months, women &lt;= once/4 months, with iron replacement</w:t>
            </w:r>
          </w:p>
        </w:tc>
        <w:tc>
          <w:tcPr>
            <w:tcW w:type="dxa" w:w="1512"/>
            <w:vAlign w:val="top"/>
          </w:tcPr>
          <w:p>
            <w:pPr>
              <w:spacing w:after="40" w:before="0" w:line="259" w:lineRule="auto"/>
            </w:pPr>
            <w:r>
              <w:rPr>
                <w:rFonts w:ascii="Calibri" w:hAnsi="Calibri"/>
                <w:b w:val="0"/>
                <w:i w:val="0"/>
                <w:color w:val="212121"/>
                <w:sz w:val="19"/>
              </w:rPr>
              <w:t>Frequent donation without iron repletion</w:t>
            </w:r>
          </w:p>
        </w:tc>
        <w:tc>
          <w:tcPr>
            <w:tcW w:type="dxa" w:w="1468"/>
            <w:vAlign w:val="top"/>
          </w:tcPr>
          <w:p>
            <w:pPr>
              <w:spacing w:after="40" w:before="0" w:line="259" w:lineRule="auto"/>
            </w:pPr>
            <w:r>
              <w:rPr>
                <w:rFonts w:ascii="Calibri" w:hAnsi="Calibri"/>
                <w:b w:val="0"/>
                <w:i w:val="0"/>
                <w:color w:val="212121"/>
                <w:sz w:val="19"/>
              </w:rPr>
              <w:t>Each whole-blood donation removes ~200-250 mg of iron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Deworming / stool for ova &amp; parasites</w:t>
            </w:r>
          </w:p>
        </w:tc>
        <w:tc>
          <w:tcPr>
            <w:tcW w:type="dxa" w:w="1655"/>
            <w:vAlign w:val="top"/>
          </w:tcPr>
          <w:p>
            <w:pPr>
              <w:spacing w:after="40" w:before="0" w:line="259" w:lineRule="auto"/>
            </w:pPr>
            <w:r>
              <w:rPr>
                <w:rFonts w:ascii="Calibri" w:hAnsi="Calibri"/>
                <w:b w:val="0"/>
                <w:i w:val="0"/>
                <w:color w:val="212121"/>
                <w:sz w:val="19"/>
              </w:rPr>
              <w:t>Children and adults in endemic areas</w:t>
            </w:r>
          </w:p>
        </w:tc>
        <w:tc>
          <w:tcPr>
            <w:tcW w:type="dxa" w:w="1512"/>
            <w:vAlign w:val="top"/>
          </w:tcPr>
          <w:p>
            <w:pPr>
              <w:spacing w:after="40" w:before="0" w:line="259" w:lineRule="auto"/>
            </w:pPr>
            <w:r>
              <w:rPr>
                <w:rFonts w:ascii="Calibri" w:hAnsi="Calibri"/>
                <w:b w:val="0"/>
                <w:i w:val="0"/>
                <w:color w:val="212121"/>
                <w:sz w:val="19"/>
              </w:rPr>
              <w:t>Periodic albendazole deworming; negative stool for hookworm</w:t>
            </w:r>
          </w:p>
        </w:tc>
        <w:tc>
          <w:tcPr>
            <w:tcW w:type="dxa" w:w="1512"/>
            <w:vAlign w:val="top"/>
          </w:tcPr>
          <w:p>
            <w:pPr>
              <w:spacing w:after="40" w:before="0" w:line="259" w:lineRule="auto"/>
            </w:pPr>
            <w:r>
              <w:rPr>
                <w:rFonts w:ascii="Calibri" w:hAnsi="Calibri"/>
                <w:b w:val="0"/>
                <w:i w:val="0"/>
                <w:color w:val="212121"/>
                <w:sz w:val="19"/>
              </w:rPr>
              <w:t>Positive hookworm ova; open-defecation exposure</w:t>
            </w:r>
          </w:p>
        </w:tc>
        <w:tc>
          <w:tcPr>
            <w:tcW w:type="dxa" w:w="1468"/>
            <w:vAlign w:val="top"/>
          </w:tcPr>
          <w:p>
            <w:pPr>
              <w:spacing w:after="40" w:before="0" w:line="259" w:lineRule="auto"/>
            </w:pPr>
            <w:r>
              <w:rPr>
                <w:rFonts w:ascii="Calibri" w:hAnsi="Calibri"/>
                <w:b w:val="0"/>
                <w:i w:val="0"/>
                <w:color w:val="212121"/>
                <w:sz w:val="19"/>
              </w:rPr>
              <w:t>Hookworm causes chronic occult intestinal blood loss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Complete Blood Count</w:t>
            </w:r>
          </w:p>
        </w:tc>
        <w:tc>
          <w:tcPr>
            <w:tcW w:type="dxa" w:w="892"/>
            <w:vAlign w:val="top"/>
          </w:tcPr>
          <w:p>
            <w:pPr>
              <w:spacing w:after="40" w:before="0" w:line="259" w:lineRule="auto"/>
            </w:pPr>
            <w:r>
              <w:rPr>
                <w:rFonts w:ascii="Calibri" w:hAnsi="Calibri"/>
                <w:b w:val="0"/>
                <w:i w:val="0"/>
                <w:color w:val="212121"/>
                <w:sz w:val="16"/>
              </w:rPr>
              <w:t>CBC with indices</w:t>
            </w:r>
          </w:p>
        </w:tc>
        <w:tc>
          <w:tcPr>
            <w:tcW w:type="dxa" w:w="950"/>
            <w:vAlign w:val="top"/>
          </w:tcPr>
          <w:p>
            <w:pPr>
              <w:spacing w:after="40" w:before="0" w:line="259" w:lineRule="auto"/>
            </w:pPr>
            <w:r>
              <w:rPr>
                <w:rFonts w:ascii="Calibri" w:hAnsi="Calibri"/>
                <w:b w:val="0"/>
                <w:i w:val="0"/>
                <w:color w:val="212121"/>
                <w:sz w:val="16"/>
              </w:rPr>
              <w:t>M &gt;= 13, F &gt;= 12 g/dL (non-pregnant)</w:t>
            </w:r>
          </w:p>
        </w:tc>
        <w:tc>
          <w:tcPr>
            <w:tcW w:type="dxa" w:w="950"/>
            <w:vAlign w:val="top"/>
          </w:tcPr>
          <w:p>
            <w:pPr>
              <w:spacing w:after="40" w:before="0" w:line="259" w:lineRule="auto"/>
            </w:pPr>
            <w:r>
              <w:rPr>
                <w:rFonts w:ascii="Calibri" w:hAnsi="Calibri"/>
                <w:b w:val="0"/>
                <w:i w:val="0"/>
                <w:color w:val="212121"/>
                <w:sz w:val="16"/>
              </w:rPr>
              <w:t>Below WHO cut-offs</w:t>
            </w:r>
          </w:p>
        </w:tc>
        <w:tc>
          <w:tcPr>
            <w:tcW w:type="dxa" w:w="1036"/>
            <w:vAlign w:val="top"/>
          </w:tcPr>
          <w:p>
            <w:pPr>
              <w:spacing w:after="40" w:before="0" w:line="259" w:lineRule="auto"/>
            </w:pPr>
            <w:r>
              <w:rPr>
                <w:rFonts w:ascii="Calibri" w:hAnsi="Calibri"/>
                <w:b w:val="0"/>
                <w:i w:val="0"/>
                <w:color w:val="212121"/>
                <w:sz w:val="16"/>
              </w:rPr>
              <w:t>Establishes presence and severity of anaemia</w:t>
            </w:r>
          </w:p>
        </w:tc>
        <w:tc>
          <w:tcPr>
            <w:tcW w:type="dxa" w:w="1036"/>
            <w:vAlign w:val="top"/>
          </w:tcPr>
          <w:p>
            <w:pPr>
              <w:spacing w:after="40" w:before="0" w:line="259" w:lineRule="auto"/>
            </w:pPr>
            <w:r>
              <w:rPr>
                <w:rFonts w:ascii="Calibri" w:hAnsi="Calibri"/>
                <w:b w:val="0"/>
                <w:i w:val="0"/>
                <w:color w:val="212121"/>
                <w:sz w:val="16"/>
              </w:rPr>
              <w:t>Women of reproductive age, pregnant women, children, elderly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 first-line</w:t>
            </w:r>
          </w:p>
        </w:tc>
        <w:tc>
          <w:tcPr>
            <w:tcW w:type="dxa" w:w="720"/>
            <w:vAlign w:val="top"/>
          </w:tcPr>
          <w:p>
            <w:pPr>
              <w:spacing w:after="40" w:before="0" w:line="259" w:lineRule="auto"/>
            </w:pPr>
            <w:r>
              <w:rPr>
                <w:rFonts w:ascii="Calibri" w:hAnsi="Calibri"/>
                <w:b w:val="0"/>
                <w:i w:val="0"/>
                <w:color w:val="212121"/>
                <w:sz w:val="16"/>
              </w:rPr>
              <w:t>Point-of-care Hb (digital haemoglobinometer) used in field surveys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MCV, MCH, RDW</w:t>
            </w:r>
          </w:p>
        </w:tc>
        <w:tc>
          <w:tcPr>
            <w:tcW w:type="dxa" w:w="892"/>
            <w:vAlign w:val="top"/>
          </w:tcPr>
          <w:p>
            <w:pPr>
              <w:spacing w:after="40" w:before="0" w:line="259" w:lineRule="auto"/>
            </w:pPr>
            <w:r>
              <w:rPr>
                <w:rFonts w:ascii="Calibri" w:hAnsi="Calibri"/>
                <w:b w:val="0"/>
                <w:i w:val="0"/>
                <w:color w:val="212121"/>
                <w:sz w:val="16"/>
              </w:rPr>
              <w:t>Red-cell indices</w:t>
            </w:r>
          </w:p>
        </w:tc>
        <w:tc>
          <w:tcPr>
            <w:tcW w:type="dxa" w:w="950"/>
            <w:vAlign w:val="top"/>
          </w:tcPr>
          <w:p>
            <w:pPr>
              <w:spacing w:after="40" w:before="0" w:line="259" w:lineRule="auto"/>
            </w:pPr>
            <w:r>
              <w:rPr>
                <w:rFonts w:ascii="Calibri" w:hAnsi="Calibri"/>
                <w:b w:val="0"/>
                <w:i w:val="0"/>
                <w:color w:val="212121"/>
                <w:sz w:val="16"/>
              </w:rPr>
              <w:t>MCV 80-100 fL; MCH 27-32 pg</w:t>
            </w:r>
          </w:p>
        </w:tc>
        <w:tc>
          <w:tcPr>
            <w:tcW w:type="dxa" w:w="950"/>
            <w:vAlign w:val="top"/>
          </w:tcPr>
          <w:p>
            <w:pPr>
              <w:spacing w:after="40" w:before="0" w:line="259" w:lineRule="auto"/>
            </w:pPr>
            <w:r>
              <w:rPr>
                <w:rFonts w:ascii="Calibri" w:hAnsi="Calibri"/>
                <w:b w:val="0"/>
                <w:i w:val="0"/>
                <w:color w:val="212121"/>
                <w:sz w:val="16"/>
              </w:rPr>
              <w:t>MCV &lt; 80 fL, MCH &lt; 27 pg, RDW raised</w:t>
            </w:r>
          </w:p>
        </w:tc>
        <w:tc>
          <w:tcPr>
            <w:tcW w:type="dxa" w:w="1036"/>
            <w:vAlign w:val="top"/>
          </w:tcPr>
          <w:p>
            <w:pPr>
              <w:spacing w:after="40" w:before="0" w:line="259" w:lineRule="auto"/>
            </w:pPr>
            <w:r>
              <w:rPr>
                <w:rFonts w:ascii="Calibri" w:hAnsi="Calibri"/>
                <w:b w:val="0"/>
                <w:i w:val="0"/>
                <w:color w:val="212121"/>
                <w:sz w:val="16"/>
              </w:rPr>
              <w:t>Microcytic hypochromic picture with anisocytosis suggests iron deficiency</w:t>
            </w:r>
          </w:p>
        </w:tc>
        <w:tc>
          <w:tcPr>
            <w:tcW w:type="dxa" w:w="1036"/>
            <w:vAlign w:val="top"/>
          </w:tcPr>
          <w:p>
            <w:pPr>
              <w:spacing w:after="40" w:before="0" w:line="259" w:lineRule="auto"/>
            </w:pPr>
            <w:r>
              <w:rPr>
                <w:rFonts w:ascii="Calibri" w:hAnsi="Calibri"/>
                <w:b w:val="0"/>
                <w:i w:val="0"/>
                <w:color w:val="212121"/>
                <w:sz w:val="16"/>
              </w:rPr>
              <w:t>All 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RDW helps separate IDA (high) from thalassaemia trait (often 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Blood film</w:t>
            </w:r>
          </w:p>
        </w:tc>
        <w:tc>
          <w:tcPr>
            <w:tcW w:type="dxa" w:w="950"/>
            <w:vAlign w:val="top"/>
          </w:tcPr>
          <w:p>
            <w:pPr>
              <w:spacing w:after="40" w:before="0" w:line="259" w:lineRule="auto"/>
            </w:pPr>
            <w:r>
              <w:rPr>
                <w:rFonts w:ascii="Calibri" w:hAnsi="Calibri"/>
                <w:b w:val="0"/>
                <w:i w:val="0"/>
                <w:color w:val="212121"/>
                <w:sz w:val="16"/>
              </w:rPr>
              <w:t>Normocytic normochromic RBCs</w:t>
            </w:r>
          </w:p>
        </w:tc>
        <w:tc>
          <w:tcPr>
            <w:tcW w:type="dxa" w:w="950"/>
            <w:vAlign w:val="top"/>
          </w:tcPr>
          <w:p>
            <w:pPr>
              <w:spacing w:after="40" w:before="0" w:line="259" w:lineRule="auto"/>
            </w:pPr>
            <w:r>
              <w:rPr>
                <w:rFonts w:ascii="Calibri" w:hAnsi="Calibri"/>
                <w:b w:val="0"/>
                <w:i w:val="0"/>
                <w:color w:val="212121"/>
                <w:sz w:val="16"/>
              </w:rPr>
              <w:t>Microcytosis, hypochromia, anisopoikilocytosis, pencil cells</w:t>
            </w:r>
          </w:p>
        </w:tc>
        <w:tc>
          <w:tcPr>
            <w:tcW w:type="dxa" w:w="1036"/>
            <w:vAlign w:val="top"/>
          </w:tcPr>
          <w:p>
            <w:pPr>
              <w:spacing w:after="40" w:before="0" w:line="259" w:lineRule="auto"/>
            </w:pPr>
            <w:r>
              <w:rPr>
                <w:rFonts w:ascii="Calibri" w:hAnsi="Calibri"/>
                <w:b w:val="0"/>
                <w:i w:val="0"/>
                <w:color w:val="212121"/>
                <w:sz w:val="16"/>
              </w:rPr>
              <w:t>Morphology supports iron deficiency and flags alternative causes</w:t>
            </w:r>
          </w:p>
        </w:tc>
        <w:tc>
          <w:tcPr>
            <w:tcW w:type="dxa" w:w="1036"/>
            <w:vAlign w:val="top"/>
          </w:tcPr>
          <w:p>
            <w:pPr>
              <w:spacing w:after="40" w:before="0" w:line="259" w:lineRule="auto"/>
            </w:pPr>
            <w:r>
              <w:rPr>
                <w:rFonts w:ascii="Calibri" w:hAnsi="Calibri"/>
                <w:b w:val="0"/>
                <w:i w:val="0"/>
                <w:color w:val="212121"/>
                <w:sz w:val="16"/>
              </w:rPr>
              <w:t>All 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Pencil (elongated) cells are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stores marker</w:t>
            </w:r>
          </w:p>
        </w:tc>
        <w:tc>
          <w:tcPr>
            <w:tcW w:type="dxa" w:w="950"/>
            <w:vAlign w:val="top"/>
          </w:tcPr>
          <w:p>
            <w:pPr>
              <w:spacing w:after="40" w:before="0" w:line="259" w:lineRule="auto"/>
            </w:pPr>
            <w:r>
              <w:rPr>
                <w:rFonts w:ascii="Calibri" w:hAnsi="Calibri"/>
                <w:b w:val="0"/>
                <w:i w:val="0"/>
                <w:color w:val="212121"/>
                <w:sz w:val="16"/>
              </w:rPr>
              <w:t>&gt; 30 µg/L</w:t>
            </w:r>
          </w:p>
        </w:tc>
        <w:tc>
          <w:tcPr>
            <w:tcW w:type="dxa" w:w="950"/>
            <w:vAlign w:val="top"/>
          </w:tcPr>
          <w:p>
            <w:pPr>
              <w:spacing w:after="40" w:before="0" w:line="259" w:lineRule="auto"/>
            </w:pPr>
            <w:r>
              <w:rPr>
                <w:rFonts w:ascii="Calibri" w:hAnsi="Calibri"/>
                <w:b w:val="0"/>
                <w:i w:val="0"/>
                <w:color w:val="212121"/>
                <w:sz w:val="16"/>
              </w:rPr>
              <w:t>&lt; 15 µg/L (&lt; 30 with inflammation)</w:t>
            </w:r>
          </w:p>
        </w:tc>
        <w:tc>
          <w:tcPr>
            <w:tcW w:type="dxa" w:w="1036"/>
            <w:vAlign w:val="top"/>
          </w:tcPr>
          <w:p>
            <w:pPr>
              <w:spacing w:after="40" w:before="0" w:line="259" w:lineRule="auto"/>
            </w:pPr>
            <w:r>
              <w:rPr>
                <w:rFonts w:ascii="Calibri" w:hAnsi="Calibri"/>
                <w:b w:val="0"/>
                <w:i w:val="0"/>
                <w:color w:val="212121"/>
                <w:sz w:val="16"/>
              </w:rPr>
              <w:t>Low ferritin confirms depleted iron stores; single best test</w:t>
            </w:r>
          </w:p>
        </w:tc>
        <w:tc>
          <w:tcPr>
            <w:tcW w:type="dxa" w:w="1036"/>
            <w:vAlign w:val="top"/>
          </w:tcPr>
          <w:p>
            <w:pPr>
              <w:spacing w:after="40" w:before="0" w:line="259" w:lineRule="auto"/>
            </w:pPr>
            <w:r>
              <w:rPr>
                <w:rFonts w:ascii="Calibri" w:hAnsi="Calibri"/>
                <w:b w:val="0"/>
                <w:i w:val="0"/>
                <w:color w:val="212121"/>
                <w:sz w:val="16"/>
              </w:rPr>
              <w:t>Suspected IDA, pregnancy, heart failure/CKD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 / gold standard</w:t>
            </w:r>
          </w:p>
        </w:tc>
        <w:tc>
          <w:tcPr>
            <w:tcW w:type="dxa" w:w="720"/>
            <w:vAlign w:val="top"/>
          </w:tcPr>
          <w:p>
            <w:pPr>
              <w:spacing w:after="40" w:before="0" w:line="259" w:lineRule="auto"/>
            </w:pPr>
            <w:r>
              <w:rPr>
                <w:rFonts w:ascii="Calibri" w:hAnsi="Calibri"/>
                <w:b w:val="0"/>
                <w:i w:val="0"/>
                <w:color w:val="212121"/>
                <w:sz w:val="16"/>
              </w:rPr>
              <w:t>Acute-phase reactant - measure CRP alongside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TIBC, transferrin saturation</w:t>
            </w:r>
          </w:p>
        </w:tc>
        <w:tc>
          <w:tcPr>
            <w:tcW w:type="dxa" w:w="892"/>
            <w:vAlign w:val="top"/>
          </w:tcPr>
          <w:p>
            <w:pPr>
              <w:spacing w:after="40" w:before="0" w:line="259" w:lineRule="auto"/>
            </w:pPr>
            <w:r>
              <w:rPr>
                <w:rFonts w:ascii="Calibri" w:hAnsi="Calibri"/>
                <w:b w:val="0"/>
                <w:i w:val="0"/>
                <w:color w:val="212121"/>
                <w:sz w:val="16"/>
              </w:rPr>
              <w:t>Iron panel</w:t>
            </w:r>
          </w:p>
        </w:tc>
        <w:tc>
          <w:tcPr>
            <w:tcW w:type="dxa" w:w="950"/>
            <w:vAlign w:val="top"/>
          </w:tcPr>
          <w:p>
            <w:pPr>
              <w:spacing w:after="40" w:before="0" w:line="259" w:lineRule="auto"/>
            </w:pPr>
            <w:r>
              <w:rPr>
                <w:rFonts w:ascii="Calibri" w:hAnsi="Calibri"/>
                <w:b w:val="0"/>
                <w:i w:val="0"/>
                <w:color w:val="212121"/>
                <w:sz w:val="16"/>
              </w:rPr>
              <w:t>TSAT 20-45%</w:t>
            </w:r>
          </w:p>
        </w:tc>
        <w:tc>
          <w:tcPr>
            <w:tcW w:type="dxa" w:w="950"/>
            <w:vAlign w:val="top"/>
          </w:tcPr>
          <w:p>
            <w:pPr>
              <w:spacing w:after="40" w:before="0" w:line="259" w:lineRule="auto"/>
            </w:pPr>
            <w:r>
              <w:rPr>
                <w:rFonts w:ascii="Calibri" w:hAnsi="Calibri"/>
                <w:b w:val="0"/>
                <w:i w:val="0"/>
                <w:color w:val="212121"/>
                <w:sz w:val="16"/>
              </w:rPr>
              <w:t>Low serum iron, high TIBC, TSAT &lt; 20%</w:t>
            </w:r>
          </w:p>
        </w:tc>
        <w:tc>
          <w:tcPr>
            <w:tcW w:type="dxa" w:w="1036"/>
            <w:vAlign w:val="top"/>
          </w:tcPr>
          <w:p>
            <w:pPr>
              <w:spacing w:after="40" w:before="0" w:line="259" w:lineRule="auto"/>
            </w:pPr>
            <w:r>
              <w:rPr>
                <w:rFonts w:ascii="Calibri" w:hAnsi="Calibri"/>
                <w:b w:val="0"/>
                <w:i w:val="0"/>
                <w:color w:val="212121"/>
                <w:sz w:val="16"/>
              </w:rPr>
              <w:t>Classic pattern of iron-deficient erythropoiesis</w:t>
            </w:r>
          </w:p>
        </w:tc>
        <w:tc>
          <w:tcPr>
            <w:tcW w:type="dxa" w:w="1036"/>
            <w:vAlign w:val="top"/>
          </w:tcPr>
          <w:p>
            <w:pPr>
              <w:spacing w:after="40" w:before="0" w:line="259" w:lineRule="auto"/>
            </w:pPr>
            <w:r>
              <w:rPr>
                <w:rFonts w:ascii="Calibri" w:hAnsi="Calibri"/>
                <w:b w:val="0"/>
                <w:i w:val="0"/>
                <w:color w:val="212121"/>
                <w:sz w:val="16"/>
              </w:rPr>
              <w:t>Cases with equivocal ferritin, inflammation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Useful when ferritin is confounded by inflammation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Soluble transferrin receptor / reticulocyte Hb</w:t>
            </w:r>
          </w:p>
        </w:tc>
        <w:tc>
          <w:tcPr>
            <w:tcW w:type="dxa" w:w="892"/>
            <w:vAlign w:val="top"/>
          </w:tcPr>
          <w:p>
            <w:pPr>
              <w:spacing w:after="40" w:before="0" w:line="259" w:lineRule="auto"/>
            </w:pPr>
            <w:r>
              <w:rPr>
                <w:rFonts w:ascii="Calibri" w:hAnsi="Calibri"/>
                <w:b w:val="0"/>
                <w:i w:val="0"/>
                <w:color w:val="212121"/>
                <w:sz w:val="16"/>
              </w:rPr>
              <w:t>Functional iron markers</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Raised sTfR; low reticulocyte haemoglobin</w:t>
            </w:r>
          </w:p>
        </w:tc>
        <w:tc>
          <w:tcPr>
            <w:tcW w:type="dxa" w:w="1036"/>
            <w:vAlign w:val="top"/>
          </w:tcPr>
          <w:p>
            <w:pPr>
              <w:spacing w:after="40" w:before="0" w:line="259" w:lineRule="auto"/>
            </w:pPr>
            <w:r>
              <w:rPr>
                <w:rFonts w:ascii="Calibri" w:hAnsi="Calibri"/>
                <w:b w:val="0"/>
                <w:i w:val="0"/>
                <w:color w:val="212121"/>
                <w:sz w:val="16"/>
              </w:rPr>
              <w:t>Distinguishes IDA from anaemia of chronic disease when ferritin is unreliable</w:t>
            </w:r>
          </w:p>
        </w:tc>
        <w:tc>
          <w:tcPr>
            <w:tcW w:type="dxa" w:w="1036"/>
            <w:vAlign w:val="top"/>
          </w:tcPr>
          <w:p>
            <w:pPr>
              <w:spacing w:after="40" w:before="0" w:line="259" w:lineRule="auto"/>
            </w:pPr>
            <w:r>
              <w:rPr>
                <w:rFonts w:ascii="Calibri" w:hAnsi="Calibri"/>
                <w:b w:val="0"/>
                <w:i w:val="0"/>
                <w:color w:val="212121"/>
                <w:sz w:val="16"/>
              </w:rPr>
              <w:t>Inflammation, CKD, heart failure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affected by inflammation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Aetiology work-up</w:t>
            </w:r>
          </w:p>
        </w:tc>
        <w:tc>
          <w:tcPr>
            <w:tcW w:type="dxa" w:w="1036"/>
            <w:vAlign w:val="top"/>
          </w:tcPr>
          <w:p>
            <w:pPr>
              <w:spacing w:after="40" w:before="0" w:line="259" w:lineRule="auto"/>
            </w:pPr>
            <w:r>
              <w:rPr>
                <w:rFonts w:ascii="Calibri" w:hAnsi="Calibri"/>
                <w:b w:val="0"/>
                <w:i w:val="0"/>
                <w:color w:val="212121"/>
                <w:sz w:val="16"/>
              </w:rPr>
              <w:t>Stool occult blood / ova &amp; parasites; endoscopy</w:t>
            </w:r>
          </w:p>
        </w:tc>
        <w:tc>
          <w:tcPr>
            <w:tcW w:type="dxa" w:w="892"/>
            <w:vAlign w:val="top"/>
          </w:tcPr>
          <w:p>
            <w:pPr>
              <w:spacing w:after="40" w:before="0" w:line="259" w:lineRule="auto"/>
            </w:pPr>
            <w:r>
              <w:rPr>
                <w:rFonts w:ascii="Calibri" w:hAnsi="Calibri"/>
                <w:b w:val="0"/>
                <w:i w:val="0"/>
                <w:color w:val="212121"/>
                <w:sz w:val="16"/>
              </w:rPr>
              <w:t>Source-of-loss evaluation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occult blood, hookworm ova, or lesion on scope</w:t>
            </w:r>
          </w:p>
        </w:tc>
        <w:tc>
          <w:tcPr>
            <w:tcW w:type="dxa" w:w="1036"/>
            <w:vAlign w:val="top"/>
          </w:tcPr>
          <w:p>
            <w:pPr>
              <w:spacing w:after="40" w:before="0" w:line="259" w:lineRule="auto"/>
            </w:pPr>
            <w:r>
              <w:rPr>
                <w:rFonts w:ascii="Calibri" w:hAnsi="Calibri"/>
                <w:b w:val="0"/>
                <w:i w:val="0"/>
                <w:color w:val="212121"/>
                <w:sz w:val="16"/>
              </w:rPr>
              <w:t>Identifies GI blood loss or malabsorption source</w:t>
            </w:r>
          </w:p>
        </w:tc>
        <w:tc>
          <w:tcPr>
            <w:tcW w:type="dxa" w:w="1036"/>
            <w:vAlign w:val="top"/>
          </w:tcPr>
          <w:p>
            <w:pPr>
              <w:spacing w:after="40" w:before="0" w:line="259" w:lineRule="auto"/>
            </w:pPr>
            <w:r>
              <w:rPr>
                <w:rFonts w:ascii="Calibri" w:hAnsi="Calibri"/>
                <w:b w:val="0"/>
                <w:i w:val="0"/>
                <w:color w:val="212121"/>
                <w:sz w:val="16"/>
              </w:rPr>
              <w:t>Adult men and postmenopausal women; refractory IDA</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Essential in unexplained IDA</w:t>
            </w:r>
          </w:p>
        </w:tc>
        <w:tc>
          <w:tcPr>
            <w:tcW w:type="dxa" w:w="720"/>
            <w:vAlign w:val="top"/>
          </w:tcPr>
          <w:p>
            <w:pPr>
              <w:spacing w:after="40" w:before="0" w:line="259" w:lineRule="auto"/>
            </w:pPr>
            <w:r>
              <w:rPr>
                <w:rFonts w:ascii="Calibri" w:hAnsi="Calibri"/>
                <w:b w:val="0"/>
                <w:i w:val="0"/>
                <w:color w:val="212121"/>
                <w:sz w:val="16"/>
              </w:rPr>
              <w:t>Add coeliac serology (anti-tTG) in refractory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Vegetarian pattern, tea/coffee with meals, low iron intake</w:t>
            </w:r>
          </w:p>
        </w:tc>
        <w:tc>
          <w:tcPr>
            <w:tcW w:type="dxa" w:w="950"/>
            <w:vAlign w:val="top"/>
          </w:tcPr>
          <w:p>
            <w:pPr>
              <w:spacing w:after="40" w:before="0" w:line="259" w:lineRule="auto"/>
            </w:pPr>
            <w:r>
              <w:rPr>
                <w:rFonts w:ascii="Calibri" w:hAnsi="Calibri"/>
                <w:b w:val="0"/>
                <w:i w:val="0"/>
                <w:color w:val="212121"/>
                <w:sz w:val="16"/>
              </w:rPr>
              <w:t>Adequate bioavailable iron, vitamin-C pairing</w:t>
            </w:r>
          </w:p>
        </w:tc>
        <w:tc>
          <w:tcPr>
            <w:tcW w:type="dxa" w:w="950"/>
            <w:vAlign w:val="top"/>
          </w:tcPr>
          <w:p>
            <w:pPr>
              <w:spacing w:after="40" w:before="0" w:line="259" w:lineRule="auto"/>
            </w:pPr>
            <w:r>
              <w:rPr>
                <w:rFonts w:ascii="Calibri" w:hAnsi="Calibri"/>
                <w:b w:val="0"/>
                <w:i w:val="0"/>
                <w:color w:val="212121"/>
                <w:sz w:val="16"/>
              </w:rPr>
              <w:t>Iron-poor diet, tea/coffee with meals</w:t>
            </w:r>
          </w:p>
        </w:tc>
        <w:tc>
          <w:tcPr>
            <w:tcW w:type="dxa" w:w="1036"/>
            <w:vAlign w:val="top"/>
          </w:tcPr>
          <w:p>
            <w:pPr>
              <w:spacing w:after="40" w:before="0" w:line="259" w:lineRule="auto"/>
            </w:pPr>
            <w:r>
              <w:rPr>
                <w:rFonts w:ascii="Calibri" w:hAnsi="Calibri"/>
                <w:b w:val="0"/>
                <w:i w:val="0"/>
                <w:color w:val="212121"/>
                <w:sz w:val="16"/>
              </w:rPr>
              <w:t>Quantifies intake and absorption inhibitors</w:t>
            </w:r>
          </w:p>
        </w:tc>
        <w:tc>
          <w:tcPr>
            <w:tcW w:type="dxa" w:w="1036"/>
            <w:vAlign w:val="top"/>
          </w:tcPr>
          <w:p>
            <w:pPr>
              <w:spacing w:after="40" w:before="0" w:line="259" w:lineRule="auto"/>
            </w:pPr>
            <w:r>
              <w:rPr>
                <w:rFonts w:ascii="Calibri" w:hAnsi="Calibri"/>
                <w:b w:val="0"/>
                <w:i w:val="0"/>
                <w:color w:val="212121"/>
                <w:sz w:val="16"/>
              </w:rPr>
              <w:t>Vegetarians, adolescents, low-income households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jaggery, green leafy vegetables, pulses, iron-fortified foods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obstetric history</w:t>
            </w:r>
          </w:p>
        </w:tc>
        <w:tc>
          <w:tcPr>
            <w:tcW w:type="dxa" w:w="979"/>
            <w:vAlign w:val="top"/>
          </w:tcPr>
          <w:p>
            <w:pPr>
              <w:spacing w:after="40" w:before="0" w:line="259" w:lineRule="auto"/>
            </w:pPr>
            <w:r>
              <w:rPr>
                <w:rFonts w:ascii="Calibri" w:hAnsi="Calibri"/>
                <w:b w:val="0"/>
                <w:i w:val="0"/>
                <w:color w:val="212121"/>
                <w:sz w:val="16"/>
              </w:rPr>
              <w:t>Cycle length/flow, clots, parity, pregnancy</w:t>
            </w:r>
          </w:p>
        </w:tc>
        <w:tc>
          <w:tcPr>
            <w:tcW w:type="dxa" w:w="950"/>
            <w:vAlign w:val="top"/>
          </w:tcPr>
          <w:p>
            <w:pPr>
              <w:spacing w:after="40" w:before="0" w:line="259" w:lineRule="auto"/>
            </w:pPr>
            <w:r>
              <w:rPr>
                <w:rFonts w:ascii="Calibri" w:hAnsi="Calibri"/>
                <w:b w:val="0"/>
                <w:i w:val="0"/>
                <w:color w:val="212121"/>
                <w:sz w:val="16"/>
              </w:rPr>
              <w:t>Normal menstrual loss</w:t>
            </w:r>
          </w:p>
        </w:tc>
        <w:tc>
          <w:tcPr>
            <w:tcW w:type="dxa" w:w="950"/>
            <w:vAlign w:val="top"/>
          </w:tcPr>
          <w:p>
            <w:pPr>
              <w:spacing w:after="40" w:before="0" w:line="259" w:lineRule="auto"/>
            </w:pPr>
            <w:r>
              <w:rPr>
                <w:rFonts w:ascii="Calibri" w:hAnsi="Calibri"/>
                <w:b w:val="0"/>
                <w:i w:val="0"/>
                <w:color w:val="212121"/>
                <w:sz w:val="16"/>
              </w:rPr>
              <w:t>Menorrhagia, closely spaced pregnancies</w:t>
            </w:r>
          </w:p>
        </w:tc>
        <w:tc>
          <w:tcPr>
            <w:tcW w:type="dxa" w:w="1036"/>
            <w:vAlign w:val="top"/>
          </w:tcPr>
          <w:p>
            <w:pPr>
              <w:spacing w:after="40" w:before="0" w:line="259" w:lineRule="auto"/>
            </w:pPr>
            <w:r>
              <w:rPr>
                <w:rFonts w:ascii="Calibri" w:hAnsi="Calibri"/>
                <w:b w:val="0"/>
                <w:i w:val="0"/>
                <w:color w:val="212121"/>
                <w:sz w:val="16"/>
              </w:rPr>
              <w:t>Identifies the commonest cause in women</w:t>
            </w:r>
          </w:p>
        </w:tc>
        <w:tc>
          <w:tcPr>
            <w:tcW w:type="dxa" w:w="1036"/>
            <w:vAlign w:val="top"/>
          </w:tcPr>
          <w:p>
            <w:pPr>
              <w:spacing w:after="40" w:before="0" w:line="259" w:lineRule="auto"/>
            </w:pPr>
            <w:r>
              <w:rPr>
                <w:rFonts w:ascii="Calibri" w:hAnsi="Calibri"/>
                <w:b w:val="0"/>
                <w:i w:val="0"/>
                <w:color w:val="212121"/>
                <w:sz w:val="16"/>
              </w:rPr>
              <w:t>Premenopausal women,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women</w:t>
            </w:r>
          </w:p>
        </w:tc>
        <w:tc>
          <w:tcPr>
            <w:tcW w:type="dxa" w:w="720"/>
            <w:vAlign w:val="top"/>
          </w:tcPr>
          <w:p>
            <w:pPr>
              <w:spacing w:after="40" w:before="0" w:line="259" w:lineRule="auto"/>
            </w:pPr>
            <w:r>
              <w:rPr>
                <w:rFonts w:ascii="Calibri" w:hAnsi="Calibri"/>
                <w:b w:val="0"/>
                <w:i w:val="0"/>
                <w:color w:val="212121"/>
                <w:sz w:val="16"/>
              </w:rPr>
              <w:t>Estimate loss by pad/clot count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GI symptoms &amp; drug history</w:t>
            </w:r>
          </w:p>
        </w:tc>
        <w:tc>
          <w:tcPr>
            <w:tcW w:type="dxa" w:w="979"/>
            <w:vAlign w:val="top"/>
          </w:tcPr>
          <w:p>
            <w:pPr>
              <w:spacing w:after="40" w:before="0" w:line="259" w:lineRule="auto"/>
            </w:pPr>
            <w:r>
              <w:rPr>
                <w:rFonts w:ascii="Calibri" w:hAnsi="Calibri"/>
                <w:b w:val="0"/>
                <w:i w:val="0"/>
                <w:color w:val="212121"/>
                <w:sz w:val="16"/>
              </w:rPr>
              <w:t>Melaena, dyspepsia, NSAID/aspirin use, weight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Occult/overt bleeding, chronic NSAID use, alarm features</w:t>
            </w:r>
          </w:p>
        </w:tc>
        <w:tc>
          <w:tcPr>
            <w:tcW w:type="dxa" w:w="1036"/>
            <w:vAlign w:val="top"/>
          </w:tcPr>
          <w:p>
            <w:pPr>
              <w:spacing w:after="40" w:before="0" w:line="259" w:lineRule="auto"/>
            </w:pPr>
            <w:r>
              <w:rPr>
                <w:rFonts w:ascii="Calibri" w:hAnsi="Calibri"/>
                <w:b w:val="0"/>
                <w:i w:val="0"/>
                <w:color w:val="212121"/>
                <w:sz w:val="16"/>
              </w:rPr>
              <w:t>Points to GI blood loss or malignancy</w:t>
            </w:r>
          </w:p>
        </w:tc>
        <w:tc>
          <w:tcPr>
            <w:tcW w:type="dxa" w:w="1036"/>
            <w:vAlign w:val="top"/>
          </w:tcPr>
          <w:p>
            <w:pPr>
              <w:spacing w:after="40" w:before="0" w:line="259" w:lineRule="auto"/>
            </w:pPr>
            <w:r>
              <w:rPr>
                <w:rFonts w:ascii="Calibri" w:hAnsi="Calibri"/>
                <w:b w:val="0"/>
                <w:i w:val="0"/>
                <w:color w:val="212121"/>
                <w:sz w:val="16"/>
              </w:rPr>
              <w:t>Men, elderly, postmenopausal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men/elderly</w:t>
            </w:r>
          </w:p>
        </w:tc>
        <w:tc>
          <w:tcPr>
            <w:tcW w:type="dxa" w:w="720"/>
            <w:vAlign w:val="top"/>
          </w:tcPr>
          <w:p>
            <w:pPr>
              <w:spacing w:after="40" w:before="0" w:line="259" w:lineRule="auto"/>
            </w:pPr>
            <w:r>
              <w:rPr>
                <w:rFonts w:ascii="Calibri" w:hAnsi="Calibri"/>
                <w:b w:val="0"/>
                <w:i w:val="0"/>
                <w:color w:val="212121"/>
                <w:sz w:val="16"/>
              </w:rPr>
              <w:t>Alarm features warrant endoscopy/colonoscopy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Sideropenic symptoms</w:t>
            </w:r>
          </w:p>
        </w:tc>
        <w:tc>
          <w:tcPr>
            <w:tcW w:type="dxa" w:w="979"/>
            <w:vAlign w:val="top"/>
          </w:tcPr>
          <w:p>
            <w:pPr>
              <w:spacing w:after="40" w:before="0" w:line="259" w:lineRule="auto"/>
            </w:pPr>
            <w:r>
              <w:rPr>
                <w:rFonts w:ascii="Calibri" w:hAnsi="Calibri"/>
                <w:b w:val="0"/>
                <w:i w:val="0"/>
                <w:color w:val="212121"/>
                <w:sz w:val="16"/>
              </w:rPr>
              <w:t>Pica (ice/mud/clay), restless legs, fatigue, exertional dyspnoea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Suggestive of iron deficiency even before severe anaemia</w:t>
            </w:r>
          </w:p>
        </w:tc>
        <w:tc>
          <w:tcPr>
            <w:tcW w:type="dxa" w:w="1036"/>
            <w:vAlign w:val="top"/>
          </w:tcPr>
          <w:p>
            <w:pPr>
              <w:spacing w:after="40" w:before="0" w:line="259" w:lineRule="auto"/>
            </w:pPr>
            <w:r>
              <w:rPr>
                <w:rFonts w:ascii="Calibri" w:hAnsi="Calibri"/>
                <w:b w:val="0"/>
                <w:i w:val="0"/>
                <w:color w:val="212121"/>
                <w:sz w:val="16"/>
              </w:rPr>
              <w:t>Children, pregnant women, adolescents</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Pagophagia (ice craving) is fairly specific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Pallor</w:t>
            </w:r>
          </w:p>
        </w:tc>
        <w:tc>
          <w:tcPr>
            <w:tcW w:type="dxa" w:w="979"/>
            <w:vAlign w:val="top"/>
          </w:tcPr>
          <w:p>
            <w:pPr>
              <w:spacing w:after="40" w:before="0" w:line="259" w:lineRule="auto"/>
            </w:pPr>
            <w:r>
              <w:rPr>
                <w:rFonts w:ascii="Calibri" w:hAnsi="Calibri"/>
                <w:b w:val="0"/>
                <w:i w:val="0"/>
                <w:color w:val="212121"/>
                <w:sz w:val="16"/>
              </w:rPr>
              <w:t>Conjunctival, palmar, tongue and nail-bed pallor</w:t>
            </w:r>
          </w:p>
        </w:tc>
        <w:tc>
          <w:tcPr>
            <w:tcW w:type="dxa" w:w="950"/>
            <w:vAlign w:val="top"/>
          </w:tcPr>
          <w:p>
            <w:pPr>
              <w:spacing w:after="40" w:before="0" w:line="259" w:lineRule="auto"/>
            </w:pPr>
            <w:r>
              <w:rPr>
                <w:rFonts w:ascii="Calibri" w:hAnsi="Calibri"/>
                <w:b w:val="0"/>
                <w:i w:val="0"/>
                <w:color w:val="212121"/>
                <w:sz w:val="16"/>
              </w:rPr>
              <w:t>Pink mucosae</w:t>
            </w:r>
          </w:p>
        </w:tc>
        <w:tc>
          <w:tcPr>
            <w:tcW w:type="dxa" w:w="950"/>
            <w:vAlign w:val="top"/>
          </w:tcPr>
          <w:p>
            <w:pPr>
              <w:spacing w:after="40" w:before="0" w:line="259" w:lineRule="auto"/>
            </w:pPr>
            <w:r>
              <w:rPr>
                <w:rFonts w:ascii="Calibri" w:hAnsi="Calibri"/>
                <w:b w:val="0"/>
                <w:i w:val="0"/>
                <w:color w:val="212121"/>
                <w:sz w:val="16"/>
              </w:rPr>
              <w:t>Pallor present</w:t>
            </w:r>
          </w:p>
        </w:tc>
        <w:tc>
          <w:tcPr>
            <w:tcW w:type="dxa" w:w="1036"/>
            <w:vAlign w:val="top"/>
          </w:tcPr>
          <w:p>
            <w:pPr>
              <w:spacing w:after="40" w:before="0" w:line="259" w:lineRule="auto"/>
            </w:pPr>
            <w:r>
              <w:rPr>
                <w:rFonts w:ascii="Calibri" w:hAnsi="Calibri"/>
                <w:b w:val="0"/>
                <w:i w:val="0"/>
                <w:color w:val="212121"/>
                <w:sz w:val="16"/>
              </w:rPr>
              <w:t>Clinical marker of anaemia (moderate sensitivity)</w:t>
            </w:r>
          </w:p>
        </w:tc>
        <w:tc>
          <w:tcPr>
            <w:tcW w:type="dxa" w:w="1036"/>
            <w:vAlign w:val="top"/>
          </w:tcPr>
          <w:p>
            <w:pPr>
              <w:spacing w:after="40" w:before="0" w:line="259" w:lineRule="auto"/>
            </w:pPr>
            <w:r>
              <w:rPr>
                <w:rFonts w:ascii="Calibri" w:hAnsi="Calibri"/>
                <w:b w:val="0"/>
                <w:i w:val="0"/>
                <w:color w:val="212121"/>
                <w:sz w:val="16"/>
              </w:rPr>
              <w:t>All suspected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Conjunctival pallor most reliable clinical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 examination</w:t>
            </w:r>
          </w:p>
        </w:tc>
        <w:tc>
          <w:tcPr>
            <w:tcW w:type="dxa" w:w="950"/>
            <w:vAlign w:val="top"/>
          </w:tcPr>
          <w:p>
            <w:pPr>
              <w:spacing w:after="40" w:before="0" w:line="259" w:lineRule="auto"/>
            </w:pPr>
            <w:r>
              <w:rPr>
                <w:rFonts w:ascii="Calibri" w:hAnsi="Calibri"/>
                <w:b w:val="0"/>
                <w:i w:val="0"/>
                <w:color w:val="212121"/>
                <w:sz w:val="16"/>
              </w:rPr>
              <w:t>Epithelial &amp; cardiac signs</w:t>
            </w:r>
          </w:p>
        </w:tc>
        <w:tc>
          <w:tcPr>
            <w:tcW w:type="dxa" w:w="979"/>
            <w:vAlign w:val="top"/>
          </w:tcPr>
          <w:p>
            <w:pPr>
              <w:spacing w:after="40" w:before="0" w:line="259" w:lineRule="auto"/>
            </w:pPr>
            <w:r>
              <w:rPr>
                <w:rFonts w:ascii="Calibri" w:hAnsi="Calibri"/>
                <w:b w:val="0"/>
                <w:i w:val="0"/>
                <w:color w:val="212121"/>
                <w:sz w:val="16"/>
              </w:rPr>
              <w:t>Koilonychia, glossitis, angular cheilitis; tachycardia, flow murmur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Chronic/severe iron deficiency and its haemodynamic effects</w:t>
            </w:r>
          </w:p>
        </w:tc>
        <w:tc>
          <w:tcPr>
            <w:tcW w:type="dxa" w:w="1036"/>
            <w:vAlign w:val="top"/>
          </w:tcPr>
          <w:p>
            <w:pPr>
              <w:spacing w:after="40" w:before="0" w:line="259" w:lineRule="auto"/>
            </w:pPr>
            <w:r>
              <w:rPr>
                <w:rFonts w:ascii="Calibri" w:hAnsi="Calibri"/>
                <w:b w:val="0"/>
                <w:i w:val="0"/>
                <w:color w:val="212121"/>
                <w:sz w:val="16"/>
              </w:rPr>
              <w:t>Chronic or severe IDA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Koilonychia and atrophic glossitis indicate long-standing deficiency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 delivery and impaired cellular energy metabolism; often the earliest and most pervasive complaint.</w:t>
            </w:r>
          </w:p>
        </w:tc>
      </w:tr>
      <w:tr>
        <w:trPr>
          <w:cantSplit/>
        </w:trPr>
        <w:tc>
          <w:tcPr>
            <w:tcW w:type="dxa" w:w="2304"/>
            <w:vAlign w:val="top"/>
          </w:tcPr>
          <w:p>
            <w:pPr>
              <w:spacing w:after="40" w:before="0" w:line="259" w:lineRule="auto"/>
            </w:pPr>
            <w:r>
              <w:rPr>
                <w:rFonts w:ascii="Calibri" w:hAnsi="Calibri"/>
                <w:b/>
                <w:i w:val="0"/>
                <w:color w:val="212121"/>
                <w:sz w:val="19"/>
              </w:rPr>
              <w:t>Exertional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exertion as oxygen-carrying capacity falls.</w:t>
            </w:r>
          </w:p>
        </w:tc>
      </w:tr>
      <w:tr>
        <w:trPr>
          <w:cantSplit/>
        </w:trPr>
        <w:tc>
          <w:tcPr>
            <w:tcW w:type="dxa" w:w="2304"/>
            <w:vAlign w:val="top"/>
          </w:tcPr>
          <w:p>
            <w:pPr>
              <w:spacing w:after="40" w:before="0" w:line="259" w:lineRule="auto"/>
            </w:pPr>
            <w:r>
              <w:rPr>
                <w:rFonts w:ascii="Calibri" w:hAnsi="Calibri"/>
                <w:b/>
                <w:i w:val="0"/>
                <w:color w:val="212121"/>
                <w:sz w:val="19"/>
              </w:rPr>
              <w:t>Generalized weakness / reduced work capacity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muscle oxidative capacity lowers physical performance and productivity.</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cerebral oxygen delivery, worse on standing.</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with moderate-to-severe anaemia due to cerebral hypoxia.</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tachycardia and increased cardiac output.</w:t>
            </w:r>
          </w:p>
        </w:tc>
      </w:tr>
      <w:tr>
        <w:trPr>
          <w:cantSplit/>
        </w:trPr>
        <w:tc>
          <w:tcPr>
            <w:tcW w:type="dxa" w:w="2304"/>
            <w:vAlign w:val="top"/>
          </w:tcPr>
          <w:p>
            <w:pPr>
              <w:spacing w:after="40" w:before="0" w:line="259" w:lineRule="auto"/>
            </w:pPr>
            <w:r>
              <w:rPr>
                <w:rFonts w:ascii="Calibri" w:hAnsi="Calibri"/>
                <w:b/>
                <w:i w:val="0"/>
                <w:color w:val="212121"/>
                <w:sz w:val="19"/>
              </w:rPr>
              <w:t>Poor concentration /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is needed for neurotransmitter synthesis; cognition and mood are affected, notably in children.</w:t>
            </w:r>
          </w:p>
        </w:tc>
      </w:tr>
      <w:tr>
        <w:trPr>
          <w:cantSplit/>
        </w:trPr>
        <w:tc>
          <w:tcPr>
            <w:tcW w:type="dxa" w:w="2304"/>
            <w:vAlign w:val="top"/>
          </w:tcPr>
          <w:p>
            <w:pPr>
              <w:spacing w:after="40" w:before="0" w:line="259" w:lineRule="auto"/>
            </w:pPr>
            <w:r>
              <w:rPr>
                <w:rFonts w:ascii="Calibri" w:hAnsi="Calibri"/>
                <w:b/>
                <w:i w:val="0"/>
                <w:color w:val="212121"/>
                <w:sz w:val="19"/>
              </w:rPr>
              <w:t>Pica (pagophagia, geophagia)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Craving for non-nutritive substances such as ice, clay or mud; ice-craving is relatively specific to iron deficiency.</w:t>
            </w:r>
          </w:p>
        </w:tc>
      </w:tr>
      <w:tr>
        <w:trPr>
          <w:cantSplit/>
        </w:trPr>
        <w:tc>
          <w:tcPr>
            <w:tcW w:type="dxa" w:w="2304"/>
            <w:vAlign w:val="top"/>
          </w:tcPr>
          <w:p>
            <w:pPr>
              <w:spacing w:after="40" w:before="0" w:line="259" w:lineRule="auto"/>
            </w:pPr>
            <w:r>
              <w:rPr>
                <w:rFonts w:ascii="Calibri" w:hAnsi="Calibri"/>
                <w:b/>
                <w:i w:val="0"/>
                <w:color w:val="212121"/>
                <w:sz w:val="19"/>
              </w:rPr>
              <w:t>Restless legs syndrome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Urge to move the legs at rest, linked to low brain iron; may precede anaemia.</w:t>
            </w:r>
          </w:p>
        </w:tc>
      </w:tr>
      <w:tr>
        <w:trPr>
          <w:cantSplit/>
        </w:trPr>
        <w:tc>
          <w:tcPr>
            <w:tcW w:type="dxa" w:w="2304"/>
            <w:vAlign w:val="top"/>
          </w:tcPr>
          <w:p>
            <w:pPr>
              <w:spacing w:after="40" w:before="0" w:line="259" w:lineRule="auto"/>
            </w:pPr>
            <w:r>
              <w:rPr>
                <w:rFonts w:ascii="Calibri" w:hAnsi="Calibri"/>
                <w:b/>
                <w:i w:val="0"/>
                <w:color w:val="212121"/>
                <w:sz w:val="19"/>
              </w:rPr>
              <w:t>Cold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thermoregulation in iron deficiency.</w:t>
            </w:r>
          </w:p>
        </w:tc>
      </w:tr>
      <w:tr>
        <w:trPr>
          <w:cantSplit/>
        </w:trPr>
        <w:tc>
          <w:tcPr>
            <w:tcW w:type="dxa" w:w="2304"/>
            <w:vAlign w:val="top"/>
          </w:tcPr>
          <w:p>
            <w:pPr>
              <w:spacing w:after="40" w:before="0" w:line="259" w:lineRule="auto"/>
            </w:pPr>
            <w:r>
              <w:rPr>
                <w:rFonts w:ascii="Calibri" w:hAnsi="Calibri"/>
                <w:b/>
                <w:i w:val="0"/>
                <w:color w:val="212121"/>
                <w:sz w:val="19"/>
              </w:rPr>
              <w:t>Hair loss / brittle nails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iron for epithelial and hair-follicle turnover.</w:t>
            </w:r>
          </w:p>
        </w:tc>
      </w:tr>
      <w:tr>
        <w:trPr>
          <w:cantSplit/>
        </w:trPr>
        <w:tc>
          <w:tcPr>
            <w:tcW w:type="dxa" w:w="2304"/>
            <w:vAlign w:val="top"/>
          </w:tcPr>
          <w:p>
            <w:pPr>
              <w:spacing w:after="40" w:before="0" w:line="259" w:lineRule="auto"/>
            </w:pPr>
            <w:r>
              <w:rPr>
                <w:rFonts w:ascii="Calibri" w:hAnsi="Calibri"/>
                <w:b/>
                <w:i w:val="0"/>
                <w:color w:val="212121"/>
                <w:sz w:val="19"/>
              </w:rPr>
              <w:t>Sore/smooth tongue and cracked mouth corners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Atrophic glossitis and angular cheilitis from epithelial iron deficiency.</w:t>
            </w:r>
          </w:p>
        </w:tc>
      </w:tr>
      <w:tr>
        <w:trPr>
          <w:cantSplit/>
        </w:trPr>
        <w:tc>
          <w:tcPr>
            <w:tcW w:type="dxa" w:w="2304"/>
            <w:vAlign w:val="top"/>
          </w:tcPr>
          <w:p>
            <w:pPr>
              <w:spacing w:after="40" w:before="0" w:line="259" w:lineRule="auto"/>
            </w:pPr>
            <w:r>
              <w:rPr>
                <w:rFonts w:ascii="Calibri" w:hAnsi="Calibri"/>
                <w:b/>
                <w:i w:val="0"/>
                <w:color w:val="212121"/>
                <w:sz w:val="19"/>
              </w:rPr>
              <w:t>Dysphagia (Plummer-Vinson)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Post-cricoid oesophageal web causing difficulty swallowing solids in chronic severe IDA.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Best bedside clinical indicator of anaemia; correlates roughly with severity.</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increase in heart rate to maintain oxygen delivery.</w:t>
            </w:r>
          </w:p>
        </w:tc>
      </w:tr>
      <w:tr>
        <w:trPr>
          <w:cantSplit/>
        </w:trPr>
        <w:tc>
          <w:tcPr>
            <w:tcW w:type="dxa" w:w="3456"/>
            <w:vAlign w:val="top"/>
          </w:tcPr>
          <w:p>
            <w:pPr>
              <w:spacing w:after="40" w:before="0" w:line="259" w:lineRule="auto"/>
            </w:pPr>
            <w:r>
              <w:rPr>
                <w:rFonts w:ascii="Calibri" w:hAnsi="Calibri"/>
                <w:b/>
                <w:i w:val="0"/>
                <w:color w:val="212121"/>
                <w:sz w:val="19"/>
              </w:rPr>
              <w:t>Systolic ejection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Hyperdynamic circulation produces a soft flow murmur, usually at the pulmonary area.</w:t>
            </w:r>
          </w:p>
        </w:tc>
      </w:tr>
      <w:tr>
        <w:trPr>
          <w:cantSplit/>
        </w:trPr>
        <w:tc>
          <w:tcPr>
            <w:tcW w:type="dxa" w:w="3456"/>
            <w:vAlign w:val="top"/>
          </w:tcPr>
          <w:p>
            <w:pPr>
              <w:spacing w:after="40" w:before="0" w:line="259" w:lineRule="auto"/>
            </w:pPr>
            <w:r>
              <w:rPr>
                <w:rFonts w:ascii="Calibri" w:hAnsi="Calibri"/>
                <w:b/>
                <w:i w:val="0"/>
                <w:color w:val="212121"/>
                <w:sz w:val="19"/>
              </w:rPr>
              <w:t>Atrophic glossitis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red, depapillated tongue from loss of fungiform and filiform papillae.</w:t>
            </w:r>
          </w:p>
        </w:tc>
      </w:tr>
      <w:tr>
        <w:trPr>
          <w:cantSplit/>
        </w:trPr>
        <w:tc>
          <w:tcPr>
            <w:tcW w:type="dxa" w:w="3456"/>
            <w:vAlign w:val="top"/>
          </w:tcPr>
          <w:p>
            <w:pPr>
              <w:spacing w:after="40" w:before="0" w:line="259" w:lineRule="auto"/>
            </w:pPr>
            <w:r>
              <w:rPr>
                <w:rFonts w:ascii="Calibri" w:hAnsi="Calibri"/>
                <w:b/>
                <w:i w:val="0"/>
                <w:color w:val="212121"/>
                <w:sz w:val="19"/>
              </w:rPr>
              <w:t>Angular cheilitis / stomatitis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Painful fissuring at the corners of the mouth.</w:t>
            </w:r>
          </w:p>
        </w:tc>
      </w:tr>
      <w:tr>
        <w:trPr>
          <w:cantSplit/>
        </w:trPr>
        <w:tc>
          <w:tcPr>
            <w:tcW w:type="dxa" w:w="3456"/>
            <w:vAlign w:val="top"/>
          </w:tcPr>
          <w:p>
            <w:pPr>
              <w:spacing w:after="40" w:before="0" w:line="259" w:lineRule="auto"/>
            </w:pPr>
            <w:r>
              <w:rPr>
                <w:rFonts w:ascii="Calibri" w:hAnsi="Calibri"/>
                <w:b/>
                <w:i w:val="0"/>
                <w:color w:val="212121"/>
                <w:sz w:val="19"/>
              </w:rPr>
              <w:t>Koilonychia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Spoon-shaped, brittle, ridged nails indicating chronic iron deficiency.</w:t>
            </w:r>
          </w:p>
        </w:tc>
      </w:tr>
      <w:tr>
        <w:trPr>
          <w:cantSplit/>
        </w:trPr>
        <w:tc>
          <w:tcPr>
            <w:tcW w:type="dxa" w:w="3456"/>
            <w:vAlign w:val="top"/>
          </w:tcPr>
          <w:p>
            <w:pPr>
              <w:spacing w:after="40" w:before="0" w:line="259" w:lineRule="auto"/>
            </w:pPr>
            <w:r>
              <w:rPr>
                <w:rFonts w:ascii="Calibri" w:hAnsi="Calibri"/>
                <w:b/>
                <w:i w:val="0"/>
                <w:color w:val="212121"/>
                <w:sz w:val="19"/>
              </w:rPr>
              <w:t>Brittle nails / hair thinning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Epithelial manifestations of longstanding deficiency.</w:t>
            </w:r>
          </w:p>
        </w:tc>
      </w:tr>
      <w:tr>
        <w:trPr>
          <w:cantSplit/>
        </w:trPr>
        <w:tc>
          <w:tcPr>
            <w:tcW w:type="dxa" w:w="3456"/>
            <w:vAlign w:val="top"/>
          </w:tcPr>
          <w:p>
            <w:pPr>
              <w:spacing w:after="40" w:before="0" w:line="259" w:lineRule="auto"/>
            </w:pPr>
            <w:r>
              <w:rPr>
                <w:rFonts w:ascii="Calibri" w:hAnsi="Calibri"/>
                <w:b/>
                <w:i w:val="0"/>
                <w:color w:val="212121"/>
                <w:sz w:val="19"/>
              </w:rPr>
              <w:t>Tachypnoea at rest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with severe anaemia as a compensatory response.</w:t>
            </w:r>
          </w:p>
        </w:tc>
      </w:tr>
      <w:tr>
        <w:trPr>
          <w:cantSplit/>
        </w:trPr>
        <w:tc>
          <w:tcPr>
            <w:tcW w:type="dxa" w:w="3456"/>
            <w:vAlign w:val="top"/>
          </w:tcPr>
          <w:p>
            <w:pPr>
              <w:spacing w:after="40" w:before="0" w:line="259" w:lineRule="auto"/>
            </w:pPr>
            <w:r>
              <w:rPr>
                <w:rFonts w:ascii="Calibri" w:hAnsi="Calibri"/>
                <w:b/>
                <w:i w:val="0"/>
                <w:color w:val="212121"/>
                <w:sz w:val="19"/>
              </w:rPr>
              <w:t>Oesophageal web (Plummer-Vinson syndrome)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Triad of IDA, dysphagia and a post-cricoid web; carries a small risk of oesophageal squamous carcinoma.</w:t>
            </w:r>
          </w:p>
        </w:tc>
      </w:tr>
      <w:tr>
        <w:trPr>
          <w:cantSplit/>
        </w:trPr>
        <w:tc>
          <w:tcPr>
            <w:tcW w:type="dxa" w:w="3456"/>
            <w:vAlign w:val="top"/>
          </w:tcPr>
          <w:p>
            <w:pPr>
              <w:spacing w:after="40" w:before="0" w:line="259" w:lineRule="auto"/>
            </w:pPr>
            <w:r>
              <w:rPr>
                <w:rFonts w:ascii="Calibri" w:hAnsi="Calibri"/>
                <w:b/>
                <w:i w:val="0"/>
                <w:color w:val="212121"/>
                <w:sz w:val="19"/>
              </w:rPr>
              <w:t>Signs of high-output cardiac failure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Raised JVP, oedema and gallop in very severe or long-standing anaemia.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anaemia with tissue hypoxia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physical work capacity and exercise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cognition, attention and learning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high-output circulatory state</w:t>
            </w:r>
          </w:p>
        </w:tc>
        <w:tc>
          <w:tcPr>
            <w:tcW w:type="dxa" w:w="2980"/>
            <w:vAlign w:val="top"/>
          </w:tcPr>
          <w:p>
            <w:pPr>
              <w:spacing w:after="40" w:before="0" w:line="259" w:lineRule="auto"/>
            </w:pPr>
            <w:r>
              <w:rPr>
                <w:rFonts w:ascii="Calibri" w:hAnsi="Calibri"/>
                <w:b w:val="0"/>
                <w:i w:val="0"/>
                <w:color w:val="212121"/>
                <w:sz w:val="19"/>
              </w:rPr>
              <w:t>Direct consequences of reduced oxygen-carrying capacity and cellular iron deficiency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cardiac failure and decompensation of pre-existing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low birth weight, preterm birth, intrauterine growth restriction, postpartum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infant/child neurodevelopment and school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infection and reduced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 outcomes and symptoms in chronic heart failure and CKD</w:t>
            </w:r>
          </w:p>
        </w:tc>
        <w:tc>
          <w:tcPr>
            <w:tcW w:type="dxa" w:w="2980"/>
            <w:vAlign w:val="top"/>
          </w:tcPr>
          <w:p>
            <w:pPr>
              <w:spacing w:after="40" w:before="0" w:line="259" w:lineRule="auto"/>
            </w:pPr>
            <w:r>
              <w:rPr>
                <w:rFonts w:ascii="Calibri" w:hAnsi="Calibri"/>
                <w:b w:val="0"/>
                <w:i w:val="0"/>
                <w:color w:val="212121"/>
                <w:sz w:val="19"/>
              </w:rPr>
              <w:t>Result from sustained oxygen deficit, maternal-fetal iron competition and immune/functional effects of iron lack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mortality attributable to severe anaemia and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Perinatal and neonatal mortality (stillbirth, neonatal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cognitive/developmental deficits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Plummer-Vinson syndrome with oesophageal web and raised oesophageal squamous-cancer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lost economic productivity</w:t>
            </w:r>
          </w:p>
        </w:tc>
        <w:tc>
          <w:tcPr>
            <w:tcW w:type="dxa" w:w="2980"/>
            <w:vAlign w:val="top"/>
          </w:tcPr>
          <w:p>
            <w:pPr>
              <w:spacing w:after="40" w:before="0" w:line="259" w:lineRule="auto"/>
            </w:pPr>
            <w:r>
              <w:rPr>
                <w:rFonts w:ascii="Calibri" w:hAnsi="Calibri"/>
                <w:b w:val="0"/>
                <w:i w:val="0"/>
                <w:color w:val="212121"/>
                <w:sz w:val="19"/>
              </w:rPr>
              <w:t>Irreversible or life-threatening end-stage outcomes of severe, untreated or recurrent iron deficiency anaemia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Heavy menstrual bleeding / abnormal uterine bleeding</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Leading cause of IDA in premenopausal women; fibroids, adenomyosis and bleeding disorders amplify loss.</w:t>
            </w:r>
          </w:p>
          <w:p>
            <w:pPr>
              <w:spacing w:after="40" w:before="0" w:line="259" w:lineRule="auto"/>
            </w:pPr>
            <w:r>
              <w:rPr>
                <w:rFonts w:ascii="Calibri" w:hAnsi="Calibri"/>
                <w:b/>
                <w:i w:val="0"/>
                <w:color w:val="212121"/>
                <w:sz w:val="19"/>
              </w:rPr>
              <w:t>~20-30% of premenopausal IDA</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Increased iron demand outpaces intake; anaemia in pregnancy drives adverse maternal-fetal outcomes.</w:t>
            </w:r>
          </w:p>
          <w:p>
            <w:pPr>
              <w:spacing w:after="40" w:before="0" w:line="259" w:lineRule="auto"/>
            </w:pPr>
            <w:r>
              <w:rPr>
                <w:rFonts w:ascii="Calibri" w:hAnsi="Calibri"/>
                <w:b/>
                <w:i w:val="0"/>
                <w:color w:val="212121"/>
                <w:sz w:val="19"/>
              </w:rPr>
              <w:t>~52% of pregnant women anaemic (NFHS-5)</w:t>
            </w:r>
          </w:p>
        </w:tc>
      </w:tr>
      <w:tr>
        <w:trPr>
          <w:cantSplit/>
        </w:trPr>
        <w:tc>
          <w:tcPr>
            <w:tcW w:type="dxa" w:w="2232"/>
            <w:vAlign w:val="top"/>
          </w:tcPr>
          <w:p>
            <w:pPr>
              <w:spacing w:after="40" w:before="0" w:line="259" w:lineRule="auto"/>
            </w:pPr>
            <w:r>
              <w:rPr>
                <w:rFonts w:ascii="Calibri" w:hAnsi="Calibri"/>
                <w:b/>
                <w:i w:val="0"/>
                <w:color w:val="212121"/>
                <w:sz w:val="19"/>
              </w:rPr>
              <w:t>Chronic heart failure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Functional and absolute iron deficiency worsen symptoms and prognosis; correcting it improves outcomes.</w:t>
            </w:r>
          </w:p>
          <w:p>
            <w:pPr>
              <w:spacing w:after="40" w:before="0" w:line="259" w:lineRule="auto"/>
            </w:pPr>
            <w:r>
              <w:rPr>
                <w:rFonts w:ascii="Calibri" w:hAnsi="Calibri"/>
                <w:b/>
                <w:i w:val="0"/>
                <w:color w:val="212121"/>
                <w:sz w:val="19"/>
              </w:rPr>
              <w:t>~50% of chronic HF patients</w:t>
            </w:r>
          </w:p>
        </w:tc>
      </w:tr>
      <w:tr>
        <w:trPr>
          <w:cantSplit/>
        </w:trPr>
        <w:tc>
          <w:tcPr>
            <w:tcW w:type="dxa" w:w="2232"/>
            <w:vAlign w:val="top"/>
          </w:tcPr>
          <w:p>
            <w:pPr>
              <w:spacing w:after="40" w:before="0" w:line="259" w:lineRule="auto"/>
            </w:pPr>
            <w:r>
              <w:rPr>
                <w:rFonts w:ascii="Calibri" w:hAnsi="Calibri"/>
                <w:b/>
                <w:i w:val="0"/>
                <w:color w:val="212121"/>
                <w:sz w:val="19"/>
              </w:rPr>
              <w:t>Coeliac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Malabsorption of iron; refractory IDA may be the only presenting feature.</w:t>
            </w:r>
          </w:p>
          <w:p>
            <w:pPr>
              <w:spacing w:after="40" w:before="0" w:line="259" w:lineRule="auto"/>
            </w:pPr>
            <w:r>
              <w:rPr>
                <w:rFonts w:ascii="Calibri" w:hAnsi="Calibri"/>
                <w:b/>
                <w:i w:val="0"/>
                <w:color w:val="212121"/>
                <w:sz w:val="19"/>
              </w:rPr>
              <w:t>~4-6% of IDA cases</w:t>
            </w:r>
          </w:p>
        </w:tc>
      </w:tr>
      <w:tr>
        <w:trPr>
          <w:cantSplit/>
        </w:trPr>
        <w:tc>
          <w:tcPr>
            <w:tcW w:type="dxa" w:w="2232"/>
            <w:vAlign w:val="top"/>
          </w:tcPr>
          <w:p>
            <w:pPr>
              <w:spacing w:after="40" w:before="0" w:line="259" w:lineRule="auto"/>
            </w:pPr>
            <w:r>
              <w:rPr>
                <w:rFonts w:ascii="Calibri" w:hAnsi="Calibri"/>
                <w:b/>
                <w:i w:val="0"/>
                <w:color w:val="212121"/>
                <w:sz w:val="19"/>
              </w:rPr>
              <w:t>Gastrointestinal malignancy (colorectal/gastric)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Occult blood loss in men and postmenopausal women mandates endoscopic evaluation.</w:t>
            </w:r>
          </w:p>
          <w:p>
            <w:pPr>
              <w:spacing w:after="40" w:before="0" w:line="259" w:lineRule="auto"/>
            </w:pPr>
            <w:r>
              <w:rPr>
                <w:rFonts w:ascii="Calibri" w:hAnsi="Calibri"/>
                <w:b/>
                <w:i w:val="0"/>
                <w:color w:val="212121"/>
                <w:sz w:val="19"/>
              </w:rPr>
              <w:t>Colonic ~5-10%, gastric ~5% of investigated IDA</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erythropoietin plus hepcidin-mediated functional iron deficiency and dialysis losses.</w:t>
            </w:r>
          </w:p>
        </w:tc>
      </w:tr>
      <w:tr>
        <w:trPr>
          <w:cantSplit/>
        </w:trPr>
        <w:tc>
          <w:tcPr>
            <w:tcW w:type="dxa" w:w="2232"/>
            <w:vAlign w:val="top"/>
          </w:tcPr>
          <w:p>
            <w:pPr>
              <w:spacing w:after="40" w:before="0" w:line="259" w:lineRule="auto"/>
            </w:pPr>
            <w:r>
              <w:rPr>
                <w:rFonts w:ascii="Calibri" w:hAnsi="Calibri"/>
                <w:b/>
                <w:i w:val="0"/>
                <w:color w:val="212121"/>
                <w:sz w:val="19"/>
              </w:rPr>
              <w:t>Peptic ulcer disease / H. pylori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occult GI bleeding and impaired iron absorption via atrophic gastritis.</w:t>
            </w:r>
          </w:p>
        </w:tc>
      </w:tr>
      <w:tr>
        <w:trPr>
          <w:cantSplit/>
        </w:trPr>
        <w:tc>
          <w:tcPr>
            <w:tcW w:type="dxa" w:w="2232"/>
            <w:vAlign w:val="top"/>
          </w:tcPr>
          <w:p>
            <w:pPr>
              <w:spacing w:after="40" w:before="0" w:line="259" w:lineRule="auto"/>
            </w:pPr>
            <w:r>
              <w:rPr>
                <w:rFonts w:ascii="Calibri" w:hAnsi="Calibri"/>
                <w:b/>
                <w:i w:val="0"/>
                <w:color w:val="212121"/>
                <w:sz w:val="19"/>
              </w:rPr>
              <w:t>Hookworm / soil-transmitted helminthiasis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intestinal blood loss; endemic where sanitation is poor.</w:t>
            </w:r>
          </w:p>
        </w:tc>
      </w:tr>
      <w:tr>
        <w:trPr>
          <w:cantSplit/>
        </w:trPr>
        <w:tc>
          <w:tcPr>
            <w:tcW w:type="dxa" w:w="2232"/>
            <w:vAlign w:val="top"/>
          </w:tcPr>
          <w:p>
            <w:pPr>
              <w:spacing w:after="40" w:before="0" w:line="259" w:lineRule="auto"/>
            </w:pPr>
            <w:r>
              <w:rPr>
                <w:rFonts w:ascii="Calibri" w:hAnsi="Calibri"/>
                <w:b/>
                <w:i w:val="0"/>
                <w:color w:val="212121"/>
                <w:sz w:val="19"/>
              </w:rPr>
              <w:t>Inflammatory bowel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Combined blood loss and malabsorption; iron deficiency is the commonest extra-intestinal complication.</w:t>
            </w:r>
          </w:p>
        </w:tc>
      </w:tr>
      <w:tr>
        <w:trPr>
          <w:cantSplit/>
        </w:trPr>
        <w:tc>
          <w:tcPr>
            <w:tcW w:type="dxa" w:w="2232"/>
            <w:vAlign w:val="top"/>
          </w:tcPr>
          <w:p>
            <w:pPr>
              <w:spacing w:after="40" w:before="0" w:line="259" w:lineRule="auto"/>
            </w:pPr>
            <w:r>
              <w:rPr>
                <w:rFonts w:ascii="Calibri" w:hAnsi="Calibri"/>
                <w:b/>
                <w:i w:val="0"/>
                <w:color w:val="212121"/>
                <w:sz w:val="19"/>
              </w:rPr>
              <w:t>Obesity / post-bariatric surgery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Adiposity-related inflammation raises hepcidin; surgery reduces absorptive surface and acid.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early features - persistent tiredness, breathlessness on exertion, pallor, brittle nails, ice/mud craving - and get haemoglobin and ferritin checked.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Indian dietary iron is poorly absorbed non-heme iron, so pairing and timing of foods matters as much as quantity.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tea and coffee between meals, not with them, and not with iron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iron-rich foods with a vitamin-C source (lemon, amla, guava, tomato, citrus) to boost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iron-fortified staples and cook in iron/cast-iron utensils where feasible.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antenatal care early and take iron-folic acid (IFA) as prescribed; complete supplementation courses under Anaemia Mukt Bharat.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sanitation and footwear use, and take periodic deworming in endemic areas, to prevent hookworm-related blood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iron-rich foods daily: green leafy vegetables, legumes and pulses, whole/sprouted grains, millets (ragi/bajra), jaggery, dates, nuts and seeds.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non-vegetarians, add heme-iron sources (lean meat, poultry, fish, eggs, liver) which are far better absorbed.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every iron-rich meal with vitamin C; use fermentation, soaking and sprouting to lower phytate and improve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 coffee and calcium-rich foods/supplements at the same time as iron-rich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iron-fortified foods (fortified wheat flour, rice, salt with iron)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start iron-rich complementary feeding from 6 months and avoid early/excess cow's milk.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and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Toddlers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oral iron (e.g., ferrous sulphate/ascorbate) on an empty stomach or with vitamin C; alternate-day dosing can improve tolerance and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iron for 3-6 months after haemoglobin normalizes to replenish stores (ferritin).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 haemoglobin rise of ~1-2 g/dL over 3-4 weeks; if absent, review adherence, ongoing blood loss or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intravenous iron when oral iron is not tolerated, ineffective, or in malabsorption, advanced CKD, heart failure or late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Investigate and treat the underlying cause (menorrhagia, GI bleeding, coeliac disease, hookworm) - supplementation alone is not enough.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IDA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Post-bariatric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intolerant of oral iron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as haemoglobin recovers; avoid strenuous exertion while severely anaemic.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 should monitor ferritin and replete iron proactively, and time training around iron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light, regular activity to support overall cardiometabolic health once iron status improves.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IDA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Correcting iron deficiency (target ferritin &gt; 50-75 µg/L) often relieves restless legs syndrome and improves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timing; report persistent restless legs or insomnia for iron-status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restless legs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gastritis and peptic-ulcer risk that cause occult GI blood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smoking can mask anaemia by raising haemoglobin, so screen iron stores (ferritin) even when Hb looks adequate.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dyspepsia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peptic ulcer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to reduce gastric/oesophageal mucosal bleeding and improve dietary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heavy drinkers, evaluate for GI blood loss, poor nutrition and coexisting liver disease contributing to anaemia.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gastritis or liver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iron deficiency, as it commonly underlies fatigue, low mood and poor concentration; reassess symptoms after repletion.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pica behaviours, which may indicate iron deficiency and can carry additional risks (e.g., lead exposure from geophagia).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adherence support, since fatigue and low mood can reduce compliance with iron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pica</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Page.aspx?PRID=1795421" TargetMode="External"/><Relationship Id="rId10" Type="http://schemas.openxmlformats.org/officeDocument/2006/relationships/hyperlink" Target="https://www.aafp.org/pubs/afp/issues/2013/0115/p98.html" TargetMode="External"/><Relationship Id="rId11" Type="http://schemas.openxmlformats.org/officeDocument/2006/relationships/hyperlink" Target="https://pubmed.ncbi.nlm.nih.gov/34049401/" TargetMode="External"/><Relationship Id="rId12" Type="http://schemas.openxmlformats.org/officeDocument/2006/relationships/hyperlink" Target="https://www.mdpi.com/2072-6643/13/10/3538" TargetMode="External"/><Relationship Id="rId13" Type="http://schemas.openxmlformats.org/officeDocument/2006/relationships/hyperlink" Target="https://www.nature.com/articles/s41430-024-01559-w" TargetMode="External"/><Relationship Id="rId14" Type="http://schemas.openxmlformats.org/officeDocument/2006/relationships/hyperlink" Target="https://pmc.ncbi.nlm.nih.gov/articles/PMC5321311/" TargetMode="External"/><Relationship Id="rId15" Type="http://schemas.openxmlformats.org/officeDocument/2006/relationships/hyperlink" Target="https://www.escardio.org/communities/councils/cardiology-practice/scientific-documents-and-publications/ejournal/volume-14/Iron-deficiency-and-its-treatment-in-heart-failure-indications-and-effect-on-prognosis/" TargetMode="External"/><Relationship Id="rId16" Type="http://schemas.openxmlformats.org/officeDocument/2006/relationships/hyperlink" Target="https://www.who.int/news-room/fact-sheets/detail/anaemia" TargetMode="External"/><Relationship Id="rId17" Type="http://schemas.openxmlformats.org/officeDocument/2006/relationships/hyperlink" Target="https://www.ncbi.nlm.nih.gov/books/NBK569877/table/fm-ch2.ta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