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Childhood Anemia (6–59 months)</w:t>
      </w:r>
    </w:p>
    <w:p>
      <w:pPr>
        <w:spacing w:before="0" w:after="160"/>
      </w:pPr>
      <w:r>
        <w:rPr>
          <w:rFonts w:ascii="Calibri" w:hAnsi="Calibri"/>
          <w:b/>
          <w:i w:val="0"/>
          <w:color w:val="212121"/>
          <w:sz w:val="22"/>
        </w:rPr>
        <w:t xml:space="preserve">AKA </w:t>
      </w:r>
      <w:r>
        <w:rPr>
          <w:rFonts w:ascii="Calibri" w:hAnsi="Calibri"/>
          <w:b w:val="0"/>
          <w:i w:val="0"/>
          <w:color w:val="212121"/>
          <w:sz w:val="22"/>
        </w:rPr>
        <w:t>i.e., Anaemia in under-fives, Nutritional anaemia of early childhood, Iron-deficiency anaemia of infancy, “Khoon ki kami” (low blood)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Childhood anaemia in the 6–59 month age group is a condition in which the number of red blood cells or their haemoglobin (Hb) content is below the level needed to meet the oxygen demands of a rapidly growing young child, defined by the WHO as a venous/capillary haemoglobin concentration below 11.0 g/dL at sea level. It is overwhelmingly nutritional in origin—most often iron deficiency—but also results from other micronutrient deficiencies (vitamin B12, folate, vitamin A), infections and infestations (malaria, hookworm, repeated diarrhoea), and inherited red-cell disorders (thalassaemia, sickle cell disease, G6PD deficiency). Because the first 1000 days are a critical window for brain and physical development, anaemia at this age can cause lasting cognitive and motor deficits.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Young children are India's single highest-burden anaemia group: an estimated 67 out of every 100 children aged 6–59 months are anaemic (67.1%, NFHS-5, 2019–21), a rise from the previous national survey and far above the global average of about 40% (269 million children 6–59 months worldwide). Prevalence peaks in infancy and the second year of life, is higher in poorer, rural, tribal and less-educated households, and exceeds 70–80% in several states (e.g., Gujarat, Madhya Pradesh, Rajasthan, Punjab, Haryana, Ladakh) while being lowest in states such as Kerala. Venous-blood surveys (CNNS 2016–18) reported somewhat lower estimates (~40% in 1–4 year-olds), reflecting differences in blood sampling and measurement.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Anaemia in a child aged 6–59 months is diagnosed and graded on haemoglobin concentration (adjusted for altitude and, where relevant, smoke exposure), supported by red-cell indices and targeted tests to establish the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haemoglobin &lt; 11.0 g/dL (&lt; 110 g/L) at sea level confirms anaemia in a child 6–59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by WHO cut-offs — mild 10.0–10.9 g/dL, moderate 7.0–9.9 g/dL, severe &lt; 7.0 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red-cell indices: low MCV and MCH with raised RDW suggest iron deficiency; low/normal RDW with microcytosis suggests thalassaemia trait; raised MCV suggests B12/folate (megaloblastic) anaemia;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iron studies: serum ferritin &lt; 12 ng/mL indicates depleted iron stores (interpret with CRP, as ferritin rises with infection/inflammation); low transferrin saturation supports iron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peripheral smear (microcytic hypochromic cells, target cells, sickled cells) plus Hb HPLC/electrophoresis when a haemoglobinopathy is suspected; reticulocyte count and stool examination (hookworm ova) help distinguish nutritional from haemolytic or blood-loss causes.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Childhood anaemia is classified in three complementary ways — by severity, by red-cell morphology, and by underlying mechanism:</w:t>
      </w:r>
    </w:p>
    <w:p>
      <w:pPr>
        <w:spacing w:before="0" w:after="80"/>
      </w:pPr>
      <w:r>
        <w:rPr>
          <w:rFonts w:ascii="Calibri" w:hAnsi="Calibri"/>
          <w:b w:val="0"/>
          <w:i w:val="0"/>
          <w:color w:val="212121"/>
          <w:sz w:val="21"/>
        </w:rPr>
        <w:t>(1) By severity (WHO, children 6–59 months): mild anaemia Hb 10.0–10.9 g/dL, moderate 7.0–9.9 g/dL, and severe &lt; 7.0 g/dL; severe anaemia is a medical emergency that may cause high-output cardiac failure.</w:t>
      </w:r>
    </w:p>
    <w:p>
      <w:pPr>
        <w:spacing w:before="0" w:after="80"/>
      </w:pPr>
      <w:r>
        <w:rPr>
          <w:rFonts w:ascii="Calibri" w:hAnsi="Calibri"/>
          <w:b w:val="0"/>
          <w:i w:val="0"/>
          <w:color w:val="212121"/>
          <w:sz w:val="21"/>
        </w:rPr>
        <w:t>(2) By morphology: microcytic hypochromic anaemia (low MCV) — by far the commonest in this age group — seen in iron deficiency and thalassaemia/haemoglobinopathies; normocytic normochromic anaemia seen in acute blood loss, malaria, and anaemia of infection/inflammation; and macrocytic anaemia (high MCV) seen in vitamin B12 or folate deficiency.</w:t>
      </w:r>
    </w:p>
    <w:p>
      <w:pPr>
        <w:spacing w:before="0" w:after="80"/>
      </w:pPr>
      <w:r>
        <w:rPr>
          <w:rFonts w:ascii="Calibri" w:hAnsi="Calibri"/>
          <w:b w:val="0"/>
          <w:i w:val="0"/>
          <w:color w:val="212121"/>
          <w:sz w:val="21"/>
        </w:rPr>
        <w:t>(3) By mechanism/aetiology: nutritional-deficiency anaemia (iron most common, also B12, folate, vitamin A, riboflavin); haemolytic anaemia (β-thalassaemia major, sickle cell disease, G6PD deficiency, hereditary spherocytosis, malaria); blood-loss anaemia (hookworm infestation, cow-milk-induced occult gastrointestinal bleeding); and anaemia of inflammation from recurrent or chronic infection.</w:t>
      </w:r>
    </w:p>
    <w:p>
      <w:pPr>
        <w:spacing w:before="0" w:after="80"/>
      </w:pPr>
      <w:r>
        <w:rPr>
          <w:rFonts w:ascii="Calibri" w:hAnsi="Calibri"/>
          <w:b w:val="0"/>
          <w:i w:val="0"/>
          <w:color w:val="212121"/>
          <w:sz w:val="21"/>
        </w:rPr>
        <w:t>In India, iron deficiency and other nutritional deficiencies dominate, but inherited haemoglobinopathies (thalassaemia trait across many communities and sickle cell disease in the central and eastern tribal belt) are an important, often co-existing, cause.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Iron deficiency (dietary): the leading cause — fetal iron stores are largely exhausted by about 6 months just as growth is rapid, while the typical weaning diet is milk- and cereal-based with little bioavailable (heme) iron.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Poor infant and young child feeding: delayed or infrequent complementary feeding, low dietary diversity, early or excessive cow/buffalo milk, prolonged milk-only feeding, and giving tea with meals (tannins block iron absorption).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Infections and infestations: hookworm (chronic gut blood loss), malaria (haemolysis), and repeated diarrhoea/acute respiratory infections that cause anaemia of inflammation and impair iron absorption.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Other micronutrient deficiencies: vitamin B12 and folate deficiency (common in cereal-based, largely vegetarian diets) causing megaloblastic anaemia, plus vitamin A and riboflavin deficiency.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Inherited red-cell disorders: β-thalassaemia trait and major, sickle cell disease/trait, and G6PD deficiency, which cause or aggravate anaemia and complicate its diagnosis.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Perinatal and maternal factors: low birth weight and prematurity (small iron endowment), maternal anaemia in pregnancy, twin/multiple birth, and early umbilical cord clamping.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Socio-environmental drivers: poverty, food insecurity, poor sanitation and unsafe water, and low maternal education, which cluster and amplify all of the above.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toddlers (6–23 months)</w:t>
            </w:r>
          </w:p>
        </w:tc>
        <w:tc>
          <w:tcPr>
            <w:tcW w:type="dxa" w:w="4276"/>
            <w:vAlign w:val="top"/>
          </w:tcPr>
          <w:p>
            <w:pPr>
              <w:spacing w:after="60" w:line="259" w:lineRule="auto"/>
            </w:pPr>
            <w:r>
              <w:rPr>
                <w:rFonts w:ascii="Calibri" w:hAnsi="Calibri"/>
                <w:b w:val="0"/>
                <w:i w:val="0"/>
                <w:color w:val="212121"/>
                <w:sz w:val="19"/>
              </w:rPr>
              <w:t>Highest-risk window: fetal iron stores are depleted by about 6 months, growth velocity and iron demand peak, and the diet is often milk-dominant with little absorbable iron, producing iron-deficiency anaemia during a critical period of brain development.</w:t>
            </w:r>
          </w:p>
          <w:p>
            <w:pPr>
              <w:spacing w:after="40" w:before="60" w:line="259" w:lineRule="auto"/>
            </w:pPr>
            <w:r>
              <w:rPr>
                <w:rFonts w:ascii="Calibri" w:hAnsi="Calibri"/>
                <w:b w:val="0"/>
                <w:i w:val="0"/>
                <w:color w:val="212121"/>
                <w:sz w:val="19"/>
              </w:rPr>
              <w:t>67.1% of Indian children aged 6–59 months are anaemic (NFHS-5, 2019–21), with prevalence peaking in infancy and the second year of life.</w:t>
            </w:r>
          </w:p>
          <w:p>
            <w:pPr>
              <w:spacing w:after="40" w:line="252" w:lineRule="auto"/>
            </w:pPr>
            <w:hyperlink r:id="rId9">
              <w:r>
                <w:rPr>
                  <w:rFonts w:ascii="Calibri" w:hAnsi="Calibri" w:cs="Calibri"/>
                  <w:sz w:val="18"/>
                  <w:color w:val="1155CC"/>
                  <w:u w:val="single"/>
                </w:rPr>
                <w:t xml:space="preserve">anemiamuktbharat.info — NFHS-5 anaemia prevalence</w:t>
              </w:r>
            </w:hyperlink>
          </w:p>
          <w:p>
            <w:pPr>
              <w:spacing w:before="60" w:after="40"/>
            </w:pPr>
            <w:r>
              <w:rPr>
                <w:rFonts w:ascii="Calibri" w:hAnsi="Calibri"/>
                <w:b w:val="0"/>
                <w:i w:val="0"/>
                <w:color w:val="5A5A5A"/>
                <w:sz w:val="18"/>
              </w:rPr>
              <w:t>#ironstores  #weaning  #first1000days  #growthspurt  #IDA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Preschool children (24–59 months)</w:t>
            </w:r>
          </w:p>
        </w:tc>
        <w:tc>
          <w:tcPr>
            <w:tcW w:type="dxa" w:w="4276"/>
            <w:vAlign w:val="top"/>
          </w:tcPr>
          <w:p>
            <w:pPr>
              <w:spacing w:after="60" w:line="259" w:lineRule="auto"/>
            </w:pPr>
            <w:r>
              <w:rPr>
                <w:rFonts w:ascii="Calibri" w:hAnsi="Calibri"/>
                <w:b w:val="0"/>
                <w:i w:val="0"/>
                <w:color w:val="212121"/>
                <w:sz w:val="19"/>
              </w:rPr>
              <w:t>Risk remains high but usually falls as the diet diversifies; persistence beyond age two often signals continued poor dietary iron, worm infestation, or an inherited red-cell disorder.</w:t>
            </w:r>
          </w:p>
          <w:p>
            <w:pPr>
              <w:spacing w:after="40" w:before="60" w:line="259" w:lineRule="auto"/>
            </w:pPr>
            <w:r>
              <w:rPr>
                <w:rFonts w:ascii="Calibri" w:hAnsi="Calibri"/>
                <w:b w:val="0"/>
                <w:i w:val="0"/>
                <w:color w:val="212121"/>
                <w:sz w:val="19"/>
              </w:rPr>
              <w:t>Anaemia prevalence declines across the 24–59 month range yet stays well above the WHO 'severe public-health problem' threshold of 40% in most Indian states.</w:t>
            </w:r>
          </w:p>
          <w:p>
            <w:pPr>
              <w:spacing w:before="60" w:after="40"/>
            </w:pPr>
            <w:r>
              <w:rPr>
                <w:rFonts w:ascii="Calibri" w:hAnsi="Calibri"/>
                <w:b w:val="0"/>
                <w:i w:val="0"/>
                <w:color w:val="5A5A5A"/>
                <w:sz w:val="18"/>
              </w:rPr>
              <w:t>#preschool  #dietarydiversity  #persistentanaemia  #worms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Boys aged 6–59 months show marginally higher anaemia prevalence than girls in Indian surveys, attributed to faster early growth and higher iron requirements; X-linked G6PD deficiency also affects boys disproportionately.</w:t>
            </w:r>
          </w:p>
          <w:p>
            <w:pPr>
              <w:spacing w:after="40" w:before="60" w:line="259" w:lineRule="auto"/>
            </w:pPr>
            <w:r>
              <w:rPr>
                <w:rFonts w:ascii="Calibri" w:hAnsi="Calibri"/>
                <w:b w:val="0"/>
                <w:i w:val="0"/>
                <w:color w:val="212121"/>
                <w:sz w:val="19"/>
              </w:rPr>
              <w:t>NFHS-5 records slightly higher under-five anaemia in male than female children.</w:t>
            </w:r>
          </w:p>
          <w:p>
            <w:pPr>
              <w:spacing w:before="60" w:after="40"/>
            </w:pPr>
            <w:r>
              <w:rPr>
                <w:rFonts w:ascii="Calibri" w:hAnsi="Calibri"/>
                <w:b w:val="0"/>
                <w:i w:val="0"/>
                <w:color w:val="5A5A5A"/>
                <w:sz w:val="18"/>
              </w:rPr>
              <w:t>#malechildren  #growthdemand  #G6PD  #ironrequirement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Poorest wealth quintile / food-insecure households</w:t>
            </w:r>
          </w:p>
        </w:tc>
        <w:tc>
          <w:tcPr>
            <w:tcW w:type="dxa" w:w="4276"/>
            <w:vAlign w:val="top"/>
          </w:tcPr>
          <w:p>
            <w:pPr>
              <w:spacing w:after="60" w:line="259" w:lineRule="auto"/>
            </w:pPr>
            <w:r>
              <w:rPr>
                <w:rFonts w:ascii="Calibri" w:hAnsi="Calibri"/>
                <w:b w:val="0"/>
                <w:i w:val="0"/>
                <w:color w:val="212121"/>
                <w:sz w:val="19"/>
              </w:rPr>
              <w:t>Limited household purchasing power restricts access to iron-rich and animal-source foods and to health care, while food insecurity lowers overall diet quality — a strong, consistent gradient of higher anaemia with lower wealth.</w:t>
            </w:r>
          </w:p>
          <w:p>
            <w:pPr>
              <w:spacing w:after="40" w:before="60" w:line="259" w:lineRule="auto"/>
            </w:pPr>
            <w:r>
              <w:rPr>
                <w:rFonts w:ascii="Calibri" w:hAnsi="Calibri"/>
                <w:b w:val="0"/>
                <w:i w:val="0"/>
                <w:color w:val="212121"/>
                <w:sz w:val="19"/>
              </w:rPr>
              <w:t>Anaemia in young children is consistently highest in the lowest wealth quintile and among children of mothers with no schooling in NFHS-5.</w:t>
            </w:r>
          </w:p>
          <w:p>
            <w:pPr>
              <w:spacing w:before="60" w:after="40"/>
            </w:pPr>
            <w:r>
              <w:rPr>
                <w:rFonts w:ascii="Calibri" w:hAnsi="Calibri"/>
                <w:b w:val="0"/>
                <w:i w:val="0"/>
                <w:color w:val="5A5A5A"/>
                <w:sz w:val="18"/>
              </w:rPr>
              <w:t>#poverty  #foodinsecurity  #wealthgradient  #accesstocare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education</w:t>
            </w:r>
          </w:p>
        </w:tc>
        <w:tc>
          <w:tcPr>
            <w:tcW w:type="dxa" w:w="2160"/>
            <w:vAlign w:val="top"/>
          </w:tcPr>
          <w:p>
            <w:pPr>
              <w:spacing w:after="40" w:before="0" w:line="259" w:lineRule="auto"/>
            </w:pPr>
            <w:r>
              <w:rPr>
                <w:rFonts w:ascii="Calibri" w:hAnsi="Calibri"/>
                <w:b w:val="0"/>
                <w:i w:val="0"/>
                <w:color w:val="212121"/>
                <w:sz w:val="19"/>
              </w:rPr>
              <w:t>Children of mothers with no/low schooling</w:t>
            </w:r>
          </w:p>
        </w:tc>
        <w:tc>
          <w:tcPr>
            <w:tcW w:type="dxa" w:w="4276"/>
            <w:vAlign w:val="top"/>
          </w:tcPr>
          <w:p>
            <w:pPr>
              <w:spacing w:after="60" w:line="259" w:lineRule="auto"/>
            </w:pPr>
            <w:r>
              <w:rPr>
                <w:rFonts w:ascii="Calibri" w:hAnsi="Calibri"/>
                <w:b w:val="0"/>
                <w:i w:val="0"/>
                <w:color w:val="212121"/>
                <w:sz w:val="19"/>
              </w:rPr>
              <w:t>Lower maternal education is linked to later and less diverse complementary feeding, poorer hygiene and lower uptake of supplementation and deworming, all of which raise child anaemia risk.</w:t>
            </w:r>
          </w:p>
          <w:p>
            <w:pPr>
              <w:spacing w:before="60" w:after="40"/>
            </w:pPr>
            <w:r>
              <w:rPr>
                <w:rFonts w:ascii="Calibri" w:hAnsi="Calibri"/>
                <w:b w:val="0"/>
                <w:i w:val="0"/>
                <w:color w:val="5A5A5A"/>
                <w:sz w:val="18"/>
              </w:rPr>
              <w:t>#maternaleducation  #IYCF  #healthliteracy  #caregiving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Tribal children of central &amp; eastern India</w:t>
            </w:r>
          </w:p>
        </w:tc>
        <w:tc>
          <w:tcPr>
            <w:tcW w:type="dxa" w:w="4276"/>
            <w:vAlign w:val="top"/>
          </w:tcPr>
          <w:p>
            <w:pPr>
              <w:spacing w:after="60" w:line="259" w:lineRule="auto"/>
            </w:pPr>
            <w:r>
              <w:rPr>
                <w:rFonts w:ascii="Calibri" w:hAnsi="Calibri"/>
                <w:b w:val="0"/>
                <w:i w:val="0"/>
                <w:color w:val="212121"/>
                <w:sz w:val="19"/>
              </w:rPr>
              <w:t>Tribal (Scheduled Tribe) children in the central-east 'sickle cell belt' (e.g., Madhya Pradesh, Chhattisgarh, Maharashtra, Odisha, Jharkhand) carry a high load of sickle cell disease and β-thalassaemia alongside poverty and undernutrition, compounding anaemia.</w:t>
            </w:r>
          </w:p>
          <w:p>
            <w:pPr>
              <w:spacing w:after="40" w:before="60" w:line="259" w:lineRule="auto"/>
            </w:pPr>
            <w:r>
              <w:rPr>
                <w:rFonts w:ascii="Calibri" w:hAnsi="Calibri"/>
                <w:b w:val="0"/>
                <w:i w:val="0"/>
                <w:color w:val="212121"/>
                <w:sz w:val="19"/>
              </w:rPr>
              <w:t>India's National Sickle Cell Anaemia Elimination Mission (2023) targets universal screening of this population up to age 40, reflecting the concentrated haemoglobinopathy burden.</w:t>
            </w:r>
          </w:p>
          <w:p>
            <w:pPr>
              <w:spacing w:before="60" w:after="40"/>
            </w:pPr>
            <w:r>
              <w:rPr>
                <w:rFonts w:ascii="Calibri" w:hAnsi="Calibri"/>
                <w:b w:val="0"/>
                <w:i w:val="0"/>
                <w:color w:val="5A5A5A"/>
                <w:sz w:val="18"/>
              </w:rPr>
              <w:t>#tribal  #sicklecell  #thalassaemia  #hemoglobinopathy  #scheduledtribe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State / region</w:t>
            </w:r>
          </w:p>
        </w:tc>
        <w:tc>
          <w:tcPr>
            <w:tcW w:type="dxa" w:w="2160"/>
            <w:vAlign w:val="top"/>
          </w:tcPr>
          <w:p>
            <w:pPr>
              <w:spacing w:after="40" w:before="0" w:line="259" w:lineRule="auto"/>
            </w:pPr>
            <w:r>
              <w:rPr>
                <w:rFonts w:ascii="Calibri" w:hAnsi="Calibri"/>
                <w:b w:val="0"/>
                <w:i w:val="0"/>
                <w:color w:val="212121"/>
                <w:sz w:val="19"/>
              </w:rPr>
              <w:t>High-burden states (Gujarat, MP, Rajasthan, Punjab, Haryana, Ladakh)</w:t>
            </w:r>
          </w:p>
        </w:tc>
        <w:tc>
          <w:tcPr>
            <w:tcW w:type="dxa" w:w="4276"/>
            <w:vAlign w:val="top"/>
          </w:tcPr>
          <w:p>
            <w:pPr>
              <w:spacing w:after="60" w:line="259" w:lineRule="auto"/>
            </w:pPr>
            <w:r>
              <w:rPr>
                <w:rFonts w:ascii="Calibri" w:hAnsi="Calibri"/>
                <w:b w:val="0"/>
                <w:i w:val="0"/>
                <w:color w:val="212121"/>
                <w:sz w:val="19"/>
              </w:rPr>
              <w:t>Several northern, western and central states report very high under-five anaemia driven by dietary patterns, wheat/cereal-based weaning, high haemoglobinopathy carriage and measurement factors; southern states such as Kerala report much lower rates.</w:t>
            </w:r>
          </w:p>
          <w:p>
            <w:pPr>
              <w:spacing w:after="40" w:before="60" w:line="259" w:lineRule="auto"/>
            </w:pPr>
            <w:r>
              <w:rPr>
                <w:rFonts w:ascii="Calibri" w:hAnsi="Calibri"/>
                <w:b w:val="0"/>
                <w:i w:val="0"/>
                <w:color w:val="212121"/>
                <w:sz w:val="19"/>
              </w:rPr>
              <w:t>Child anaemia exceeds 70–80% in several Indian states in NFHS-5, versus a global average of about 39.8% (2019).</w:t>
            </w:r>
          </w:p>
          <w:p>
            <w:pPr>
              <w:spacing w:after="40" w:line="252" w:lineRule="auto"/>
            </w:pPr>
            <w:hyperlink r:id="rId10">
              <w:r>
                <w:rPr>
                  <w:rFonts w:ascii="Calibri" w:hAnsi="Calibri" w:cs="Calibri"/>
                  <w:sz w:val="18"/>
                  <w:color w:val="1155CC"/>
                  <w:u w:val="single"/>
                </w:rPr>
                <w:t xml:space="preserve">who.int — GHO anaemia in women and children</w:t>
              </w:r>
            </w:hyperlink>
          </w:p>
          <w:p>
            <w:pPr>
              <w:spacing w:before="60" w:after="40"/>
            </w:pPr>
            <w:r>
              <w:rPr>
                <w:rFonts w:ascii="Calibri" w:hAnsi="Calibri"/>
                <w:b w:val="0"/>
                <w:i w:val="0"/>
                <w:color w:val="5A5A5A"/>
                <w:sz w:val="18"/>
              </w:rPr>
              <w:t>#statewise  #regionaldisparity  #cerealdiet  #NFHS5</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Feeding practices</w:t>
            </w:r>
          </w:p>
        </w:tc>
        <w:tc>
          <w:tcPr>
            <w:tcW w:type="dxa" w:w="2160"/>
            <w:vAlign w:val="top"/>
          </w:tcPr>
          <w:p>
            <w:pPr>
              <w:spacing w:after="40" w:before="0" w:line="259" w:lineRule="auto"/>
            </w:pPr>
            <w:r>
              <w:rPr>
                <w:rFonts w:ascii="Calibri" w:hAnsi="Calibri"/>
                <w:b w:val="0"/>
                <w:i w:val="0"/>
                <w:color w:val="212121"/>
                <w:sz w:val="19"/>
              </w:rPr>
              <w:t>Late/poor complementary feeding, prolonged milk-only feeding</w:t>
            </w:r>
          </w:p>
        </w:tc>
        <w:tc>
          <w:tcPr>
            <w:tcW w:type="dxa" w:w="4276"/>
            <w:vAlign w:val="top"/>
          </w:tcPr>
          <w:p>
            <w:pPr>
              <w:spacing w:after="60" w:line="259" w:lineRule="auto"/>
            </w:pPr>
            <w:r>
              <w:rPr>
                <w:rFonts w:ascii="Calibri" w:hAnsi="Calibri"/>
                <w:b w:val="0"/>
                <w:i w:val="0"/>
                <w:color w:val="212121"/>
                <w:sz w:val="19"/>
              </w:rPr>
              <w:t>Continuing exclusive milk feeding beyond 6 months, or introducing solids late and infrequently, fails to supply the extra iron a growing infant needs and is a direct, modifiable driver of iron-deficiency anaemia.</w:t>
            </w:r>
          </w:p>
          <w:p>
            <w:pPr>
              <w:spacing w:after="40" w:before="60" w:line="259" w:lineRule="auto"/>
            </w:pPr>
            <w:r>
              <w:rPr>
                <w:rFonts w:ascii="Calibri" w:hAnsi="Calibri"/>
                <w:b w:val="0"/>
                <w:i w:val="0"/>
                <w:color w:val="212121"/>
                <w:sz w:val="19"/>
              </w:rPr>
              <w:t>Complementary foods should begin at 6 months; delayed or milk-dominant diets are a leading avoidable cause of anaemia in the second half of infancy.</w:t>
            </w:r>
          </w:p>
          <w:p>
            <w:pPr>
              <w:spacing w:before="60" w:after="40"/>
            </w:pPr>
            <w:r>
              <w:rPr>
                <w:rFonts w:ascii="Calibri" w:hAnsi="Calibri"/>
                <w:b w:val="0"/>
                <w:i w:val="0"/>
                <w:color w:val="5A5A5A"/>
                <w:sz w:val="18"/>
              </w:rPr>
              <w:t>#complementaryfeeding  #IYCF  #milkonly  #6months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smoke exposure</w:t>
            </w:r>
          </w:p>
        </w:tc>
        <w:tc>
          <w:tcPr>
            <w:tcW w:type="dxa" w:w="2160"/>
            <w:vAlign w:val="top"/>
          </w:tcPr>
          <w:p>
            <w:pPr>
              <w:spacing w:after="40" w:before="0" w:line="259" w:lineRule="auto"/>
            </w:pPr>
            <w:r>
              <w:rPr>
                <w:rFonts w:ascii="Calibri" w:hAnsi="Calibri"/>
                <w:b w:val="0"/>
                <w:i w:val="0"/>
                <w:color w:val="212121"/>
                <w:sz w:val="19"/>
              </w:rPr>
              <w:t>Second-hand smoke / biomass-fuel households</w:t>
            </w:r>
          </w:p>
        </w:tc>
        <w:tc>
          <w:tcPr>
            <w:tcW w:type="dxa" w:w="4276"/>
            <w:vAlign w:val="top"/>
          </w:tcPr>
          <w:p>
            <w:pPr>
              <w:spacing w:after="60" w:line="259" w:lineRule="auto"/>
            </w:pPr>
            <w:r>
              <w:rPr>
                <w:rFonts w:ascii="Calibri" w:hAnsi="Calibri"/>
                <w:b w:val="0"/>
                <w:i w:val="0"/>
                <w:color w:val="212121"/>
                <w:sz w:val="19"/>
              </w:rPr>
              <w:t>Maternal smoking or tobacco use in pregnancy raises the risk of low birth weight (small iron endowment), and chronic exposure to second-hand smoke and biomass cooking smoke promotes low-grade inflammation that can worsen anaemia.</w:t>
            </w:r>
          </w:p>
          <w:p>
            <w:pPr>
              <w:spacing w:before="60" w:after="40"/>
            </w:pPr>
            <w:r>
              <w:rPr>
                <w:rFonts w:ascii="Calibri" w:hAnsi="Calibri"/>
                <w:b w:val="0"/>
                <w:i w:val="0"/>
                <w:color w:val="5A5A5A"/>
                <w:sz w:val="18"/>
              </w:rPr>
              <w:t>#secondhandsmoke  #biomass  #indoorair  #lowbirthweight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Iron intake</w:t>
            </w:r>
          </w:p>
        </w:tc>
        <w:tc>
          <w:tcPr>
            <w:tcW w:type="dxa" w:w="2160"/>
            <w:vAlign w:val="top"/>
          </w:tcPr>
          <w:p>
            <w:pPr>
              <w:spacing w:after="40" w:before="0" w:line="259" w:lineRule="auto"/>
            </w:pPr>
            <w:r>
              <w:rPr>
                <w:rFonts w:ascii="Calibri" w:hAnsi="Calibri"/>
                <w:b w:val="0"/>
                <w:i w:val="0"/>
                <w:color w:val="212121"/>
                <w:sz w:val="19"/>
              </w:rPr>
              <w:t>Inadequate dietary (bioavailable) iron</w:t>
            </w:r>
          </w:p>
        </w:tc>
        <w:tc>
          <w:tcPr>
            <w:tcW w:type="dxa" w:w="4276"/>
            <w:vAlign w:val="top"/>
          </w:tcPr>
          <w:p>
            <w:pPr>
              <w:spacing w:after="60" w:line="259" w:lineRule="auto"/>
            </w:pPr>
            <w:r>
              <w:rPr>
                <w:rFonts w:ascii="Calibri" w:hAnsi="Calibri"/>
                <w:b w:val="0"/>
                <w:i w:val="0"/>
                <w:color w:val="212121"/>
                <w:sz w:val="19"/>
              </w:rPr>
              <w:t>Cereal- and milk-based weaning diets rich in phytates and low in heme iron provide little absorbable iron; this is the single most common nutritional cause of childhood anaemia.</w:t>
            </w:r>
          </w:p>
          <w:p>
            <w:pPr>
              <w:spacing w:after="40" w:before="60" w:line="259" w:lineRule="auto"/>
            </w:pPr>
            <w:r>
              <w:rPr>
                <w:rFonts w:ascii="Calibri" w:hAnsi="Calibri"/>
                <w:b w:val="0"/>
                <w:i w:val="0"/>
                <w:color w:val="212121"/>
                <w:sz w:val="19"/>
              </w:rPr>
              <w:t>WHO identifies iron deficiency, primarily from inadequate dietary iron intake, as the most common nutritional cause of anaemia in children.</w:t>
            </w:r>
          </w:p>
          <w:p>
            <w:pPr>
              <w:spacing w:after="40" w:line="252" w:lineRule="auto"/>
            </w:pPr>
            <w:hyperlink r:id="rId11">
              <w:r>
                <w:rPr>
                  <w:rFonts w:ascii="Calibri" w:hAnsi="Calibri" w:cs="Calibri"/>
                  <w:sz w:val="18"/>
                  <w:color w:val="1155CC"/>
                  <w:u w:val="single"/>
                </w:rPr>
                <w:t xml:space="preserve">who.int — anaemia fact sheet</w:t>
              </w:r>
            </w:hyperlink>
          </w:p>
          <w:p>
            <w:pPr>
              <w:spacing w:before="60" w:after="40"/>
            </w:pPr>
            <w:r>
              <w:rPr>
                <w:rFonts w:ascii="Calibri" w:hAnsi="Calibri"/>
                <w:b w:val="0"/>
                <w:i w:val="0"/>
                <w:color w:val="5A5A5A"/>
                <w:sz w:val="18"/>
              </w:rPr>
              <w:t>#dietaryiron  #phytates  #heme  #nonhemeiron  #fortification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Milk practices</w:t>
            </w:r>
          </w:p>
        </w:tc>
        <w:tc>
          <w:tcPr>
            <w:tcW w:type="dxa" w:w="2160"/>
            <w:vAlign w:val="top"/>
          </w:tcPr>
          <w:p>
            <w:pPr>
              <w:spacing w:after="40" w:before="0" w:line="259" w:lineRule="auto"/>
            </w:pPr>
            <w:r>
              <w:rPr>
                <w:rFonts w:ascii="Calibri" w:hAnsi="Calibri"/>
                <w:b w:val="0"/>
                <w:i w:val="0"/>
                <w:color w:val="212121"/>
                <w:sz w:val="19"/>
              </w:rPr>
              <w:t>Early/excess cow or buffalo milk (&lt; 1 year)</w:t>
            </w:r>
          </w:p>
        </w:tc>
        <w:tc>
          <w:tcPr>
            <w:tcW w:type="dxa" w:w="4276"/>
            <w:vAlign w:val="top"/>
          </w:tcPr>
          <w:p>
            <w:pPr>
              <w:spacing w:after="60" w:line="259" w:lineRule="auto"/>
            </w:pPr>
            <w:r>
              <w:rPr>
                <w:rFonts w:ascii="Calibri" w:hAnsi="Calibri"/>
                <w:b w:val="0"/>
                <w:i w:val="0"/>
                <w:color w:val="212121"/>
                <w:sz w:val="19"/>
              </w:rPr>
              <w:t>Unmodified cow/buffalo milk before 12 months causes occult gastrointestinal blood loss, is very low in iron, and its calcium and casein further inhibit iron absorption — a classic cause of iron-deficiency anaemia in toddlers.</w:t>
            </w:r>
          </w:p>
          <w:p>
            <w:pPr>
              <w:spacing w:before="60" w:after="40"/>
            </w:pPr>
            <w:r>
              <w:rPr>
                <w:rFonts w:ascii="Calibri" w:hAnsi="Calibri"/>
                <w:b w:val="0"/>
                <w:i w:val="0"/>
                <w:color w:val="5A5A5A"/>
                <w:sz w:val="18"/>
              </w:rPr>
              <w:t>#cowmilk  #occultbloodloss  #calcium  #toddler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pattern</w:t>
            </w:r>
          </w:p>
        </w:tc>
        <w:tc>
          <w:tcPr>
            <w:tcW w:type="dxa" w:w="2160"/>
            <w:vAlign w:val="top"/>
          </w:tcPr>
          <w:p>
            <w:pPr>
              <w:spacing w:after="40" w:before="0" w:line="259" w:lineRule="auto"/>
            </w:pPr>
            <w:r>
              <w:rPr>
                <w:rFonts w:ascii="Calibri" w:hAnsi="Calibri"/>
                <w:b w:val="0"/>
                <w:i w:val="0"/>
                <w:color w:val="212121"/>
                <w:sz w:val="19"/>
              </w:rPr>
              <w:t>Predominantly vegetarian / B12-poor weaning diet</w:t>
            </w:r>
          </w:p>
        </w:tc>
        <w:tc>
          <w:tcPr>
            <w:tcW w:type="dxa" w:w="4276"/>
            <w:vAlign w:val="top"/>
          </w:tcPr>
          <w:p>
            <w:pPr>
              <w:spacing w:after="60" w:line="259" w:lineRule="auto"/>
            </w:pPr>
            <w:r>
              <w:rPr>
                <w:rFonts w:ascii="Calibri" w:hAnsi="Calibri"/>
                <w:b w:val="0"/>
                <w:i w:val="0"/>
                <w:color w:val="212121"/>
                <w:sz w:val="19"/>
              </w:rPr>
              <w:t>Largely vegetarian, cereal-based Indian weaning diets are frequently low in vitamin B12 and heme iron, producing combined iron-deficiency and megaloblastic (dimorphic) anaemia.</w:t>
            </w:r>
          </w:p>
          <w:p>
            <w:pPr>
              <w:spacing w:before="60" w:after="40"/>
            </w:pPr>
            <w:r>
              <w:rPr>
                <w:rFonts w:ascii="Calibri" w:hAnsi="Calibri"/>
                <w:b w:val="0"/>
                <w:i w:val="0"/>
                <w:color w:val="5A5A5A"/>
                <w:sz w:val="18"/>
              </w:rPr>
              <w:t>#vegetarian  #B12deficiency  #megaloblastic  #dimorphic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Parents with thalassaemia trait / consanguinity</w:t>
            </w:r>
          </w:p>
        </w:tc>
        <w:tc>
          <w:tcPr>
            <w:tcW w:type="dxa" w:w="4276"/>
            <w:vAlign w:val="top"/>
          </w:tcPr>
          <w:p>
            <w:pPr>
              <w:spacing w:after="60" w:line="259" w:lineRule="auto"/>
            </w:pPr>
            <w:r>
              <w:rPr>
                <w:rFonts w:ascii="Calibri" w:hAnsi="Calibri"/>
                <w:b w:val="0"/>
                <w:i w:val="0"/>
                <w:color w:val="212121"/>
                <w:sz w:val="19"/>
              </w:rPr>
              <w:t>β-thalassaemia trait is common across many Indian communities; two carrier parents risk a child with transfusion-dependent thalassaemia major, and consanguinity increases the odds of inherited haemolytic anaemias.</w:t>
            </w:r>
          </w:p>
          <w:p>
            <w:pPr>
              <w:spacing w:after="40" w:before="60" w:line="259" w:lineRule="auto"/>
            </w:pPr>
            <w:r>
              <w:rPr>
                <w:rFonts w:ascii="Calibri" w:hAnsi="Calibri"/>
                <w:b w:val="0"/>
                <w:i w:val="0"/>
                <w:color w:val="212121"/>
                <w:sz w:val="19"/>
              </w:rPr>
              <w:t>WHO lists thalassaemia and sickle cell trait among the largest contributors to childhood anaemia worldwide, alongside dietary iron deficiency and malaria.</w:t>
            </w:r>
          </w:p>
          <w:p>
            <w:pPr>
              <w:spacing w:after="40" w:line="252" w:lineRule="auto"/>
            </w:pPr>
            <w:hyperlink r:id="rId11">
              <w:r>
                <w:rPr>
                  <w:rFonts w:ascii="Calibri" w:hAnsi="Calibri" w:cs="Calibri"/>
                  <w:sz w:val="18"/>
                  <w:color w:val="1155CC"/>
                  <w:u w:val="single"/>
                </w:rPr>
                <w:t xml:space="preserve">who.int — anaemia fact sheet (contributors)</w:t>
              </w:r>
            </w:hyperlink>
          </w:p>
          <w:p>
            <w:pPr>
              <w:spacing w:before="60" w:after="40"/>
            </w:pPr>
            <w:r>
              <w:rPr>
                <w:rFonts w:ascii="Calibri" w:hAnsi="Calibri"/>
                <w:b w:val="0"/>
                <w:i w:val="0"/>
                <w:color w:val="5A5A5A"/>
                <w:sz w:val="18"/>
              </w:rPr>
              <w:t>#thalassaemiatrait  #carrier  #consanguinity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Enzyme/red-cell defect</w:t>
            </w:r>
          </w:p>
        </w:tc>
        <w:tc>
          <w:tcPr>
            <w:tcW w:type="dxa" w:w="2160"/>
            <w:vAlign w:val="top"/>
          </w:tcPr>
          <w:p>
            <w:pPr>
              <w:spacing w:after="40" w:before="0" w:line="259" w:lineRule="auto"/>
            </w:pPr>
            <w:r>
              <w:rPr>
                <w:rFonts w:ascii="Calibri" w:hAnsi="Calibri"/>
                <w:b w:val="0"/>
                <w:i w:val="0"/>
                <w:color w:val="212121"/>
                <w:sz w:val="19"/>
              </w:rPr>
              <w:t>G6PD deficiency &amp; inherited haemolytic disorders</w:t>
            </w:r>
          </w:p>
        </w:tc>
        <w:tc>
          <w:tcPr>
            <w:tcW w:type="dxa" w:w="4276"/>
            <w:vAlign w:val="top"/>
          </w:tcPr>
          <w:p>
            <w:pPr>
              <w:spacing w:after="60" w:line="259" w:lineRule="auto"/>
            </w:pPr>
            <w:r>
              <w:rPr>
                <w:rFonts w:ascii="Calibri" w:hAnsi="Calibri"/>
                <w:b w:val="0"/>
                <w:i w:val="0"/>
                <w:color w:val="212121"/>
                <w:sz w:val="19"/>
              </w:rPr>
              <w:t>X-linked G6PD deficiency (and disorders such as hereditary spherocytosis) cause haemolytic anaemia that can be triggered by infection, certain drugs or fava beans, predominantly affecting boys.</w:t>
            </w:r>
          </w:p>
          <w:p>
            <w:pPr>
              <w:spacing w:before="60" w:after="40"/>
            </w:pPr>
            <w:r>
              <w:rPr>
                <w:rFonts w:ascii="Calibri" w:hAnsi="Calibri"/>
                <w:b w:val="0"/>
                <w:i w:val="0"/>
                <w:color w:val="5A5A5A"/>
                <w:sz w:val="18"/>
              </w:rPr>
              <w:t>#G6PD  #haemolysis  #oxidantstress  #spherocytosis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Low birth weight / prematurity</w:t>
            </w:r>
          </w:p>
        </w:tc>
        <w:tc>
          <w:tcPr>
            <w:tcW w:type="dxa" w:w="2160"/>
            <w:vAlign w:val="top"/>
          </w:tcPr>
          <w:p>
            <w:pPr>
              <w:spacing w:after="40" w:before="0" w:line="259" w:lineRule="auto"/>
            </w:pPr>
            <w:r>
              <w:rPr>
                <w:rFonts w:ascii="Calibri" w:hAnsi="Calibri"/>
                <w:b w:val="0"/>
                <w:i w:val="0"/>
                <w:color w:val="212121"/>
                <w:sz w:val="19"/>
              </w:rPr>
              <w:t>LBW and preterm infants</w:t>
            </w:r>
          </w:p>
        </w:tc>
        <w:tc>
          <w:tcPr>
            <w:tcW w:type="dxa" w:w="4276"/>
            <w:vAlign w:val="top"/>
          </w:tcPr>
          <w:p>
            <w:pPr>
              <w:spacing w:after="60" w:line="259" w:lineRule="auto"/>
            </w:pPr>
            <w:r>
              <w:rPr>
                <w:rFonts w:ascii="Calibri" w:hAnsi="Calibri"/>
                <w:b w:val="0"/>
                <w:i w:val="0"/>
                <w:color w:val="212121"/>
                <w:sz w:val="19"/>
              </w:rPr>
              <w:t>Preterm and low-birth-weight babies are born with reduced iron stores and undergo rapid catch-up growth, exhausting iron earlier and needing iron supplementation from 2–6 weeks of age.</w:t>
            </w:r>
          </w:p>
          <w:p>
            <w:pPr>
              <w:spacing w:before="60" w:after="40"/>
            </w:pPr>
            <w:r>
              <w:rPr>
                <w:rFonts w:ascii="Calibri" w:hAnsi="Calibri"/>
                <w:b w:val="0"/>
                <w:i w:val="0"/>
                <w:color w:val="5A5A5A"/>
                <w:sz w:val="18"/>
              </w:rPr>
              <w:t>#LBW  #preterm  #ironstores  #catchupgrowth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anaemia</w:t>
            </w:r>
          </w:p>
        </w:tc>
        <w:tc>
          <w:tcPr>
            <w:tcW w:type="dxa" w:w="2160"/>
            <w:vAlign w:val="top"/>
          </w:tcPr>
          <w:p>
            <w:pPr>
              <w:spacing w:after="40" w:before="0" w:line="259" w:lineRule="auto"/>
            </w:pPr>
            <w:r>
              <w:rPr>
                <w:rFonts w:ascii="Calibri" w:hAnsi="Calibri"/>
                <w:b w:val="0"/>
                <w:i w:val="0"/>
                <w:color w:val="212121"/>
                <w:sz w:val="19"/>
              </w:rPr>
              <w:t>Infants of anaemic mothers</w:t>
            </w:r>
          </w:p>
        </w:tc>
        <w:tc>
          <w:tcPr>
            <w:tcW w:type="dxa" w:w="4276"/>
            <w:vAlign w:val="top"/>
          </w:tcPr>
          <w:p>
            <w:pPr>
              <w:spacing w:after="60" w:line="259" w:lineRule="auto"/>
            </w:pPr>
            <w:r>
              <w:rPr>
                <w:rFonts w:ascii="Calibri" w:hAnsi="Calibri"/>
                <w:b w:val="0"/>
                <w:i w:val="0"/>
                <w:color w:val="212121"/>
                <w:sz w:val="19"/>
              </w:rPr>
              <w:t>Maternal iron-deficiency anaemia in pregnancy reduces fetal iron endowment and is associated with higher infant anaemia, linking the mother-child anaemia cycle across generations.</w:t>
            </w:r>
          </w:p>
          <w:p>
            <w:pPr>
              <w:spacing w:before="60" w:after="40"/>
            </w:pPr>
            <w:r>
              <w:rPr>
                <w:rFonts w:ascii="Calibri" w:hAnsi="Calibri"/>
                <w:b w:val="0"/>
                <w:i w:val="0"/>
                <w:color w:val="5A5A5A"/>
                <w:sz w:val="18"/>
              </w:rPr>
              <w:t>#maternalanaemia  #intergenerational  #pregnancy  #fetaliron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Infection / infestation</w:t>
            </w:r>
          </w:p>
        </w:tc>
        <w:tc>
          <w:tcPr>
            <w:tcW w:type="dxa" w:w="2160"/>
            <w:vAlign w:val="top"/>
          </w:tcPr>
          <w:p>
            <w:pPr>
              <w:spacing w:after="40" w:before="0" w:line="259" w:lineRule="auto"/>
            </w:pPr>
            <w:r>
              <w:rPr>
                <w:rFonts w:ascii="Calibri" w:hAnsi="Calibri"/>
                <w:b w:val="0"/>
                <w:i w:val="0"/>
                <w:color w:val="212121"/>
                <w:sz w:val="19"/>
              </w:rPr>
              <w:t>Children with recurrent infections, malaria or hookworm</w:t>
            </w:r>
          </w:p>
        </w:tc>
        <w:tc>
          <w:tcPr>
            <w:tcW w:type="dxa" w:w="4276"/>
            <w:vAlign w:val="top"/>
          </w:tcPr>
          <w:p>
            <w:pPr>
              <w:spacing w:after="60" w:line="259" w:lineRule="auto"/>
            </w:pPr>
            <w:r>
              <w:rPr>
                <w:rFonts w:ascii="Calibri" w:hAnsi="Calibri"/>
                <w:b w:val="0"/>
                <w:i w:val="0"/>
                <w:color w:val="212121"/>
                <w:sz w:val="19"/>
              </w:rPr>
              <w:t>Repeated diarrhoea and respiratory infection cause anaemia of inflammation and impair iron absorption; malaria and hookworm add haemolysis and chronic gut blood loss respectively.</w:t>
            </w:r>
          </w:p>
          <w:p>
            <w:pPr>
              <w:spacing w:before="60" w:after="40"/>
            </w:pPr>
            <w:r>
              <w:rPr>
                <w:rFonts w:ascii="Calibri" w:hAnsi="Calibri"/>
                <w:b w:val="0"/>
                <w:i w:val="0"/>
                <w:color w:val="5A5A5A"/>
                <w:sz w:val="18"/>
              </w:rPr>
              <w:t>#malaria  #hookworm  #inflammation  #recurrentinfection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Children with stunting / wasting (PEM)</w:t>
            </w:r>
          </w:p>
        </w:tc>
        <w:tc>
          <w:tcPr>
            <w:tcW w:type="dxa" w:w="4276"/>
            <w:vAlign w:val="top"/>
          </w:tcPr>
          <w:p>
            <w:pPr>
              <w:spacing w:after="60" w:line="259" w:lineRule="auto"/>
            </w:pPr>
            <w:r>
              <w:rPr>
                <w:rFonts w:ascii="Calibri" w:hAnsi="Calibri"/>
                <w:b w:val="0"/>
                <w:i w:val="0"/>
                <w:color w:val="212121"/>
                <w:sz w:val="19"/>
              </w:rPr>
              <w:t>Protein-energy malnutrition co-exists with anaemia through shared poverty and multiple concurrent micronutrient deficiencies, and each worsens the other's outcomes.</w:t>
            </w:r>
          </w:p>
          <w:p>
            <w:pPr>
              <w:spacing w:before="60" w:after="40"/>
            </w:pPr>
            <w:r>
              <w:rPr>
                <w:rFonts w:ascii="Calibri" w:hAnsi="Calibri"/>
                <w:b w:val="0"/>
                <w:i w:val="0"/>
                <w:color w:val="5A5A5A"/>
                <w:sz w:val="18"/>
              </w:rPr>
              <w:t>#stunting  #wasting  #PEM  #micronutrient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infants and toddlers physical activity itself is not a driver; however anaemia reduces play, exploration and motor development, and rapid physical growth raises iron demand. Age-appropriate active play and outdoor time support overall development.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determinant: timely, diverse, iron-rich complementary feeding prevents anaemia, whereas milk-/cereal-dominant, low-diversity diets are the leading cause of iron-deficiency anaemia in this age group.</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sleep supports growth-hormone-driven growth; iron-deficient children may show restless sleep and iron deficiency is linked to restless-legs-type disturbance, but sleep is not a primary cause of anaemia.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direct child smoking, but maternal tobacco use in pregnancy raises low-birth-weight risk (small iron stores) and household second-hand and biomass smoke are associated with higher childhood anaemia through chronic inflammation.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relevant to the child directly; maternal alcohol use in pregnancy contributes to fetal growth restriction and low birth weight, indirectly predisposing to infant anaemia.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depression is associated with poorer infant feeding, care-seeking and responsive feeding, and with higher rates of child undernutrition and anaemia.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Unsafe water and poor sanitation cause repeated diarrhoea and environmental enteropathy that impair iron absorption and drive anaemia of inflammation; safe water and WASH reduce this burden.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Tea and coffee tannins/polyphenols strongly inhibit non-heme iron absorption; giving tea to infants and toddlers with or after meals is a recognised, avoidable contributor to iron-deficiency anaemia in India.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hygiene and sanitation underlie helminth infestation (hookworm blood loss), malaria and enteric infection; handwashing, sanitation and deworming are central pillars of anaemia control.</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infection, malaria, and oxidant exposures (certain drugs, infection, fava beans in G6PD deficiency) can precipitate or acutely worsen anaemia, including haemolytic crises.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Children 6–59 months</w:t>
            </w:r>
          </w:p>
        </w:tc>
        <w:tc>
          <w:tcPr>
            <w:tcW w:type="dxa" w:w="1512"/>
            <w:vAlign w:val="top"/>
          </w:tcPr>
          <w:p>
            <w:pPr>
              <w:spacing w:after="40" w:before="0" w:line="259" w:lineRule="auto"/>
            </w:pPr>
            <w:r>
              <w:rPr>
                <w:rFonts w:ascii="Calibri" w:hAnsi="Calibri"/>
                <w:b w:val="0"/>
                <w:i w:val="0"/>
                <w:color w:val="212121"/>
                <w:sz w:val="19"/>
              </w:rPr>
              <w:t>≥ 11.0 g/dL</w:t>
            </w:r>
          </w:p>
        </w:tc>
        <w:tc>
          <w:tcPr>
            <w:tcW w:type="dxa" w:w="1512"/>
            <w:vAlign w:val="top"/>
          </w:tcPr>
          <w:p>
            <w:pPr>
              <w:spacing w:after="40" w:before="0" w:line="259" w:lineRule="auto"/>
            </w:pPr>
            <w:r>
              <w:rPr>
                <w:rFonts w:ascii="Calibri" w:hAnsi="Calibri"/>
                <w:b w:val="0"/>
                <w:i w:val="0"/>
                <w:color w:val="212121"/>
                <w:sz w:val="19"/>
              </w:rPr>
              <w:t>&lt; 11.0 g/dL (anaemia); &lt; 7.0 g/dL severe</w:t>
            </w:r>
          </w:p>
        </w:tc>
        <w:tc>
          <w:tcPr>
            <w:tcW w:type="dxa" w:w="1468"/>
            <w:vAlign w:val="top"/>
          </w:tcPr>
          <w:p>
            <w:pPr>
              <w:spacing w:after="60" w:line="259" w:lineRule="auto"/>
            </w:pPr>
            <w:r>
              <w:rPr>
                <w:rFonts w:ascii="Calibri" w:hAnsi="Calibri"/>
                <w:b w:val="0"/>
                <w:i w:val="0"/>
                <w:color w:val="212121"/>
                <w:sz w:val="19"/>
              </w:rPr>
              <w:t>Primary diagnostic and monitoring metric; adjust for altitude</w:t>
            </w:r>
          </w:p>
          <w:p>
            <w:pPr>
              <w:spacing w:after="40" w:line="252" w:lineRule="auto"/>
            </w:pPr>
            <w:hyperlink r:id="rId12">
              <w:r>
                <w:rPr>
                  <w:rFonts w:ascii="Calibri" w:hAnsi="Calibri" w:cs="Calibri"/>
                  <w:sz w:val="18"/>
                  <w:color w:val="1155CC"/>
                  <w:u w:val="single"/>
                </w:rPr>
                <w:t xml:space="preserve">https://www.who.int/publications/i/item/9789240088542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(ng/mL)</w:t>
            </w:r>
          </w:p>
        </w:tc>
        <w:tc>
          <w:tcPr>
            <w:tcW w:type="dxa" w:w="1655"/>
            <w:vAlign w:val="top"/>
          </w:tcPr>
          <w:p>
            <w:pPr>
              <w:spacing w:after="40" w:before="0" w:line="259" w:lineRule="auto"/>
            </w:pPr>
            <w:r>
              <w:rPr>
                <w:rFonts w:ascii="Calibri" w:hAnsi="Calibri"/>
                <w:b w:val="0"/>
                <w:i w:val="0"/>
                <w:color w:val="212121"/>
                <w:sz w:val="19"/>
              </w:rPr>
              <w:t>Children 6–59 months</w:t>
            </w:r>
          </w:p>
        </w:tc>
        <w:tc>
          <w:tcPr>
            <w:tcW w:type="dxa" w:w="1512"/>
            <w:vAlign w:val="top"/>
          </w:tcPr>
          <w:p>
            <w:pPr>
              <w:spacing w:after="40" w:before="0" w:line="259" w:lineRule="auto"/>
            </w:pPr>
            <w:r>
              <w:rPr>
                <w:rFonts w:ascii="Calibri" w:hAnsi="Calibri"/>
                <w:b w:val="0"/>
                <w:i w:val="0"/>
                <w:color w:val="212121"/>
                <w:sz w:val="19"/>
              </w:rPr>
              <w:t>≥ 12 ng/mL</w:t>
            </w:r>
          </w:p>
        </w:tc>
        <w:tc>
          <w:tcPr>
            <w:tcW w:type="dxa" w:w="1512"/>
            <w:vAlign w:val="top"/>
          </w:tcPr>
          <w:p>
            <w:pPr>
              <w:spacing w:after="40" w:before="0" w:line="259" w:lineRule="auto"/>
            </w:pPr>
            <w:r>
              <w:rPr>
                <w:rFonts w:ascii="Calibri" w:hAnsi="Calibri"/>
                <w:b w:val="0"/>
                <w:i w:val="0"/>
                <w:color w:val="212121"/>
                <w:sz w:val="19"/>
              </w:rPr>
              <w:t>&lt; 12 ng/mL (depleted iron stores)</w:t>
            </w:r>
          </w:p>
        </w:tc>
        <w:tc>
          <w:tcPr>
            <w:tcW w:type="dxa" w:w="1468"/>
            <w:vAlign w:val="top"/>
          </w:tcPr>
          <w:p>
            <w:pPr>
              <w:spacing w:after="40" w:before="0" w:line="259" w:lineRule="auto"/>
            </w:pPr>
            <w:r>
              <w:rPr>
                <w:rFonts w:ascii="Calibri" w:hAnsi="Calibri"/>
                <w:b w:val="0"/>
                <w:i w:val="0"/>
                <w:color w:val="212121"/>
                <w:sz w:val="19"/>
              </w:rPr>
              <w:t>Interpret with CRP; ferritin rises with infection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(MCV)</w:t>
            </w:r>
          </w:p>
        </w:tc>
        <w:tc>
          <w:tcPr>
            <w:tcW w:type="dxa" w:w="1655"/>
            <w:vAlign w:val="top"/>
          </w:tcPr>
          <w:p>
            <w:pPr>
              <w:spacing w:after="40" w:before="0" w:line="259" w:lineRule="auto"/>
            </w:pPr>
            <w:r>
              <w:rPr>
                <w:rFonts w:ascii="Calibri" w:hAnsi="Calibri"/>
                <w:b w:val="0"/>
                <w:i w:val="0"/>
                <w:color w:val="212121"/>
                <w:sz w:val="19"/>
              </w:rPr>
              <w:t>Toddlers</w:t>
            </w:r>
          </w:p>
        </w:tc>
        <w:tc>
          <w:tcPr>
            <w:tcW w:type="dxa" w:w="1512"/>
            <w:vAlign w:val="top"/>
          </w:tcPr>
          <w:p>
            <w:pPr>
              <w:spacing w:after="40" w:before="0" w:line="259" w:lineRule="auto"/>
            </w:pPr>
            <w:r>
              <w:rPr>
                <w:rFonts w:ascii="Calibri" w:hAnsi="Calibri"/>
                <w:b w:val="0"/>
                <w:i w:val="0"/>
                <w:color w:val="212121"/>
                <w:sz w:val="19"/>
              </w:rPr>
              <w:t>≈ 70–86 fL (age-adjusted)</w:t>
            </w:r>
          </w:p>
        </w:tc>
        <w:tc>
          <w:tcPr>
            <w:tcW w:type="dxa" w:w="1512"/>
            <w:vAlign w:val="top"/>
          </w:tcPr>
          <w:p>
            <w:pPr>
              <w:spacing w:after="40" w:before="0" w:line="259" w:lineRule="auto"/>
            </w:pPr>
            <w:r>
              <w:rPr>
                <w:rFonts w:ascii="Calibri" w:hAnsi="Calibri"/>
                <w:b w:val="0"/>
                <w:i w:val="0"/>
                <w:color w:val="212121"/>
                <w:sz w:val="19"/>
              </w:rPr>
              <w:t>Below age-specific lower limit (microcytosis)</w:t>
            </w:r>
          </w:p>
        </w:tc>
        <w:tc>
          <w:tcPr>
            <w:tcW w:type="dxa" w:w="1468"/>
            <w:vAlign w:val="top"/>
          </w:tcPr>
          <w:p>
            <w:pPr>
              <w:spacing w:after="40" w:before="0" w:line="259" w:lineRule="auto"/>
            </w:pPr>
            <w:r>
              <w:rPr>
                <w:rFonts w:ascii="Calibri" w:hAnsi="Calibri"/>
                <w:b w:val="0"/>
                <w:i w:val="0"/>
                <w:color w:val="212121"/>
                <w:sz w:val="19"/>
              </w:rPr>
              <w:t>Low in iron deficiency &amp; thalassaemia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Minimum dietary diversity</w:t>
            </w:r>
          </w:p>
        </w:tc>
        <w:tc>
          <w:tcPr>
            <w:tcW w:type="dxa" w:w="1655"/>
            <w:vAlign w:val="top"/>
          </w:tcPr>
          <w:p>
            <w:pPr>
              <w:spacing w:after="40" w:before="0" w:line="259" w:lineRule="auto"/>
            </w:pPr>
            <w:r>
              <w:rPr>
                <w:rFonts w:ascii="Calibri" w:hAnsi="Calibri"/>
                <w:b w:val="0"/>
                <w:i w:val="0"/>
                <w:color w:val="212121"/>
                <w:sz w:val="19"/>
              </w:rPr>
              <w:t>Children 6–23 months</w:t>
            </w:r>
          </w:p>
        </w:tc>
        <w:tc>
          <w:tcPr>
            <w:tcW w:type="dxa" w:w="1512"/>
            <w:vAlign w:val="top"/>
          </w:tcPr>
          <w:p>
            <w:pPr>
              <w:spacing w:after="40" w:before="0" w:line="259" w:lineRule="auto"/>
            </w:pPr>
            <w:r>
              <w:rPr>
                <w:rFonts w:ascii="Calibri" w:hAnsi="Calibri"/>
                <w:b w:val="0"/>
                <w:i w:val="0"/>
                <w:color w:val="212121"/>
                <w:sz w:val="19"/>
              </w:rPr>
              <w:t>≥ 5 of 8 food groups/day</w:t>
            </w:r>
          </w:p>
        </w:tc>
        <w:tc>
          <w:tcPr>
            <w:tcW w:type="dxa" w:w="1512"/>
            <w:vAlign w:val="top"/>
          </w:tcPr>
          <w:p>
            <w:pPr>
              <w:spacing w:after="40" w:before="0" w:line="259" w:lineRule="auto"/>
            </w:pPr>
            <w:r>
              <w:rPr>
                <w:rFonts w:ascii="Calibri" w:hAnsi="Calibri"/>
                <w:b w:val="0"/>
                <w:i w:val="0"/>
                <w:color w:val="212121"/>
                <w:sz w:val="19"/>
              </w:rPr>
              <w:t>Milk-only or &lt; 4 food groups</w:t>
            </w:r>
          </w:p>
        </w:tc>
        <w:tc>
          <w:tcPr>
            <w:tcW w:type="dxa" w:w="1468"/>
            <w:vAlign w:val="top"/>
          </w:tcPr>
          <w:p>
            <w:pPr>
              <w:spacing w:after="40" w:before="0" w:line="259" w:lineRule="auto"/>
            </w:pPr>
            <w:r>
              <w:rPr>
                <w:rFonts w:ascii="Calibri" w:hAnsi="Calibri"/>
                <w:b w:val="0"/>
                <w:i w:val="0"/>
                <w:color w:val="212121"/>
                <w:sz w:val="19"/>
              </w:rPr>
              <w:t>Marker of iron-rich complementary feeding adequacy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start of complementary feeding</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6 months</w:t>
            </w:r>
          </w:p>
        </w:tc>
        <w:tc>
          <w:tcPr>
            <w:tcW w:type="dxa" w:w="1512"/>
            <w:vAlign w:val="top"/>
          </w:tcPr>
          <w:p>
            <w:pPr>
              <w:spacing w:after="40" w:before="0" w:line="259" w:lineRule="auto"/>
            </w:pPr>
            <w:r>
              <w:rPr>
                <w:rFonts w:ascii="Calibri" w:hAnsi="Calibri"/>
                <w:b w:val="0"/>
                <w:i w:val="0"/>
                <w:color w:val="212121"/>
                <w:sz w:val="19"/>
              </w:rPr>
              <w:t>&gt; 6–8 months (late) or &lt; 4 months</w:t>
            </w:r>
          </w:p>
        </w:tc>
        <w:tc>
          <w:tcPr>
            <w:tcW w:type="dxa" w:w="1468"/>
            <w:vAlign w:val="top"/>
          </w:tcPr>
          <w:p>
            <w:pPr>
              <w:spacing w:after="40" w:before="0" w:line="259" w:lineRule="auto"/>
            </w:pPr>
            <w:r>
              <w:rPr>
                <w:rFonts w:ascii="Calibri" w:hAnsi="Calibri"/>
                <w:b w:val="0"/>
                <w:i w:val="0"/>
                <w:color w:val="212121"/>
                <w:sz w:val="19"/>
              </w:rPr>
              <w:t>Timely solids supply extra dietary iron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Cow/animal-milk intake before age 1</w:t>
            </w:r>
          </w:p>
        </w:tc>
        <w:tc>
          <w:tcPr>
            <w:tcW w:type="dxa" w:w="1655"/>
            <w:vAlign w:val="top"/>
          </w:tcPr>
          <w:p>
            <w:pPr>
              <w:spacing w:after="40" w:before="0" w:line="259" w:lineRule="auto"/>
            </w:pPr>
            <w:r>
              <w:rPr>
                <w:rFonts w:ascii="Calibri" w:hAnsi="Calibri"/>
                <w:b w:val="0"/>
                <w:i w:val="0"/>
                <w:color w:val="212121"/>
                <w:sz w:val="19"/>
              </w:rPr>
              <w:t>Infants &lt; 12 months</w:t>
            </w:r>
          </w:p>
        </w:tc>
        <w:tc>
          <w:tcPr>
            <w:tcW w:type="dxa" w:w="1512"/>
            <w:vAlign w:val="top"/>
          </w:tcPr>
          <w:p>
            <w:pPr>
              <w:spacing w:after="40" w:before="0" w:line="259" w:lineRule="auto"/>
            </w:pPr>
            <w:r>
              <w:rPr>
                <w:rFonts w:ascii="Calibri" w:hAnsi="Calibri"/>
                <w:b w:val="0"/>
                <w:i w:val="0"/>
                <w:color w:val="212121"/>
                <w:sz w:val="19"/>
              </w:rPr>
              <w:t>None before 12 months</w:t>
            </w:r>
          </w:p>
        </w:tc>
        <w:tc>
          <w:tcPr>
            <w:tcW w:type="dxa" w:w="1512"/>
            <w:vAlign w:val="top"/>
          </w:tcPr>
          <w:p>
            <w:pPr>
              <w:spacing w:after="40" w:before="0" w:line="259" w:lineRule="auto"/>
            </w:pPr>
            <w:r>
              <w:rPr>
                <w:rFonts w:ascii="Calibri" w:hAnsi="Calibri"/>
                <w:b w:val="0"/>
                <w:i w:val="0"/>
                <w:color w:val="212121"/>
                <w:sz w:val="19"/>
              </w:rPr>
              <w:t>Any before 12 m; &gt; 500 mL/day in toddlers</w:t>
            </w:r>
          </w:p>
        </w:tc>
        <w:tc>
          <w:tcPr>
            <w:tcW w:type="dxa" w:w="1468"/>
            <w:vAlign w:val="top"/>
          </w:tcPr>
          <w:p>
            <w:pPr>
              <w:spacing w:after="40" w:before="0" w:line="259" w:lineRule="auto"/>
            </w:pPr>
            <w:r>
              <w:rPr>
                <w:rFonts w:ascii="Calibri" w:hAnsi="Calibri"/>
                <w:b w:val="0"/>
                <w:i w:val="0"/>
                <w:color w:val="212121"/>
                <w:sz w:val="19"/>
              </w:rPr>
              <w:t>Causes occult GI blood loss; low iron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with meals</w:t>
            </w:r>
          </w:p>
        </w:tc>
        <w:tc>
          <w:tcPr>
            <w:tcW w:type="dxa" w:w="1655"/>
            <w:vAlign w:val="top"/>
          </w:tcPr>
          <w:p>
            <w:pPr>
              <w:spacing w:after="40" w:before="0" w:line="259" w:lineRule="auto"/>
            </w:pPr>
            <w:r>
              <w:rPr>
                <w:rFonts w:ascii="Calibri" w:hAnsi="Calibri"/>
                <w:b w:val="0"/>
                <w:i w:val="0"/>
                <w:color w:val="212121"/>
                <w:sz w:val="19"/>
              </w:rPr>
              <w:t>Toddlers</w:t>
            </w:r>
          </w:p>
        </w:tc>
        <w:tc>
          <w:tcPr>
            <w:tcW w:type="dxa" w:w="1512"/>
            <w:vAlign w:val="top"/>
          </w:tcPr>
          <w:p>
            <w:pPr>
              <w:spacing w:after="40" w:before="0" w:line="259" w:lineRule="auto"/>
            </w:pPr>
            <w:r>
              <w:rPr>
                <w:rFonts w:ascii="Calibri" w:hAnsi="Calibri"/>
                <w:b w:val="0"/>
                <w:i w:val="0"/>
                <w:color w:val="212121"/>
                <w:sz w:val="19"/>
              </w:rPr>
              <w:t>None with/after meals</w:t>
            </w:r>
          </w:p>
        </w:tc>
        <w:tc>
          <w:tcPr>
            <w:tcW w:type="dxa" w:w="1512"/>
            <w:vAlign w:val="top"/>
          </w:tcPr>
          <w:p>
            <w:pPr>
              <w:spacing w:after="40" w:before="0" w:line="259" w:lineRule="auto"/>
            </w:pPr>
            <w:r>
              <w:rPr>
                <w:rFonts w:ascii="Calibri" w:hAnsi="Calibri"/>
                <w:b w:val="0"/>
                <w:i w:val="0"/>
                <w:color w:val="212121"/>
                <w:sz w:val="19"/>
              </w:rPr>
              <w:t>Any tea/coffee with meals</w:t>
            </w:r>
          </w:p>
        </w:tc>
        <w:tc>
          <w:tcPr>
            <w:tcW w:type="dxa" w:w="1468"/>
            <w:vAlign w:val="top"/>
          </w:tcPr>
          <w:p>
            <w:pPr>
              <w:spacing w:after="40" w:before="0" w:line="259" w:lineRule="auto"/>
            </w:pPr>
            <w:r>
              <w:rPr>
                <w:rFonts w:ascii="Calibri" w:hAnsi="Calibri"/>
                <w:b w:val="0"/>
                <w:i w:val="0"/>
                <w:color w:val="212121"/>
                <w:sz w:val="19"/>
              </w:rPr>
              <w:t>Tannins inhibit non-heme iron absorption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Deworming status (albendazole)</w:t>
            </w:r>
          </w:p>
        </w:tc>
        <w:tc>
          <w:tcPr>
            <w:tcW w:type="dxa" w:w="1655"/>
            <w:vAlign w:val="top"/>
          </w:tcPr>
          <w:p>
            <w:pPr>
              <w:spacing w:after="40" w:before="0" w:line="259" w:lineRule="auto"/>
            </w:pPr>
            <w:r>
              <w:rPr>
                <w:rFonts w:ascii="Calibri" w:hAnsi="Calibri"/>
                <w:b w:val="0"/>
                <w:i w:val="0"/>
                <w:color w:val="212121"/>
                <w:sz w:val="19"/>
              </w:rPr>
              <w:t>Children 12–59 months</w:t>
            </w:r>
          </w:p>
        </w:tc>
        <w:tc>
          <w:tcPr>
            <w:tcW w:type="dxa" w:w="1512"/>
            <w:vAlign w:val="top"/>
          </w:tcPr>
          <w:p>
            <w:pPr>
              <w:spacing w:after="40" w:before="0" w:line="259" w:lineRule="auto"/>
            </w:pPr>
            <w:r>
              <w:rPr>
                <w:rFonts w:ascii="Calibri" w:hAnsi="Calibri"/>
                <w:b w:val="0"/>
                <w:i w:val="0"/>
                <w:color w:val="212121"/>
                <w:sz w:val="19"/>
              </w:rPr>
              <w:t>Biannual as per programme</w:t>
            </w:r>
          </w:p>
        </w:tc>
        <w:tc>
          <w:tcPr>
            <w:tcW w:type="dxa" w:w="1512"/>
            <w:vAlign w:val="top"/>
          </w:tcPr>
          <w:p>
            <w:pPr>
              <w:spacing w:after="40" w:before="0" w:line="259" w:lineRule="auto"/>
            </w:pPr>
            <w:r>
              <w:rPr>
                <w:rFonts w:ascii="Calibri" w:hAnsi="Calibri"/>
                <w:b w:val="0"/>
                <w:i w:val="0"/>
                <w:color w:val="212121"/>
                <w:sz w:val="19"/>
              </w:rPr>
              <w:t>No deworming in prior 6 months</w:t>
            </w:r>
          </w:p>
        </w:tc>
        <w:tc>
          <w:tcPr>
            <w:tcW w:type="dxa" w:w="1468"/>
            <w:vAlign w:val="top"/>
          </w:tcPr>
          <w:p>
            <w:pPr>
              <w:spacing w:after="40" w:before="0" w:line="259" w:lineRule="auto"/>
            </w:pPr>
            <w:r>
              <w:rPr>
                <w:rFonts w:ascii="Calibri" w:hAnsi="Calibri"/>
                <w:b w:val="0"/>
                <w:i w:val="0"/>
                <w:color w:val="212121"/>
                <w:sz w:val="19"/>
              </w:rPr>
              <w:t>Reduces hookworm-related blood loss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Safe drinking water &amp; diarrhoea episodes</w:t>
            </w:r>
          </w:p>
        </w:tc>
        <w:tc>
          <w:tcPr>
            <w:tcW w:type="dxa" w:w="1655"/>
            <w:vAlign w:val="top"/>
          </w:tcPr>
          <w:p>
            <w:pPr>
              <w:spacing w:after="40" w:before="0" w:line="259" w:lineRule="auto"/>
            </w:pPr>
            <w:r>
              <w:rPr>
                <w:rFonts w:ascii="Calibri" w:hAnsi="Calibri"/>
                <w:b w:val="0"/>
                <w:i w:val="0"/>
                <w:color w:val="212121"/>
                <w:sz w:val="19"/>
              </w:rPr>
              <w:t>Under-fives</w:t>
            </w:r>
          </w:p>
        </w:tc>
        <w:tc>
          <w:tcPr>
            <w:tcW w:type="dxa" w:w="1512"/>
            <w:vAlign w:val="top"/>
          </w:tcPr>
          <w:p>
            <w:pPr>
              <w:spacing w:after="40" w:before="0" w:line="259" w:lineRule="auto"/>
            </w:pPr>
            <w:r>
              <w:rPr>
                <w:rFonts w:ascii="Calibri" w:hAnsi="Calibri"/>
                <w:b w:val="0"/>
                <w:i w:val="0"/>
                <w:color w:val="212121"/>
                <w:sz w:val="19"/>
              </w:rPr>
              <w:t>Safe water; &lt; 2 episodes/year</w:t>
            </w:r>
          </w:p>
        </w:tc>
        <w:tc>
          <w:tcPr>
            <w:tcW w:type="dxa" w:w="1512"/>
            <w:vAlign w:val="top"/>
          </w:tcPr>
          <w:p>
            <w:pPr>
              <w:spacing w:after="40" w:before="0" w:line="259" w:lineRule="auto"/>
            </w:pPr>
            <w:r>
              <w:rPr>
                <w:rFonts w:ascii="Calibri" w:hAnsi="Calibri"/>
                <w:b w:val="0"/>
                <w:i w:val="0"/>
                <w:color w:val="212121"/>
                <w:sz w:val="19"/>
              </w:rPr>
              <w:t>Unsafe water; frequent diarrhoea</w:t>
            </w:r>
          </w:p>
        </w:tc>
        <w:tc>
          <w:tcPr>
            <w:tcW w:type="dxa" w:w="1468"/>
            <w:vAlign w:val="top"/>
          </w:tcPr>
          <w:p>
            <w:pPr>
              <w:spacing w:after="40" w:before="0" w:line="259" w:lineRule="auto"/>
            </w:pPr>
            <w:r>
              <w:rPr>
                <w:rFonts w:ascii="Calibri" w:hAnsi="Calibri"/>
                <w:b w:val="0"/>
                <w:i w:val="0"/>
                <w:color w:val="212121"/>
                <w:sz w:val="19"/>
              </w:rPr>
              <w:t>Recurrent enteric infection impairs iron uptake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Weight-for-age (growth monitoring)</w:t>
            </w:r>
          </w:p>
        </w:tc>
        <w:tc>
          <w:tcPr>
            <w:tcW w:type="dxa" w:w="1655"/>
            <w:vAlign w:val="top"/>
          </w:tcPr>
          <w:p>
            <w:pPr>
              <w:spacing w:after="40" w:before="0" w:line="259" w:lineRule="auto"/>
            </w:pPr>
            <w:r>
              <w:rPr>
                <w:rFonts w:ascii="Calibri" w:hAnsi="Calibri"/>
                <w:b w:val="0"/>
                <w:i w:val="0"/>
                <w:color w:val="212121"/>
                <w:sz w:val="19"/>
              </w:rPr>
              <w:t>Under-fives</w:t>
            </w:r>
          </w:p>
        </w:tc>
        <w:tc>
          <w:tcPr>
            <w:tcW w:type="dxa" w:w="1512"/>
            <w:vAlign w:val="top"/>
          </w:tcPr>
          <w:p>
            <w:pPr>
              <w:spacing w:after="40" w:before="0" w:line="259" w:lineRule="auto"/>
            </w:pPr>
            <w:r>
              <w:rPr>
                <w:rFonts w:ascii="Calibri" w:hAnsi="Calibri"/>
                <w:b w:val="0"/>
                <w:i w:val="0"/>
                <w:color w:val="212121"/>
                <w:sz w:val="19"/>
              </w:rPr>
              <w:t>Within normal WHO growth curve</w:t>
            </w:r>
          </w:p>
        </w:tc>
        <w:tc>
          <w:tcPr>
            <w:tcW w:type="dxa" w:w="1512"/>
            <w:vAlign w:val="top"/>
          </w:tcPr>
          <w:p>
            <w:pPr>
              <w:spacing w:after="40" w:before="0" w:line="259" w:lineRule="auto"/>
            </w:pPr>
            <w:r>
              <w:rPr>
                <w:rFonts w:ascii="Calibri" w:hAnsi="Calibri"/>
                <w:b w:val="0"/>
                <w:i w:val="0"/>
                <w:color w:val="212121"/>
                <w:sz w:val="19"/>
              </w:rPr>
              <w:t>Faltering / crossing centiles downward</w:t>
            </w:r>
          </w:p>
        </w:tc>
        <w:tc>
          <w:tcPr>
            <w:tcW w:type="dxa" w:w="1468"/>
            <w:vAlign w:val="top"/>
          </w:tcPr>
          <w:p>
            <w:pPr>
              <w:spacing w:after="40" w:before="0" w:line="259" w:lineRule="auto"/>
            </w:pPr>
            <w:r>
              <w:rPr>
                <w:rFonts w:ascii="Calibri" w:hAnsi="Calibri"/>
                <w:b w:val="0"/>
                <w:i w:val="0"/>
                <w:color w:val="212121"/>
                <w:sz w:val="19"/>
              </w:rPr>
              <w:t>Growth faltering flags concurrent anaemia/undernutrition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second-hand smoke exposure</w:t>
            </w:r>
          </w:p>
        </w:tc>
        <w:tc>
          <w:tcPr>
            <w:tcW w:type="dxa" w:w="1655"/>
            <w:vAlign w:val="top"/>
          </w:tcPr>
          <w:p>
            <w:pPr>
              <w:spacing w:after="40" w:before="0" w:line="259" w:lineRule="auto"/>
            </w:pPr>
            <w:r>
              <w:rPr>
                <w:rFonts w:ascii="Calibri" w:hAnsi="Calibri"/>
                <w:b w:val="0"/>
                <w:i w:val="0"/>
                <w:color w:val="212121"/>
                <w:sz w:val="19"/>
              </w:rPr>
              <w:t>Under-fives</w:t>
            </w:r>
          </w:p>
        </w:tc>
        <w:tc>
          <w:tcPr>
            <w:tcW w:type="dxa" w:w="1512"/>
            <w:vAlign w:val="top"/>
          </w:tcPr>
          <w:p>
            <w:pPr>
              <w:spacing w:after="40" w:before="0" w:line="259" w:lineRule="auto"/>
            </w:pPr>
            <w:r>
              <w:rPr>
                <w:rFonts w:ascii="Calibri" w:hAnsi="Calibri"/>
                <w:b w:val="0"/>
                <w:i w:val="0"/>
                <w:color w:val="212121"/>
                <w:sz w:val="19"/>
              </w:rPr>
              <w:t>No exposure</w:t>
            </w:r>
          </w:p>
        </w:tc>
        <w:tc>
          <w:tcPr>
            <w:tcW w:type="dxa" w:w="1512"/>
            <w:vAlign w:val="top"/>
          </w:tcPr>
          <w:p>
            <w:pPr>
              <w:spacing w:after="40" w:before="0" w:line="259" w:lineRule="auto"/>
            </w:pPr>
            <w:r>
              <w:rPr>
                <w:rFonts w:ascii="Calibri" w:hAnsi="Calibri"/>
                <w:b w:val="0"/>
                <w:i w:val="0"/>
                <w:color w:val="212121"/>
                <w:sz w:val="19"/>
              </w:rPr>
              <w:t>Any household tobacco/biomass smoke</w:t>
            </w:r>
          </w:p>
        </w:tc>
        <w:tc>
          <w:tcPr>
            <w:tcW w:type="dxa" w:w="1468"/>
            <w:vAlign w:val="top"/>
          </w:tcPr>
          <w:p>
            <w:pPr>
              <w:spacing w:after="40" w:before="0" w:line="259" w:lineRule="auto"/>
            </w:pPr>
            <w:r>
              <w:rPr>
                <w:rFonts w:ascii="Calibri" w:hAnsi="Calibri"/>
                <w:b w:val="0"/>
                <w:i w:val="0"/>
                <w:color w:val="212121"/>
                <w:sz w:val="19"/>
              </w:rPr>
              <w:t>Associated with higher childhood anaemia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 11.0 g/dL</w:t>
            </w:r>
          </w:p>
        </w:tc>
        <w:tc>
          <w:tcPr>
            <w:tcW w:type="dxa" w:w="950"/>
            <w:vAlign w:val="top"/>
          </w:tcPr>
          <w:p>
            <w:pPr>
              <w:spacing w:after="40" w:before="0" w:line="259" w:lineRule="auto"/>
            </w:pPr>
            <w:r>
              <w:rPr>
                <w:rFonts w:ascii="Calibri" w:hAnsi="Calibri"/>
                <w:b w:val="0"/>
                <w:i w:val="0"/>
                <w:color w:val="212121"/>
                <w:sz w:val="16"/>
              </w:rPr>
              <w:t>&lt; 11.0 g/dL</w:t>
            </w:r>
          </w:p>
        </w:tc>
        <w:tc>
          <w:tcPr>
            <w:tcW w:type="dxa" w:w="1036"/>
            <w:vAlign w:val="top"/>
          </w:tcPr>
          <w:p>
            <w:pPr>
              <w:spacing w:after="40" w:before="0" w:line="259" w:lineRule="auto"/>
            </w:pPr>
            <w:r>
              <w:rPr>
                <w:rFonts w:ascii="Calibri" w:hAnsi="Calibri"/>
                <w:b w:val="0"/>
                <w:i w:val="0"/>
                <w:color w:val="212121"/>
                <w:sz w:val="16"/>
              </w:rPr>
              <w:t>Confirms and grades anaemia (mild/moderate/severe)</w:t>
            </w:r>
          </w:p>
        </w:tc>
        <w:tc>
          <w:tcPr>
            <w:tcW w:type="dxa" w:w="1036"/>
            <w:vAlign w:val="top"/>
          </w:tcPr>
          <w:p>
            <w:pPr>
              <w:spacing w:after="40" w:before="0" w:line="259" w:lineRule="auto"/>
            </w:pPr>
            <w:r>
              <w:rPr>
                <w:rFonts w:ascii="Calibri" w:hAnsi="Calibri"/>
                <w:b w:val="0"/>
                <w:i w:val="0"/>
                <w:color w:val="212121"/>
                <w:sz w:val="16"/>
              </w:rPr>
              <w:t>All children 6–59 months; screening &amp; diagnosis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Capillary (HemoCue) vs venous can differ; adjust for altitude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MCV / MCH / MCHC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Age-adjusted normal</w:t>
            </w:r>
          </w:p>
        </w:tc>
        <w:tc>
          <w:tcPr>
            <w:tcW w:type="dxa" w:w="950"/>
            <w:vAlign w:val="top"/>
          </w:tcPr>
          <w:p>
            <w:pPr>
              <w:spacing w:after="40" w:before="0" w:line="259" w:lineRule="auto"/>
            </w:pPr>
            <w:r>
              <w:rPr>
                <w:rFonts w:ascii="Calibri" w:hAnsi="Calibri"/>
                <w:b w:val="0"/>
                <w:i w:val="0"/>
                <w:color w:val="212121"/>
                <w:sz w:val="16"/>
              </w:rPr>
              <w:t>Low (microcytic hypochromic)</w:t>
            </w:r>
          </w:p>
        </w:tc>
        <w:tc>
          <w:tcPr>
            <w:tcW w:type="dxa" w:w="1036"/>
            <w:vAlign w:val="top"/>
          </w:tcPr>
          <w:p>
            <w:pPr>
              <w:spacing w:after="40" w:before="0" w:line="259" w:lineRule="auto"/>
            </w:pPr>
            <w:r>
              <w:rPr>
                <w:rFonts w:ascii="Calibri" w:hAnsi="Calibri"/>
                <w:b w:val="0"/>
                <w:i w:val="0"/>
                <w:color w:val="212121"/>
                <w:sz w:val="16"/>
              </w:rPr>
              <w:t>Microcytosis points to iron deficiency or thalassaemia</w:t>
            </w:r>
          </w:p>
        </w:tc>
        <w:tc>
          <w:tcPr>
            <w:tcW w:type="dxa" w:w="1036"/>
            <w:vAlign w:val="top"/>
          </w:tcPr>
          <w:p>
            <w:pPr>
              <w:spacing w:after="40" w:before="0" w:line="259" w:lineRule="auto"/>
            </w:pPr>
            <w:r>
              <w:rPr>
                <w:rFonts w:ascii="Calibri" w:hAnsi="Calibri"/>
                <w:b w:val="0"/>
                <w:i w:val="0"/>
                <w:color w:val="212121"/>
                <w:sz w:val="16"/>
              </w:rPr>
              <w:t>Children with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Macrocytosis suggests B12/folate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RDW</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11.5–14.5%</w:t>
            </w:r>
          </w:p>
        </w:tc>
        <w:tc>
          <w:tcPr>
            <w:tcW w:type="dxa" w:w="950"/>
            <w:vAlign w:val="top"/>
          </w:tcPr>
          <w:p>
            <w:pPr>
              <w:spacing w:after="40" w:before="0" w:line="259" w:lineRule="auto"/>
            </w:pPr>
            <w:r>
              <w:rPr>
                <w:rFonts w:ascii="Calibri" w:hAnsi="Calibri"/>
                <w:b w:val="0"/>
                <w:i w:val="0"/>
                <w:color w:val="212121"/>
                <w:sz w:val="16"/>
              </w:rPr>
              <w:t>Raised</w:t>
            </w:r>
          </w:p>
        </w:tc>
        <w:tc>
          <w:tcPr>
            <w:tcW w:type="dxa" w:w="1036"/>
            <w:vAlign w:val="top"/>
          </w:tcPr>
          <w:p>
            <w:pPr>
              <w:spacing w:after="40" w:before="0" w:line="259" w:lineRule="auto"/>
            </w:pPr>
            <w:r>
              <w:rPr>
                <w:rFonts w:ascii="Calibri" w:hAnsi="Calibri"/>
                <w:b w:val="0"/>
                <w:i w:val="0"/>
                <w:color w:val="212121"/>
                <w:sz w:val="16"/>
              </w:rPr>
              <w:t>High RDW favours iron deficiency; normal RDW with microcytosis favours thalassaemia trait</w:t>
            </w:r>
          </w:p>
        </w:tc>
        <w:tc>
          <w:tcPr>
            <w:tcW w:type="dxa" w:w="1036"/>
            <w:vAlign w:val="top"/>
          </w:tcPr>
          <w:p>
            <w:pPr>
              <w:spacing w:after="40" w:before="0" w:line="259" w:lineRule="auto"/>
            </w:pPr>
            <w:r>
              <w:rPr>
                <w:rFonts w:ascii="Calibri" w:hAnsi="Calibri"/>
                <w:b w:val="0"/>
                <w:i w:val="0"/>
                <w:color w:val="212121"/>
                <w:sz w:val="16"/>
              </w:rPr>
              <w:t>Microcytic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Helps separate IDA from trait (with Mentzer index)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 12 ng/mL</w:t>
            </w:r>
          </w:p>
        </w:tc>
        <w:tc>
          <w:tcPr>
            <w:tcW w:type="dxa" w:w="950"/>
            <w:vAlign w:val="top"/>
          </w:tcPr>
          <w:p>
            <w:pPr>
              <w:spacing w:after="40" w:before="0" w:line="259" w:lineRule="auto"/>
            </w:pPr>
            <w:r>
              <w:rPr>
                <w:rFonts w:ascii="Calibri" w:hAnsi="Calibri"/>
                <w:b w:val="0"/>
                <w:i w:val="0"/>
                <w:color w:val="212121"/>
                <w:sz w:val="16"/>
              </w:rPr>
              <w:t>&lt; 12 ng/mL</w:t>
            </w:r>
          </w:p>
        </w:tc>
        <w:tc>
          <w:tcPr>
            <w:tcW w:type="dxa" w:w="1036"/>
            <w:vAlign w:val="top"/>
          </w:tcPr>
          <w:p>
            <w:pPr>
              <w:spacing w:after="40" w:before="0" w:line="259" w:lineRule="auto"/>
            </w:pPr>
            <w:r>
              <w:rPr>
                <w:rFonts w:ascii="Calibri" w:hAnsi="Calibri"/>
                <w:b w:val="0"/>
                <w:i w:val="0"/>
                <w:color w:val="212121"/>
                <w:sz w:val="16"/>
              </w:rPr>
              <w:t>Low ferritin confirms depleted iron stores</w:t>
            </w:r>
          </w:p>
        </w:tc>
        <w:tc>
          <w:tcPr>
            <w:tcW w:type="dxa" w:w="1036"/>
            <w:vAlign w:val="top"/>
          </w:tcPr>
          <w:p>
            <w:pPr>
              <w:spacing w:after="40" w:before="0" w:line="259" w:lineRule="auto"/>
            </w:pPr>
            <w:r>
              <w:rPr>
                <w:rFonts w:ascii="Calibri" w:hAnsi="Calibri"/>
                <w:b w:val="0"/>
                <w:i w:val="0"/>
                <w:color w:val="212121"/>
                <w:sz w:val="16"/>
              </w:rPr>
              <w:t>Suspected iron-deficiency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Acute-phase reactant—pair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 TIBC / transferrin saturation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TSAT ≥ 16%</w:t>
            </w:r>
          </w:p>
        </w:tc>
        <w:tc>
          <w:tcPr>
            <w:tcW w:type="dxa" w:w="950"/>
            <w:vAlign w:val="top"/>
          </w:tcPr>
          <w:p>
            <w:pPr>
              <w:spacing w:after="40" w:before="0" w:line="259" w:lineRule="auto"/>
            </w:pPr>
            <w:r>
              <w:rPr>
                <w:rFonts w:ascii="Calibri" w:hAnsi="Calibri"/>
                <w:b w:val="0"/>
                <w:i w:val="0"/>
                <w:color w:val="212121"/>
                <w:sz w:val="16"/>
              </w:rPr>
              <w:t>Low iron, high TIBC, low TSAT</w:t>
            </w:r>
          </w:p>
        </w:tc>
        <w:tc>
          <w:tcPr>
            <w:tcW w:type="dxa" w:w="1036"/>
            <w:vAlign w:val="top"/>
          </w:tcPr>
          <w:p>
            <w:pPr>
              <w:spacing w:after="40" w:before="0" w:line="259" w:lineRule="auto"/>
            </w:pPr>
            <w:r>
              <w:rPr>
                <w:rFonts w:ascii="Calibri" w:hAnsi="Calibri"/>
                <w:b w:val="0"/>
                <w:i w:val="0"/>
                <w:color w:val="212121"/>
                <w:sz w:val="16"/>
              </w:rPr>
              <w:t>Pattern of iron-deficiency anaemia</w:t>
            </w:r>
          </w:p>
        </w:tc>
        <w:tc>
          <w:tcPr>
            <w:tcW w:type="dxa" w:w="1036"/>
            <w:vAlign w:val="top"/>
          </w:tcPr>
          <w:p>
            <w:pPr>
              <w:spacing w:after="40" w:before="0" w:line="259" w:lineRule="auto"/>
            </w:pPr>
            <w:r>
              <w:rPr>
                <w:rFonts w:ascii="Calibri" w:hAnsi="Calibri"/>
                <w:b w:val="0"/>
                <w:i w:val="0"/>
                <w:color w:val="212121"/>
                <w:sz w:val="16"/>
              </w:rPr>
              <w:t>Anaemic toddlers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Useful when ferritin equivocal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Reticulocyte count</w:t>
            </w:r>
          </w:p>
        </w:tc>
        <w:tc>
          <w:tcPr>
            <w:tcW w:type="dxa" w:w="892"/>
            <w:vAlign w:val="top"/>
          </w:tcPr>
          <w:p>
            <w:pPr>
              <w:spacing w:after="40" w:before="0" w:line="259" w:lineRule="auto"/>
            </w:pPr>
            <w:r>
              <w:rPr>
                <w:rFonts w:ascii="Calibri" w:hAnsi="Calibri"/>
                <w:b w:val="0"/>
                <w:i w:val="0"/>
                <w:color w:val="212121"/>
                <w:sz w:val="16"/>
              </w:rPr>
              <w:t>Reticulocyte Count</w:t>
            </w:r>
          </w:p>
        </w:tc>
        <w:tc>
          <w:tcPr>
            <w:tcW w:type="dxa" w:w="950"/>
            <w:vAlign w:val="top"/>
          </w:tcPr>
          <w:p>
            <w:pPr>
              <w:spacing w:after="40" w:before="0" w:line="259" w:lineRule="auto"/>
            </w:pPr>
            <w:r>
              <w:rPr>
                <w:rFonts w:ascii="Calibri" w:hAnsi="Calibri"/>
                <w:b w:val="0"/>
                <w:i w:val="0"/>
                <w:color w:val="212121"/>
                <w:sz w:val="16"/>
              </w:rPr>
              <w:t>0.5–1.5%</w:t>
            </w:r>
          </w:p>
        </w:tc>
        <w:tc>
          <w:tcPr>
            <w:tcW w:type="dxa" w:w="950"/>
            <w:vAlign w:val="top"/>
          </w:tcPr>
          <w:p>
            <w:pPr>
              <w:spacing w:after="40" w:before="0" w:line="259" w:lineRule="auto"/>
            </w:pPr>
            <w:r>
              <w:rPr>
                <w:rFonts w:ascii="Calibri" w:hAnsi="Calibri"/>
                <w:b w:val="0"/>
                <w:i w:val="0"/>
                <w:color w:val="212121"/>
                <w:sz w:val="16"/>
              </w:rPr>
              <w:t>Low (nutritional) or high (haemolytic/blood loss)</w:t>
            </w:r>
          </w:p>
        </w:tc>
        <w:tc>
          <w:tcPr>
            <w:tcW w:type="dxa" w:w="1036"/>
            <w:vAlign w:val="top"/>
          </w:tcPr>
          <w:p>
            <w:pPr>
              <w:spacing w:after="40" w:before="0" w:line="259" w:lineRule="auto"/>
            </w:pPr>
            <w:r>
              <w:rPr>
                <w:rFonts w:ascii="Calibri" w:hAnsi="Calibri"/>
                <w:b w:val="0"/>
                <w:i w:val="0"/>
                <w:color w:val="212121"/>
                <w:sz w:val="16"/>
              </w:rPr>
              <w:t>Distinguishes production defect from haemolysis/loss</w:t>
            </w:r>
          </w:p>
        </w:tc>
        <w:tc>
          <w:tcPr>
            <w:tcW w:type="dxa" w:w="1036"/>
            <w:vAlign w:val="top"/>
          </w:tcPr>
          <w:p>
            <w:pPr>
              <w:spacing w:after="40" w:before="0" w:line="259" w:lineRule="auto"/>
            </w:pPr>
            <w:r>
              <w:rPr>
                <w:rFonts w:ascii="Calibri" w:hAnsi="Calibri"/>
                <w:b w:val="0"/>
                <w:i w:val="0"/>
                <w:color w:val="212121"/>
                <w:sz w:val="16"/>
              </w:rPr>
              <w:t>Unexplained or haemolytic anaemia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Rises after starting iron (reticulocyte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Hb HPLC / electrophoresis</w:t>
            </w:r>
          </w:p>
        </w:tc>
        <w:tc>
          <w:tcPr>
            <w:tcW w:type="dxa" w:w="892"/>
            <w:vAlign w:val="top"/>
          </w:tcPr>
          <w:p>
            <w:pPr>
              <w:spacing w:after="40" w:before="0" w:line="259" w:lineRule="auto"/>
            </w:pPr>
            <w:r>
              <w:rPr>
                <w:rFonts w:ascii="Calibri" w:hAnsi="Calibri"/>
                <w:b w:val="0"/>
                <w:i w:val="0"/>
                <w:color w:val="212121"/>
                <w:sz w:val="16"/>
              </w:rPr>
              <w:t>Haemoglobinopathy Screen</w:t>
            </w:r>
          </w:p>
        </w:tc>
        <w:tc>
          <w:tcPr>
            <w:tcW w:type="dxa" w:w="950"/>
            <w:vAlign w:val="top"/>
          </w:tcPr>
          <w:p>
            <w:pPr>
              <w:spacing w:after="40" w:before="0" w:line="259" w:lineRule="auto"/>
            </w:pPr>
            <w:r>
              <w:rPr>
                <w:rFonts w:ascii="Calibri" w:hAnsi="Calibri"/>
                <w:b w:val="0"/>
                <w:i w:val="0"/>
                <w:color w:val="212121"/>
                <w:sz w:val="16"/>
              </w:rPr>
              <w:t>Normal HbA pattern</w:t>
            </w:r>
          </w:p>
        </w:tc>
        <w:tc>
          <w:tcPr>
            <w:tcW w:type="dxa" w:w="950"/>
            <w:vAlign w:val="top"/>
          </w:tcPr>
          <w:p>
            <w:pPr>
              <w:spacing w:after="40" w:before="0" w:line="259" w:lineRule="auto"/>
            </w:pPr>
            <w:r>
              <w:rPr>
                <w:rFonts w:ascii="Calibri" w:hAnsi="Calibri"/>
                <w:b w:val="0"/>
                <w:i w:val="0"/>
                <w:color w:val="212121"/>
                <w:sz w:val="16"/>
              </w:rPr>
              <w:t>Raised HbA2/HbF (thalassaemia); HbS (sickle)</w:t>
            </w:r>
          </w:p>
        </w:tc>
        <w:tc>
          <w:tcPr>
            <w:tcW w:type="dxa" w:w="1036"/>
            <w:vAlign w:val="top"/>
          </w:tcPr>
          <w:p>
            <w:pPr>
              <w:spacing w:after="40" w:before="0" w:line="259" w:lineRule="auto"/>
            </w:pPr>
            <w:r>
              <w:rPr>
                <w:rFonts w:ascii="Calibri" w:hAnsi="Calibri"/>
                <w:b w:val="0"/>
                <w:i w:val="0"/>
                <w:color w:val="212121"/>
                <w:sz w:val="16"/>
              </w:rPr>
              <w:t>Diagnoses thalassaemia and sickle cell disorders</w:t>
            </w:r>
          </w:p>
        </w:tc>
        <w:tc>
          <w:tcPr>
            <w:tcW w:type="dxa" w:w="1036"/>
            <w:vAlign w:val="top"/>
          </w:tcPr>
          <w:p>
            <w:pPr>
              <w:spacing w:after="40" w:before="0" w:line="259" w:lineRule="auto"/>
            </w:pPr>
            <w:r>
              <w:rPr>
                <w:rFonts w:ascii="Calibri" w:hAnsi="Calibri"/>
                <w:b w:val="0"/>
                <w:i w:val="0"/>
                <w:color w:val="212121"/>
                <w:sz w:val="16"/>
              </w:rPr>
              <w:t>Tribal children, family history, microcytosis not responding to iron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after iron repletion; do sickle solubility/HPLC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 &amp; folate</w:t>
            </w:r>
          </w:p>
        </w:tc>
        <w:tc>
          <w:tcPr>
            <w:tcW w:type="dxa" w:w="892"/>
            <w:vAlign w:val="top"/>
          </w:tcPr>
          <w:p>
            <w:pPr>
              <w:spacing w:after="40" w:before="0" w:line="259" w:lineRule="auto"/>
            </w:pPr>
            <w:r>
              <w:rPr>
                <w:rFonts w:ascii="Calibri" w:hAnsi="Calibri"/>
                <w:b w:val="0"/>
                <w:i w:val="0"/>
                <w:color w:val="212121"/>
                <w:sz w:val="16"/>
              </w:rPr>
              <w:t>Micronutrient Assay</w:t>
            </w:r>
          </w:p>
        </w:tc>
        <w:tc>
          <w:tcPr>
            <w:tcW w:type="dxa" w:w="950"/>
            <w:vAlign w:val="top"/>
          </w:tcPr>
          <w:p>
            <w:pPr>
              <w:spacing w:after="40" w:before="0" w:line="259" w:lineRule="auto"/>
            </w:pPr>
            <w:r>
              <w:rPr>
                <w:rFonts w:ascii="Calibri" w:hAnsi="Calibri"/>
                <w:b w:val="0"/>
                <w:i w:val="0"/>
                <w:color w:val="212121"/>
                <w:sz w:val="16"/>
              </w:rPr>
              <w:t>Age-appropriate normal</w:t>
            </w:r>
          </w:p>
        </w:tc>
        <w:tc>
          <w:tcPr>
            <w:tcW w:type="dxa" w:w="950"/>
            <w:vAlign w:val="top"/>
          </w:tcPr>
          <w:p>
            <w:pPr>
              <w:spacing w:after="40" w:before="0" w:line="259" w:lineRule="auto"/>
            </w:pPr>
            <w:r>
              <w:rPr>
                <w:rFonts w:ascii="Calibri" w:hAnsi="Calibri"/>
                <w:b w:val="0"/>
                <w:i w:val="0"/>
                <w:color w:val="212121"/>
                <w:sz w:val="16"/>
              </w:rPr>
              <w:t>Low</w:t>
            </w:r>
          </w:p>
        </w:tc>
        <w:tc>
          <w:tcPr>
            <w:tcW w:type="dxa" w:w="1036"/>
            <w:vAlign w:val="top"/>
          </w:tcPr>
          <w:p>
            <w:pPr>
              <w:spacing w:after="40" w:before="0" w:line="259" w:lineRule="auto"/>
            </w:pPr>
            <w:r>
              <w:rPr>
                <w:rFonts w:ascii="Calibri" w:hAnsi="Calibri"/>
                <w:b w:val="0"/>
                <w:i w:val="0"/>
                <w:color w:val="212121"/>
                <w:sz w:val="16"/>
              </w:rPr>
              <w:t>Cause of megaloblastic/dimorphic anaemia</w:t>
            </w:r>
          </w:p>
        </w:tc>
        <w:tc>
          <w:tcPr>
            <w:tcW w:type="dxa" w:w="1036"/>
            <w:vAlign w:val="top"/>
          </w:tcPr>
          <w:p>
            <w:pPr>
              <w:spacing w:after="40" w:before="0" w:line="259" w:lineRule="auto"/>
            </w:pPr>
            <w:r>
              <w:rPr>
                <w:rFonts w:ascii="Calibri" w:hAnsi="Calibri"/>
                <w:b w:val="0"/>
                <w:i w:val="0"/>
                <w:color w:val="212121"/>
                <w:sz w:val="16"/>
              </w:rPr>
              <w:t>Macrocytic or dimorphic anaemia; vegetarian diet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Common in cereal-based Indian diets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for ova/parasites; peripheral smear for malaria</w:t>
            </w:r>
          </w:p>
        </w:tc>
        <w:tc>
          <w:tcPr>
            <w:tcW w:type="dxa" w:w="892"/>
            <w:vAlign w:val="top"/>
          </w:tcPr>
          <w:p>
            <w:pPr>
              <w:spacing w:after="40" w:before="0" w:line="259" w:lineRule="auto"/>
            </w:pPr>
            <w:r>
              <w:rPr>
                <w:rFonts w:ascii="Calibri" w:hAnsi="Calibri"/>
                <w:b w:val="0"/>
                <w:i w:val="0"/>
                <w:color w:val="212121"/>
                <w:sz w:val="16"/>
              </w:rPr>
              <w:t>Infection Screen</w:t>
            </w:r>
          </w:p>
        </w:tc>
        <w:tc>
          <w:tcPr>
            <w:tcW w:type="dxa" w:w="950"/>
            <w:vAlign w:val="top"/>
          </w:tcPr>
          <w:p>
            <w:pPr>
              <w:spacing w:after="40" w:before="0" w:line="259" w:lineRule="auto"/>
            </w:pPr>
            <w:r>
              <w:rPr>
                <w:rFonts w:ascii="Calibri" w:hAnsi="Calibri"/>
                <w:b w:val="0"/>
                <w:i w:val="0"/>
                <w:color w:val="212121"/>
                <w:sz w:val="16"/>
              </w:rPr>
              <w:t>No ova; no parasites</w:t>
            </w:r>
          </w:p>
        </w:tc>
        <w:tc>
          <w:tcPr>
            <w:tcW w:type="dxa" w:w="950"/>
            <w:vAlign w:val="top"/>
          </w:tcPr>
          <w:p>
            <w:pPr>
              <w:spacing w:after="40" w:before="0" w:line="259" w:lineRule="auto"/>
            </w:pPr>
            <w:r>
              <w:rPr>
                <w:rFonts w:ascii="Calibri" w:hAnsi="Calibri"/>
                <w:b w:val="0"/>
                <w:i w:val="0"/>
                <w:color w:val="212121"/>
                <w:sz w:val="16"/>
              </w:rPr>
              <w:t>Hookworm ova; malaria parasites</w:t>
            </w:r>
          </w:p>
        </w:tc>
        <w:tc>
          <w:tcPr>
            <w:tcW w:type="dxa" w:w="1036"/>
            <w:vAlign w:val="top"/>
          </w:tcPr>
          <w:p>
            <w:pPr>
              <w:spacing w:after="40" w:before="0" w:line="259" w:lineRule="auto"/>
            </w:pPr>
            <w:r>
              <w:rPr>
                <w:rFonts w:ascii="Calibri" w:hAnsi="Calibri"/>
                <w:b w:val="0"/>
                <w:i w:val="0"/>
                <w:color w:val="212121"/>
                <w:sz w:val="16"/>
              </w:rPr>
              <w:t>Identifies infestation/infection cause of anaemia</w:t>
            </w:r>
          </w:p>
        </w:tc>
        <w:tc>
          <w:tcPr>
            <w:tcW w:type="dxa" w:w="1036"/>
            <w:vAlign w:val="top"/>
          </w:tcPr>
          <w:p>
            <w:pPr>
              <w:spacing w:after="40" w:before="0" w:line="259" w:lineRule="auto"/>
            </w:pPr>
            <w:r>
              <w:rPr>
                <w:rFonts w:ascii="Calibri" w:hAnsi="Calibri"/>
                <w:b w:val="0"/>
                <w:i w:val="0"/>
                <w:color w:val="212121"/>
                <w:sz w:val="16"/>
              </w:rPr>
              <w:t>Endemic areas; blood-loss or haemolytic picture</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Guides deworming/antimalarial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Feeding &amp; dietary history</w:t>
            </w:r>
          </w:p>
        </w:tc>
        <w:tc>
          <w:tcPr>
            <w:tcW w:type="dxa" w:w="979"/>
            <w:vAlign w:val="top"/>
          </w:tcPr>
          <w:p>
            <w:pPr>
              <w:spacing w:after="40" w:before="0" w:line="259" w:lineRule="auto"/>
            </w:pPr>
            <w:r>
              <w:rPr>
                <w:rFonts w:ascii="Calibri" w:hAnsi="Calibri"/>
                <w:b w:val="0"/>
                <w:i w:val="0"/>
                <w:color w:val="212121"/>
                <w:sz w:val="16"/>
              </w:rPr>
              <w:t>Complementary feeding, milk, iron-rich foods, tea</w:t>
            </w:r>
          </w:p>
        </w:tc>
        <w:tc>
          <w:tcPr>
            <w:tcW w:type="dxa" w:w="950"/>
            <w:vAlign w:val="top"/>
          </w:tcPr>
          <w:p>
            <w:pPr>
              <w:spacing w:after="40" w:before="0" w:line="259" w:lineRule="auto"/>
            </w:pPr>
            <w:r>
              <w:rPr>
                <w:rFonts w:ascii="Calibri" w:hAnsi="Calibri"/>
                <w:b w:val="0"/>
                <w:i w:val="0"/>
                <w:color w:val="212121"/>
                <w:sz w:val="16"/>
              </w:rPr>
              <w:t>Timely, diverse, iron-rich diet</w:t>
            </w:r>
          </w:p>
        </w:tc>
        <w:tc>
          <w:tcPr>
            <w:tcW w:type="dxa" w:w="950"/>
            <w:vAlign w:val="top"/>
          </w:tcPr>
          <w:p>
            <w:pPr>
              <w:spacing w:after="40" w:before="0" w:line="259" w:lineRule="auto"/>
            </w:pPr>
            <w:r>
              <w:rPr>
                <w:rFonts w:ascii="Calibri" w:hAnsi="Calibri"/>
                <w:b w:val="0"/>
                <w:i w:val="0"/>
                <w:color w:val="212121"/>
                <w:sz w:val="16"/>
              </w:rPr>
              <w:t>Late/milk-only, low diversity, tea with meals</w:t>
            </w:r>
          </w:p>
        </w:tc>
        <w:tc>
          <w:tcPr>
            <w:tcW w:type="dxa" w:w="1036"/>
            <w:vAlign w:val="top"/>
          </w:tcPr>
          <w:p>
            <w:pPr>
              <w:spacing w:after="40" w:before="0" w:line="259" w:lineRule="auto"/>
            </w:pPr>
            <w:r>
              <w:rPr>
                <w:rFonts w:ascii="Calibri" w:hAnsi="Calibri"/>
                <w:b w:val="0"/>
                <w:i w:val="0"/>
                <w:color w:val="212121"/>
                <w:sz w:val="16"/>
              </w:rPr>
              <w:t>Identifies dietary cause and targets counselling</w:t>
            </w:r>
          </w:p>
        </w:tc>
        <w:tc>
          <w:tcPr>
            <w:tcW w:type="dxa" w:w="1036"/>
            <w:vAlign w:val="top"/>
          </w:tcPr>
          <w:p>
            <w:pPr>
              <w:spacing w:after="40" w:before="0" w:line="259" w:lineRule="auto"/>
            </w:pPr>
            <w:r>
              <w:rPr>
                <w:rFonts w:ascii="Calibri" w:hAnsi="Calibri"/>
                <w:b w:val="0"/>
                <w:i w:val="0"/>
                <w:color w:val="212121"/>
                <w:sz w:val="16"/>
              </w:rPr>
              <w:t>Infants and toddlers</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Core of nutritional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Perinatal history</w:t>
            </w:r>
          </w:p>
        </w:tc>
        <w:tc>
          <w:tcPr>
            <w:tcW w:type="dxa" w:w="979"/>
            <w:vAlign w:val="top"/>
          </w:tcPr>
          <w:p>
            <w:pPr>
              <w:spacing w:after="40" w:before="0" w:line="259" w:lineRule="auto"/>
            </w:pPr>
            <w:r>
              <w:rPr>
                <w:rFonts w:ascii="Calibri" w:hAnsi="Calibri"/>
                <w:b w:val="0"/>
                <w:i w:val="0"/>
                <w:color w:val="212121"/>
                <w:sz w:val="16"/>
              </w:rPr>
              <w:t>Birth weight, prematurity, maternal anaemia, cord clamping</w:t>
            </w:r>
          </w:p>
        </w:tc>
        <w:tc>
          <w:tcPr>
            <w:tcW w:type="dxa" w:w="950"/>
            <w:vAlign w:val="top"/>
          </w:tcPr>
          <w:p>
            <w:pPr>
              <w:spacing w:after="40" w:before="0" w:line="259" w:lineRule="auto"/>
            </w:pPr>
            <w:r>
              <w:rPr>
                <w:rFonts w:ascii="Calibri" w:hAnsi="Calibri"/>
                <w:b w:val="0"/>
                <w:i w:val="0"/>
                <w:color w:val="212121"/>
                <w:sz w:val="16"/>
              </w:rPr>
              <w:t>Term, normal weight, non-anaemic mother</w:t>
            </w:r>
          </w:p>
        </w:tc>
        <w:tc>
          <w:tcPr>
            <w:tcW w:type="dxa" w:w="950"/>
            <w:vAlign w:val="top"/>
          </w:tcPr>
          <w:p>
            <w:pPr>
              <w:spacing w:after="40" w:before="0" w:line="259" w:lineRule="auto"/>
            </w:pPr>
            <w:r>
              <w:rPr>
                <w:rFonts w:ascii="Calibri" w:hAnsi="Calibri"/>
                <w:b w:val="0"/>
                <w:i w:val="0"/>
                <w:color w:val="212121"/>
                <w:sz w:val="16"/>
              </w:rPr>
              <w:t>LBW/preterm; maternal anaemia</w:t>
            </w:r>
          </w:p>
        </w:tc>
        <w:tc>
          <w:tcPr>
            <w:tcW w:type="dxa" w:w="1036"/>
            <w:vAlign w:val="top"/>
          </w:tcPr>
          <w:p>
            <w:pPr>
              <w:spacing w:after="40" w:before="0" w:line="259" w:lineRule="auto"/>
            </w:pPr>
            <w:r>
              <w:rPr>
                <w:rFonts w:ascii="Calibri" w:hAnsi="Calibri"/>
                <w:b w:val="0"/>
                <w:i w:val="0"/>
                <w:color w:val="212121"/>
                <w:sz w:val="16"/>
              </w:rPr>
              <w:t>Flags reduced iron endowment</w:t>
            </w:r>
          </w:p>
        </w:tc>
        <w:tc>
          <w:tcPr>
            <w:tcW w:type="dxa" w:w="1036"/>
            <w:vAlign w:val="top"/>
          </w:tcPr>
          <w:p>
            <w:pPr>
              <w:spacing w:after="40" w:before="0" w:line="259" w:lineRule="auto"/>
            </w:pPr>
            <w:r>
              <w:rPr>
                <w:rFonts w:ascii="Calibri" w:hAnsi="Calibri"/>
                <w:b w:val="0"/>
                <w:i w:val="0"/>
                <w:color w:val="212121"/>
                <w:sz w:val="16"/>
              </w:rPr>
              <w:t>Young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early iron supplementation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Thalassaemia/sickle cell, consanguinity, anaemia in siblings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Carrier parents/consanguinity</w:t>
            </w:r>
          </w:p>
        </w:tc>
        <w:tc>
          <w:tcPr>
            <w:tcW w:type="dxa" w:w="1036"/>
            <w:vAlign w:val="top"/>
          </w:tcPr>
          <w:p>
            <w:pPr>
              <w:spacing w:after="40" w:before="0" w:line="259" w:lineRule="auto"/>
            </w:pPr>
            <w:r>
              <w:rPr>
                <w:rFonts w:ascii="Calibri" w:hAnsi="Calibri"/>
                <w:b w:val="0"/>
                <w:i w:val="0"/>
                <w:color w:val="212121"/>
                <w:sz w:val="16"/>
              </w:rPr>
              <w:t>Raises suspicion of inherited haemoglobinopathy</w:t>
            </w:r>
          </w:p>
        </w:tc>
        <w:tc>
          <w:tcPr>
            <w:tcW w:type="dxa" w:w="1036"/>
            <w:vAlign w:val="top"/>
          </w:tcPr>
          <w:p>
            <w:pPr>
              <w:spacing w:after="40" w:before="0" w:line="259" w:lineRule="auto"/>
            </w:pPr>
            <w:r>
              <w:rPr>
                <w:rFonts w:ascii="Calibri" w:hAnsi="Calibri"/>
                <w:b w:val="0"/>
                <w:i w:val="0"/>
                <w:color w:val="212121"/>
                <w:sz w:val="16"/>
              </w:rPr>
              <w:t>Tribal &amp; at-risk communities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Hb HPLC and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&amp; risk review</w:t>
            </w:r>
          </w:p>
        </w:tc>
        <w:tc>
          <w:tcPr>
            <w:tcW w:type="dxa" w:w="979"/>
            <w:vAlign w:val="top"/>
          </w:tcPr>
          <w:p>
            <w:pPr>
              <w:spacing w:after="40" w:before="0" w:line="259" w:lineRule="auto"/>
            </w:pPr>
            <w:r>
              <w:rPr>
                <w:rFonts w:ascii="Calibri" w:hAnsi="Calibri"/>
                <w:b w:val="0"/>
                <w:i w:val="0"/>
                <w:color w:val="212121"/>
                <w:sz w:val="16"/>
              </w:rPr>
              <w:t>Pica, recurrent infection, diarrhoea, worm symptoms, blood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infestation, inflammation or blood-loss cause</w:t>
            </w:r>
          </w:p>
        </w:tc>
        <w:tc>
          <w:tcPr>
            <w:tcW w:type="dxa" w:w="1036"/>
            <w:vAlign w:val="top"/>
          </w:tcPr>
          <w:p>
            <w:pPr>
              <w:spacing w:after="40" w:before="0" w:line="259" w:lineRule="auto"/>
            </w:pPr>
            <w:r>
              <w:rPr>
                <w:rFonts w:ascii="Calibri" w:hAnsi="Calibri"/>
                <w:b w:val="0"/>
                <w:i w:val="0"/>
                <w:color w:val="212121"/>
                <w:sz w:val="16"/>
              </w:rPr>
              <w:t>Under-fives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Pica (soil/chalk) is a classic clue to iron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Pallor assessment</w:t>
            </w:r>
          </w:p>
        </w:tc>
        <w:tc>
          <w:tcPr>
            <w:tcW w:type="dxa" w:w="979"/>
            <w:vAlign w:val="top"/>
          </w:tcPr>
          <w:p>
            <w:pPr>
              <w:spacing w:after="40" w:before="0" w:line="259" w:lineRule="auto"/>
            </w:pPr>
            <w:r>
              <w:rPr>
                <w:rFonts w:ascii="Calibri" w:hAnsi="Calibri"/>
                <w:b w:val="0"/>
                <w:i w:val="0"/>
                <w:color w:val="212121"/>
                <w:sz w:val="16"/>
              </w:rPr>
              <w:t>Conjunctival, palmar, tongue and nail-bed pallor</w:t>
            </w:r>
          </w:p>
        </w:tc>
        <w:tc>
          <w:tcPr>
            <w:tcW w:type="dxa" w:w="950"/>
            <w:vAlign w:val="top"/>
          </w:tcPr>
          <w:p>
            <w:pPr>
              <w:spacing w:after="40" w:before="0" w:line="259" w:lineRule="auto"/>
            </w:pPr>
            <w:r>
              <w:rPr>
                <w:rFonts w:ascii="Calibri" w:hAnsi="Calibri"/>
                <w:b w:val="0"/>
                <w:i w:val="0"/>
                <w:color w:val="212121"/>
                <w:sz w:val="16"/>
              </w:rPr>
              <w:t>No pallor</w:t>
            </w:r>
          </w:p>
        </w:tc>
        <w:tc>
          <w:tcPr>
            <w:tcW w:type="dxa" w:w="950"/>
            <w:vAlign w:val="top"/>
          </w:tcPr>
          <w:p>
            <w:pPr>
              <w:spacing w:after="40" w:before="0" w:line="259" w:lineRule="auto"/>
            </w:pPr>
            <w:r>
              <w:rPr>
                <w:rFonts w:ascii="Calibri" w:hAnsi="Calibri"/>
                <w:b w:val="0"/>
                <w:i w:val="0"/>
                <w:color w:val="212121"/>
                <w:sz w:val="16"/>
              </w:rPr>
              <w:t>Pallor present</w:t>
            </w:r>
          </w:p>
        </w:tc>
        <w:tc>
          <w:tcPr>
            <w:tcW w:type="dxa" w:w="1036"/>
            <w:vAlign w:val="top"/>
          </w:tcPr>
          <w:p>
            <w:pPr>
              <w:spacing w:after="40" w:before="0" w:line="259" w:lineRule="auto"/>
            </w:pPr>
            <w:r>
              <w:rPr>
                <w:rFonts w:ascii="Calibri" w:hAnsi="Calibri"/>
                <w:b w:val="0"/>
                <w:i w:val="0"/>
                <w:color w:val="212121"/>
                <w:sz w:val="16"/>
              </w:rPr>
              <w:t>Clinical marker of anaemia (moderate-severe)</w:t>
            </w:r>
          </w:p>
        </w:tc>
        <w:tc>
          <w:tcPr>
            <w:tcW w:type="dxa" w:w="1036"/>
            <w:vAlign w:val="top"/>
          </w:tcPr>
          <w:p>
            <w:pPr>
              <w:spacing w:after="40" w:before="0" w:line="259" w:lineRule="auto"/>
            </w:pPr>
            <w:r>
              <w:rPr>
                <w:rFonts w:ascii="Calibri" w:hAnsi="Calibri"/>
                <w:b w:val="0"/>
                <w:i w:val="0"/>
                <w:color w:val="212121"/>
                <w:sz w:val="16"/>
              </w:rPr>
              <w:t>All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Insensitive for mild anaemia—confirm with Hb</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Growth &amp; development</w:t>
            </w:r>
          </w:p>
        </w:tc>
        <w:tc>
          <w:tcPr>
            <w:tcW w:type="dxa" w:w="979"/>
            <w:vAlign w:val="top"/>
          </w:tcPr>
          <w:p>
            <w:pPr>
              <w:spacing w:after="40" w:before="0" w:line="259" w:lineRule="auto"/>
            </w:pPr>
            <w:r>
              <w:rPr>
                <w:rFonts w:ascii="Calibri" w:hAnsi="Calibri"/>
                <w:b w:val="0"/>
                <w:i w:val="0"/>
                <w:color w:val="212121"/>
                <w:sz w:val="16"/>
              </w:rPr>
              <w:t>Weight/height-for-age, MUAC, milestones</w:t>
            </w:r>
          </w:p>
        </w:tc>
        <w:tc>
          <w:tcPr>
            <w:tcW w:type="dxa" w:w="950"/>
            <w:vAlign w:val="top"/>
          </w:tcPr>
          <w:p>
            <w:pPr>
              <w:spacing w:after="40" w:before="0" w:line="259" w:lineRule="auto"/>
            </w:pPr>
            <w:r>
              <w:rPr>
                <w:rFonts w:ascii="Calibri" w:hAnsi="Calibri"/>
                <w:b w:val="0"/>
                <w:i w:val="0"/>
                <w:color w:val="212121"/>
                <w:sz w:val="16"/>
              </w:rPr>
              <w:t>Normal growth &amp; milestones</w:t>
            </w:r>
          </w:p>
        </w:tc>
        <w:tc>
          <w:tcPr>
            <w:tcW w:type="dxa" w:w="950"/>
            <w:vAlign w:val="top"/>
          </w:tcPr>
          <w:p>
            <w:pPr>
              <w:spacing w:after="40" w:before="0" w:line="259" w:lineRule="auto"/>
            </w:pPr>
            <w:r>
              <w:rPr>
                <w:rFonts w:ascii="Calibri" w:hAnsi="Calibri"/>
                <w:b w:val="0"/>
                <w:i w:val="0"/>
                <w:color w:val="212121"/>
                <w:sz w:val="16"/>
              </w:rPr>
              <w:t>Stunting/wasting; delayed milestones</w:t>
            </w:r>
          </w:p>
        </w:tc>
        <w:tc>
          <w:tcPr>
            <w:tcW w:type="dxa" w:w="1036"/>
            <w:vAlign w:val="top"/>
          </w:tcPr>
          <w:p>
            <w:pPr>
              <w:spacing w:after="40" w:before="0" w:line="259" w:lineRule="auto"/>
            </w:pPr>
            <w:r>
              <w:rPr>
                <w:rFonts w:ascii="Calibri" w:hAnsi="Calibri"/>
                <w:b w:val="0"/>
                <w:i w:val="0"/>
                <w:color w:val="212121"/>
                <w:sz w:val="16"/>
              </w:rPr>
              <w:t>Detects concurrent undernutrition and developmental impact</w:t>
            </w:r>
          </w:p>
        </w:tc>
        <w:tc>
          <w:tcPr>
            <w:tcW w:type="dxa" w:w="1036"/>
            <w:vAlign w:val="top"/>
          </w:tcPr>
          <w:p>
            <w:pPr>
              <w:spacing w:after="40" w:before="0" w:line="259" w:lineRule="auto"/>
            </w:pPr>
            <w:r>
              <w:rPr>
                <w:rFonts w:ascii="Calibri" w:hAnsi="Calibri"/>
                <w:b w:val="0"/>
                <w:i w:val="0"/>
                <w:color w:val="212121"/>
                <w:sz w:val="16"/>
              </w:rPr>
              <w:t>Under-fives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Anaemia often co-exists with stunting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Systemic signs</w:t>
            </w:r>
          </w:p>
        </w:tc>
        <w:tc>
          <w:tcPr>
            <w:tcW w:type="dxa" w:w="979"/>
            <w:vAlign w:val="top"/>
          </w:tcPr>
          <w:p>
            <w:pPr>
              <w:spacing w:after="40" w:before="0" w:line="259" w:lineRule="auto"/>
            </w:pPr>
            <w:r>
              <w:rPr>
                <w:rFonts w:ascii="Calibri" w:hAnsi="Calibri"/>
                <w:b w:val="0"/>
                <w:i w:val="0"/>
                <w:color w:val="212121"/>
                <w:sz w:val="16"/>
              </w:rPr>
              <w:t>Tachycardia, flow murmur, hepatosplenomegaly, jaundice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Tachycardia/murmur; organomegaly; icterus</w:t>
            </w:r>
          </w:p>
        </w:tc>
        <w:tc>
          <w:tcPr>
            <w:tcW w:type="dxa" w:w="1036"/>
            <w:vAlign w:val="top"/>
          </w:tcPr>
          <w:p>
            <w:pPr>
              <w:spacing w:after="40" w:before="0" w:line="259" w:lineRule="auto"/>
            </w:pPr>
            <w:r>
              <w:rPr>
                <w:rFonts w:ascii="Calibri" w:hAnsi="Calibri"/>
                <w:b w:val="0"/>
                <w:i w:val="0"/>
                <w:color w:val="212121"/>
                <w:sz w:val="16"/>
              </w:rPr>
              <w:t>Severity (high-output state) and haemolytic/thalassaemic clues</w:t>
            </w:r>
          </w:p>
        </w:tc>
        <w:tc>
          <w:tcPr>
            <w:tcW w:type="dxa" w:w="1036"/>
            <w:vAlign w:val="top"/>
          </w:tcPr>
          <w:p>
            <w:pPr>
              <w:spacing w:after="40" w:before="0" w:line="259" w:lineRule="auto"/>
            </w:pPr>
            <w:r>
              <w:rPr>
                <w:rFonts w:ascii="Calibri" w:hAnsi="Calibri"/>
                <w:b w:val="0"/>
                <w:i w:val="0"/>
                <w:color w:val="212121"/>
                <w:sz w:val="16"/>
              </w:rPr>
              <w:t>Moderate-severe or haemolytic anaemia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Splenomegaly + jaundice suggest haemolysis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Often asymptomatic (mild anaemia)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anaemia is frequently detected only on screening, not from symptoms.</w:t>
            </w:r>
          </w:p>
        </w:tc>
      </w:tr>
      <w:tr>
        <w:trPr>
          <w:cantSplit/>
        </w:trPr>
        <w:tc>
          <w:tcPr>
            <w:tcW w:type="dxa" w:w="2304"/>
            <w:vAlign w:val="top"/>
          </w:tcPr>
          <w:p>
            <w:pPr>
              <w:spacing w:after="40" w:before="0" w:line="259" w:lineRule="auto"/>
            </w:pPr>
            <w:r>
              <w:rPr>
                <w:rFonts w:ascii="Calibri" w:hAnsi="Calibri"/>
                <w:b/>
                <w:i w:val="0"/>
                <w:color w:val="212121"/>
                <w:sz w:val="19"/>
              </w:rPr>
              <w:t>Pallor noticed by caregiver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Pale skin, lips, tongue or nail beds—commonest presenting concern.</w:t>
            </w:r>
          </w:p>
        </w:tc>
      </w:tr>
      <w:tr>
        <w:trPr>
          <w:cantSplit/>
        </w:trPr>
        <w:tc>
          <w:tcPr>
            <w:tcW w:type="dxa" w:w="2304"/>
            <w:vAlign w:val="top"/>
          </w:tcPr>
          <w:p>
            <w:pPr>
              <w:spacing w:after="40" w:before="0" w:line="259" w:lineRule="auto"/>
            </w:pPr>
            <w:r>
              <w:rPr>
                <w:rFonts w:ascii="Calibri" w:hAnsi="Calibri"/>
                <w:b/>
                <w:i w:val="0"/>
                <w:color w:val="212121"/>
                <w:sz w:val="19"/>
              </w:rPr>
              <w:t>Fatigue, lethargy, reduced play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 oxygen delivery reduces energy, activity and exploration.</w:t>
            </w:r>
          </w:p>
        </w:tc>
      </w:tr>
      <w:tr>
        <w:trPr>
          <w:cantSplit/>
        </w:trPr>
        <w:tc>
          <w:tcPr>
            <w:tcW w:type="dxa" w:w="2304"/>
            <w:vAlign w:val="top"/>
          </w:tcPr>
          <w:p>
            <w:pPr>
              <w:spacing w:after="40" w:before="0" w:line="259" w:lineRule="auto"/>
            </w:pPr>
            <w:r>
              <w:rPr>
                <w:rFonts w:ascii="Calibri" w:hAnsi="Calibri"/>
                <w:b/>
                <w:i w:val="0"/>
                <w:color w:val="212121"/>
                <w:sz w:val="19"/>
              </w:rPr>
              <w:t>Irritability / poor attention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deficiency affects behaviour, mood and attention even before severe anaemia.</w:t>
            </w:r>
          </w:p>
        </w:tc>
      </w:tr>
      <w:tr>
        <w:trPr>
          <w:cantSplit/>
        </w:trPr>
        <w:tc>
          <w:tcPr>
            <w:tcW w:type="dxa" w:w="2304"/>
            <w:vAlign w:val="top"/>
          </w:tcPr>
          <w:p>
            <w:pPr>
              <w:spacing w:after="40" w:before="0" w:line="259" w:lineRule="auto"/>
            </w:pPr>
            <w:r>
              <w:rPr>
                <w:rFonts w:ascii="Calibri" w:hAnsi="Calibri"/>
                <w:b/>
                <w:i w:val="0"/>
                <w:color w:val="212121"/>
                <w:sz w:val="19"/>
              </w:rPr>
              <w:t>Poor appetite / poor feeding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perpetuates the deficiency and undernutrition.</w:t>
            </w:r>
          </w:p>
        </w:tc>
      </w:tr>
      <w:tr>
        <w:trPr>
          <w:cantSplit/>
        </w:trPr>
        <w:tc>
          <w:tcPr>
            <w:tcW w:type="dxa" w:w="2304"/>
            <w:vAlign w:val="top"/>
          </w:tcPr>
          <w:p>
            <w:pPr>
              <w:spacing w:after="40" w:before="0" w:line="259" w:lineRule="auto"/>
            </w:pPr>
            <w:r>
              <w:rPr>
                <w:rFonts w:ascii="Calibri" w:hAnsi="Calibri"/>
                <w:b/>
                <w:i w:val="0"/>
                <w:color w:val="212121"/>
                <w:sz w:val="19"/>
              </w:rPr>
              <w:t>Poor weight gain / faltering growth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Anaemia commonly accompanies growth faltering in this age group.</w:t>
            </w:r>
          </w:p>
        </w:tc>
      </w:tr>
      <w:tr>
        <w:trPr>
          <w:cantSplit/>
        </w:trPr>
        <w:tc>
          <w:tcPr>
            <w:tcW w:type="dxa" w:w="2304"/>
            <w:vAlign w:val="top"/>
          </w:tcPr>
          <w:p>
            <w:pPr>
              <w:spacing w:after="40" w:before="0" w:line="259" w:lineRule="auto"/>
            </w:pPr>
            <w:r>
              <w:rPr>
                <w:rFonts w:ascii="Calibri" w:hAnsi="Calibri"/>
                <w:b/>
                <w:i w:val="0"/>
                <w:color w:val="212121"/>
                <w:sz w:val="19"/>
              </w:rPr>
              <w:t>Frequent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Iron deficiency and anaemia impair immune function, increasing infection frequency.</w:t>
            </w:r>
          </w:p>
        </w:tc>
      </w:tr>
      <w:tr>
        <w:trPr>
          <w:cantSplit/>
        </w:trPr>
        <w:tc>
          <w:tcPr>
            <w:tcW w:type="dxa" w:w="2304"/>
            <w:vAlign w:val="top"/>
          </w:tcPr>
          <w:p>
            <w:pPr>
              <w:spacing w:after="40" w:before="0" w:line="259" w:lineRule="auto"/>
            </w:pPr>
            <w:r>
              <w:rPr>
                <w:rFonts w:ascii="Calibri" w:hAnsi="Calibri"/>
                <w:b/>
                <w:i w:val="0"/>
                <w:color w:val="212121"/>
                <w:sz w:val="19"/>
              </w:rPr>
              <w:t>Pica (eating soil, chalk, 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Craving non-food items is a classic clue to iron deficiency.</w:t>
            </w:r>
          </w:p>
        </w:tc>
      </w:tr>
      <w:tr>
        <w:trPr>
          <w:cantSplit/>
        </w:trPr>
        <w:tc>
          <w:tcPr>
            <w:tcW w:type="dxa" w:w="2304"/>
            <w:vAlign w:val="top"/>
          </w:tcPr>
          <w:p>
            <w:pPr>
              <w:spacing w:after="40" w:before="0" w:line="259" w:lineRule="auto"/>
            </w:pPr>
            <w:r>
              <w:rPr>
                <w:rFonts w:ascii="Calibri" w:hAnsi="Calibri"/>
                <w:b/>
                <w:i w:val="0"/>
                <w:color w:val="212121"/>
                <w:sz w:val="19"/>
              </w:rPr>
              <w:t>Breathlessness / fast breathing on feeding or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Compensatory response to reduced oxygen-carrying capacity.</w:t>
            </w:r>
          </w:p>
        </w:tc>
      </w:tr>
      <w:tr>
        <w:trPr>
          <w:cantSplit/>
        </w:trPr>
        <w:tc>
          <w:tcPr>
            <w:tcW w:type="dxa" w:w="2304"/>
            <w:vAlign w:val="top"/>
          </w:tcPr>
          <w:p>
            <w:pPr>
              <w:spacing w:after="40" w:before="0" w:line="259" w:lineRule="auto"/>
            </w:pPr>
            <w:r>
              <w:rPr>
                <w:rFonts w:ascii="Calibri" w:hAnsi="Calibri"/>
                <w:b/>
                <w:i w:val="0"/>
                <w:color w:val="212121"/>
                <w:sz w:val="19"/>
              </w:rPr>
              <w:t>Delayed developmental milestones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Motor and cognitive milestones may lag with moderate-severe or chronic anaemia.</w:t>
            </w:r>
          </w:p>
        </w:tc>
      </w:tr>
      <w:tr>
        <w:trPr>
          <w:cantSplit/>
        </w:trPr>
        <w:tc>
          <w:tcPr>
            <w:tcW w:type="dxa" w:w="2304"/>
            <w:vAlign w:val="top"/>
          </w:tcPr>
          <w:p>
            <w:pPr>
              <w:spacing w:after="40" w:before="0" w:line="259" w:lineRule="auto"/>
            </w:pPr>
            <w:r>
              <w:rPr>
                <w:rFonts w:ascii="Calibri" w:hAnsi="Calibri"/>
                <w:b/>
                <w:i w:val="0"/>
                <w:color w:val="212121"/>
                <w:sz w:val="19"/>
              </w:rPr>
              <w:t>Restless or disturbed sleep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Iron deficiency is linked to restless-legs-type disturbance and poor sleep.</w:t>
            </w:r>
          </w:p>
        </w:tc>
      </w:tr>
      <w:tr>
        <w:trPr>
          <w:cantSplit/>
        </w:trPr>
        <w:tc>
          <w:tcPr>
            <w:tcW w:type="dxa" w:w="2304"/>
            <w:vAlign w:val="top"/>
          </w:tcPr>
          <w:p>
            <w:pPr>
              <w:spacing w:after="40" w:before="0" w:line="259" w:lineRule="auto"/>
            </w:pPr>
            <w:r>
              <w:rPr>
                <w:rFonts w:ascii="Calibri" w:hAnsi="Calibri"/>
                <w:b/>
                <w:i w:val="0"/>
                <w:color w:val="212121"/>
                <w:sz w:val="19"/>
              </w:rPr>
              <w:t>Jaundice (yellow eyes/skin)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 haemolytic cause such as thalassaemia, sickle cell disease or G6PD deficiency.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and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marker of anaemia; more reliable for moderate-severe disease.</w:t>
            </w:r>
          </w:p>
        </w:tc>
      </w:tr>
      <w:tr>
        <w:trPr>
          <w:cantSplit/>
        </w:trPr>
        <w:tc>
          <w:tcPr>
            <w:tcW w:type="dxa" w:w="3456"/>
            <w:vAlign w:val="top"/>
          </w:tcPr>
          <w:p>
            <w:pPr>
              <w:spacing w:after="40" w:before="0" w:line="259" w:lineRule="auto"/>
            </w:pPr>
            <w:r>
              <w:rPr>
                <w:rFonts w:ascii="Calibri" w:hAnsi="Calibri"/>
                <w:b/>
                <w:i w:val="0"/>
                <w:color w:val="212121"/>
                <w:sz w:val="19"/>
              </w:rPr>
              <w:t>Pallor of tongue and nail beds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Mucosal and nail-bed pallor supports the clinical impression.</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increase in heart rate to maintain oxygen delivery.</w:t>
            </w:r>
          </w:p>
        </w:tc>
      </w:tr>
      <w:tr>
        <w:trPr>
          <w:cantSplit/>
        </w:trPr>
        <w:tc>
          <w:tcPr>
            <w:tcW w:type="dxa" w:w="3456"/>
            <w:vAlign w:val="top"/>
          </w:tcPr>
          <w:p>
            <w:pPr>
              <w:spacing w:after="40" w:before="0" w:line="259" w:lineRule="auto"/>
            </w:pPr>
            <w:r>
              <w:rPr>
                <w:rFonts w:ascii="Calibri" w:hAnsi="Calibri"/>
                <w:b/>
                <w:i w:val="0"/>
                <w:color w:val="212121"/>
                <w:sz w:val="19"/>
              </w:rPr>
              <w:t>Systolic (haemic) flow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ejection murmur from hyperdynamic circulation in anaemia.</w:t>
            </w:r>
          </w:p>
        </w:tc>
      </w:tr>
      <w:tr>
        <w:trPr>
          <w:cantSplit/>
        </w:trPr>
        <w:tc>
          <w:tcPr>
            <w:tcW w:type="dxa" w:w="3456"/>
            <w:vAlign w:val="top"/>
          </w:tcPr>
          <w:p>
            <w:pPr>
              <w:spacing w:after="40" w:before="0" w:line="259" w:lineRule="auto"/>
            </w:pPr>
            <w:r>
              <w:rPr>
                <w:rFonts w:ascii="Calibri" w:hAnsi="Calibri"/>
                <w:b/>
                <w:i w:val="0"/>
                <w:color w:val="212121"/>
                <w:sz w:val="19"/>
              </w:rPr>
              <w:t>Growth faltering / stunting /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Frequently coexists with anaemia owing to shared undernutrition.</w:t>
            </w:r>
          </w:p>
        </w:tc>
      </w:tr>
      <w:tr>
        <w:trPr>
          <w:cantSplit/>
        </w:trPr>
        <w:tc>
          <w:tcPr>
            <w:tcW w:type="dxa" w:w="3456"/>
            <w:vAlign w:val="top"/>
          </w:tcPr>
          <w:p>
            <w:pPr>
              <w:spacing w:after="40" w:before="0" w:line="259" w:lineRule="auto"/>
            </w:pPr>
            <w:r>
              <w:rPr>
                <w:rFonts w:ascii="Calibri" w:hAnsi="Calibri"/>
                <w:b/>
                <w:i w:val="0"/>
                <w:color w:val="212121"/>
                <w:sz w:val="19"/>
              </w:rPr>
              <w:t>Koilonychia (spoon-shaped nails)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chronic iron deficiency; less common in very young children.</w:t>
            </w:r>
          </w:p>
        </w:tc>
      </w:tr>
      <w:tr>
        <w:trPr>
          <w:cantSplit/>
        </w:trPr>
        <w:tc>
          <w:tcPr>
            <w:tcW w:type="dxa" w:w="3456"/>
            <w:vAlign w:val="top"/>
          </w:tcPr>
          <w:p>
            <w:pPr>
              <w:spacing w:after="40" w:before="0" w:line="259" w:lineRule="auto"/>
            </w:pPr>
            <w:r>
              <w:rPr>
                <w:rFonts w:ascii="Calibri" w:hAnsi="Calibri"/>
                <w:b/>
                <w:i w:val="0"/>
                <w:color w:val="212121"/>
                <w:sz w:val="19"/>
              </w:rPr>
              <w:t>Glossitis / angular stomatitis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Smooth tongue and mouth-corner cracks in iron or B12 deficiency.</w:t>
            </w:r>
          </w:p>
        </w:tc>
      </w:tr>
      <w:tr>
        <w:trPr>
          <w:cantSplit/>
        </w:trPr>
        <w:tc>
          <w:tcPr>
            <w:tcW w:type="dxa" w:w="3456"/>
            <w:vAlign w:val="top"/>
          </w:tcPr>
          <w:p>
            <w:pPr>
              <w:spacing w:after="40" w:before="0" w:line="259" w:lineRule="auto"/>
            </w:pPr>
            <w:r>
              <w:rPr>
                <w:rFonts w:ascii="Calibri" w:hAnsi="Calibri"/>
                <w:b/>
                <w:i w:val="0"/>
                <w:color w:val="212121"/>
                <w:sz w:val="19"/>
              </w:rPr>
              <w:t>Hepatosplenomegaly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thalassaemia, other haemolysis, or malaria rather than simple iron deficiency.</w:t>
            </w:r>
          </w:p>
        </w:tc>
      </w:tr>
      <w:tr>
        <w:trPr>
          <w:cantSplit/>
        </w:trPr>
        <w:tc>
          <w:tcPr>
            <w:tcW w:type="dxa" w:w="3456"/>
            <w:vAlign w:val="top"/>
          </w:tcPr>
          <w:p>
            <w:pPr>
              <w:spacing w:after="40" w:before="0" w:line="259" w:lineRule="auto"/>
            </w:pPr>
            <w:r>
              <w:rPr>
                <w:rFonts w:ascii="Calibri" w:hAnsi="Calibri"/>
                <w:b/>
                <w:i w:val="0"/>
                <w:color w:val="212121"/>
                <w:sz w:val="19"/>
              </w:rPr>
              <w:t>Delayed developmental milestones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motor/cognitive delay in chronic moderate-severe anaemia.</w:t>
            </w:r>
          </w:p>
        </w:tc>
      </w:tr>
      <w:tr>
        <w:trPr>
          <w:cantSplit/>
        </w:trPr>
        <w:tc>
          <w:tcPr>
            <w:tcW w:type="dxa" w:w="3456"/>
            <w:vAlign w:val="top"/>
          </w:tcPr>
          <w:p>
            <w:pPr>
              <w:spacing w:after="40" w:before="0" w:line="259" w:lineRule="auto"/>
            </w:pPr>
            <w:r>
              <w:rPr>
                <w:rFonts w:ascii="Calibri" w:hAnsi="Calibri"/>
                <w:b/>
                <w:i w:val="0"/>
                <w:color w:val="212121"/>
                <w:sz w:val="19"/>
              </w:rPr>
              <w:t>Signs of high-output cardiac failure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Tachypnoea, hepatomegaly, gallop and oedema in severe anaemia (Hb &lt; 5–7 g/dL)—an emergency.</w:t>
            </w:r>
          </w:p>
        </w:tc>
      </w:tr>
      <w:tr>
        <w:trPr>
          <w:cantSplit/>
        </w:trPr>
        <w:tc>
          <w:tcPr>
            <w:tcW w:type="dxa" w:w="3456"/>
            <w:vAlign w:val="top"/>
          </w:tcPr>
          <w:p>
            <w:pPr>
              <w:spacing w:after="40" w:before="0" w:line="259" w:lineRule="auto"/>
            </w:pPr>
            <w:r>
              <w:rPr>
                <w:rFonts w:ascii="Calibri" w:hAnsi="Calibri"/>
                <w:b/>
                <w:i w:val="0"/>
                <w:color w:val="212121"/>
                <w:sz w:val="19"/>
              </w:rPr>
              <w:t>Frontal bossing / thalassaemic facies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Marrow expansion in untreated β-thalassaemia major.</w:t>
            </w:r>
          </w:p>
        </w:tc>
      </w:tr>
      <w:tr>
        <w:trPr>
          <w:cantSplit/>
        </w:trPr>
        <w:tc>
          <w:tcPr>
            <w:tcW w:type="dxa" w:w="3456"/>
            <w:vAlign w:val="top"/>
          </w:tcPr>
          <w:p>
            <w:pPr>
              <w:spacing w:after="40" w:before="0" w:line="259" w:lineRule="auto"/>
            </w:pPr>
            <w:r>
              <w:rPr>
                <w:rFonts w:ascii="Calibri" w:hAnsi="Calibri"/>
                <w:b/>
                <w:i w:val="0"/>
                <w:color w:val="212121"/>
                <w:sz w:val="19"/>
              </w:rPr>
              <w:t>Jaundice / scleral icterus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a haemolytic anaemia.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anaemia (Hb &lt; 7 g/dL) with tissue hypoxia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cardiac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decompensation with intercurrent infection or malaria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blood transfusion</w:t>
            </w:r>
          </w:p>
        </w:tc>
        <w:tc>
          <w:tcPr>
            <w:tcW w:type="dxa" w:w="2980"/>
            <w:vAlign w:val="top"/>
          </w:tcPr>
          <w:p>
            <w:pPr>
              <w:spacing w:after="40" w:before="0" w:line="259" w:lineRule="auto"/>
            </w:pPr>
            <w:r>
              <w:rPr>
                <w:rFonts w:ascii="Calibri" w:hAnsi="Calibri"/>
                <w:b w:val="0"/>
                <w:i w:val="0"/>
                <w:color w:val="212121"/>
                <w:sz w:val="19"/>
              </w:rPr>
              <w:t>Direct consequences of a critically low oxygen-carrying capacity in a young child.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cognitive and psychomotor (motor)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stunting and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immunity with recurrent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physical activity, exploration and play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school readiness</w:t>
            </w:r>
          </w:p>
        </w:tc>
        <w:tc>
          <w:tcPr>
            <w:tcW w:type="dxa" w:w="2980"/>
            <w:vAlign w:val="top"/>
          </w:tcPr>
          <w:p>
            <w:pPr>
              <w:spacing w:after="40" w:before="0" w:line="259" w:lineRule="auto"/>
            </w:pPr>
            <w:r>
              <w:rPr>
                <w:rFonts w:ascii="Calibri" w:hAnsi="Calibri"/>
                <w:b w:val="0"/>
                <w:i w:val="0"/>
                <w:color w:val="212121"/>
                <w:sz w:val="19"/>
              </w:rPr>
              <w:t>Effects of chronic anaemia and iron deficiency during the critical first-1000-days window; WHO notes severe anaemia can cause poor cognitive and motor development.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 potentially irreversible cognitive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 educational attainment and school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adult work capacity and economic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under-five morbidity and mortality</w:t>
            </w:r>
          </w:p>
        </w:tc>
        <w:tc>
          <w:tcPr>
            <w:tcW w:type="dxa" w:w="2980"/>
            <w:vAlign w:val="top"/>
          </w:tcPr>
          <w:p>
            <w:pPr>
              <w:spacing w:after="40" w:before="0" w:line="259" w:lineRule="auto"/>
            </w:pPr>
            <w:r>
              <w:rPr>
                <w:rFonts w:ascii="Calibri" w:hAnsi="Calibri"/>
                <w:b w:val="0"/>
                <w:i w:val="0"/>
                <w:color w:val="212121"/>
                <w:sz w:val="19"/>
              </w:rPr>
              <w:t>Persistent, hard-to-reverse outcomes when early-childhood anaemia is untreated, with lifelong human-capital and economic costs.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 deficiency (without/with 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The predominant nutritional cause; iron-deficiency and anaemia share the same pathway and iron deficiency exists on a spectrum before overt anaemia.</w:t>
            </w:r>
          </w:p>
        </w:tc>
      </w:tr>
      <w:tr>
        <w:trPr>
          <w:cantSplit/>
        </w:trPr>
        <w:tc>
          <w:tcPr>
            <w:tcW w:type="dxa" w:w="2232"/>
            <w:vAlign w:val="top"/>
          </w:tcPr>
          <w:p>
            <w:pPr>
              <w:spacing w:after="40" w:before="0" w:line="259" w:lineRule="auto"/>
            </w:pPr>
            <w:r>
              <w:rPr>
                <w:rFonts w:ascii="Calibri" w:hAnsi="Calibri"/>
                <w:b/>
                <w:i w:val="0"/>
                <w:color w:val="212121"/>
                <w:sz w:val="19"/>
              </w:rPr>
              <w:t>Vitamin B12 &amp; folate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cereal-based, largely vegetarian weaning diets; cause megaloblastic anaemia and often coexist with iron deficiency (dimorphic anaemia).</w:t>
            </w:r>
          </w:p>
        </w:tc>
      </w:tr>
      <w:tr>
        <w:trPr>
          <w:cantSplit/>
        </w:trPr>
        <w:tc>
          <w:tcPr>
            <w:tcW w:type="dxa" w:w="2232"/>
            <w:vAlign w:val="top"/>
          </w:tcPr>
          <w:p>
            <w:pPr>
              <w:spacing w:after="40" w:before="0" w:line="259" w:lineRule="auto"/>
            </w:pPr>
            <w:r>
              <w:rPr>
                <w:rFonts w:ascii="Calibri" w:hAnsi="Calibri"/>
                <w:b/>
                <w:i w:val="0"/>
                <w:color w:val="212121"/>
                <w:sz w:val="19"/>
              </w:rPr>
              <w:t>Protein-energy malnutrition (stunting/wasting)</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Shares poverty and dietary roots with anaemia; each worsens the other's severity and developmental impact.</w:t>
            </w:r>
          </w:p>
        </w:tc>
      </w:tr>
      <w:tr>
        <w:trPr>
          <w:cantSplit/>
        </w:trPr>
        <w:tc>
          <w:tcPr>
            <w:tcW w:type="dxa" w:w="2232"/>
            <w:vAlign w:val="top"/>
          </w:tcPr>
          <w:p>
            <w:pPr>
              <w:spacing w:after="40" w:before="0" w:line="259" w:lineRule="auto"/>
            </w:pPr>
            <w:r>
              <w:rPr>
                <w:rFonts w:ascii="Calibri" w:hAnsi="Calibri"/>
                <w:b/>
                <w:i w:val="0"/>
                <w:color w:val="212121"/>
                <w:sz w:val="19"/>
              </w:rPr>
              <w:t>β-Thalassaemia (trait &amp; major)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inherited microcytic anaemia in India; mimics and coexists with iron deficiency and alters diagnosis and management.</w:t>
            </w:r>
          </w:p>
        </w:tc>
      </w:tr>
      <w:tr>
        <w:trPr>
          <w:cantSplit/>
        </w:trPr>
        <w:tc>
          <w:tcPr>
            <w:tcW w:type="dxa" w:w="2232"/>
            <w:vAlign w:val="top"/>
          </w:tcPr>
          <w:p>
            <w:pPr>
              <w:spacing w:after="40" w:before="0" w:line="259" w:lineRule="auto"/>
            </w:pPr>
            <w:r>
              <w:rPr>
                <w:rFonts w:ascii="Calibri" w:hAnsi="Calibri"/>
                <w:b/>
                <w:i w:val="0"/>
                <w:color w:val="212121"/>
                <w:sz w:val="19"/>
              </w:rPr>
              <w:t>Sickle cell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Concentrated in the central-east tribal belt; a chronic haemolytic anaemia complicating and compounding childhood anaemia.</w:t>
            </w:r>
          </w:p>
        </w:tc>
      </w:tr>
      <w:tr>
        <w:trPr>
          <w:cantSplit/>
        </w:trPr>
        <w:tc>
          <w:tcPr>
            <w:tcW w:type="dxa" w:w="2232"/>
            <w:vAlign w:val="top"/>
          </w:tcPr>
          <w:p>
            <w:pPr>
              <w:spacing w:after="40" w:before="0" w:line="259" w:lineRule="auto"/>
            </w:pPr>
            <w:r>
              <w:rPr>
                <w:rFonts w:ascii="Calibri" w:hAnsi="Calibri"/>
                <w:b/>
                <w:i w:val="0"/>
                <w:color w:val="212121"/>
                <w:sz w:val="19"/>
              </w:rPr>
              <w:t>G6PD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X-linked enzyme defect causing episodic haemolytic anaemia triggered by infection, oxidant drugs or fava beans.</w:t>
            </w:r>
          </w:p>
        </w:tc>
      </w:tr>
      <w:tr>
        <w:trPr>
          <w:cantSplit/>
        </w:trPr>
        <w:tc>
          <w:tcPr>
            <w:tcW w:type="dxa" w:w="2232"/>
            <w:vAlign w:val="top"/>
          </w:tcPr>
          <w:p>
            <w:pPr>
              <w:spacing w:after="40" w:before="0" w:line="259" w:lineRule="auto"/>
            </w:pPr>
            <w:r>
              <w:rPr>
                <w:rFonts w:ascii="Calibri" w:hAnsi="Calibri"/>
                <w:b/>
                <w:i w:val="0"/>
                <w:color w:val="212121"/>
                <w:sz w:val="19"/>
              </w:rPr>
              <w:t>Helminthiasis (hookworm)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intestinal blood loss is a leading treatable cause; periodic deworming is core to anaemia control.</w:t>
            </w:r>
          </w:p>
        </w:tc>
      </w:tr>
      <w:tr>
        <w:trPr>
          <w:cantSplit/>
        </w:trPr>
        <w:tc>
          <w:tcPr>
            <w:tcW w:type="dxa" w:w="2232"/>
            <w:vAlign w:val="top"/>
          </w:tcPr>
          <w:p>
            <w:pPr>
              <w:spacing w:after="40" w:before="0" w:line="259" w:lineRule="auto"/>
            </w:pPr>
            <w:r>
              <w:rPr>
                <w:rFonts w:ascii="Calibri" w:hAnsi="Calibri"/>
                <w:b/>
                <w:i w:val="0"/>
                <w:color w:val="212121"/>
                <w:sz w:val="19"/>
              </w:rPr>
              <w:t>Malaria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haemolysis and dyserythropoiesis; anaemia in turn raises vulnerability, and endemic malaria worsens community anaemia burden.</w:t>
            </w:r>
          </w:p>
        </w:tc>
      </w:tr>
      <w:tr>
        <w:trPr>
          <w:cantSplit/>
        </w:trPr>
        <w:tc>
          <w:tcPr>
            <w:tcW w:type="dxa" w:w="2232"/>
            <w:vAlign w:val="top"/>
          </w:tcPr>
          <w:p>
            <w:pPr>
              <w:spacing w:after="40" w:before="0" w:line="259" w:lineRule="auto"/>
            </w:pPr>
            <w:r>
              <w:rPr>
                <w:rFonts w:ascii="Calibri" w:hAnsi="Calibri"/>
                <w:b/>
                <w:i w:val="0"/>
                <w:color w:val="212121"/>
                <w:sz w:val="19"/>
              </w:rPr>
              <w:t>Recurrent diarrhoea &amp; environmental enteropathy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enteric infection impairs iron absorption and causes anaemia of inflammation, while anaemia weakens mucosal immunity.</w:t>
            </w:r>
          </w:p>
        </w:tc>
      </w:tr>
      <w:tr>
        <w:trPr>
          <w:cantSplit/>
        </w:trPr>
        <w:tc>
          <w:tcPr>
            <w:tcW w:type="dxa" w:w="2232"/>
            <w:vAlign w:val="top"/>
          </w:tcPr>
          <w:p>
            <w:pPr>
              <w:spacing w:after="40" w:before="0" w:line="259" w:lineRule="auto"/>
            </w:pPr>
            <w:r>
              <w:rPr>
                <w:rFonts w:ascii="Calibri" w:hAnsi="Calibri"/>
                <w:b/>
                <w:i w:val="0"/>
                <w:color w:val="212121"/>
                <w:sz w:val="19"/>
              </w:rPr>
              <w:t>Low birth weight / prematurity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iron endowment at birth predisposes to early iron-deficiency anaemia requiring earlier supplementation.</w:t>
            </w:r>
          </w:p>
        </w:tc>
      </w:tr>
      <w:tr>
        <w:trPr>
          <w:cantSplit/>
        </w:trPr>
        <w:tc>
          <w:tcPr>
            <w:tcW w:type="dxa" w:w="2232"/>
            <w:vAlign w:val="top"/>
          </w:tcPr>
          <w:p>
            <w:pPr>
              <w:spacing w:after="40" w:before="0" w:line="259" w:lineRule="auto"/>
            </w:pPr>
            <w:r>
              <w:rPr>
                <w:rFonts w:ascii="Calibri" w:hAnsi="Calibri"/>
                <w:b/>
                <w:i w:val="0"/>
                <w:color w:val="212121"/>
                <w:sz w:val="19"/>
              </w:rPr>
              <w:t>Maternal anaemia in pregnancy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Lowers fetal iron stores and predisposes the infant to anaemia, perpetuating an intergenerational cycle.</w:t>
            </w:r>
          </w:p>
        </w:tc>
      </w:tr>
      <w:tr>
        <w:trPr>
          <w:cantSplit/>
        </w:trPr>
        <w:tc>
          <w:tcPr>
            <w:tcW w:type="dxa" w:w="2232"/>
            <w:vAlign w:val="top"/>
          </w:tcPr>
          <w:p>
            <w:pPr>
              <w:spacing w:after="40" w:before="0" w:line="259" w:lineRule="auto"/>
            </w:pPr>
            <w:r>
              <w:rPr>
                <w:rFonts w:ascii="Calibri" w:hAnsi="Calibri"/>
                <w:b/>
                <w:i w:val="0"/>
                <w:color w:val="212121"/>
                <w:sz w:val="19"/>
              </w:rPr>
              <w:t>Lead poisoning</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Interferes with haem synthesis and iron deficiency increases lead absorption, so the two aggravate each other.</w:t>
            </w:r>
          </w:p>
        </w:tc>
      </w:tr>
      <w:tr>
        <w:trPr>
          <w:cantSplit/>
        </w:trPr>
        <w:tc>
          <w:tcPr>
            <w:tcW w:type="dxa" w:w="2232"/>
            <w:vAlign w:val="top"/>
          </w:tcPr>
          <w:p>
            <w:pPr>
              <w:spacing w:after="40" w:before="0" w:line="259" w:lineRule="auto"/>
            </w:pPr>
            <w:r>
              <w:rPr>
                <w:rFonts w:ascii="Calibri" w:hAnsi="Calibri"/>
                <w:b/>
                <w:i w:val="0"/>
                <w:color w:val="212121"/>
                <w:sz w:val="19"/>
              </w:rPr>
              <w:t>Impaired cognitive/motor development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as a consequence of moderate-severe or chronic early-childhood anaemia and shapes long-term prognosis.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caregivers to start complementary feeding at 6 months while continuing breastfeeding, with iron-rich, diverse foods at least 3–4 times a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uptake of the Anemia Mukt Bharat prophylactic IFA syrup (biweekly) and biannual deworming (albendazole) for children 6–59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against giving cow/buffalo milk before 12 months and against tea/coffee with meals (tannins block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recognition of danger signs (marked pallor, breathlessness, poor feeding, lethargy) and the need for timely Hb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handwashing, safe drinking water, sanitation and use of footwear (to prevent hookworm) as part of anaemia prevention.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delayed umbilical cord clamping at birth and antenatal iron for mothers to build the infant's iron stores.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caregivers of under-fives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&amp; food-insecure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&amp; high-burden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with low schooling</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iron-rich complementary foods: green leafy vegetables, pulses/dals, whole grains and millets (ragi/bajra/jowar), jaggery, and — where acceptable — egg, meat, fish or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iron-rich meals with vitamin-C foods (amla, guava, citrus, tomato) to boost non-heme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fortified foods where available (iron-fortified cereals, double-fortified salt) and continue breastfeeding through the second 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diversity (≥ 5 of 8 food groups) and avoid milk-only or heavily cereal-based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tea/coffee and excessive cow's milk, which reduce iron absorption and availability.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6–23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Vegetarian-diet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Milk-dependent toddlers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confirmed iron-deficiency anaemia with therapeutic oral iron (about 3 mg/kg/day elemental iron) for 8–12 weeks, then reassess haemoglobin.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a reticulocyte response within 5–7 days and a rising Hb; continue iron 2–3 months after normalisation to replenish stores.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vitamin B12 and/or folate when megaloblastic or dimorphic anaemia is diagnosed.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Deworm (albendazole) and treat malaria/infection where present so iron therapy can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Investigate and refer children who fail to respond to iron (suspect thalassaemia, ongoing loss or malabsorption) and manage severe anaemia (Hb &lt; 7) urgently with possible transfusion.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confirmed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Non-responders to iron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anaemia (Hb &lt; 7)</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Haemoglobinopathy suspects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age-appropriate active play, floor time and outdoor exposure to support motor development and overall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routine growth monitoring (weight/height-for-age) to detect faltering that often accompanies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responsive, stimulating caregiving alongside nutrition to protect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under-fives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growth faltering</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age-appropriate sleep to support growth-hormone-driven growth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restless or disturbed sleep, which may accompany iron deficiency, as part of overall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toddlers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the child's exposure to second-hand tobacco smoke in the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against tobacco use in pregnancy to reduce low-birth-weight risk and its associated low iron stores.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kitchen ventilation and shift to clean cooking fuels to reduce biomass-smoke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lactating mothers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avoidance of alcohol during pregnancy and lactation to protect fetal growth and prevent low birth 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lactating mothers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support maternal/postpartum depression, which is linked to poorer infant feeding and higher child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responsive feeding and reduce caregiver stress to improve the quality and quantity of the child's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families to community health workers (ASHA/Anganwadi) for ongoing feeding and mental-health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of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 or stressed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Low-support households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nemiamuktbharat.info/home/about-amb/" TargetMode="External"/><Relationship Id="rId10" Type="http://schemas.openxmlformats.org/officeDocument/2006/relationships/hyperlink" Target="https://www.who.int/data/gho/data/themes/topics/anaemia_in_women_and_children" TargetMode="External"/><Relationship Id="rId11" Type="http://schemas.openxmlformats.org/officeDocument/2006/relationships/hyperlink" Target="https://www.who.int/news-room/fact-sheets/detail/anaemia" TargetMode="External"/><Relationship Id="rId12" Type="http://schemas.openxmlformats.org/officeDocument/2006/relationships/hyperlink" Target="https://www.who.int/publications/i/item/9789240088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