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Sickle Cell Disease</w:t>
      </w:r>
    </w:p>
    <w:p>
      <w:pPr>
        <w:spacing w:before="0" w:after="160"/>
      </w:pPr>
      <w:r>
        <w:rPr>
          <w:rFonts w:ascii="Calibri" w:hAnsi="Calibri"/>
          <w:b/>
          <w:i w:val="0"/>
          <w:color w:val="212121"/>
          <w:sz w:val="22"/>
        </w:rPr>
        <w:t xml:space="preserve">AKA </w:t>
      </w:r>
      <w:r>
        <w:rPr>
          <w:rFonts w:ascii="Calibri" w:hAnsi="Calibri"/>
          <w:b w:val="0"/>
          <w:i w:val="0"/>
          <w:color w:val="212121"/>
          <w:sz w:val="22"/>
        </w:rPr>
        <w:t>i.e., Sickle Cell Anaemia, Sickle Cell Anemia, SCD, HbSS Disease, Drepanocytosis, Sickle Cell Rog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Sickle cell disease (SCD) is an inherited, autosomal-recessive group of haemoglobin disorders caused by a single point mutation in the beta-globin gene (HBB, p.Glu6Val) that produces abnormal haemoglobin S (HbS). When deoxygenated, dehydrated or acidotic, HbS polymerises and distorts red blood cells into rigid, sickle-shaped cells that haemolyse prematurely and obstruct small blood vessels. The result is lifelong haemolytic anaemia, recurrent painful vaso-occlusive crises and progressive ischaemic damage to virtually every organ. The commonest and most severe form is homozygous HbSS (sickle cell anaemia).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Sickle cell disease is one of India's most common inherited haemoglobin disorders and is heavily concentrated in tribal (Scheduled Tribe) and central-Indian populations. The sickle cell trait ranges from about 1 to 40 per cent across different tribal communities, and pooled tribal birth prevalence is roughly 1,482 SCD cases and 11,600 carriers per 100,000 neonates, versus near-zero in most non-tribal groups. Under the National Sickle Cell Anaemia Elimination Mission (launched 2023, targeting elimination by 2047), about 6 crore (60 million) people had been screened by mid-2025, with over 2.15 lakh diagnosed with SCD and over 16 lakh carriers identified, chiefly in the high-burden states of Odisha, Chhattisgarh, Madhya Pradesh, Maharashtra and Gujarat.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Sickle cell disease is diagnosed by demonstrating haemoglobin S and defining the exact genotype; screening tests are always confirmed by a definitive haemoglobin assay and, where needed, molecular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Solubility / sickling test: a positive turbidity (Itano) or sickling test screens for HbS but cannot distinguish trait (HbAS) from disease and must be confirmed;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High-performance liquid chromatography (HPLC) or haemoglobin electrophoresis: the definitive assay quantifying HbS, HbA, HbF and HbA2 and establishing the genotype;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HbSS (sickle cell anaemia): HbS predominant, HbA absent, HbF variable, HbA2 normal; HbS/beta-0-thalassaemia: HbA absent with HbA2 &gt; 3.5%; HbS/beta+-thalassaemia: some HbA present but less than HbS; HbSC: roughly equal HbS and HbC;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Complete blood count and peripheral smear: normocytic anaemia with reticulocytosis, sickle cells, target cells and Howell-Jolly bodies (functional asplenia);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Newborn screening on dried blood spots by HPLC or isoelectric focusing, with confirmatory testing within about four weeks for any HbS-positive result;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 / DNA analysis (HBB sequencing) confirms the p.Glu6Val variant and detects co-inherited beta-thalassaemia or other variants when the phenotype is ambiguous.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Sickle cell disease is not a single entity but a spectrum defined by the second beta-globin allele inherited alongside HbS; severity varies widely with genotype and genetic modifiers:</w:t>
      </w:r>
    </w:p>
    <w:p>
      <w:pPr>
        <w:spacing w:before="0" w:after="80"/>
      </w:pPr>
      <w:r>
        <w:rPr>
          <w:rFonts w:ascii="Calibri" w:hAnsi="Calibri"/>
          <w:b w:val="0"/>
          <w:i w:val="0"/>
          <w:color w:val="212121"/>
          <w:sz w:val="21"/>
        </w:rPr>
        <w:t>(1) HbSS (sickle cell anaemia) - homozygous inheritance of HbS from both parents; the most common and generally most severe form, with the greatest haemolysis and vaso-occlusive burden.</w:t>
      </w:r>
    </w:p>
    <w:p>
      <w:pPr>
        <w:spacing w:before="0" w:after="80"/>
      </w:pPr>
      <w:r>
        <w:rPr>
          <w:rFonts w:ascii="Calibri" w:hAnsi="Calibri"/>
          <w:b w:val="0"/>
          <w:i w:val="0"/>
          <w:color w:val="212121"/>
          <w:sz w:val="21"/>
        </w:rPr>
        <w:t>(2) HbS/beta-thalassaemia - co-inheritance of HbS with a beta-thalassaemia allele; HbS/beta-0-thalassaemia behaves clinically like HbSS, while HbS/beta+-thalassaemia (which retains some normal HbA) is usually milder.</w:t>
      </w:r>
    </w:p>
    <w:p>
      <w:pPr>
        <w:spacing w:before="0" w:after="80"/>
      </w:pPr>
      <w:r>
        <w:rPr>
          <w:rFonts w:ascii="Calibri" w:hAnsi="Calibri"/>
          <w:b w:val="0"/>
          <w:i w:val="0"/>
          <w:color w:val="212121"/>
          <w:sz w:val="21"/>
        </w:rPr>
        <w:t>(3) HbSC disease - compound heterozygosity for HbS and HbC; overall milder anaemia but a characteristically high burden of proliferative retinopathy, avascular necrosis and splenic complications.</w:t>
      </w:r>
    </w:p>
    <w:p>
      <w:pPr>
        <w:spacing w:before="0" w:after="80"/>
      </w:pPr>
      <w:r>
        <w:rPr>
          <w:rFonts w:ascii="Calibri" w:hAnsi="Calibri"/>
          <w:b w:val="0"/>
          <w:i w:val="0"/>
          <w:color w:val="212121"/>
          <w:sz w:val="21"/>
        </w:rPr>
        <w:t>(4) Other compound heterozygous states - HbS/D-Punjab, HbS/E and HbS/O-Arab, of variable severity; HbS/D-Punjab is relevant in north-west India and can be moderately severe.</w:t>
      </w:r>
    </w:p>
    <w:p>
      <w:pPr>
        <w:spacing w:before="0" w:after="80"/>
      </w:pPr>
      <w:r>
        <w:rPr>
          <w:rFonts w:ascii="Calibri" w:hAnsi="Calibri"/>
          <w:b w:val="0"/>
          <w:i w:val="0"/>
          <w:color w:val="212121"/>
          <w:sz w:val="21"/>
        </w:rPr>
        <w:t>(5) Sickle cell trait (HbAS) - the heterozygous carrier state; usually asymptomatic and NOT a disease, but can rarely cause haematuria, renal medullary problems and exertional sickling under extreme hypoxia, dehydration or high altitude.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mutation: A single point mutation in the beta-globin gene (HBB, Glu6Val) is inherited autosomal-recessively; homozygosity (HbSS) or compound heterozygosity with another beta-chain defect produces clinical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HbS polymerisation: On deoxygenation, dehydration or acidosis, HbS polymerises into rigid fibres that deform red cells, causing haemolysis and microvascular occlusion - the core mechanism of every acute and chronic complication.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Consanguinity and endogamy: High rates of within-community and consanguineous marriage in many tribal populations raise the chance of two carriers pairing and of homozygous births.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Carrier parents: When both parents carry HbS, each pregnancy carries a 25% risk of an affected child and a 50% risk of a carrier child.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modifiers: Baseline fetal haemoglobin (HbF) level, co-inherited alpha-thalassaemia and the Arab-Indian beta-globin haplotype modulate severity - higher HbF and alpha-thalassaemia tend to make Indian disease somewhat milder.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Precipitating triggers: Hypoxia, dehydration, infection, cold exposure, physical or emotional stress and high altitude convert steady-state disease into acute vaso-occlusive crises.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and young children</w:t>
            </w:r>
          </w:p>
        </w:tc>
        <w:tc>
          <w:tcPr>
            <w:tcW w:type="dxa" w:w="4276"/>
            <w:vAlign w:val="top"/>
          </w:tcPr>
          <w:p>
            <w:pPr>
              <w:spacing w:after="60" w:line="259" w:lineRule="auto"/>
            </w:pPr>
            <w:r>
              <w:rPr>
                <w:rFonts w:ascii="Calibri" w:hAnsi="Calibri"/>
                <w:b w:val="0"/>
                <w:i w:val="0"/>
                <w:color w:val="212121"/>
                <w:sz w:val="19"/>
              </w:rPr>
              <w:t>Symptoms begin after about 6 months as protective fetal haemoglobin (HbF) declines and is replaced by HbS. Dactylitis (painful hand-foot swelling) is often the first manifestation, and life-threatening splenic sequestration and pneumococcal sepsis cluster in early childhood because of early loss of splenic function.</w:t>
            </w:r>
          </w:p>
          <w:p>
            <w:pPr>
              <w:spacing w:after="40" w:before="60" w:line="259" w:lineRule="auto"/>
            </w:pPr>
            <w:r>
              <w:rPr>
                <w:rFonts w:ascii="Calibri" w:hAnsi="Calibri"/>
                <w:b w:val="0"/>
                <w:i w:val="0"/>
                <w:color w:val="212121"/>
                <w:sz w:val="19"/>
              </w:rPr>
              <w:t>Pooled tribal birth prevalence in India is about 1,482 SCD cases per 100,000 neonates (~1.5%), with roughly 35,800 tribal infants born with a sickling disorder each year.</w:t>
            </w:r>
          </w:p>
          <w:p>
            <w:pPr>
              <w:spacing w:after="40" w:line="252" w:lineRule="auto"/>
            </w:pPr>
            <w:hyperlink r:id="rId9">
              <w:r>
                <w:rPr>
                  <w:rFonts w:ascii="Calibri" w:hAnsi="Calibri" w:cs="Calibri"/>
                  <w:sz w:val="18"/>
                  <w:color w:val="1155CC"/>
                  <w:u w:val="single"/>
                </w:rPr>
                <w:t xml:space="preserve">mdpi.com — birth prevalence of SCD in India (meta-analysis)</w:t>
              </w:r>
            </w:hyperlink>
          </w:p>
          <w:p>
            <w:pPr>
              <w:spacing w:before="60" w:after="40"/>
            </w:pPr>
            <w:r>
              <w:rPr>
                <w:rFonts w:ascii="Calibri" w:hAnsi="Calibri"/>
                <w:b w:val="0"/>
                <w:i w:val="0"/>
                <w:color w:val="5A5A5A"/>
                <w:sz w:val="18"/>
              </w:rPr>
              <w:t>#dactylitis  #HbFdecline  #splenicsequestration  #pneumococcus  #newbornscreening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and young adults</w:t>
            </w:r>
          </w:p>
        </w:tc>
        <w:tc>
          <w:tcPr>
            <w:tcW w:type="dxa" w:w="4276"/>
            <w:vAlign w:val="top"/>
          </w:tcPr>
          <w:p>
            <w:pPr>
              <w:spacing w:after="60" w:line="259" w:lineRule="auto"/>
            </w:pPr>
            <w:r>
              <w:rPr>
                <w:rFonts w:ascii="Calibri" w:hAnsi="Calibri"/>
                <w:b w:val="0"/>
                <w:i w:val="0"/>
                <w:color w:val="212121"/>
                <w:sz w:val="19"/>
              </w:rPr>
              <w:t>Cumulative ischaemic damage accrues with age; adolescence and young adulthood bring peak priapism, avascular necrosis, leg ulcers, delayed puberty and the transition to adult chronic organ disease. Survival into later adulthood is limited where care is scarce.</w:t>
            </w:r>
          </w:p>
          <w:p>
            <w:pPr>
              <w:spacing w:after="40" w:before="60" w:line="259" w:lineRule="auto"/>
            </w:pPr>
            <w:r>
              <w:rPr>
                <w:rFonts w:ascii="Calibri" w:hAnsi="Calibri"/>
                <w:b w:val="0"/>
                <w:i w:val="0"/>
                <w:color w:val="212121"/>
                <w:sz w:val="19"/>
              </w:rPr>
              <w:t>In HbSS, cumulative first-stroke risk is about 11% by age 20 and 24% by age 45, and up to 48% of males experience recurrent priapism.</w:t>
            </w:r>
          </w:p>
          <w:p>
            <w:pPr>
              <w:spacing w:after="40" w:line="252" w:lineRule="auto"/>
            </w:pPr>
            <w:hyperlink r:id="rId10">
              <w:r>
                <w:rPr>
                  <w:rFonts w:ascii="Calibri" w:hAnsi="Calibri" w:cs="Calibri"/>
                  <w:sz w:val="18"/>
                  <w:color w:val="1155CC"/>
                  <w:u w:val="single"/>
                </w:rPr>
                <w:t xml:space="preserve">ncbi.nlm.nih.gov — complications of SCD</w:t>
              </w:r>
            </w:hyperlink>
          </w:p>
          <w:p>
            <w:pPr>
              <w:spacing w:before="60" w:after="40"/>
            </w:pPr>
            <w:r>
              <w:rPr>
                <w:rFonts w:ascii="Calibri" w:hAnsi="Calibri"/>
                <w:b w:val="0"/>
                <w:i w:val="0"/>
                <w:color w:val="5A5A5A"/>
                <w:sz w:val="18"/>
              </w:rPr>
              <w:t>#priapism  #avascularnecrosis  #delayedpuberty  #strokerisk  #transition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Males carry sex-specific complications, notably recurrent and stuttering priapism which can lead to erectile dysfunction. Sickle cell TRAIT carriers (mostly relevant in athletes and military recruits) face a small but real risk of exertional sickling and rhabdomyolysis during extreme exertion in heat, dehydration or altitude.</w:t>
            </w:r>
          </w:p>
          <w:p>
            <w:pPr>
              <w:spacing w:after="40" w:before="60" w:line="259" w:lineRule="auto"/>
            </w:pPr>
            <w:r>
              <w:rPr>
                <w:rFonts w:ascii="Calibri" w:hAnsi="Calibri"/>
                <w:b w:val="0"/>
                <w:i w:val="0"/>
                <w:color w:val="212121"/>
                <w:sz w:val="19"/>
              </w:rPr>
              <w:t>Sickle cell trait is associated with a significantly higher risk of exertional rhabdomyolysis in strenuous conditions (large U.S. Army cohort).</w:t>
            </w:r>
          </w:p>
          <w:p>
            <w:pPr>
              <w:spacing w:after="40" w:line="252" w:lineRule="auto"/>
            </w:pPr>
            <w:hyperlink r:id="rId11">
              <w:r>
                <w:rPr>
                  <w:rFonts w:ascii="Calibri" w:hAnsi="Calibri" w:cs="Calibri"/>
                  <w:sz w:val="18"/>
                  <w:color w:val="1155CC"/>
                  <w:u w:val="single"/>
                </w:rPr>
                <w:t xml:space="preserve">nejm.org — sickle cell trait, rhabdomyolysis and mortality</w:t>
              </w:r>
            </w:hyperlink>
          </w:p>
          <w:p>
            <w:pPr>
              <w:spacing w:before="60" w:after="40"/>
            </w:pPr>
            <w:r>
              <w:rPr>
                <w:rFonts w:ascii="Calibri" w:hAnsi="Calibri"/>
                <w:b w:val="0"/>
                <w:i w:val="0"/>
                <w:color w:val="5A5A5A"/>
                <w:sz w:val="18"/>
              </w:rPr>
              <w:t>#priapism  #exertionalsickling  #rhabdomyolysis  #athletes  #trait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Central Indian tribal belt (MP, Chhattisgarh, Maharashtra, Odisha, Gujarat)</w:t>
            </w:r>
          </w:p>
        </w:tc>
        <w:tc>
          <w:tcPr>
            <w:tcW w:type="dxa" w:w="4276"/>
            <w:vAlign w:val="top"/>
          </w:tcPr>
          <w:p>
            <w:pPr>
              <w:spacing w:after="60" w:line="259" w:lineRule="auto"/>
            </w:pPr>
            <w:r>
              <w:rPr>
                <w:rFonts w:ascii="Calibri" w:hAnsi="Calibri"/>
                <w:b w:val="0"/>
                <w:i w:val="0"/>
                <w:color w:val="212121"/>
                <w:sz w:val="19"/>
              </w:rPr>
              <w:t>The sickle gene is concentrated in the central-Indian 'sickle belt' among Scheduled Tribe and some non-tribal communities, reflecting historical malaria selection and endogamy. These states carry the highest disease burden and are the focus of the National Mission.</w:t>
            </w:r>
          </w:p>
          <w:p>
            <w:pPr>
              <w:spacing w:after="40" w:before="60" w:line="259" w:lineRule="auto"/>
            </w:pPr>
            <w:r>
              <w:rPr>
                <w:rFonts w:ascii="Calibri" w:hAnsi="Calibri"/>
                <w:b w:val="0"/>
                <w:i w:val="0"/>
                <w:color w:val="212121"/>
                <w:sz w:val="19"/>
              </w:rPr>
              <w:t>Sickle cell trait ranges from about 1 to 40% across different Indian tribal groups; in parts of the Madhya Pradesh 'sickle belt' HbS prevalence reaches 10-33%.</w:t>
            </w:r>
          </w:p>
          <w:p>
            <w:pPr>
              <w:spacing w:after="40" w:line="252" w:lineRule="auto"/>
            </w:pPr>
            <w:hyperlink r:id="rId12">
              <w:r>
                <w:rPr>
                  <w:rFonts w:ascii="Calibri" w:hAnsi="Calibri" w:cs="Calibri"/>
                  <w:sz w:val="18"/>
                  <w:color w:val="1155CC"/>
                  <w:u w:val="single"/>
                </w:rPr>
                <w:t xml:space="preserve">ijmr.org.in — SCD in tribal populations in India</w:t>
              </w:r>
            </w:hyperlink>
          </w:p>
          <w:p>
            <w:pPr>
              <w:spacing w:before="60" w:after="40"/>
            </w:pPr>
            <w:r>
              <w:rPr>
                <w:rFonts w:ascii="Calibri" w:hAnsi="Calibri"/>
                <w:b w:val="0"/>
                <w:i w:val="0"/>
                <w:color w:val="5A5A5A"/>
                <w:sz w:val="18"/>
              </w:rPr>
              <w:t>#sicklebelt  #scheduledtribes  #centralindia  #malariaselection  #endogamy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Southern Rajasthan tribes (Garasiya, Bhil)</w:t>
            </w:r>
          </w:p>
        </w:tc>
        <w:tc>
          <w:tcPr>
            <w:tcW w:type="dxa" w:w="4276"/>
            <w:vAlign w:val="top"/>
          </w:tcPr>
          <w:p>
            <w:pPr>
              <w:spacing w:after="60" w:line="259" w:lineRule="auto"/>
            </w:pPr>
            <w:r>
              <w:rPr>
                <w:rFonts w:ascii="Calibri" w:hAnsi="Calibri"/>
                <w:b w:val="0"/>
                <w:i w:val="0"/>
                <w:color w:val="212121"/>
                <w:sz w:val="19"/>
              </w:rPr>
              <w:t>Specific tribal groups in southern Rajasthan (Udaipur, Banswara) show some of the highest carrier frequencies documented in large screening, with the Garasiya especially affected. High endogamy sustains these frequencies.</w:t>
            </w:r>
          </w:p>
          <w:p>
            <w:pPr>
              <w:spacing w:after="40" w:before="60" w:line="259" w:lineRule="auto"/>
            </w:pPr>
            <w:r>
              <w:rPr>
                <w:rFonts w:ascii="Calibri" w:hAnsi="Calibri"/>
                <w:b w:val="0"/>
                <w:i w:val="0"/>
                <w:color w:val="212121"/>
                <w:sz w:val="19"/>
              </w:rPr>
              <w:t>In ~79,000 people screened, combined SCT+SCD prevalence was 10.2% overall and 15.5% in the Garasiya tribe (SCT 15.15%, SCD 0.37%).</w:t>
            </w:r>
          </w:p>
          <w:p>
            <w:pPr>
              <w:spacing w:after="40" w:line="252" w:lineRule="auto"/>
            </w:pPr>
            <w:hyperlink r:id="rId13">
              <w:r>
                <w:rPr>
                  <w:rFonts w:ascii="Calibri" w:hAnsi="Calibri" w:cs="Calibri"/>
                  <w:sz w:val="18"/>
                  <w:color w:val="1155CC"/>
                  <w:u w:val="single"/>
                </w:rPr>
                <w:t xml:space="preserve">nature.com — SCD epidemiology, southern Rajasthan</w:t>
              </w:r>
            </w:hyperlink>
          </w:p>
          <w:p>
            <w:pPr>
              <w:spacing w:before="60" w:after="40"/>
            </w:pPr>
            <w:r>
              <w:rPr>
                <w:rFonts w:ascii="Calibri" w:hAnsi="Calibri"/>
                <w:b w:val="0"/>
                <w:i w:val="0"/>
                <w:color w:val="5A5A5A"/>
                <w:sz w:val="18"/>
              </w:rPr>
              <w:t>#Garasiya  #Bhil  #Rajasthan  #carrierfrequency  #endogamy</w:t>
            </w:r>
          </w:p>
        </w:tc>
      </w:tr>
      <w:tr>
        <w:trPr>
          <w:cantSplit/>
        </w:trPr>
        <w:tc>
          <w:tcPr>
            <w:tcW w:type="dxa" w:w="1512"/>
            <w:vAlign w:val="center"/>
          </w:tcPr>
          <w:p>
            <w:pPr>
              <w:spacing w:after="40"/>
            </w:pPr>
            <w:r>
              <w:rPr>
                <w:rFonts w:ascii="Calibri" w:hAnsi="Calibri"/>
                <w:b/>
                <w:i w:val="0"/>
                <w:color w:val="212121"/>
                <w:sz w:val="19"/>
              </w:rPr>
              <w:t>Demographic factors</w:t>
            </w: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Marginalised / low-income tribal communities</w:t>
            </w:r>
          </w:p>
        </w:tc>
        <w:tc>
          <w:tcPr>
            <w:tcW w:type="dxa" w:w="4276"/>
            <w:vAlign w:val="top"/>
          </w:tcPr>
          <w:p>
            <w:pPr>
              <w:spacing w:after="60" w:line="259" w:lineRule="auto"/>
            </w:pPr>
            <w:r>
              <w:rPr>
                <w:rFonts w:ascii="Calibri" w:hAnsi="Calibri"/>
                <w:b w:val="0"/>
                <w:i w:val="0"/>
                <w:color w:val="212121"/>
                <w:sz w:val="19"/>
              </w:rPr>
              <w:t>Poverty, remoteness and limited health access delay diagnosis, prophylaxis and crisis care, worsening outcomes despite a genetically milder Indian phenotype. Nutritional deficiency and infection burden compound anaemia.</w:t>
            </w:r>
          </w:p>
          <w:p>
            <w:pPr>
              <w:spacing w:after="40" w:before="60" w:line="259" w:lineRule="auto"/>
            </w:pPr>
            <w:r>
              <w:rPr>
                <w:rFonts w:ascii="Calibri" w:hAnsi="Calibri"/>
                <w:b w:val="0"/>
                <w:i w:val="0"/>
                <w:color w:val="212121"/>
                <w:sz w:val="19"/>
              </w:rPr>
              <w:t>India's tribal population is about 8.6% of the total (~67.8 million; 2011 Census) and bears a disproportionate share of the SCD burden.</w:t>
            </w:r>
          </w:p>
          <w:p>
            <w:pPr>
              <w:spacing w:after="40" w:line="252" w:lineRule="auto"/>
            </w:pPr>
            <w:hyperlink r:id="rId14">
              <w:r>
                <w:rPr>
                  <w:rFonts w:ascii="Calibri" w:hAnsi="Calibri" w:cs="Calibri"/>
                  <w:sz w:val="18"/>
                  <w:color w:val="1155CC"/>
                  <w:u w:val="single"/>
                </w:rPr>
                <w:t xml:space="preserve">sickle.nhm.gov.in — National Sickle Cell Mission</w:t>
              </w:r>
            </w:hyperlink>
          </w:p>
          <w:p>
            <w:pPr>
              <w:spacing w:before="60" w:after="40"/>
            </w:pPr>
            <w:r>
              <w:rPr>
                <w:rFonts w:ascii="Calibri" w:hAnsi="Calibri"/>
                <w:b w:val="0"/>
                <w:i w:val="0"/>
                <w:color w:val="5A5A5A"/>
                <w:sz w:val="18"/>
              </w:rPr>
              <w:t>#healthaccess  #tribalhealth  #latediagnosis  #poverty  #equity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of two carrier parents</w:t>
            </w:r>
          </w:p>
        </w:tc>
        <w:tc>
          <w:tcPr>
            <w:tcW w:type="dxa" w:w="4276"/>
            <w:vAlign w:val="top"/>
          </w:tcPr>
          <w:p>
            <w:pPr>
              <w:spacing w:after="60" w:line="259" w:lineRule="auto"/>
            </w:pPr>
            <w:r>
              <w:rPr>
                <w:rFonts w:ascii="Calibri" w:hAnsi="Calibri"/>
                <w:b w:val="0"/>
                <w:i w:val="0"/>
                <w:color w:val="212121"/>
                <w:sz w:val="19"/>
              </w:rPr>
              <w:t>SCD is autosomal recessive: when both parents carry HbS, each pregnancy has a 25% chance of an affected child. A positive family history or an affected sibling is the strongest predictor and the basis for premarital/antenatal screening.</w:t>
            </w:r>
          </w:p>
          <w:p>
            <w:pPr>
              <w:spacing w:after="40" w:before="60" w:line="259" w:lineRule="auto"/>
            </w:pPr>
            <w:r>
              <w:rPr>
                <w:rFonts w:ascii="Calibri" w:hAnsi="Calibri"/>
                <w:b w:val="0"/>
                <w:i w:val="0"/>
                <w:color w:val="212121"/>
                <w:sz w:val="19"/>
              </w:rPr>
              <w:t>Two-carrier couples have a 1-in-4 (25%) risk of an affected child and 1-in-2 (50%) risk of a carrier child in each pregnancy.</w:t>
            </w:r>
          </w:p>
          <w:p>
            <w:pPr>
              <w:spacing w:after="40" w:line="252" w:lineRule="auto"/>
            </w:pPr>
            <w:hyperlink r:id="rId15">
              <w:r>
                <w:rPr>
                  <w:rFonts w:ascii="Calibri" w:hAnsi="Calibri" w:cs="Calibri"/>
                  <w:sz w:val="18"/>
                  <w:color w:val="1155CC"/>
                  <w:u w:val="single"/>
                </w:rPr>
                <w:t xml:space="preserve">ncbi.nlm.nih.gov — Sickle Cell Disease (GeneReviews)</w:t>
              </w:r>
            </w:hyperlink>
          </w:p>
          <w:p>
            <w:pPr>
              <w:spacing w:before="60" w:after="40"/>
            </w:pPr>
            <w:r>
              <w:rPr>
                <w:rFonts w:ascii="Calibri" w:hAnsi="Calibri"/>
                <w:b w:val="0"/>
                <w:i w:val="0"/>
                <w:color w:val="5A5A5A"/>
                <w:sz w:val="18"/>
              </w:rPr>
              <w:t>#autosomalrecessive  #carriercouple  #familyhistory  #geneticcounselling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Endogamous / consanguineous marriages</w:t>
            </w:r>
          </w:p>
        </w:tc>
        <w:tc>
          <w:tcPr>
            <w:tcW w:type="dxa" w:w="4276"/>
            <w:vAlign w:val="top"/>
          </w:tcPr>
          <w:p>
            <w:pPr>
              <w:spacing w:after="60" w:line="259" w:lineRule="auto"/>
            </w:pPr>
            <w:r>
              <w:rPr>
                <w:rFonts w:ascii="Calibri" w:hAnsi="Calibri"/>
                <w:b w:val="0"/>
                <w:i w:val="0"/>
                <w:color w:val="212121"/>
                <w:sz w:val="19"/>
              </w:rPr>
              <w:t>Community endogamy and consanguineous marriage, common in several high-prevalence groups, increase the chance of two carriers pairing and therefore of homozygous (HbSS) births, sustaining high disease frequency across generations.</w:t>
            </w:r>
          </w:p>
          <w:p>
            <w:pPr>
              <w:spacing w:after="40" w:before="60" w:line="259" w:lineRule="auto"/>
            </w:pPr>
            <w:r>
              <w:rPr>
                <w:rFonts w:ascii="Calibri" w:hAnsi="Calibri"/>
                <w:b w:val="0"/>
                <w:i w:val="0"/>
                <w:color w:val="212121"/>
                <w:sz w:val="19"/>
              </w:rPr>
              <w:t>High endogamy underlies the persistently high HbS gene frequencies (allele frequency up to ~0.12) documented across affected Indian tribal groups.</w:t>
            </w:r>
          </w:p>
          <w:p>
            <w:pPr>
              <w:spacing w:after="40" w:line="252" w:lineRule="auto"/>
            </w:pPr>
            <w:hyperlink r:id="rId12">
              <w:r>
                <w:rPr>
                  <w:rFonts w:ascii="Calibri" w:hAnsi="Calibri" w:cs="Calibri"/>
                  <w:sz w:val="18"/>
                  <w:color w:val="1155CC"/>
                  <w:u w:val="single"/>
                </w:rPr>
                <w:t xml:space="preserve">ijmr.org.in — SCD in tribal populations in India</w:t>
              </w:r>
            </w:hyperlink>
          </w:p>
          <w:p>
            <w:pPr>
              <w:spacing w:before="60" w:after="40"/>
            </w:pPr>
            <w:r>
              <w:rPr>
                <w:rFonts w:ascii="Calibri" w:hAnsi="Calibri"/>
                <w:b w:val="0"/>
                <w:i w:val="0"/>
                <w:color w:val="5A5A5A"/>
                <w:sz w:val="18"/>
              </w:rPr>
              <w:t>#consanguinity  #endogamy  #allelefrequency  #homozygous  #tribalgenetics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modifiers</w:t>
            </w:r>
          </w:p>
        </w:tc>
        <w:tc>
          <w:tcPr>
            <w:tcW w:type="dxa" w:w="2160"/>
            <w:vAlign w:val="top"/>
          </w:tcPr>
          <w:p>
            <w:pPr>
              <w:spacing w:after="40" w:before="0" w:line="259" w:lineRule="auto"/>
            </w:pPr>
            <w:r>
              <w:rPr>
                <w:rFonts w:ascii="Calibri" w:hAnsi="Calibri"/>
                <w:b w:val="0"/>
                <w:i w:val="0"/>
                <w:color w:val="212121"/>
                <w:sz w:val="19"/>
              </w:rPr>
              <w:t>Patients with high HbF / co-inherited alpha-thalassaemia</w:t>
            </w:r>
          </w:p>
        </w:tc>
        <w:tc>
          <w:tcPr>
            <w:tcW w:type="dxa" w:w="4276"/>
            <w:vAlign w:val="top"/>
          </w:tcPr>
          <w:p>
            <w:pPr>
              <w:spacing w:after="60" w:line="259" w:lineRule="auto"/>
            </w:pPr>
            <w:r>
              <w:rPr>
                <w:rFonts w:ascii="Calibri" w:hAnsi="Calibri"/>
                <w:b w:val="0"/>
                <w:i w:val="0"/>
                <w:color w:val="212121"/>
                <w:sz w:val="19"/>
              </w:rPr>
              <w:t>Fetal haemoglobin inhibits HbS polymerisation, so high baseline HbF and co-inherited alpha-thalassaemia soften the phenotype. Many Indian (Arab-Indian haplotype) patients have higher HbF and frequent alpha-thalassaemia, contributing to comparatively milder but still serious disease.</w:t>
            </w:r>
          </w:p>
          <w:p>
            <w:pPr>
              <w:spacing w:after="40" w:before="60" w:line="259" w:lineRule="auto"/>
            </w:pPr>
            <w:r>
              <w:rPr>
                <w:rFonts w:ascii="Calibri" w:hAnsi="Calibri"/>
                <w:b w:val="0"/>
                <w:i w:val="0"/>
                <w:color w:val="212121"/>
                <w:sz w:val="19"/>
              </w:rPr>
              <w:t>Alpha-thalassaemia co-inheritance is very common in Indian SCD (e.g., ~86% in a Valsad tribal cohort), and higher HbF is associated with fewer crises.</w:t>
            </w:r>
          </w:p>
          <w:p>
            <w:pPr>
              <w:spacing w:after="40" w:line="252" w:lineRule="auto"/>
            </w:pPr>
            <w:hyperlink r:id="rId16">
              <w:r>
                <w:rPr>
                  <w:rFonts w:ascii="Calibri" w:hAnsi="Calibri" w:cs="Calibri"/>
                  <w:sz w:val="18"/>
                  <w:color w:val="1155CC"/>
                  <w:u w:val="single"/>
                </w:rPr>
                <w:t xml:space="preserve">ijmr.org.in — SCD in India: a perspective</w:t>
              </w:r>
            </w:hyperlink>
          </w:p>
          <w:p>
            <w:pPr>
              <w:spacing w:before="60" w:after="40"/>
            </w:pPr>
            <w:r>
              <w:rPr>
                <w:rFonts w:ascii="Calibri" w:hAnsi="Calibri"/>
                <w:b w:val="0"/>
                <w:i w:val="0"/>
                <w:color w:val="5A5A5A"/>
                <w:sz w:val="18"/>
              </w:rPr>
              <w:t>#fetalhaemoglobin  #alphathalassaemia  #ArabIndianhaplotype  #modifier  #severity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Dehydration / heat exposure</w:t>
            </w:r>
          </w:p>
        </w:tc>
        <w:tc>
          <w:tcPr>
            <w:tcW w:type="dxa" w:w="2160"/>
            <w:vAlign w:val="top"/>
          </w:tcPr>
          <w:p>
            <w:pPr>
              <w:spacing w:after="40" w:before="0" w:line="259" w:lineRule="auto"/>
            </w:pPr>
            <w:r>
              <w:rPr>
                <w:rFonts w:ascii="Calibri" w:hAnsi="Calibri"/>
                <w:b w:val="0"/>
                <w:i w:val="0"/>
                <w:color w:val="212121"/>
                <w:sz w:val="19"/>
              </w:rPr>
              <w:t>Manual labourers, farmers, outdoor workers</w:t>
            </w:r>
          </w:p>
        </w:tc>
        <w:tc>
          <w:tcPr>
            <w:tcW w:type="dxa" w:w="4276"/>
            <w:vAlign w:val="top"/>
          </w:tcPr>
          <w:p>
            <w:pPr>
              <w:spacing w:after="60" w:line="259" w:lineRule="auto"/>
            </w:pPr>
            <w:r>
              <w:rPr>
                <w:rFonts w:ascii="Calibri" w:hAnsi="Calibri"/>
                <w:b w:val="0"/>
                <w:i w:val="0"/>
                <w:color w:val="212121"/>
                <w:sz w:val="19"/>
              </w:rPr>
              <w:t>Dehydration raises intracellular HbS concentration and blood viscosity, promoting sickling and precipitating vaso-occlusive crises. Outdoor manual work in India's heat without adequate fluids is a common, avoidable trigger.</w:t>
            </w:r>
          </w:p>
          <w:p>
            <w:pPr>
              <w:spacing w:after="40" w:before="60" w:line="259" w:lineRule="auto"/>
            </w:pPr>
            <w:r>
              <w:rPr>
                <w:rFonts w:ascii="Calibri" w:hAnsi="Calibri"/>
                <w:b w:val="0"/>
                <w:i w:val="0"/>
                <w:color w:val="212121"/>
                <w:sz w:val="19"/>
              </w:rPr>
              <w:t>Dehydration, heat and low humidity are well-recognised identifiable precipitants of painful vaso-occlusive crises.</w:t>
            </w:r>
          </w:p>
          <w:p>
            <w:pPr>
              <w:spacing w:after="40" w:line="252" w:lineRule="auto"/>
            </w:pPr>
            <w:hyperlink r:id="rId17">
              <w:r>
                <w:rPr>
                  <w:rFonts w:ascii="Calibri" w:hAnsi="Calibri" w:cs="Calibri"/>
                  <w:sz w:val="18"/>
                  <w:color w:val="1155CC"/>
                  <w:u w:val="single"/>
                </w:rPr>
                <w:t xml:space="preserve">ncbi.nlm.nih.gov — Sickle Cell Crisis (StatPearls)</w:t>
              </w:r>
            </w:hyperlink>
          </w:p>
          <w:p>
            <w:pPr>
              <w:spacing w:before="60" w:after="40"/>
            </w:pPr>
            <w:r>
              <w:rPr>
                <w:rFonts w:ascii="Calibri" w:hAnsi="Calibri"/>
                <w:b w:val="0"/>
                <w:i w:val="0"/>
                <w:color w:val="5A5A5A"/>
                <w:sz w:val="18"/>
              </w:rPr>
              <w:t>#dehydration  #heatstress  #bloodviscosity  #crisistrigger  #outdoorwork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Hypoxia / altitude exposure</w:t>
            </w:r>
          </w:p>
        </w:tc>
        <w:tc>
          <w:tcPr>
            <w:tcW w:type="dxa" w:w="2160"/>
            <w:vAlign w:val="top"/>
          </w:tcPr>
          <w:p>
            <w:pPr>
              <w:spacing w:after="40" w:before="0" w:line="259" w:lineRule="auto"/>
            </w:pPr>
            <w:r>
              <w:rPr>
                <w:rFonts w:ascii="Calibri" w:hAnsi="Calibri"/>
                <w:b w:val="0"/>
                <w:i w:val="0"/>
                <w:color w:val="212121"/>
                <w:sz w:val="19"/>
              </w:rPr>
              <w:t>High-altitude travellers, unpressurised air travel, extreme exertion</w:t>
            </w:r>
          </w:p>
        </w:tc>
        <w:tc>
          <w:tcPr>
            <w:tcW w:type="dxa" w:w="4276"/>
            <w:vAlign w:val="top"/>
          </w:tcPr>
          <w:p>
            <w:pPr>
              <w:spacing w:after="60" w:line="259" w:lineRule="auto"/>
            </w:pPr>
            <w:r>
              <w:rPr>
                <w:rFonts w:ascii="Calibri" w:hAnsi="Calibri"/>
                <w:b w:val="0"/>
                <w:i w:val="0"/>
                <w:color w:val="212121"/>
                <w:sz w:val="19"/>
              </w:rPr>
              <w:t>Low ambient oxygen deoxygenates HbS and triggers polymerisation, so high altitude, unpressurised flight and maximal exertion can provoke crises or splenic infarction even in some trait carriers.</w:t>
            </w:r>
          </w:p>
          <w:p>
            <w:pPr>
              <w:spacing w:after="40" w:before="60" w:line="259" w:lineRule="auto"/>
            </w:pPr>
            <w:r>
              <w:rPr>
                <w:rFonts w:ascii="Calibri" w:hAnsi="Calibri"/>
                <w:b w:val="0"/>
                <w:i w:val="0"/>
                <w:color w:val="212121"/>
                <w:sz w:val="19"/>
              </w:rPr>
              <w:t>Hypoxia is a core deoxygenation trigger of HbS polymerisation and vaso-occlusion.</w:t>
            </w:r>
          </w:p>
          <w:p>
            <w:pPr>
              <w:spacing w:after="40" w:line="252" w:lineRule="auto"/>
            </w:pPr>
            <w:hyperlink r:id="rId17">
              <w:r>
                <w:rPr>
                  <w:rFonts w:ascii="Calibri" w:hAnsi="Calibri" w:cs="Calibri"/>
                  <w:sz w:val="18"/>
                  <w:color w:val="1155CC"/>
                  <w:u w:val="single"/>
                </w:rPr>
                <w:t xml:space="preserve">ncbi.nlm.nih.gov — Sickle Cell Crisis (StatPearls)</w:t>
              </w:r>
            </w:hyperlink>
          </w:p>
          <w:p>
            <w:pPr>
              <w:spacing w:before="60" w:after="40"/>
            </w:pPr>
            <w:r>
              <w:rPr>
                <w:rFonts w:ascii="Calibri" w:hAnsi="Calibri"/>
                <w:b w:val="0"/>
                <w:i w:val="0"/>
                <w:color w:val="5A5A5A"/>
                <w:sz w:val="18"/>
              </w:rPr>
              <w:t>#hypoxia  #altitude  #airtravel  #deoxygenation  #splenicinfarction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 bidi smokers, biomass-smoke exposure</w:t>
            </w:r>
          </w:p>
        </w:tc>
        <w:tc>
          <w:tcPr>
            <w:tcW w:type="dxa" w:w="4276"/>
            <w:vAlign w:val="top"/>
          </w:tcPr>
          <w:p>
            <w:pPr>
              <w:spacing w:after="60" w:line="259" w:lineRule="auto"/>
            </w:pPr>
            <w:r>
              <w:rPr>
                <w:rFonts w:ascii="Calibri" w:hAnsi="Calibri"/>
                <w:b w:val="0"/>
                <w:i w:val="0"/>
                <w:color w:val="212121"/>
                <w:sz w:val="19"/>
              </w:rPr>
              <w:t>Tobacco and indoor biomass smoke impair oxygenation and inflame the airways, increasing the risk of acute chest syndrome and chronic pulmonary complications - a serious concern given widespread biomass cooking-fuel use in rural India.</w:t>
            </w:r>
          </w:p>
          <w:p>
            <w:pPr>
              <w:spacing w:after="40" w:before="60" w:line="259" w:lineRule="auto"/>
            </w:pPr>
            <w:r>
              <w:rPr>
                <w:rFonts w:ascii="Calibri" w:hAnsi="Calibri"/>
                <w:b w:val="0"/>
                <w:i w:val="0"/>
                <w:color w:val="212121"/>
                <w:sz w:val="19"/>
              </w:rPr>
              <w:t>Smoking is associated with increased frequency of acute chest syndrome and pulmonary complications in SCD.</w:t>
            </w:r>
          </w:p>
          <w:p>
            <w:pPr>
              <w:spacing w:after="40" w:line="252" w:lineRule="auto"/>
            </w:pPr>
            <w:hyperlink r:id="rId10">
              <w:r>
                <w:rPr>
                  <w:rFonts w:ascii="Calibri" w:hAnsi="Calibri" w:cs="Calibri"/>
                  <w:sz w:val="18"/>
                  <w:color w:val="1155CC"/>
                  <w:u w:val="single"/>
                </w:rPr>
                <w:t xml:space="preserve">ncbi.nlm.nih.gov — complications of SCD</w:t>
              </w:r>
            </w:hyperlink>
          </w:p>
          <w:p>
            <w:pPr>
              <w:spacing w:before="60" w:after="40"/>
            </w:pPr>
            <w:r>
              <w:rPr>
                <w:rFonts w:ascii="Calibri" w:hAnsi="Calibri"/>
                <w:b w:val="0"/>
                <w:i w:val="0"/>
                <w:color w:val="5A5A5A"/>
                <w:sz w:val="18"/>
              </w:rPr>
              <w:t>#smoking  #biomasssmoke  #acutechestsyndrome  #hypoxia  #pulmonary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causes dehydration and diuresis and can impair judgement about hydration and adherence, indirectly precipitating vaso-occlusive crises; chronic use adds hepatic strain on top of sickle hepatopathy and gallstone disease.</w:t>
            </w:r>
          </w:p>
          <w:p>
            <w:pPr>
              <w:spacing w:after="40" w:before="60" w:line="259" w:lineRule="auto"/>
            </w:pPr>
            <w:r>
              <w:rPr>
                <w:rFonts w:ascii="Calibri" w:hAnsi="Calibri"/>
                <w:b w:val="0"/>
                <w:i w:val="0"/>
                <w:color w:val="212121"/>
                <w:sz w:val="19"/>
              </w:rPr>
              <w:t>Dehydration from any cause, including alcohol-related diuresis, increases blood viscosity and sickling risk.</w:t>
            </w:r>
          </w:p>
          <w:p>
            <w:pPr>
              <w:spacing w:after="40" w:line="252" w:lineRule="auto"/>
            </w:pPr>
            <w:hyperlink r:id="rId17">
              <w:r>
                <w:rPr>
                  <w:rFonts w:ascii="Calibri" w:hAnsi="Calibri" w:cs="Calibri"/>
                  <w:sz w:val="18"/>
                  <w:color w:val="1155CC"/>
                  <w:u w:val="single"/>
                </w:rPr>
                <w:t xml:space="preserve">ncbi.nlm.nih.gov — Sickle Cell Crisis (StatPearls)</w:t>
              </w:r>
            </w:hyperlink>
          </w:p>
          <w:p>
            <w:pPr>
              <w:spacing w:before="60" w:after="40"/>
            </w:pPr>
            <w:r>
              <w:rPr>
                <w:rFonts w:ascii="Calibri" w:hAnsi="Calibri"/>
                <w:b w:val="0"/>
                <w:i w:val="0"/>
                <w:color w:val="5A5A5A"/>
                <w:sz w:val="18"/>
              </w:rPr>
              <w:t>#alcohol  #dehydration  #hepatopathy  #adherence  #crisistrigger</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Folate-poor / undernourished diets</w:t>
            </w:r>
          </w:p>
        </w:tc>
        <w:tc>
          <w:tcPr>
            <w:tcW w:type="dxa" w:w="4276"/>
            <w:vAlign w:val="top"/>
          </w:tcPr>
          <w:p>
            <w:pPr>
              <w:spacing w:after="60" w:line="259" w:lineRule="auto"/>
            </w:pPr>
            <w:r>
              <w:rPr>
                <w:rFonts w:ascii="Calibri" w:hAnsi="Calibri"/>
                <w:b w:val="0"/>
                <w:i w:val="0"/>
                <w:color w:val="212121"/>
                <w:sz w:val="19"/>
              </w:rPr>
              <w:t>Chronic haemolysis massively increases folate demand for red-cell production; diets low in folate, protein and micronutrients - common in resource-poor tribal settings - worsen anaemia and impair growth, making folate supplementation standard.</w:t>
            </w:r>
          </w:p>
          <w:p>
            <w:pPr>
              <w:spacing w:after="40" w:before="60" w:line="259" w:lineRule="auto"/>
            </w:pPr>
            <w:r>
              <w:rPr>
                <w:rFonts w:ascii="Calibri" w:hAnsi="Calibri"/>
                <w:b w:val="0"/>
                <w:i w:val="0"/>
                <w:color w:val="212121"/>
                <w:sz w:val="19"/>
              </w:rPr>
              <w:t>Lifelong folic acid supplementation is standard care because ongoing haemolysis raises folate requirements.</w:t>
            </w:r>
          </w:p>
          <w:p>
            <w:pPr>
              <w:spacing w:after="40" w:line="252" w:lineRule="auto"/>
            </w:pPr>
            <w:hyperlink r:id="rId18">
              <w:r>
                <w:rPr>
                  <w:rFonts w:ascii="Calibri" w:hAnsi="Calibri" w:cs="Calibri"/>
                  <w:sz w:val="18"/>
                  <w:color w:val="1155CC"/>
                  <w:u w:val="single"/>
                </w:rPr>
                <w:t xml:space="preserve">link.springer.com — ICMR/ICH consensus on SCD management (India)</w:t>
              </w:r>
            </w:hyperlink>
          </w:p>
          <w:p>
            <w:pPr>
              <w:spacing w:before="60" w:after="40"/>
            </w:pPr>
            <w:r>
              <w:rPr>
                <w:rFonts w:ascii="Calibri" w:hAnsi="Calibri"/>
                <w:b w:val="0"/>
                <w:i w:val="0"/>
                <w:color w:val="5A5A5A"/>
                <w:sz w:val="18"/>
              </w:rPr>
              <w:t>#folate  #undernutrition  #haemolysis  #micronutrients  #growth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Functional asplenia / infection</w:t>
            </w:r>
          </w:p>
        </w:tc>
        <w:tc>
          <w:tcPr>
            <w:tcW w:type="dxa" w:w="2160"/>
            <w:vAlign w:val="top"/>
          </w:tcPr>
          <w:p>
            <w:pPr>
              <w:spacing w:after="40" w:before="0" w:line="259" w:lineRule="auto"/>
            </w:pPr>
            <w:r>
              <w:rPr>
                <w:rFonts w:ascii="Calibri" w:hAnsi="Calibri"/>
                <w:b w:val="0"/>
                <w:i w:val="0"/>
                <w:color w:val="212121"/>
                <w:sz w:val="19"/>
              </w:rPr>
              <w:t>Children with SCD (early autosplenectomy)</w:t>
            </w:r>
          </w:p>
        </w:tc>
        <w:tc>
          <w:tcPr>
            <w:tcW w:type="dxa" w:w="4276"/>
            <w:vAlign w:val="top"/>
          </w:tcPr>
          <w:p>
            <w:pPr>
              <w:spacing w:after="60" w:line="259" w:lineRule="auto"/>
            </w:pPr>
            <w:r>
              <w:rPr>
                <w:rFonts w:ascii="Calibri" w:hAnsi="Calibri"/>
                <w:b w:val="0"/>
                <w:i w:val="0"/>
                <w:color w:val="212121"/>
                <w:sz w:val="19"/>
              </w:rPr>
              <w:t>Repeated splenic infarction causes early functional asplenia, leaving children highly vulnerable to encapsulated-organism sepsis (pneumococcus, Haemophilus) and, in India, Salmonella osteomyelitis - a leading cause of early death.</w:t>
            </w:r>
          </w:p>
          <w:p>
            <w:pPr>
              <w:spacing w:after="40" w:before="60" w:line="259" w:lineRule="auto"/>
            </w:pPr>
            <w:r>
              <w:rPr>
                <w:rFonts w:ascii="Calibri" w:hAnsi="Calibri"/>
                <w:b w:val="0"/>
                <w:i w:val="0"/>
                <w:color w:val="212121"/>
                <w:sz w:val="19"/>
              </w:rPr>
              <w:t>In hospitalised under-five Indian SCD children, bacteraemia was frequent (e.g., Staphylococcus aureus and Gram-negative organisms), underscoring high infection risk.</w:t>
            </w:r>
          </w:p>
          <w:p>
            <w:pPr>
              <w:spacing w:after="40" w:line="252" w:lineRule="auto"/>
            </w:pPr>
            <w:hyperlink r:id="rId19">
              <w:r>
                <w:rPr>
                  <w:rFonts w:ascii="Calibri" w:hAnsi="Calibri" w:cs="Calibri"/>
                  <w:sz w:val="18"/>
                  <w:color w:val="1155CC"/>
                  <w:u w:val="single"/>
                </w:rPr>
                <w:t xml:space="preserve">pubmed.ncbi.nlm.nih.gov/24135175 — morbidity in hospitalised under-five SCD</w:t>
              </w:r>
            </w:hyperlink>
          </w:p>
          <w:p>
            <w:pPr>
              <w:spacing w:before="60" w:after="40"/>
            </w:pPr>
            <w:r>
              <w:rPr>
                <w:rFonts w:ascii="Calibri" w:hAnsi="Calibri"/>
                <w:b w:val="0"/>
                <w:i w:val="0"/>
                <w:color w:val="5A5A5A"/>
                <w:sz w:val="18"/>
              </w:rPr>
              <w:t>#functionalasplenia  #pneumococcus  #sepsis  #Salmonella  #prophylaxis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with SCD</w:t>
            </w:r>
          </w:p>
        </w:tc>
        <w:tc>
          <w:tcPr>
            <w:tcW w:type="dxa" w:w="4276"/>
            <w:vAlign w:val="top"/>
          </w:tcPr>
          <w:p>
            <w:pPr>
              <w:spacing w:after="60" w:line="259" w:lineRule="auto"/>
            </w:pPr>
            <w:r>
              <w:rPr>
                <w:rFonts w:ascii="Calibri" w:hAnsi="Calibri"/>
                <w:b w:val="0"/>
                <w:i w:val="0"/>
                <w:color w:val="212121"/>
                <w:sz w:val="19"/>
              </w:rPr>
              <w:t>Pregnancy sharply increases crises, acute chest syndrome, pre-eclampsia, thrombosis, fetal growth restriction and maternal mortality, demanding specialist multidisciplinary care and careful transfusion and drug decisions.</w:t>
            </w:r>
          </w:p>
          <w:p>
            <w:pPr>
              <w:spacing w:after="40" w:before="60" w:line="259" w:lineRule="auto"/>
            </w:pPr>
            <w:r>
              <w:rPr>
                <w:rFonts w:ascii="Calibri" w:hAnsi="Calibri"/>
                <w:b w:val="0"/>
                <w:i w:val="0"/>
                <w:color w:val="212121"/>
                <w:sz w:val="19"/>
              </w:rPr>
              <w:t>SCD pregnancy is high-risk for both mother and fetus and requires specialist obstetric-haematology management.</w:t>
            </w:r>
          </w:p>
          <w:p>
            <w:pPr>
              <w:spacing w:after="40" w:line="252" w:lineRule="auto"/>
            </w:pPr>
            <w:hyperlink r:id="rId20">
              <w:r>
                <w:rPr>
                  <w:rFonts w:ascii="Calibri" w:hAnsi="Calibri" w:cs="Calibri"/>
                  <w:sz w:val="18"/>
                  <w:color w:val="1155CC"/>
                  <w:u w:val="single"/>
                </w:rPr>
                <w:t xml:space="preserve">who.int — WHO guidance on management of SCD</w:t>
              </w:r>
            </w:hyperlink>
          </w:p>
          <w:p>
            <w:pPr>
              <w:spacing w:before="60" w:after="40"/>
            </w:pPr>
            <w:r>
              <w:rPr>
                <w:rFonts w:ascii="Calibri" w:hAnsi="Calibri"/>
                <w:b w:val="0"/>
                <w:i w:val="0"/>
                <w:color w:val="5A5A5A"/>
                <w:sz w:val="18"/>
              </w:rPr>
              <w:t>#pregnancy  #highrisk  #preeclampsia  #fetalgrowth  #maternalmortality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 overload</w:t>
            </w:r>
          </w:p>
        </w:tc>
        <w:tc>
          <w:tcPr>
            <w:tcW w:type="dxa" w:w="2160"/>
            <w:vAlign w:val="top"/>
          </w:tcPr>
          <w:p>
            <w:pPr>
              <w:spacing w:after="40" w:before="0" w:line="259" w:lineRule="auto"/>
            </w:pPr>
            <w:r>
              <w:rPr>
                <w:rFonts w:ascii="Calibri" w:hAnsi="Calibri"/>
                <w:b w:val="0"/>
                <w:i w:val="0"/>
                <w:color w:val="212121"/>
                <w:sz w:val="19"/>
              </w:rPr>
              <w:t>Chronically / repeatedly transfused patients</w:t>
            </w:r>
          </w:p>
        </w:tc>
        <w:tc>
          <w:tcPr>
            <w:tcW w:type="dxa" w:w="4276"/>
            <w:vAlign w:val="top"/>
          </w:tcPr>
          <w:p>
            <w:pPr>
              <w:spacing w:after="60" w:line="259" w:lineRule="auto"/>
            </w:pPr>
            <w:r>
              <w:rPr>
                <w:rFonts w:ascii="Calibri" w:hAnsi="Calibri"/>
                <w:b w:val="0"/>
                <w:i w:val="0"/>
                <w:color w:val="212121"/>
                <w:sz w:val="19"/>
              </w:rPr>
              <w:t>Repeated red-cell transfusions for crises, acute chest syndrome or stroke prevention deposit iron in the heart, liver and endocrine organs, causing transfusional iron overload that needs monitoring (ferritin) and chelation.</w:t>
            </w:r>
          </w:p>
          <w:p>
            <w:pPr>
              <w:spacing w:after="40" w:before="60" w:line="259" w:lineRule="auto"/>
            </w:pPr>
            <w:r>
              <w:rPr>
                <w:rFonts w:ascii="Calibri" w:hAnsi="Calibri"/>
                <w:b w:val="0"/>
                <w:i w:val="0"/>
                <w:color w:val="212121"/>
                <w:sz w:val="19"/>
              </w:rPr>
              <w:t>Chronic transfusion, used for stroke prevention and severe disease, causes iron overload requiring chelation therapy.</w:t>
            </w:r>
          </w:p>
          <w:p>
            <w:pPr>
              <w:spacing w:after="40" w:line="252" w:lineRule="auto"/>
            </w:pPr>
            <w:hyperlink r:id="rId18">
              <w:r>
                <w:rPr>
                  <w:rFonts w:ascii="Calibri" w:hAnsi="Calibri" w:cs="Calibri"/>
                  <w:sz w:val="18"/>
                  <w:color w:val="1155CC"/>
                  <w:u w:val="single"/>
                </w:rPr>
                <w:t xml:space="preserve">link.springer.com — ICMR/ICH consensus on SCD management (India)</w:t>
              </w:r>
            </w:hyperlink>
          </w:p>
          <w:p>
            <w:pPr>
              <w:spacing w:before="60" w:after="40"/>
            </w:pPr>
            <w:r>
              <w:rPr>
                <w:rFonts w:ascii="Calibri" w:hAnsi="Calibri"/>
                <w:b w:val="0"/>
                <w:i w:val="0"/>
                <w:color w:val="5A5A5A"/>
                <w:sz w:val="18"/>
              </w:rPr>
              <w:t>#ironoverload  #transfusion  #ferritin  #chelation  #endocrine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Moderate activity is safe and encouraged, but sudden maximal exertion - especially with dehydration, heat or altitude - can deoxygenate HbS and precipitate vaso-occlusive crisis; in sickle cell trait, extreme exertion is linked to exertional rhabdomyolysis.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haemolysis increases folate and calorie demand; adequate protein, folate and micronutrient intake supports red-cell production and growth, while undernutrition worsens anaemia and delays development.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hypoxaemia and obstructive sleep apnoea promote sickling and are associated with more frequent pain and higher risk of acute chest syndrome and stroke; good sleep and treated OSA reduce triggers.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smoking and biomass-smoke exposure impair oxygenation and increase acute chest syndrome and chronic pulmonary complications; cessation is strongly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Alcohol-related diuresis and dehydration raise blood viscosity and can trigger crises, while chronic use compounds sickle hepatopathy and gallstone disease.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common in SCD and share a bidirectional relationship with chronic pain, poorer adherence and more frequent crises; roughly a quarter of adults report depression.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Dehydration concentrates intracellular HbS and raises blood viscosity, directly promoting polymerisation and vaso-occlusion; consistent generous hydration is a cornerstone of crisis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heavy caffeine may add a mild diuretic effect that could worsen dehydration, so intake should be balanced with extra fluids.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Infection prevention is critical given functional asplenia; good hygiene, clean water, vaccination and prompt fever care reduce life-threatening sepsis, and careful skin/wound care limits chronic leg ulcers.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precipitants - infection, dehydration, hypoxia, cold exposure, sudden temperature change, physical or emotional stress and high altitude - convert steady-state disease into acute painful crises.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(adults)</w:t>
            </w:r>
          </w:p>
        </w:tc>
        <w:tc>
          <w:tcPr>
            <w:tcW w:type="dxa" w:w="1655"/>
            <w:vAlign w:val="top"/>
          </w:tcPr>
          <w:p>
            <w:pPr>
              <w:spacing w:after="40" w:before="0" w:line="259" w:lineRule="auto"/>
            </w:pPr>
            <w:r>
              <w:rPr>
                <w:rFonts w:ascii="Calibri" w:hAnsi="Calibri"/>
                <w:b w:val="0"/>
                <w:i w:val="0"/>
                <w:color w:val="212121"/>
                <w:sz w:val="19"/>
              </w:rPr>
              <w:t>Patients with SCD, outdoor workers, hot climates</w:t>
            </w:r>
          </w:p>
        </w:tc>
        <w:tc>
          <w:tcPr>
            <w:tcW w:type="dxa" w:w="1512"/>
            <w:vAlign w:val="top"/>
          </w:tcPr>
          <w:p>
            <w:pPr>
              <w:spacing w:after="40" w:before="0" w:line="259" w:lineRule="auto"/>
            </w:pPr>
            <w:r>
              <w:rPr>
                <w:rFonts w:ascii="Calibri" w:hAnsi="Calibri"/>
                <w:b w:val="0"/>
                <w:i w:val="0"/>
                <w:color w:val="212121"/>
                <w:sz w:val="19"/>
              </w:rPr>
              <w:t>~2.5-3 L/day (more in heat/exertion)</w:t>
            </w:r>
          </w:p>
        </w:tc>
        <w:tc>
          <w:tcPr>
            <w:tcW w:type="dxa" w:w="1512"/>
            <w:vAlign w:val="top"/>
          </w:tcPr>
          <w:p>
            <w:pPr>
              <w:spacing w:after="40" w:before="0" w:line="259" w:lineRule="auto"/>
            </w:pPr>
            <w:r>
              <w:rPr>
                <w:rFonts w:ascii="Calibri" w:hAnsi="Calibri"/>
                <w:b w:val="0"/>
                <w:i w:val="0"/>
                <w:color w:val="212121"/>
                <w:sz w:val="19"/>
              </w:rPr>
              <w:t>&lt; 1.5 L/day or clinical dehydration</w:t>
            </w:r>
          </w:p>
        </w:tc>
        <w:tc>
          <w:tcPr>
            <w:tcW w:type="dxa" w:w="1468"/>
            <w:vAlign w:val="top"/>
          </w:tcPr>
          <w:p>
            <w:pPr>
              <w:spacing w:after="60" w:line="259" w:lineRule="auto"/>
            </w:pPr>
            <w:r>
              <w:rPr>
                <w:rFonts w:ascii="Calibri" w:hAnsi="Calibri"/>
                <w:b w:val="0"/>
                <w:i w:val="0"/>
                <w:color w:val="212121"/>
                <w:sz w:val="19"/>
              </w:rPr>
              <w:t>Dehydration raises HbS concentration and viscosity, precipitating crises</w:t>
            </w:r>
          </w:p>
          <w:p>
            <w:pPr>
              <w:spacing w:after="40" w:line="252" w:lineRule="auto"/>
            </w:pPr>
            <w:hyperlink r:id="rId17">
              <w:r>
                <w:rPr>
                  <w:rFonts w:ascii="Calibri" w:hAnsi="Calibri" w:cs="Calibri"/>
                  <w:sz w:val="18"/>
                  <w:color w:val="1155CC"/>
                  <w:u w:val="single"/>
                </w:rPr>
                <w:t xml:space="preserve">https://www.ncbi.nlm.nih.gov/books/NBK526064/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Oxygen saturation (SpO2)</w:t>
            </w:r>
          </w:p>
        </w:tc>
        <w:tc>
          <w:tcPr>
            <w:tcW w:type="dxa" w:w="1655"/>
            <w:vAlign w:val="top"/>
          </w:tcPr>
          <w:p>
            <w:pPr>
              <w:spacing w:after="40" w:before="0" w:line="259" w:lineRule="auto"/>
            </w:pPr>
            <w:r>
              <w:rPr>
                <w:rFonts w:ascii="Calibri" w:hAnsi="Calibri"/>
                <w:b w:val="0"/>
                <w:i w:val="0"/>
                <w:color w:val="212121"/>
                <w:sz w:val="19"/>
              </w:rPr>
              <w:t>Acute illness, ACS risk, altitude/air travel</w:t>
            </w:r>
          </w:p>
        </w:tc>
        <w:tc>
          <w:tcPr>
            <w:tcW w:type="dxa" w:w="1512"/>
            <w:vAlign w:val="top"/>
          </w:tcPr>
          <w:p>
            <w:pPr>
              <w:spacing w:after="40" w:before="0" w:line="259" w:lineRule="auto"/>
            </w:pPr>
            <w:r>
              <w:rPr>
                <w:rFonts w:ascii="Calibri" w:hAnsi="Calibri"/>
                <w:b w:val="0"/>
                <w:i w:val="0"/>
                <w:color w:val="212121"/>
                <w:sz w:val="19"/>
              </w:rPr>
              <w:t>&gt;= 95% on room air</w:t>
            </w:r>
          </w:p>
        </w:tc>
        <w:tc>
          <w:tcPr>
            <w:tcW w:type="dxa" w:w="1512"/>
            <w:vAlign w:val="top"/>
          </w:tcPr>
          <w:p>
            <w:pPr>
              <w:spacing w:after="40" w:before="0" w:line="259" w:lineRule="auto"/>
            </w:pPr>
            <w:r>
              <w:rPr>
                <w:rFonts w:ascii="Calibri" w:hAnsi="Calibri"/>
                <w:b w:val="0"/>
                <w:i w:val="0"/>
                <w:color w:val="212121"/>
                <w:sz w:val="19"/>
              </w:rPr>
              <w:t>&lt; 92% (hypoxaemia)</w:t>
            </w:r>
          </w:p>
        </w:tc>
        <w:tc>
          <w:tcPr>
            <w:tcW w:type="dxa" w:w="1468"/>
            <w:vAlign w:val="top"/>
          </w:tcPr>
          <w:p>
            <w:pPr>
              <w:spacing w:after="60" w:line="259" w:lineRule="auto"/>
            </w:pPr>
            <w:r>
              <w:rPr>
                <w:rFonts w:ascii="Calibri" w:hAnsi="Calibri"/>
                <w:b w:val="0"/>
                <w:i w:val="0"/>
                <w:color w:val="212121"/>
                <w:sz w:val="19"/>
              </w:rPr>
              <w:t>Hypoxia drives HbS polymerisation; low SpO2 signals acute chest syndrome or crisis</w:t>
            </w:r>
          </w:p>
          <w:p>
            <w:pPr>
              <w:spacing w:after="40" w:line="252" w:lineRule="auto"/>
            </w:pPr>
            <w:hyperlink r:id="rId10">
              <w:r>
                <w:rPr>
                  <w:rFonts w:ascii="Calibri" w:hAnsi="Calibri" w:cs="Calibri"/>
                  <w:sz w:val="18"/>
                  <w:color w:val="1155CC"/>
                  <w:u w:val="single"/>
                </w:rPr>
                <w:t xml:space="preserve">https://www.ncbi.nlm.nih.gov/books/NBK566466/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temperature / fever</w:t>
            </w:r>
          </w:p>
        </w:tc>
        <w:tc>
          <w:tcPr>
            <w:tcW w:type="dxa" w:w="1655"/>
            <w:vAlign w:val="top"/>
          </w:tcPr>
          <w:p>
            <w:pPr>
              <w:spacing w:after="40" w:before="0" w:line="259" w:lineRule="auto"/>
            </w:pPr>
            <w:r>
              <w:rPr>
                <w:rFonts w:ascii="Calibri" w:hAnsi="Calibri"/>
                <w:b w:val="0"/>
                <w:i w:val="0"/>
                <w:color w:val="212121"/>
                <w:sz w:val="19"/>
              </w:rPr>
              <w:t>Children with functional asplenia</w:t>
            </w:r>
          </w:p>
        </w:tc>
        <w:tc>
          <w:tcPr>
            <w:tcW w:type="dxa" w:w="1512"/>
            <w:vAlign w:val="top"/>
          </w:tcPr>
          <w:p>
            <w:pPr>
              <w:spacing w:after="40" w:before="0" w:line="259" w:lineRule="auto"/>
            </w:pPr>
            <w:r>
              <w:rPr>
                <w:rFonts w:ascii="Calibri" w:hAnsi="Calibri"/>
                <w:b w:val="0"/>
                <w:i w:val="0"/>
                <w:color w:val="212121"/>
                <w:sz w:val="19"/>
              </w:rPr>
              <w:t>Afebrile (&lt; 37.5 C)</w:t>
            </w:r>
          </w:p>
        </w:tc>
        <w:tc>
          <w:tcPr>
            <w:tcW w:type="dxa" w:w="1512"/>
            <w:vAlign w:val="top"/>
          </w:tcPr>
          <w:p>
            <w:pPr>
              <w:spacing w:after="40" w:before="0" w:line="259" w:lineRule="auto"/>
            </w:pPr>
            <w:r>
              <w:rPr>
                <w:rFonts w:ascii="Calibri" w:hAnsi="Calibri"/>
                <w:b w:val="0"/>
                <w:i w:val="0"/>
                <w:color w:val="212121"/>
                <w:sz w:val="19"/>
              </w:rPr>
              <w:t>&gt;= 38 C (medical emergency)</w:t>
            </w:r>
          </w:p>
        </w:tc>
        <w:tc>
          <w:tcPr>
            <w:tcW w:type="dxa" w:w="1468"/>
            <w:vAlign w:val="top"/>
          </w:tcPr>
          <w:p>
            <w:pPr>
              <w:spacing w:after="60" w:line="259" w:lineRule="auto"/>
            </w:pPr>
            <w:r>
              <w:rPr>
                <w:rFonts w:ascii="Calibri" w:hAnsi="Calibri"/>
                <w:b w:val="0"/>
                <w:i w:val="0"/>
                <w:color w:val="212121"/>
                <w:sz w:val="19"/>
              </w:rPr>
              <w:t>Fever in SCD is a red flag for sepsis and needs urgent antibiotics and assessment</w:t>
            </w:r>
          </w:p>
          <w:p>
            <w:pPr>
              <w:spacing w:after="40" w:line="252" w:lineRule="auto"/>
            </w:pPr>
            <w:hyperlink r:id="rId17">
              <w:r>
                <w:rPr>
                  <w:rFonts w:ascii="Calibri" w:hAnsi="Calibri" w:cs="Calibri"/>
                  <w:sz w:val="18"/>
                  <w:color w:val="1155CC"/>
                  <w:u w:val="single"/>
                </w:rPr>
                <w:t xml:space="preserve">https://www.ncbi.nlm.nih.gov/books/NBK526064/</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Folic acid supplementation</w:t>
            </w:r>
          </w:p>
        </w:tc>
        <w:tc>
          <w:tcPr>
            <w:tcW w:type="dxa" w:w="1655"/>
            <w:vAlign w:val="top"/>
          </w:tcPr>
          <w:p>
            <w:pPr>
              <w:spacing w:after="40" w:before="0" w:line="259" w:lineRule="auto"/>
            </w:pPr>
            <w:r>
              <w:rPr>
                <w:rFonts w:ascii="Calibri" w:hAnsi="Calibri"/>
                <w:b w:val="0"/>
                <w:i w:val="0"/>
                <w:color w:val="212121"/>
                <w:sz w:val="19"/>
              </w:rPr>
              <w:t>All SCD patients</w:t>
            </w:r>
          </w:p>
        </w:tc>
        <w:tc>
          <w:tcPr>
            <w:tcW w:type="dxa" w:w="1512"/>
            <w:vAlign w:val="top"/>
          </w:tcPr>
          <w:p>
            <w:pPr>
              <w:spacing w:after="40" w:before="0" w:line="259" w:lineRule="auto"/>
            </w:pPr>
            <w:r>
              <w:rPr>
                <w:rFonts w:ascii="Calibri" w:hAnsi="Calibri"/>
                <w:b w:val="0"/>
                <w:i w:val="0"/>
                <w:color w:val="212121"/>
                <w:sz w:val="19"/>
              </w:rPr>
              <w:t>1-5 mg/day lifelong</w:t>
            </w:r>
          </w:p>
        </w:tc>
        <w:tc>
          <w:tcPr>
            <w:tcW w:type="dxa" w:w="1512"/>
            <w:vAlign w:val="top"/>
          </w:tcPr>
          <w:p>
            <w:pPr>
              <w:spacing w:after="40" w:before="0" w:line="259" w:lineRule="auto"/>
            </w:pPr>
            <w:r>
              <w:rPr>
                <w:rFonts w:ascii="Calibri" w:hAnsi="Calibri"/>
                <w:b w:val="0"/>
                <w:i w:val="0"/>
                <w:color w:val="212121"/>
                <w:sz w:val="19"/>
              </w:rPr>
              <w:t>No supplementation with ongoing haemolysis</w:t>
            </w:r>
          </w:p>
        </w:tc>
        <w:tc>
          <w:tcPr>
            <w:tcW w:type="dxa" w:w="1468"/>
            <w:vAlign w:val="top"/>
          </w:tcPr>
          <w:p>
            <w:pPr>
              <w:spacing w:after="60" w:line="259" w:lineRule="auto"/>
            </w:pPr>
            <w:r>
              <w:rPr>
                <w:rFonts w:ascii="Calibri" w:hAnsi="Calibri"/>
                <w:b w:val="0"/>
                <w:i w:val="0"/>
                <w:color w:val="212121"/>
                <w:sz w:val="19"/>
              </w:rPr>
              <w:t>Haemolysis increases folate demand for erythropoiesis</w:t>
            </w:r>
          </w:p>
          <w:p>
            <w:pPr>
              <w:spacing w:after="40" w:line="252" w:lineRule="auto"/>
            </w:pPr>
            <w:hyperlink r:id="rId18">
              <w:r>
                <w:rPr>
                  <w:rFonts w:ascii="Calibri" w:hAnsi="Calibri" w:cs="Calibri"/>
                  <w:sz w:val="18"/>
                  <w:color w:val="1155CC"/>
                  <w:u w:val="single"/>
                </w:rPr>
                <w:t xml:space="preserve">https://link.springer.com/article/10.1007/s12288-025-02270-x</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Exertion intensity</w:t>
            </w:r>
          </w:p>
        </w:tc>
        <w:tc>
          <w:tcPr>
            <w:tcW w:type="dxa" w:w="1655"/>
            <w:vAlign w:val="top"/>
          </w:tcPr>
          <w:p>
            <w:pPr>
              <w:spacing w:after="40" w:before="0" w:line="259" w:lineRule="auto"/>
            </w:pPr>
            <w:r>
              <w:rPr>
                <w:rFonts w:ascii="Calibri" w:hAnsi="Calibri"/>
                <w:b w:val="0"/>
                <w:i w:val="0"/>
                <w:color w:val="212121"/>
                <w:sz w:val="19"/>
              </w:rPr>
              <w:t>Patients with SCD and sickle cell trait</w:t>
            </w:r>
          </w:p>
        </w:tc>
        <w:tc>
          <w:tcPr>
            <w:tcW w:type="dxa" w:w="1512"/>
            <w:vAlign w:val="top"/>
          </w:tcPr>
          <w:p>
            <w:pPr>
              <w:spacing w:after="40" w:before="0" w:line="259" w:lineRule="auto"/>
            </w:pPr>
            <w:r>
              <w:rPr>
                <w:rFonts w:ascii="Calibri" w:hAnsi="Calibri"/>
                <w:b w:val="0"/>
                <w:i w:val="0"/>
                <w:color w:val="212121"/>
                <w:sz w:val="19"/>
              </w:rPr>
              <w:t>Regular moderate activity with hydration &amp; rest breaks</w:t>
            </w:r>
          </w:p>
        </w:tc>
        <w:tc>
          <w:tcPr>
            <w:tcW w:type="dxa" w:w="1512"/>
            <w:vAlign w:val="top"/>
          </w:tcPr>
          <w:p>
            <w:pPr>
              <w:spacing w:after="40" w:before="0" w:line="259" w:lineRule="auto"/>
            </w:pPr>
            <w:r>
              <w:rPr>
                <w:rFonts w:ascii="Calibri" w:hAnsi="Calibri"/>
                <w:b w:val="0"/>
                <w:i w:val="0"/>
                <w:color w:val="212121"/>
                <w:sz w:val="19"/>
              </w:rPr>
              <w:t>Sudden maximal exertion in heat/altitude while dehydrated</w:t>
            </w:r>
          </w:p>
        </w:tc>
        <w:tc>
          <w:tcPr>
            <w:tcW w:type="dxa" w:w="1468"/>
            <w:vAlign w:val="top"/>
          </w:tcPr>
          <w:p>
            <w:pPr>
              <w:spacing w:after="60" w:line="259" w:lineRule="auto"/>
            </w:pPr>
            <w:r>
              <w:rPr>
                <w:rFonts w:ascii="Calibri" w:hAnsi="Calibri"/>
                <w:b w:val="0"/>
                <w:i w:val="0"/>
                <w:color w:val="212121"/>
                <w:sz w:val="19"/>
              </w:rPr>
              <w:t>Extreme exertion can precipitate crisis or exertional sickling/rhabdomyolysis</w:t>
            </w:r>
          </w:p>
          <w:p>
            <w:pPr>
              <w:spacing w:after="40" w:line="252" w:lineRule="auto"/>
            </w:pPr>
            <w:hyperlink r:id="rId11">
              <w:r>
                <w:rPr>
                  <w:rFonts w:ascii="Calibri" w:hAnsi="Calibri" w:cs="Calibri"/>
                  <w:sz w:val="18"/>
                  <w:color w:val="1155CC"/>
                  <w:u w:val="single"/>
                </w:rPr>
                <w:t xml:space="preserve">https://www.nejm.org/doi/full/10.1056/NEJMoa1516257</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Adolescents and adults with SCD</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 or biomass-smoke exposure</w:t>
            </w:r>
          </w:p>
        </w:tc>
        <w:tc>
          <w:tcPr>
            <w:tcW w:type="dxa" w:w="1468"/>
            <w:vAlign w:val="top"/>
          </w:tcPr>
          <w:p>
            <w:pPr>
              <w:spacing w:after="60" w:line="259" w:lineRule="auto"/>
            </w:pPr>
            <w:r>
              <w:rPr>
                <w:rFonts w:ascii="Calibri" w:hAnsi="Calibri"/>
                <w:b w:val="0"/>
                <w:i w:val="0"/>
                <w:color w:val="212121"/>
                <w:sz w:val="19"/>
              </w:rPr>
              <w:t>Smoking increases acute chest syndrome and pulmonary complications</w:t>
            </w:r>
          </w:p>
          <w:p>
            <w:pPr>
              <w:spacing w:after="40" w:line="252" w:lineRule="auto"/>
            </w:pPr>
            <w:hyperlink r:id="rId10">
              <w:r>
                <w:rPr>
                  <w:rFonts w:ascii="Calibri" w:hAnsi="Calibri" w:cs="Calibri"/>
                  <w:sz w:val="18"/>
                  <w:color w:val="1155CC"/>
                  <w:u w:val="single"/>
                </w:rPr>
                <w:t xml:space="preserve">https://www.ncbi.nlm.nih.gov/books/NBK566466/</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Baseline haemoglobin</w:t>
            </w:r>
          </w:p>
        </w:tc>
        <w:tc>
          <w:tcPr>
            <w:tcW w:type="dxa" w:w="1655"/>
            <w:vAlign w:val="top"/>
          </w:tcPr>
          <w:p>
            <w:pPr>
              <w:spacing w:after="40" w:before="0" w:line="259" w:lineRule="auto"/>
            </w:pPr>
            <w:r>
              <w:rPr>
                <w:rFonts w:ascii="Calibri" w:hAnsi="Calibri"/>
                <w:b w:val="0"/>
                <w:i w:val="0"/>
                <w:color w:val="212121"/>
                <w:sz w:val="19"/>
              </w:rPr>
              <w:t>Patients with HbSS</w:t>
            </w:r>
          </w:p>
        </w:tc>
        <w:tc>
          <w:tcPr>
            <w:tcW w:type="dxa" w:w="1512"/>
            <w:vAlign w:val="top"/>
          </w:tcPr>
          <w:p>
            <w:pPr>
              <w:spacing w:after="40" w:before="0" w:line="259" w:lineRule="auto"/>
            </w:pPr>
            <w:r>
              <w:rPr>
                <w:rFonts w:ascii="Calibri" w:hAnsi="Calibri"/>
                <w:b w:val="0"/>
                <w:i w:val="0"/>
                <w:color w:val="212121"/>
                <w:sz w:val="19"/>
              </w:rPr>
              <w:t>Individual steady-state (often ~6-9 g/dL)</w:t>
            </w:r>
          </w:p>
        </w:tc>
        <w:tc>
          <w:tcPr>
            <w:tcW w:type="dxa" w:w="1512"/>
            <w:vAlign w:val="top"/>
          </w:tcPr>
          <w:p>
            <w:pPr>
              <w:spacing w:after="40" w:before="0" w:line="259" w:lineRule="auto"/>
            </w:pPr>
            <w:r>
              <w:rPr>
                <w:rFonts w:ascii="Calibri" w:hAnsi="Calibri"/>
                <w:b w:val="0"/>
                <w:i w:val="0"/>
                <w:color w:val="212121"/>
                <w:sz w:val="19"/>
              </w:rPr>
              <w:t>Fall &gt; 2 g/dL below baseline or Hb &lt; 5 g/dL</w:t>
            </w:r>
          </w:p>
        </w:tc>
        <w:tc>
          <w:tcPr>
            <w:tcW w:type="dxa" w:w="1468"/>
            <w:vAlign w:val="top"/>
          </w:tcPr>
          <w:p>
            <w:pPr>
              <w:spacing w:after="60" w:line="259" w:lineRule="auto"/>
            </w:pPr>
            <w:r>
              <w:rPr>
                <w:rFonts w:ascii="Calibri" w:hAnsi="Calibri"/>
                <w:b w:val="0"/>
                <w:i w:val="0"/>
                <w:color w:val="212121"/>
                <w:sz w:val="19"/>
              </w:rPr>
              <w:t>Acute drop signals sequestration, aplastic crisis or haemolysis</w:t>
            </w:r>
          </w:p>
          <w:p>
            <w:pPr>
              <w:spacing w:after="40" w:line="252" w:lineRule="auto"/>
            </w:pPr>
            <w:hyperlink r:id="rId10">
              <w:r>
                <w:rPr>
                  <w:rFonts w:ascii="Calibri" w:hAnsi="Calibri" w:cs="Calibri"/>
                  <w:sz w:val="18"/>
                  <w:color w:val="1155CC"/>
                  <w:u w:val="single"/>
                </w:rPr>
                <w:t xml:space="preserve">https://www.ncbi.nlm.nih.gov/books/NBK566466/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Fetal haemoglobin (HbF) %</w:t>
            </w:r>
          </w:p>
        </w:tc>
        <w:tc>
          <w:tcPr>
            <w:tcW w:type="dxa" w:w="1655"/>
            <w:vAlign w:val="top"/>
          </w:tcPr>
          <w:p>
            <w:pPr>
              <w:spacing w:after="40" w:before="0" w:line="259" w:lineRule="auto"/>
            </w:pPr>
            <w:r>
              <w:rPr>
                <w:rFonts w:ascii="Calibri" w:hAnsi="Calibri"/>
                <w:b w:val="0"/>
                <w:i w:val="0"/>
                <w:color w:val="212121"/>
                <w:sz w:val="19"/>
              </w:rPr>
              <w:t>Patients on/eligible for hydroxyurea</w:t>
            </w:r>
          </w:p>
        </w:tc>
        <w:tc>
          <w:tcPr>
            <w:tcW w:type="dxa" w:w="1512"/>
            <w:vAlign w:val="top"/>
          </w:tcPr>
          <w:p>
            <w:pPr>
              <w:spacing w:after="40" w:before="0" w:line="259" w:lineRule="auto"/>
            </w:pPr>
            <w:r>
              <w:rPr>
                <w:rFonts w:ascii="Calibri" w:hAnsi="Calibri"/>
                <w:b w:val="0"/>
                <w:i w:val="0"/>
                <w:color w:val="212121"/>
                <w:sz w:val="19"/>
              </w:rPr>
              <w:t>Higher HbF (often targeted &gt; ~20%)</w:t>
            </w:r>
          </w:p>
        </w:tc>
        <w:tc>
          <w:tcPr>
            <w:tcW w:type="dxa" w:w="1512"/>
            <w:vAlign w:val="top"/>
          </w:tcPr>
          <w:p>
            <w:pPr>
              <w:spacing w:after="40" w:before="0" w:line="259" w:lineRule="auto"/>
            </w:pPr>
            <w:r>
              <w:rPr>
                <w:rFonts w:ascii="Calibri" w:hAnsi="Calibri"/>
                <w:b w:val="0"/>
                <w:i w:val="0"/>
                <w:color w:val="212121"/>
                <w:sz w:val="19"/>
              </w:rPr>
              <w:t>Persistently low HbF with frequent crises</w:t>
            </w:r>
          </w:p>
        </w:tc>
        <w:tc>
          <w:tcPr>
            <w:tcW w:type="dxa" w:w="1468"/>
            <w:vAlign w:val="top"/>
          </w:tcPr>
          <w:p>
            <w:pPr>
              <w:spacing w:after="60" w:line="259" w:lineRule="auto"/>
            </w:pPr>
            <w:r>
              <w:rPr>
                <w:rFonts w:ascii="Calibri" w:hAnsi="Calibri"/>
                <w:b w:val="0"/>
                <w:i w:val="0"/>
                <w:color w:val="212121"/>
                <w:sz w:val="19"/>
              </w:rPr>
              <w:t>HbF inhibits HbS polymerisation; hydroxyurea raises HbF and cuts crises</w:t>
            </w:r>
          </w:p>
          <w:p>
            <w:pPr>
              <w:spacing w:after="40" w:line="252" w:lineRule="auto"/>
            </w:pPr>
            <w:hyperlink r:id="rId15">
              <w:r>
                <w:rPr>
                  <w:rFonts w:ascii="Calibri" w:hAnsi="Calibri" w:cs="Calibri"/>
                  <w:sz w:val="18"/>
                  <w:color w:val="1155CC"/>
                  <w:u w:val="single"/>
                </w:rPr>
                <w:t xml:space="preserve">https://www.ncbi.nlm.nih.gov/books/NBK1377/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Transcranial Doppler (TCD) velocity</w:t>
            </w:r>
          </w:p>
        </w:tc>
        <w:tc>
          <w:tcPr>
            <w:tcW w:type="dxa" w:w="1655"/>
            <w:vAlign w:val="top"/>
          </w:tcPr>
          <w:p>
            <w:pPr>
              <w:spacing w:after="40" w:before="0" w:line="259" w:lineRule="auto"/>
            </w:pPr>
            <w:r>
              <w:rPr>
                <w:rFonts w:ascii="Calibri" w:hAnsi="Calibri"/>
                <w:b w:val="0"/>
                <w:i w:val="0"/>
                <w:color w:val="212121"/>
                <w:sz w:val="19"/>
              </w:rPr>
              <w:t>Children aged 2-16 with HbSS</w:t>
            </w:r>
          </w:p>
        </w:tc>
        <w:tc>
          <w:tcPr>
            <w:tcW w:type="dxa" w:w="1512"/>
            <w:vAlign w:val="top"/>
          </w:tcPr>
          <w:p>
            <w:pPr>
              <w:spacing w:after="40" w:before="0" w:line="259" w:lineRule="auto"/>
            </w:pPr>
            <w:r>
              <w:rPr>
                <w:rFonts w:ascii="Calibri" w:hAnsi="Calibri"/>
                <w:b w:val="0"/>
                <w:i w:val="0"/>
                <w:color w:val="212121"/>
                <w:sz w:val="19"/>
              </w:rPr>
              <w:t>&lt; 170 cm/s (normal)</w:t>
            </w:r>
          </w:p>
        </w:tc>
        <w:tc>
          <w:tcPr>
            <w:tcW w:type="dxa" w:w="1512"/>
            <w:vAlign w:val="top"/>
          </w:tcPr>
          <w:p>
            <w:pPr>
              <w:spacing w:after="40" w:before="0" w:line="259" w:lineRule="auto"/>
            </w:pPr>
            <w:r>
              <w:rPr>
                <w:rFonts w:ascii="Calibri" w:hAnsi="Calibri"/>
                <w:b w:val="0"/>
                <w:i w:val="0"/>
                <w:color w:val="212121"/>
                <w:sz w:val="19"/>
              </w:rPr>
              <w:t>&gt;= 200 cm/s (high stroke risk)</w:t>
            </w:r>
          </w:p>
        </w:tc>
        <w:tc>
          <w:tcPr>
            <w:tcW w:type="dxa" w:w="1468"/>
            <w:vAlign w:val="top"/>
          </w:tcPr>
          <w:p>
            <w:pPr>
              <w:spacing w:after="60" w:line="259" w:lineRule="auto"/>
            </w:pPr>
            <w:r>
              <w:rPr>
                <w:rFonts w:ascii="Calibri" w:hAnsi="Calibri"/>
                <w:b w:val="0"/>
                <w:i w:val="0"/>
                <w:color w:val="212121"/>
                <w:sz w:val="19"/>
              </w:rPr>
              <w:t>Abnormal TCD identifies children needing transfusion for primary stroke prevention</w:t>
            </w:r>
          </w:p>
          <w:p>
            <w:pPr>
              <w:spacing w:after="40" w:line="252" w:lineRule="auto"/>
            </w:pPr>
            <w:hyperlink r:id="rId10">
              <w:r>
                <w:rPr>
                  <w:rFonts w:ascii="Calibri" w:hAnsi="Calibri" w:cs="Calibri"/>
                  <w:sz w:val="18"/>
                  <w:color w:val="1155CC"/>
                  <w:u w:val="single"/>
                </w:rPr>
                <w:t xml:space="preserve">https://www.ncbi.nlm.nih.gov/books/NBK566466/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(Hb, MCV, WBC, platelets)</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Hb ~ 12-15 g/dL</w:t>
            </w:r>
          </w:p>
        </w:tc>
        <w:tc>
          <w:tcPr>
            <w:tcW w:type="dxa" w:w="950"/>
            <w:vAlign w:val="top"/>
          </w:tcPr>
          <w:p>
            <w:pPr>
              <w:spacing w:after="40" w:before="0" w:line="259" w:lineRule="auto"/>
            </w:pPr>
            <w:r>
              <w:rPr>
                <w:rFonts w:ascii="Calibri" w:hAnsi="Calibri"/>
                <w:b w:val="0"/>
                <w:i w:val="0"/>
                <w:color w:val="212121"/>
                <w:sz w:val="16"/>
              </w:rPr>
              <w:t>Chronic anaemia (often Hb ~6-9 g/dL in HbSS)</w:t>
            </w:r>
          </w:p>
        </w:tc>
        <w:tc>
          <w:tcPr>
            <w:tcW w:type="dxa" w:w="1036"/>
            <w:vAlign w:val="top"/>
          </w:tcPr>
          <w:p>
            <w:pPr>
              <w:spacing w:after="40" w:before="0" w:line="259" w:lineRule="auto"/>
            </w:pPr>
            <w:r>
              <w:rPr>
                <w:rFonts w:ascii="Calibri" w:hAnsi="Calibri"/>
                <w:b w:val="0"/>
                <w:i w:val="0"/>
                <w:color w:val="212121"/>
                <w:sz w:val="16"/>
              </w:rPr>
              <w:t>Documents baseline haemolytic anaemia and acute drops</w:t>
            </w:r>
          </w:p>
        </w:tc>
        <w:tc>
          <w:tcPr>
            <w:tcW w:type="dxa" w:w="1036"/>
            <w:vAlign w:val="top"/>
          </w:tcPr>
          <w:p>
            <w:pPr>
              <w:spacing w:after="40" w:before="0" w:line="259" w:lineRule="auto"/>
            </w:pPr>
            <w:r>
              <w:rPr>
                <w:rFonts w:ascii="Calibri" w:hAnsi="Calibri"/>
                <w:b w:val="0"/>
                <w:i w:val="0"/>
                <w:color w:val="212121"/>
                <w:sz w:val="16"/>
              </w:rPr>
              <w:t>Children with SCD, HbSS patients, crisis presentations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Baseline &amp; monitoring</w:t>
            </w:r>
          </w:p>
        </w:tc>
        <w:tc>
          <w:tcPr>
            <w:tcW w:type="dxa" w:w="720"/>
            <w:vAlign w:val="top"/>
          </w:tcPr>
          <w:p>
            <w:pPr>
              <w:spacing w:after="40" w:before="0" w:line="259" w:lineRule="auto"/>
            </w:pPr>
            <w:r>
              <w:rPr>
                <w:rFonts w:ascii="Calibri" w:hAnsi="Calibri"/>
                <w:b w:val="0"/>
                <w:i w:val="0"/>
                <w:color w:val="212121"/>
                <w:sz w:val="16"/>
              </w:rPr>
              <w:t>Sudden fall suggests sequestration or aplastic crisis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Reticulocyte count</w:t>
            </w:r>
          </w:p>
        </w:tc>
        <w:tc>
          <w:tcPr>
            <w:tcW w:type="dxa" w:w="892"/>
            <w:vAlign w:val="top"/>
          </w:tcPr>
          <w:p>
            <w:pPr>
              <w:spacing w:after="40" w:before="0" w:line="259" w:lineRule="auto"/>
            </w:pPr>
            <w:r>
              <w:rPr>
                <w:rFonts w:ascii="Calibri" w:hAnsi="Calibri"/>
                <w:b w:val="0"/>
                <w:i w:val="0"/>
                <w:color w:val="212121"/>
                <w:sz w:val="16"/>
              </w:rPr>
              <w:t>Reticulocyte %</w:t>
            </w:r>
          </w:p>
        </w:tc>
        <w:tc>
          <w:tcPr>
            <w:tcW w:type="dxa" w:w="950"/>
            <w:vAlign w:val="top"/>
          </w:tcPr>
          <w:p>
            <w:pPr>
              <w:spacing w:after="40" w:before="0" w:line="259" w:lineRule="auto"/>
            </w:pPr>
            <w:r>
              <w:rPr>
                <w:rFonts w:ascii="Calibri" w:hAnsi="Calibri"/>
                <w:b w:val="0"/>
                <w:i w:val="0"/>
                <w:color w:val="212121"/>
                <w:sz w:val="16"/>
              </w:rPr>
              <w:t>0.5-2.5%</w:t>
            </w:r>
          </w:p>
        </w:tc>
        <w:tc>
          <w:tcPr>
            <w:tcW w:type="dxa" w:w="950"/>
            <w:vAlign w:val="top"/>
          </w:tcPr>
          <w:p>
            <w:pPr>
              <w:spacing w:after="40" w:before="0" w:line="259" w:lineRule="auto"/>
            </w:pPr>
            <w:r>
              <w:rPr>
                <w:rFonts w:ascii="Calibri" w:hAnsi="Calibri"/>
                <w:b w:val="0"/>
                <w:i w:val="0"/>
                <w:color w:val="212121"/>
                <w:sz w:val="16"/>
              </w:rPr>
              <w:t>Elevated (haemolysis); low in aplastic crisis</w:t>
            </w:r>
          </w:p>
        </w:tc>
        <w:tc>
          <w:tcPr>
            <w:tcW w:type="dxa" w:w="1036"/>
            <w:vAlign w:val="top"/>
          </w:tcPr>
          <w:p>
            <w:pPr>
              <w:spacing w:after="40" w:before="0" w:line="259" w:lineRule="auto"/>
            </w:pPr>
            <w:r>
              <w:rPr>
                <w:rFonts w:ascii="Calibri" w:hAnsi="Calibri"/>
                <w:b w:val="0"/>
                <w:i w:val="0"/>
                <w:color w:val="212121"/>
                <w:sz w:val="16"/>
              </w:rPr>
              <w:t>High reticulocytes reflect marrow compensation; a low count with anaemia signals aplastic (parvovirus B19) crisis</w:t>
            </w:r>
          </w:p>
        </w:tc>
        <w:tc>
          <w:tcPr>
            <w:tcW w:type="dxa" w:w="1036"/>
            <w:vAlign w:val="top"/>
          </w:tcPr>
          <w:p>
            <w:pPr>
              <w:spacing w:after="40" w:before="0" w:line="259" w:lineRule="auto"/>
            </w:pPr>
            <w:r>
              <w:rPr>
                <w:rFonts w:ascii="Calibri" w:hAnsi="Calibri"/>
                <w:b w:val="0"/>
                <w:i w:val="0"/>
                <w:color w:val="212121"/>
                <w:sz w:val="16"/>
              </w:rPr>
              <w:t>HbSS, children with sudden pallor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 retics + severe anaemia = red flag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Peripheral blood smear</w:t>
            </w:r>
          </w:p>
        </w:tc>
        <w:tc>
          <w:tcPr>
            <w:tcW w:type="dxa" w:w="892"/>
            <w:vAlign w:val="top"/>
          </w:tcPr>
          <w:p>
            <w:pPr>
              <w:spacing w:after="40" w:before="0" w:line="259" w:lineRule="auto"/>
            </w:pPr>
            <w:r>
              <w:rPr>
                <w:rFonts w:ascii="Calibri" w:hAnsi="Calibri"/>
                <w:b w:val="0"/>
                <w:i w:val="0"/>
                <w:color w:val="212121"/>
                <w:sz w:val="16"/>
              </w:rPr>
              <w:t>Microscopy</w:t>
            </w:r>
          </w:p>
        </w:tc>
        <w:tc>
          <w:tcPr>
            <w:tcW w:type="dxa" w:w="950"/>
            <w:vAlign w:val="top"/>
          </w:tcPr>
          <w:p>
            <w:pPr>
              <w:spacing w:after="40" w:before="0" w:line="259" w:lineRule="auto"/>
            </w:pPr>
            <w:r>
              <w:rPr>
                <w:rFonts w:ascii="Calibri" w:hAnsi="Calibri"/>
                <w:b w:val="0"/>
                <w:i w:val="0"/>
                <w:color w:val="212121"/>
                <w:sz w:val="16"/>
              </w:rPr>
              <w:t>Normal RBC morphology</w:t>
            </w:r>
          </w:p>
        </w:tc>
        <w:tc>
          <w:tcPr>
            <w:tcW w:type="dxa" w:w="950"/>
            <w:vAlign w:val="top"/>
          </w:tcPr>
          <w:p>
            <w:pPr>
              <w:spacing w:after="40" w:before="0" w:line="259" w:lineRule="auto"/>
            </w:pPr>
            <w:r>
              <w:rPr>
                <w:rFonts w:ascii="Calibri" w:hAnsi="Calibri"/>
                <w:b w:val="0"/>
                <w:i w:val="0"/>
                <w:color w:val="212121"/>
                <w:sz w:val="16"/>
              </w:rPr>
              <w:t>Sickle cells, target cells, Howell-Jolly bodies</w:t>
            </w:r>
          </w:p>
        </w:tc>
        <w:tc>
          <w:tcPr>
            <w:tcW w:type="dxa" w:w="1036"/>
            <w:vAlign w:val="top"/>
          </w:tcPr>
          <w:p>
            <w:pPr>
              <w:spacing w:after="40" w:before="0" w:line="259" w:lineRule="auto"/>
            </w:pPr>
            <w:r>
              <w:rPr>
                <w:rFonts w:ascii="Calibri" w:hAnsi="Calibri"/>
                <w:b w:val="0"/>
                <w:i w:val="0"/>
                <w:color w:val="212121"/>
                <w:sz w:val="16"/>
              </w:rPr>
              <w:t>Morphological evidence of sickling and functional asplenia</w:t>
            </w:r>
          </w:p>
        </w:tc>
        <w:tc>
          <w:tcPr>
            <w:tcW w:type="dxa" w:w="1036"/>
            <w:vAlign w:val="top"/>
          </w:tcPr>
          <w:p>
            <w:pPr>
              <w:spacing w:after="40" w:before="0" w:line="259" w:lineRule="auto"/>
            </w:pPr>
            <w:r>
              <w:rPr>
                <w:rFonts w:ascii="Calibri" w:hAnsi="Calibri"/>
                <w:b w:val="0"/>
                <w:i w:val="0"/>
                <w:color w:val="212121"/>
                <w:sz w:val="16"/>
              </w:rPr>
              <w:t>Suspected SCD, all new diagnoses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Screening/supportive</w:t>
            </w:r>
          </w:p>
        </w:tc>
        <w:tc>
          <w:tcPr>
            <w:tcW w:type="dxa" w:w="720"/>
            <w:vAlign w:val="top"/>
          </w:tcPr>
          <w:p>
            <w:pPr>
              <w:spacing w:after="40" w:before="0" w:line="259" w:lineRule="auto"/>
            </w:pPr>
            <w:r>
              <w:rPr>
                <w:rFonts w:ascii="Calibri" w:hAnsi="Calibri"/>
                <w:b w:val="0"/>
                <w:i w:val="0"/>
                <w:color w:val="212121"/>
                <w:sz w:val="16"/>
              </w:rPr>
              <w:t>Howell-Jolly bodies indicate hyposplenism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HPLC / haemoglobin electrophoresis</w:t>
            </w:r>
          </w:p>
        </w:tc>
        <w:tc>
          <w:tcPr>
            <w:tcW w:type="dxa" w:w="892"/>
            <w:vAlign w:val="top"/>
          </w:tcPr>
          <w:p>
            <w:pPr>
              <w:spacing w:after="40" w:before="0" w:line="259" w:lineRule="auto"/>
            </w:pPr>
            <w:r>
              <w:rPr>
                <w:rFonts w:ascii="Calibri" w:hAnsi="Calibri"/>
                <w:b w:val="0"/>
                <w:i w:val="0"/>
                <w:color w:val="212121"/>
                <w:sz w:val="16"/>
              </w:rPr>
              <w:t>Haemoglobin assay</w:t>
            </w:r>
          </w:p>
        </w:tc>
        <w:tc>
          <w:tcPr>
            <w:tcW w:type="dxa" w:w="950"/>
            <w:vAlign w:val="top"/>
          </w:tcPr>
          <w:p>
            <w:pPr>
              <w:spacing w:after="40" w:before="0" w:line="259" w:lineRule="auto"/>
            </w:pPr>
            <w:r>
              <w:rPr>
                <w:rFonts w:ascii="Calibri" w:hAnsi="Calibri"/>
                <w:b w:val="0"/>
                <w:i w:val="0"/>
                <w:color w:val="212121"/>
                <w:sz w:val="16"/>
              </w:rPr>
              <w:t>HbA predominant; no HbS</w:t>
            </w:r>
          </w:p>
        </w:tc>
        <w:tc>
          <w:tcPr>
            <w:tcW w:type="dxa" w:w="950"/>
            <w:vAlign w:val="top"/>
          </w:tcPr>
          <w:p>
            <w:pPr>
              <w:spacing w:after="40" w:before="0" w:line="259" w:lineRule="auto"/>
            </w:pPr>
            <w:r>
              <w:rPr>
                <w:rFonts w:ascii="Calibri" w:hAnsi="Calibri"/>
                <w:b w:val="0"/>
                <w:i w:val="0"/>
                <w:color w:val="212121"/>
                <w:sz w:val="16"/>
              </w:rPr>
              <w:t>HbS present; genotype-specific pattern</w:t>
            </w:r>
          </w:p>
        </w:tc>
        <w:tc>
          <w:tcPr>
            <w:tcW w:type="dxa" w:w="1036"/>
            <w:vAlign w:val="top"/>
          </w:tcPr>
          <w:p>
            <w:pPr>
              <w:spacing w:after="40" w:before="0" w:line="259" w:lineRule="auto"/>
            </w:pPr>
            <w:r>
              <w:rPr>
                <w:rFonts w:ascii="Calibri" w:hAnsi="Calibri"/>
                <w:b w:val="0"/>
                <w:i w:val="0"/>
                <w:color w:val="212121"/>
                <w:sz w:val="16"/>
              </w:rPr>
              <w:t>Confirms SCD and defines genotype (HbSS, HbS/beta-thal, HbSC)</w:t>
            </w:r>
          </w:p>
        </w:tc>
        <w:tc>
          <w:tcPr>
            <w:tcW w:type="dxa" w:w="1036"/>
            <w:vAlign w:val="top"/>
          </w:tcPr>
          <w:p>
            <w:pPr>
              <w:spacing w:after="40" w:before="0" w:line="259" w:lineRule="auto"/>
            </w:pPr>
            <w:r>
              <w:rPr>
                <w:rFonts w:ascii="Calibri" w:hAnsi="Calibri"/>
                <w:b w:val="0"/>
                <w:i w:val="0"/>
                <w:color w:val="212121"/>
                <w:sz w:val="16"/>
              </w:rPr>
              <w:t>All suspected cases, newborn screen positives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Defines exact genotype and severity class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Sickle solubility / sickling test</w:t>
            </w:r>
          </w:p>
        </w:tc>
        <w:tc>
          <w:tcPr>
            <w:tcW w:type="dxa" w:w="892"/>
            <w:vAlign w:val="top"/>
          </w:tcPr>
          <w:p>
            <w:pPr>
              <w:spacing w:after="40" w:before="0" w:line="259" w:lineRule="auto"/>
            </w:pPr>
            <w:r>
              <w:rPr>
                <w:rFonts w:ascii="Calibri" w:hAnsi="Calibri"/>
                <w:b w:val="0"/>
                <w:i w:val="0"/>
                <w:color w:val="212121"/>
                <w:sz w:val="16"/>
              </w:rPr>
              <w:t>Solubility screen</w:t>
            </w:r>
          </w:p>
        </w:tc>
        <w:tc>
          <w:tcPr>
            <w:tcW w:type="dxa" w:w="950"/>
            <w:vAlign w:val="top"/>
          </w:tcPr>
          <w:p>
            <w:pPr>
              <w:spacing w:after="40" w:before="0" w:line="259" w:lineRule="auto"/>
            </w:pPr>
            <w:r>
              <w:rPr>
                <w:rFonts w:ascii="Calibri" w:hAnsi="Calibri"/>
                <w:b w:val="0"/>
                <w:i w:val="0"/>
                <w:color w:val="212121"/>
                <w:sz w:val="16"/>
              </w:rPr>
              <w:t>Negative (no turbidity/sickling)</w:t>
            </w:r>
          </w:p>
        </w:tc>
        <w:tc>
          <w:tcPr>
            <w:tcW w:type="dxa" w:w="950"/>
            <w:vAlign w:val="top"/>
          </w:tcPr>
          <w:p>
            <w:pPr>
              <w:spacing w:after="40" w:before="0" w:line="259" w:lineRule="auto"/>
            </w:pPr>
            <w:r>
              <w:rPr>
                <w:rFonts w:ascii="Calibri" w:hAnsi="Calibri"/>
                <w:b w:val="0"/>
                <w:i w:val="0"/>
                <w:color w:val="212121"/>
                <w:sz w:val="16"/>
              </w:rPr>
              <w:t>Positive (turbidity/sickling)</w:t>
            </w:r>
          </w:p>
        </w:tc>
        <w:tc>
          <w:tcPr>
            <w:tcW w:type="dxa" w:w="1036"/>
            <w:vAlign w:val="top"/>
          </w:tcPr>
          <w:p>
            <w:pPr>
              <w:spacing w:after="40" w:before="0" w:line="259" w:lineRule="auto"/>
            </w:pPr>
            <w:r>
              <w:rPr>
                <w:rFonts w:ascii="Calibri" w:hAnsi="Calibri"/>
                <w:b w:val="0"/>
                <w:i w:val="0"/>
                <w:color w:val="212121"/>
                <w:sz w:val="16"/>
              </w:rPr>
              <w:t>Screens for HbS but cannot distinguish trait from disease</w:t>
            </w:r>
          </w:p>
        </w:tc>
        <w:tc>
          <w:tcPr>
            <w:tcW w:type="dxa" w:w="1036"/>
            <w:vAlign w:val="top"/>
          </w:tcPr>
          <w:p>
            <w:pPr>
              <w:spacing w:after="40" w:before="0" w:line="259" w:lineRule="auto"/>
            </w:pPr>
            <w:r>
              <w:rPr>
                <w:rFonts w:ascii="Calibri" w:hAnsi="Calibri"/>
                <w:b w:val="0"/>
                <w:i w:val="0"/>
                <w:color w:val="212121"/>
                <w:sz w:val="16"/>
              </w:rPr>
              <w:t>Community/antenatal screening, tribal cohorts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Always confirm with HPLC/electrophoresis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Bilirubin (total &amp; indirect) and LDH</w:t>
            </w:r>
          </w:p>
        </w:tc>
        <w:tc>
          <w:tcPr>
            <w:tcW w:type="dxa" w:w="892"/>
            <w:vAlign w:val="top"/>
          </w:tcPr>
          <w:p>
            <w:pPr>
              <w:spacing w:after="40" w:before="0" w:line="259" w:lineRule="auto"/>
            </w:pPr>
            <w:r>
              <w:rPr>
                <w:rFonts w:ascii="Calibri" w:hAnsi="Calibri"/>
                <w:b w:val="0"/>
                <w:i w:val="0"/>
                <w:color w:val="212121"/>
                <w:sz w:val="16"/>
              </w:rPr>
              <w:t>Haemolysis panel</w:t>
            </w:r>
          </w:p>
        </w:tc>
        <w:tc>
          <w:tcPr>
            <w:tcW w:type="dxa" w:w="950"/>
            <w:vAlign w:val="top"/>
          </w:tcPr>
          <w:p>
            <w:pPr>
              <w:spacing w:after="40" w:before="0" w:line="259" w:lineRule="auto"/>
            </w:pPr>
            <w:r>
              <w:rPr>
                <w:rFonts w:ascii="Calibri" w:hAnsi="Calibri"/>
                <w:b w:val="0"/>
                <w:i w:val="0"/>
                <w:color w:val="212121"/>
                <w:sz w:val="16"/>
              </w:rPr>
              <w:t>Bilirubin &lt; 1.2 mg/dL; LDH normal</w:t>
            </w:r>
          </w:p>
        </w:tc>
        <w:tc>
          <w:tcPr>
            <w:tcW w:type="dxa" w:w="950"/>
            <w:vAlign w:val="top"/>
          </w:tcPr>
          <w:p>
            <w:pPr>
              <w:spacing w:after="40" w:before="0" w:line="259" w:lineRule="auto"/>
            </w:pPr>
            <w:r>
              <w:rPr>
                <w:rFonts w:ascii="Calibri" w:hAnsi="Calibri"/>
                <w:b w:val="0"/>
                <w:i w:val="0"/>
                <w:color w:val="212121"/>
                <w:sz w:val="16"/>
              </w:rPr>
              <w:t>Raised indirect bilirubin and LDH</w:t>
            </w:r>
          </w:p>
        </w:tc>
        <w:tc>
          <w:tcPr>
            <w:tcW w:type="dxa" w:w="1036"/>
            <w:vAlign w:val="top"/>
          </w:tcPr>
          <w:p>
            <w:pPr>
              <w:spacing w:after="40" w:before="0" w:line="259" w:lineRule="auto"/>
            </w:pPr>
            <w:r>
              <w:rPr>
                <w:rFonts w:ascii="Calibri" w:hAnsi="Calibri"/>
                <w:b w:val="0"/>
                <w:i w:val="0"/>
                <w:color w:val="212121"/>
                <w:sz w:val="16"/>
              </w:rPr>
              <w:t>Quantifies chronic haemolysis; supports jaundice/gallstone risk</w:t>
            </w:r>
          </w:p>
        </w:tc>
        <w:tc>
          <w:tcPr>
            <w:tcW w:type="dxa" w:w="1036"/>
            <w:vAlign w:val="top"/>
          </w:tcPr>
          <w:p>
            <w:pPr>
              <w:spacing w:after="40" w:before="0" w:line="259" w:lineRule="auto"/>
            </w:pPr>
            <w:r>
              <w:rPr>
                <w:rFonts w:ascii="Calibri" w:hAnsi="Calibri"/>
                <w:b w:val="0"/>
                <w:i w:val="0"/>
                <w:color w:val="212121"/>
                <w:sz w:val="16"/>
              </w:rPr>
              <w:t>Patients with jaundice, suspected haemolysis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Chronic hyperbilirubinaemia predisposes to pigment gallstones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HBB gene sequencing / DNA analysis</w:t>
            </w:r>
          </w:p>
        </w:tc>
        <w:tc>
          <w:tcPr>
            <w:tcW w:type="dxa" w:w="892"/>
            <w:vAlign w:val="top"/>
          </w:tcPr>
          <w:p>
            <w:pPr>
              <w:spacing w:after="40" w:before="0" w:line="259" w:lineRule="auto"/>
            </w:pPr>
            <w:r>
              <w:rPr>
                <w:rFonts w:ascii="Calibri" w:hAnsi="Calibri"/>
                <w:b w:val="0"/>
                <w:i w:val="0"/>
                <w:color w:val="212121"/>
                <w:sz w:val="16"/>
              </w:rPr>
              <w:t>Molecular genetic test</w:t>
            </w:r>
          </w:p>
        </w:tc>
        <w:tc>
          <w:tcPr>
            <w:tcW w:type="dxa" w:w="950"/>
            <w:vAlign w:val="top"/>
          </w:tcPr>
          <w:p>
            <w:pPr>
              <w:spacing w:after="40" w:before="0" w:line="259" w:lineRule="auto"/>
            </w:pPr>
            <w:r>
              <w:rPr>
                <w:rFonts w:ascii="Calibri" w:hAnsi="Calibri"/>
                <w:b w:val="0"/>
                <w:i w:val="0"/>
                <w:color w:val="212121"/>
                <w:sz w:val="16"/>
              </w:rPr>
              <w:t>No pathogenic HBB variant</w:t>
            </w:r>
          </w:p>
        </w:tc>
        <w:tc>
          <w:tcPr>
            <w:tcW w:type="dxa" w:w="950"/>
            <w:vAlign w:val="top"/>
          </w:tcPr>
          <w:p>
            <w:pPr>
              <w:spacing w:after="40" w:before="0" w:line="259" w:lineRule="auto"/>
            </w:pPr>
            <w:r>
              <w:rPr>
                <w:rFonts w:ascii="Calibri" w:hAnsi="Calibri"/>
                <w:b w:val="0"/>
                <w:i w:val="0"/>
                <w:color w:val="212121"/>
                <w:sz w:val="16"/>
              </w:rPr>
              <w:t>p.Glu6Val (HbS) +/- beta-thalassaemia allele</w:t>
            </w:r>
          </w:p>
        </w:tc>
        <w:tc>
          <w:tcPr>
            <w:tcW w:type="dxa" w:w="1036"/>
            <w:vAlign w:val="top"/>
          </w:tcPr>
          <w:p>
            <w:pPr>
              <w:spacing w:after="40" w:before="0" w:line="259" w:lineRule="auto"/>
            </w:pPr>
            <w:r>
              <w:rPr>
                <w:rFonts w:ascii="Calibri" w:hAnsi="Calibri"/>
                <w:b w:val="0"/>
                <w:i w:val="0"/>
                <w:color w:val="212121"/>
                <w:sz w:val="16"/>
              </w:rPr>
              <w:t>Confirms genotype and detects co-inherited beta-thalassaemia when phenotype is ambiguous</w:t>
            </w:r>
          </w:p>
        </w:tc>
        <w:tc>
          <w:tcPr>
            <w:tcW w:type="dxa" w:w="1036"/>
            <w:vAlign w:val="top"/>
          </w:tcPr>
          <w:p>
            <w:pPr>
              <w:spacing w:after="40" w:before="0" w:line="259" w:lineRule="auto"/>
            </w:pPr>
            <w:r>
              <w:rPr>
                <w:rFonts w:ascii="Calibri" w:hAnsi="Calibri"/>
                <w:b w:val="0"/>
                <w:i w:val="0"/>
                <w:color w:val="212121"/>
                <w:sz w:val="16"/>
              </w:rPr>
              <w:t>Ambiguous cases, prenatal diagnosis, carrier couples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Enables prenatal and preimplantation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functional</w:t>
            </w:r>
          </w:p>
        </w:tc>
        <w:tc>
          <w:tcPr>
            <w:tcW w:type="dxa" w:w="1036"/>
            <w:vAlign w:val="top"/>
          </w:tcPr>
          <w:p>
            <w:pPr>
              <w:spacing w:after="40" w:before="0" w:line="259" w:lineRule="auto"/>
            </w:pPr>
            <w:r>
              <w:rPr>
                <w:rFonts w:ascii="Calibri" w:hAnsi="Calibri"/>
                <w:b w:val="0"/>
                <w:i w:val="0"/>
                <w:color w:val="212121"/>
                <w:sz w:val="16"/>
              </w:rPr>
              <w:t>Transcranial Doppler (TCD)</w:t>
            </w:r>
          </w:p>
        </w:tc>
        <w:tc>
          <w:tcPr>
            <w:tcW w:type="dxa" w:w="892"/>
            <w:vAlign w:val="top"/>
          </w:tcPr>
          <w:p>
            <w:pPr>
              <w:spacing w:after="40" w:before="0" w:line="259" w:lineRule="auto"/>
            </w:pPr>
            <w:r>
              <w:rPr>
                <w:rFonts w:ascii="Calibri" w:hAnsi="Calibri"/>
                <w:b w:val="0"/>
                <w:i w:val="0"/>
                <w:color w:val="212121"/>
                <w:sz w:val="16"/>
              </w:rPr>
              <w:t>Ultrasound velocity</w:t>
            </w:r>
          </w:p>
        </w:tc>
        <w:tc>
          <w:tcPr>
            <w:tcW w:type="dxa" w:w="950"/>
            <w:vAlign w:val="top"/>
          </w:tcPr>
          <w:p>
            <w:pPr>
              <w:spacing w:after="40" w:before="0" w:line="259" w:lineRule="auto"/>
            </w:pPr>
            <w:r>
              <w:rPr>
                <w:rFonts w:ascii="Calibri" w:hAnsi="Calibri"/>
                <w:b w:val="0"/>
                <w:i w:val="0"/>
                <w:color w:val="212121"/>
                <w:sz w:val="16"/>
              </w:rPr>
              <w:t>&lt; 170 cm/s</w:t>
            </w:r>
          </w:p>
        </w:tc>
        <w:tc>
          <w:tcPr>
            <w:tcW w:type="dxa" w:w="950"/>
            <w:vAlign w:val="top"/>
          </w:tcPr>
          <w:p>
            <w:pPr>
              <w:spacing w:after="40" w:before="0" w:line="259" w:lineRule="auto"/>
            </w:pPr>
            <w:r>
              <w:rPr>
                <w:rFonts w:ascii="Calibri" w:hAnsi="Calibri"/>
                <w:b w:val="0"/>
                <w:i w:val="0"/>
                <w:color w:val="212121"/>
                <w:sz w:val="16"/>
              </w:rPr>
              <w:t>&gt;= 200 cm/s</w:t>
            </w:r>
          </w:p>
        </w:tc>
        <w:tc>
          <w:tcPr>
            <w:tcW w:type="dxa" w:w="1036"/>
            <w:vAlign w:val="top"/>
          </w:tcPr>
          <w:p>
            <w:pPr>
              <w:spacing w:after="40" w:before="0" w:line="259" w:lineRule="auto"/>
            </w:pPr>
            <w:r>
              <w:rPr>
                <w:rFonts w:ascii="Calibri" w:hAnsi="Calibri"/>
                <w:b w:val="0"/>
                <w:i w:val="0"/>
                <w:color w:val="212121"/>
                <w:sz w:val="16"/>
              </w:rPr>
              <w:t>Predicts primary stroke risk in children with HbSS</w:t>
            </w:r>
          </w:p>
        </w:tc>
        <w:tc>
          <w:tcPr>
            <w:tcW w:type="dxa" w:w="1036"/>
            <w:vAlign w:val="top"/>
          </w:tcPr>
          <w:p>
            <w:pPr>
              <w:spacing w:after="40" w:before="0" w:line="259" w:lineRule="auto"/>
            </w:pPr>
            <w:r>
              <w:rPr>
                <w:rFonts w:ascii="Calibri" w:hAnsi="Calibri"/>
                <w:b w:val="0"/>
                <w:i w:val="0"/>
                <w:color w:val="212121"/>
                <w:sz w:val="16"/>
              </w:rPr>
              <w:t>Children aged 2-16 with HbSS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Screening/prognostic</w:t>
            </w:r>
          </w:p>
        </w:tc>
        <w:tc>
          <w:tcPr>
            <w:tcW w:type="dxa" w:w="720"/>
            <w:vAlign w:val="top"/>
          </w:tcPr>
          <w:p>
            <w:pPr>
              <w:spacing w:after="40" w:before="0" w:line="259" w:lineRule="auto"/>
            </w:pPr>
            <w:r>
              <w:rPr>
                <w:rFonts w:ascii="Calibri" w:hAnsi="Calibri"/>
                <w:b w:val="0"/>
                <w:i w:val="0"/>
                <w:color w:val="212121"/>
                <w:sz w:val="16"/>
              </w:rPr>
              <w:t>Abnormal TCD warrants chronic transfusion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Recurrent bone/joint pain, fatigue, jaundice, swelling of hands/feet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Recurrent painful episodes +/- pallor and jaundice</w:t>
            </w:r>
          </w:p>
        </w:tc>
        <w:tc>
          <w:tcPr>
            <w:tcW w:type="dxa" w:w="1036"/>
            <w:vAlign w:val="top"/>
          </w:tcPr>
          <w:p>
            <w:pPr>
              <w:spacing w:after="40" w:before="0" w:line="259" w:lineRule="auto"/>
            </w:pPr>
            <w:r>
              <w:rPr>
                <w:rFonts w:ascii="Calibri" w:hAnsi="Calibri"/>
                <w:b w:val="0"/>
                <w:i w:val="0"/>
                <w:color w:val="212121"/>
                <w:sz w:val="16"/>
              </w:rPr>
              <w:t>Classic pattern of vaso-occlusive crises and haemolytic anaemia</w:t>
            </w:r>
          </w:p>
        </w:tc>
        <w:tc>
          <w:tcPr>
            <w:tcW w:type="dxa" w:w="1036"/>
            <w:vAlign w:val="top"/>
          </w:tcPr>
          <w:p>
            <w:pPr>
              <w:spacing w:after="40" w:before="0" w:line="259" w:lineRule="auto"/>
            </w:pPr>
            <w:r>
              <w:rPr>
                <w:rFonts w:ascii="Calibri" w:hAnsi="Calibri"/>
                <w:b w:val="0"/>
                <w:i w:val="0"/>
                <w:color w:val="212121"/>
                <w:sz w:val="16"/>
              </w:rPr>
              <w:t>Children and young adults with SCD</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Dactylitis in an infant is often the first clue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consanguinity</w:t>
            </w:r>
          </w:p>
        </w:tc>
        <w:tc>
          <w:tcPr>
            <w:tcW w:type="dxa" w:w="979"/>
            <w:vAlign w:val="top"/>
          </w:tcPr>
          <w:p>
            <w:pPr>
              <w:spacing w:after="40" w:before="0" w:line="259" w:lineRule="auto"/>
            </w:pPr>
            <w:r>
              <w:rPr>
                <w:rFonts w:ascii="Calibri" w:hAnsi="Calibri"/>
                <w:b w:val="0"/>
                <w:i w:val="0"/>
                <w:color w:val="212121"/>
                <w:sz w:val="16"/>
              </w:rPr>
              <w:t>Affected sibling / carrier parents / endogamous marriage</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Affected relative or two carrier parents</w:t>
            </w:r>
          </w:p>
        </w:tc>
        <w:tc>
          <w:tcPr>
            <w:tcW w:type="dxa" w:w="1036"/>
            <w:vAlign w:val="top"/>
          </w:tcPr>
          <w:p>
            <w:pPr>
              <w:spacing w:after="40" w:before="0" w:line="259" w:lineRule="auto"/>
            </w:pPr>
            <w:r>
              <w:rPr>
                <w:rFonts w:ascii="Calibri" w:hAnsi="Calibri"/>
                <w:b w:val="0"/>
                <w:i w:val="0"/>
                <w:color w:val="212121"/>
                <w:sz w:val="16"/>
              </w:rPr>
              <w:t>Confirms autosomal-recessive inheritance and screening need</w:t>
            </w:r>
          </w:p>
        </w:tc>
        <w:tc>
          <w:tcPr>
            <w:tcW w:type="dxa" w:w="1036"/>
            <w:vAlign w:val="top"/>
          </w:tcPr>
          <w:p>
            <w:pPr>
              <w:spacing w:after="40" w:before="0" w:line="259" w:lineRule="auto"/>
            </w:pPr>
            <w:r>
              <w:rPr>
                <w:rFonts w:ascii="Calibri" w:hAnsi="Calibri"/>
                <w:b w:val="0"/>
                <w:i w:val="0"/>
                <w:color w:val="212121"/>
                <w:sz w:val="16"/>
              </w:rPr>
              <w:t>Tribal communities, carrier couples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Basis for premarital and antenatal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&amp; crisis history</w:t>
            </w:r>
          </w:p>
        </w:tc>
        <w:tc>
          <w:tcPr>
            <w:tcW w:type="dxa" w:w="979"/>
            <w:vAlign w:val="top"/>
          </w:tcPr>
          <w:p>
            <w:pPr>
              <w:spacing w:after="40" w:before="0" w:line="259" w:lineRule="auto"/>
            </w:pPr>
            <w:r>
              <w:rPr>
                <w:rFonts w:ascii="Calibri" w:hAnsi="Calibri"/>
                <w:b w:val="0"/>
                <w:i w:val="0"/>
                <w:color w:val="212121"/>
                <w:sz w:val="16"/>
              </w:rPr>
              <w:t>Dehydration, infection, cold, altitude, exertion, stress</w:t>
            </w:r>
          </w:p>
        </w:tc>
        <w:tc>
          <w:tcPr>
            <w:tcW w:type="dxa" w:w="950"/>
            <w:vAlign w:val="top"/>
          </w:tcPr>
          <w:p>
            <w:pPr>
              <w:spacing w:after="40" w:before="0" w:line="259" w:lineRule="auto"/>
            </w:pPr>
            <w:r>
              <w:rPr>
                <w:rFonts w:ascii="Calibri" w:hAnsi="Calibri"/>
                <w:b w:val="0"/>
                <w:i w:val="0"/>
                <w:color w:val="212121"/>
                <w:sz w:val="16"/>
              </w:rPr>
              <w:t>No identifiable triggers</w:t>
            </w:r>
          </w:p>
        </w:tc>
        <w:tc>
          <w:tcPr>
            <w:tcW w:type="dxa" w:w="950"/>
            <w:vAlign w:val="top"/>
          </w:tcPr>
          <w:p>
            <w:pPr>
              <w:spacing w:after="40" w:before="0" w:line="259" w:lineRule="auto"/>
            </w:pPr>
            <w:r>
              <w:rPr>
                <w:rFonts w:ascii="Calibri" w:hAnsi="Calibri"/>
                <w:b w:val="0"/>
                <w:i w:val="0"/>
                <w:color w:val="212121"/>
                <w:sz w:val="16"/>
              </w:rPr>
              <w:t>Recurrent crises with clear precipitants</w:t>
            </w:r>
          </w:p>
        </w:tc>
        <w:tc>
          <w:tcPr>
            <w:tcW w:type="dxa" w:w="1036"/>
            <w:vAlign w:val="top"/>
          </w:tcPr>
          <w:p>
            <w:pPr>
              <w:spacing w:after="40" w:before="0" w:line="259" w:lineRule="auto"/>
            </w:pPr>
            <w:r>
              <w:rPr>
                <w:rFonts w:ascii="Calibri" w:hAnsi="Calibri"/>
                <w:b w:val="0"/>
                <w:i w:val="0"/>
                <w:color w:val="212121"/>
                <w:sz w:val="16"/>
              </w:rPr>
              <w:t>Guides trigger avoidance and self-management education</w:t>
            </w:r>
          </w:p>
        </w:tc>
        <w:tc>
          <w:tcPr>
            <w:tcW w:type="dxa" w:w="1036"/>
            <w:vAlign w:val="top"/>
          </w:tcPr>
          <w:p>
            <w:pPr>
              <w:spacing w:after="40" w:before="0" w:line="259" w:lineRule="auto"/>
            </w:pPr>
            <w:r>
              <w:rPr>
                <w:rFonts w:ascii="Calibri" w:hAnsi="Calibri"/>
                <w:b w:val="0"/>
                <w:i w:val="0"/>
                <w:color w:val="212121"/>
                <w:sz w:val="16"/>
              </w:rPr>
              <w:t>Outdoor workers, patients with frequent crises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Number of crises/year grades severity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General inspection</w:t>
            </w:r>
          </w:p>
        </w:tc>
        <w:tc>
          <w:tcPr>
            <w:tcW w:type="dxa" w:w="979"/>
            <w:vAlign w:val="top"/>
          </w:tcPr>
          <w:p>
            <w:pPr>
              <w:spacing w:after="40" w:before="0" w:line="259" w:lineRule="auto"/>
            </w:pPr>
            <w:r>
              <w:rPr>
                <w:rFonts w:ascii="Calibri" w:hAnsi="Calibri"/>
                <w:b w:val="0"/>
                <w:i w:val="0"/>
                <w:color w:val="212121"/>
                <w:sz w:val="16"/>
              </w:rPr>
              <w:t>Pallor and scleral icterus</w:t>
            </w:r>
          </w:p>
        </w:tc>
        <w:tc>
          <w:tcPr>
            <w:tcW w:type="dxa" w:w="950"/>
            <w:vAlign w:val="top"/>
          </w:tcPr>
          <w:p>
            <w:pPr>
              <w:spacing w:after="40" w:before="0" w:line="259" w:lineRule="auto"/>
            </w:pPr>
            <w:r>
              <w:rPr>
                <w:rFonts w:ascii="Calibri" w:hAnsi="Calibri"/>
                <w:b w:val="0"/>
                <w:i w:val="0"/>
                <w:color w:val="212121"/>
                <w:sz w:val="16"/>
              </w:rPr>
              <w:t>Pink conjunctivae, white sclerae</w:t>
            </w:r>
          </w:p>
        </w:tc>
        <w:tc>
          <w:tcPr>
            <w:tcW w:type="dxa" w:w="950"/>
            <w:vAlign w:val="top"/>
          </w:tcPr>
          <w:p>
            <w:pPr>
              <w:spacing w:after="40" w:before="0" w:line="259" w:lineRule="auto"/>
            </w:pPr>
            <w:r>
              <w:rPr>
                <w:rFonts w:ascii="Calibri" w:hAnsi="Calibri"/>
                <w:b w:val="0"/>
                <w:i w:val="0"/>
                <w:color w:val="212121"/>
                <w:sz w:val="16"/>
              </w:rPr>
              <w:t>Conjunctival/palmar pallor, yellow sclerae</w:t>
            </w:r>
          </w:p>
        </w:tc>
        <w:tc>
          <w:tcPr>
            <w:tcW w:type="dxa" w:w="1036"/>
            <w:vAlign w:val="top"/>
          </w:tcPr>
          <w:p>
            <w:pPr>
              <w:spacing w:after="40" w:before="0" w:line="259" w:lineRule="auto"/>
            </w:pPr>
            <w:r>
              <w:rPr>
                <w:rFonts w:ascii="Calibri" w:hAnsi="Calibri"/>
                <w:b w:val="0"/>
                <w:i w:val="0"/>
                <w:color w:val="212121"/>
                <w:sz w:val="16"/>
              </w:rPr>
              <w:t>Signs of chronic haemolytic anaemia and hyperbilirubinaemia</w:t>
            </w:r>
          </w:p>
        </w:tc>
        <w:tc>
          <w:tcPr>
            <w:tcW w:type="dxa" w:w="1036"/>
            <w:vAlign w:val="top"/>
          </w:tcPr>
          <w:p>
            <w:pPr>
              <w:spacing w:after="40" w:before="0" w:line="259" w:lineRule="auto"/>
            </w:pPr>
            <w:r>
              <w:rPr>
                <w:rFonts w:ascii="Calibri" w:hAnsi="Calibri"/>
                <w:b w:val="0"/>
                <w:i w:val="0"/>
                <w:color w:val="212121"/>
                <w:sz w:val="16"/>
              </w:rPr>
              <w:t>All SCD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Jaundice often waxes and wanes with haemolysis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Organ examination</w:t>
            </w:r>
          </w:p>
        </w:tc>
        <w:tc>
          <w:tcPr>
            <w:tcW w:type="dxa" w:w="979"/>
            <w:vAlign w:val="top"/>
          </w:tcPr>
          <w:p>
            <w:pPr>
              <w:spacing w:after="40" w:before="0" w:line="259" w:lineRule="auto"/>
            </w:pPr>
            <w:r>
              <w:rPr>
                <w:rFonts w:ascii="Calibri" w:hAnsi="Calibri"/>
                <w:b w:val="0"/>
                <w:i w:val="0"/>
                <w:color w:val="212121"/>
                <w:sz w:val="16"/>
              </w:rPr>
              <w:t>Abdominal palpation (spleen/liver)</w:t>
            </w:r>
          </w:p>
        </w:tc>
        <w:tc>
          <w:tcPr>
            <w:tcW w:type="dxa" w:w="950"/>
            <w:vAlign w:val="top"/>
          </w:tcPr>
          <w:p>
            <w:pPr>
              <w:spacing w:after="40" w:before="0" w:line="259" w:lineRule="auto"/>
            </w:pPr>
            <w:r>
              <w:rPr>
                <w:rFonts w:ascii="Calibri" w:hAnsi="Calibri"/>
                <w:b w:val="0"/>
                <w:i w:val="0"/>
                <w:color w:val="212121"/>
                <w:sz w:val="16"/>
              </w:rPr>
              <w:t>No organomegaly</w:t>
            </w:r>
          </w:p>
        </w:tc>
        <w:tc>
          <w:tcPr>
            <w:tcW w:type="dxa" w:w="950"/>
            <w:vAlign w:val="top"/>
          </w:tcPr>
          <w:p>
            <w:pPr>
              <w:spacing w:after="40" w:before="0" w:line="259" w:lineRule="auto"/>
            </w:pPr>
            <w:r>
              <w:rPr>
                <w:rFonts w:ascii="Calibri" w:hAnsi="Calibri"/>
                <w:b w:val="0"/>
                <w:i w:val="0"/>
                <w:color w:val="212121"/>
                <w:sz w:val="16"/>
              </w:rPr>
              <w:t>Splenomegaly (early) or absent spleen (later); hepatomegaly</w:t>
            </w:r>
          </w:p>
        </w:tc>
        <w:tc>
          <w:tcPr>
            <w:tcW w:type="dxa" w:w="1036"/>
            <w:vAlign w:val="top"/>
          </w:tcPr>
          <w:p>
            <w:pPr>
              <w:spacing w:after="40" w:before="0" w:line="259" w:lineRule="auto"/>
            </w:pPr>
            <w:r>
              <w:rPr>
                <w:rFonts w:ascii="Calibri" w:hAnsi="Calibri"/>
                <w:b w:val="0"/>
                <w:i w:val="0"/>
                <w:color w:val="212121"/>
                <w:sz w:val="16"/>
              </w:rPr>
              <w:t>Detects splenic sequestration risk in children and later autosplenectomy</w:t>
            </w:r>
          </w:p>
        </w:tc>
        <w:tc>
          <w:tcPr>
            <w:tcW w:type="dxa" w:w="1036"/>
            <w:vAlign w:val="top"/>
          </w:tcPr>
          <w:p>
            <w:pPr>
              <w:spacing w:after="40" w:before="0" w:line="259" w:lineRule="auto"/>
            </w:pPr>
            <w:r>
              <w:rPr>
                <w:rFonts w:ascii="Calibri" w:hAnsi="Calibri"/>
                <w:b w:val="0"/>
                <w:i w:val="0"/>
                <w:color w:val="212121"/>
                <w:sz w:val="16"/>
              </w:rPr>
              <w:t>Children with SCD, acute abdominal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Rapidly enlarging tender spleen = sequestration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Growth/developmental exam</w:t>
            </w:r>
          </w:p>
        </w:tc>
        <w:tc>
          <w:tcPr>
            <w:tcW w:type="dxa" w:w="979"/>
            <w:vAlign w:val="top"/>
          </w:tcPr>
          <w:p>
            <w:pPr>
              <w:spacing w:after="40" w:before="0" w:line="259" w:lineRule="auto"/>
            </w:pPr>
            <w:r>
              <w:rPr>
                <w:rFonts w:ascii="Calibri" w:hAnsi="Calibri"/>
                <w:b w:val="0"/>
                <w:i w:val="0"/>
                <w:color w:val="212121"/>
                <w:sz w:val="16"/>
              </w:rPr>
              <w:t>Growth, puberty and skeletal assessment</w:t>
            </w:r>
          </w:p>
        </w:tc>
        <w:tc>
          <w:tcPr>
            <w:tcW w:type="dxa" w:w="950"/>
            <w:vAlign w:val="top"/>
          </w:tcPr>
          <w:p>
            <w:pPr>
              <w:spacing w:after="40" w:before="0" w:line="259" w:lineRule="auto"/>
            </w:pPr>
            <w:r>
              <w:rPr>
                <w:rFonts w:ascii="Calibri" w:hAnsi="Calibri"/>
                <w:b w:val="0"/>
                <w:i w:val="0"/>
                <w:color w:val="212121"/>
                <w:sz w:val="16"/>
              </w:rPr>
              <w:t>Age-appropriate growth and puberty</w:t>
            </w:r>
          </w:p>
        </w:tc>
        <w:tc>
          <w:tcPr>
            <w:tcW w:type="dxa" w:w="950"/>
            <w:vAlign w:val="top"/>
          </w:tcPr>
          <w:p>
            <w:pPr>
              <w:spacing w:after="40" w:before="0" w:line="259" w:lineRule="auto"/>
            </w:pPr>
            <w:r>
              <w:rPr>
                <w:rFonts w:ascii="Calibri" w:hAnsi="Calibri"/>
                <w:b w:val="0"/>
                <w:i w:val="0"/>
                <w:color w:val="212121"/>
                <w:sz w:val="16"/>
              </w:rPr>
              <w:t>Growth failure, delayed puberty, frontal bossing</w:t>
            </w:r>
          </w:p>
        </w:tc>
        <w:tc>
          <w:tcPr>
            <w:tcW w:type="dxa" w:w="1036"/>
            <w:vAlign w:val="top"/>
          </w:tcPr>
          <w:p>
            <w:pPr>
              <w:spacing w:after="40" w:before="0" w:line="259" w:lineRule="auto"/>
            </w:pPr>
            <w:r>
              <w:rPr>
                <w:rFonts w:ascii="Calibri" w:hAnsi="Calibri"/>
                <w:b w:val="0"/>
                <w:i w:val="0"/>
                <w:color w:val="212121"/>
                <w:sz w:val="16"/>
              </w:rPr>
              <w:t>Reflects chronic anaemia and marrow expansion</w:t>
            </w:r>
          </w:p>
        </w:tc>
        <w:tc>
          <w:tcPr>
            <w:tcW w:type="dxa" w:w="1036"/>
            <w:vAlign w:val="top"/>
          </w:tcPr>
          <w:p>
            <w:pPr>
              <w:spacing w:after="40" w:before="0" w:line="259" w:lineRule="auto"/>
            </w:pPr>
            <w:r>
              <w:rPr>
                <w:rFonts w:ascii="Calibri" w:hAnsi="Calibri"/>
                <w:b w:val="0"/>
                <w:i w:val="0"/>
                <w:color w:val="212121"/>
                <w:sz w:val="16"/>
              </w:rPr>
              <w:t>Children and adolescents with SCD</w:t>
            </w:r>
          </w:p>
        </w:tc>
        <w:tc>
          <w:tcPr>
            <w:tcW w:type="dxa" w:w="720"/>
            <w:vAlign w:val="top"/>
          </w:tcPr>
          <w:p>
            <w:pPr>
              <w:spacing w:after="40" w:before="0" w:line="259" w:lineRule="auto"/>
            </w:pPr>
            <w:r>
              <w:rPr>
                <w:rFonts w:ascii="Calibri" w:hAnsi="Calibri"/>
                <w:b w:val="0"/>
                <w:i w:val="0"/>
                <w:color w:val="212121"/>
                <w:sz w:val="16"/>
              </w:rPr>
              <w:t>Food; Sleep</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Plot on growth charts; assess nutrition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Prophylaxis &amp; vaccination status</w:t>
            </w:r>
          </w:p>
        </w:tc>
        <w:tc>
          <w:tcPr>
            <w:tcW w:type="dxa" w:w="979"/>
            <w:vAlign w:val="top"/>
          </w:tcPr>
          <w:p>
            <w:pPr>
              <w:spacing w:after="40" w:before="0" w:line="259" w:lineRule="auto"/>
            </w:pPr>
            <w:r>
              <w:rPr>
                <w:rFonts w:ascii="Calibri" w:hAnsi="Calibri"/>
                <w:b w:val="0"/>
                <w:i w:val="0"/>
                <w:color w:val="212121"/>
                <w:sz w:val="16"/>
              </w:rPr>
              <w:t>Penicillin prophylaxis, pneumococcal/Hib/meningococcal vaccines, folic acid, hydroxyurea</w:t>
            </w:r>
          </w:p>
        </w:tc>
        <w:tc>
          <w:tcPr>
            <w:tcW w:type="dxa" w:w="950"/>
            <w:vAlign w:val="top"/>
          </w:tcPr>
          <w:p>
            <w:pPr>
              <w:spacing w:after="40" w:before="0" w:line="259" w:lineRule="auto"/>
            </w:pPr>
            <w:r>
              <w:rPr>
                <w:rFonts w:ascii="Calibri" w:hAnsi="Calibri"/>
                <w:b w:val="0"/>
                <w:i w:val="0"/>
                <w:color w:val="212121"/>
                <w:sz w:val="16"/>
              </w:rPr>
              <w:t>Fully covered and adherent</w:t>
            </w:r>
          </w:p>
        </w:tc>
        <w:tc>
          <w:tcPr>
            <w:tcW w:type="dxa" w:w="950"/>
            <w:vAlign w:val="top"/>
          </w:tcPr>
          <w:p>
            <w:pPr>
              <w:spacing w:after="40" w:before="0" w:line="259" w:lineRule="auto"/>
            </w:pPr>
            <w:r>
              <w:rPr>
                <w:rFonts w:ascii="Calibri" w:hAnsi="Calibri"/>
                <w:b w:val="0"/>
                <w:i w:val="0"/>
                <w:color w:val="212121"/>
                <w:sz w:val="16"/>
              </w:rPr>
              <w:t>Missed prophylaxis or vaccines</w:t>
            </w:r>
          </w:p>
        </w:tc>
        <w:tc>
          <w:tcPr>
            <w:tcW w:type="dxa" w:w="1036"/>
            <w:vAlign w:val="top"/>
          </w:tcPr>
          <w:p>
            <w:pPr>
              <w:spacing w:after="40" w:before="0" w:line="259" w:lineRule="auto"/>
            </w:pPr>
            <w:r>
              <w:rPr>
                <w:rFonts w:ascii="Calibri" w:hAnsi="Calibri"/>
                <w:b w:val="0"/>
                <w:i w:val="0"/>
                <w:color w:val="212121"/>
                <w:sz w:val="16"/>
              </w:rPr>
              <w:t>Gaps sharply raise sepsis and crisis risk</w:t>
            </w:r>
          </w:p>
        </w:tc>
        <w:tc>
          <w:tcPr>
            <w:tcW w:type="dxa" w:w="1036"/>
            <w:vAlign w:val="top"/>
          </w:tcPr>
          <w:p>
            <w:pPr>
              <w:spacing w:after="40" w:before="0" w:line="259" w:lineRule="auto"/>
            </w:pPr>
            <w:r>
              <w:rPr>
                <w:rFonts w:ascii="Calibri" w:hAnsi="Calibri"/>
                <w:b w:val="0"/>
                <w:i w:val="0"/>
                <w:color w:val="212121"/>
                <w:sz w:val="16"/>
              </w:rPr>
              <w:t>Children with functional asplenia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Fever without cover is a medical emergency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Recurrent painful (vaso-occlusive) crises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severe pain in bones, back, chest or abdomen from microvascular occlusion by sickled cells; the hallmark of SCD.</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chronic haemolytic anaemia and reduced oxygen delivery to tissues.</w:t>
            </w:r>
          </w:p>
        </w:tc>
      </w:tr>
      <w:tr>
        <w:trPr>
          <w:cantSplit/>
        </w:trPr>
        <w:tc>
          <w:tcPr>
            <w:tcW w:type="dxa" w:w="2304"/>
            <w:vAlign w:val="top"/>
          </w:tcPr>
          <w:p>
            <w:pPr>
              <w:spacing w:after="40" w:before="0" w:line="259" w:lineRule="auto"/>
            </w:pPr>
            <w:r>
              <w:rPr>
                <w:rFonts w:ascii="Calibri" w:hAnsi="Calibri"/>
                <w:b/>
                <w:i w:val="0"/>
                <w:color w:val="212121"/>
                <w:sz w:val="19"/>
              </w:rPr>
              <w:t>Jaundice / yellow eyes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Premature red-cell breakdown raises indirect bilirubin, yellowing the sclerae and skin.</w:t>
            </w:r>
          </w:p>
        </w:tc>
      </w:tr>
      <w:tr>
        <w:trPr>
          <w:cantSplit/>
        </w:trPr>
        <w:tc>
          <w:tcPr>
            <w:tcW w:type="dxa" w:w="2304"/>
            <w:vAlign w:val="top"/>
          </w:tcPr>
          <w:p>
            <w:pPr>
              <w:spacing w:after="40" w:before="0" w:line="259" w:lineRule="auto"/>
            </w:pPr>
            <w:r>
              <w:rPr>
                <w:rFonts w:ascii="Calibri" w:hAnsi="Calibri"/>
                <w:b/>
                <w:i w:val="0"/>
                <w:color w:val="212121"/>
                <w:sz w:val="19"/>
              </w:rPr>
              <w:t>Dactylitis (painful hand-foot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first symptom in infants; painful swelling of hands and feet from small-vessel occlusion.</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anaemia and reduced oxygen-carrying capacity; abrupt worsening may signal acute chest syndrome.</w:t>
            </w:r>
          </w:p>
        </w:tc>
      </w:tr>
      <w:tr>
        <w:trPr>
          <w:cantSplit/>
        </w:trPr>
        <w:tc>
          <w:tcPr>
            <w:tcW w:type="dxa" w:w="2304"/>
            <w:vAlign w:val="top"/>
          </w:tcPr>
          <w:p>
            <w:pPr>
              <w:spacing w:after="40" w:before="0" w:line="259" w:lineRule="auto"/>
            </w:pPr>
            <w:r>
              <w:rPr>
                <w:rFonts w:ascii="Calibri" w:hAnsi="Calibri"/>
                <w:b/>
                <w:i w:val="0"/>
                <w:color w:val="212121"/>
                <w:sz w:val="19"/>
              </w:rPr>
              <w:t>Delayed growth and puberty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anaemia and high metabolic demand slow growth and sexual maturation in children.</w:t>
            </w:r>
          </w:p>
        </w:tc>
      </w:tr>
      <w:tr>
        <w:trPr>
          <w:cantSplit/>
        </w:trPr>
        <w:tc>
          <w:tcPr>
            <w:tcW w:type="dxa" w:w="2304"/>
            <w:vAlign w:val="top"/>
          </w:tcPr>
          <w:p>
            <w:pPr>
              <w:spacing w:after="40" w:before="0" w:line="259" w:lineRule="auto"/>
            </w:pPr>
            <w:r>
              <w:rPr>
                <w:rFonts w:ascii="Calibri" w:hAnsi="Calibri"/>
                <w:b/>
                <w:i w:val="0"/>
                <w:color w:val="212121"/>
                <w:sz w:val="19"/>
              </w:rPr>
              <w:t>Frequent or severe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Functional asplenia predisposes to encapsulated-organism infection and, in India, Salmonella osteomyelitis.</w:t>
            </w:r>
          </w:p>
        </w:tc>
      </w:tr>
      <w:tr>
        <w:trPr>
          <w:cantSplit/>
        </w:trPr>
        <w:tc>
          <w:tcPr>
            <w:tcW w:type="dxa" w:w="2304"/>
            <w:vAlign w:val="top"/>
          </w:tcPr>
          <w:p>
            <w:pPr>
              <w:spacing w:after="40" w:before="0" w:line="259" w:lineRule="auto"/>
            </w:pPr>
            <w:r>
              <w:rPr>
                <w:rFonts w:ascii="Calibri" w:hAnsi="Calibri"/>
                <w:b/>
                <w:i w:val="0"/>
                <w:color w:val="212121"/>
                <w:sz w:val="19"/>
              </w:rPr>
              <w:t>Acute chest pain with fever and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acute chest syndrome - a leading cause of death requiring urgent care.</w:t>
            </w:r>
          </w:p>
        </w:tc>
      </w:tr>
      <w:tr>
        <w:trPr>
          <w:cantSplit/>
        </w:trPr>
        <w:tc>
          <w:tcPr>
            <w:tcW w:type="dxa" w:w="2304"/>
            <w:vAlign w:val="top"/>
          </w:tcPr>
          <w:p>
            <w:pPr>
              <w:spacing w:after="40" w:before="0" w:line="259" w:lineRule="auto"/>
            </w:pPr>
            <w:r>
              <w:rPr>
                <w:rFonts w:ascii="Calibri" w:hAnsi="Calibri"/>
                <w:b/>
                <w:i w:val="0"/>
                <w:color w:val="212121"/>
                <w:sz w:val="19"/>
              </w:rPr>
              <w:t>Priapism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prolonged erection from vaso-occlusion in males; recurrent episodes can cause erectile dysfunction.</w:t>
            </w:r>
          </w:p>
        </w:tc>
      </w:tr>
      <w:tr>
        <w:trPr>
          <w:cantSplit/>
        </w:trPr>
        <w:tc>
          <w:tcPr>
            <w:tcW w:type="dxa" w:w="2304"/>
            <w:vAlign w:val="top"/>
          </w:tcPr>
          <w:p>
            <w:pPr>
              <w:spacing w:after="40" w:before="0" w:line="259" w:lineRule="auto"/>
            </w:pPr>
            <w:r>
              <w:rPr>
                <w:rFonts w:ascii="Calibri" w:hAnsi="Calibri"/>
                <w:b/>
                <w:i w:val="0"/>
                <w:color w:val="212121"/>
                <w:sz w:val="19"/>
              </w:rPr>
              <w:t>Visual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proliferative sickle retinopathy (especially HbSC), which can cause vitreous haemorrhage or retinal detachment.</w:t>
            </w:r>
          </w:p>
        </w:tc>
      </w:tr>
      <w:tr>
        <w:trPr>
          <w:cantSplit/>
        </w:trPr>
        <w:tc>
          <w:tcPr>
            <w:tcW w:type="dxa" w:w="2304"/>
            <w:vAlign w:val="top"/>
          </w:tcPr>
          <w:p>
            <w:pPr>
              <w:spacing w:after="40" w:before="0" w:line="259" w:lineRule="auto"/>
            </w:pPr>
            <w:r>
              <w:rPr>
                <w:rFonts w:ascii="Calibri" w:hAnsi="Calibri"/>
                <w:b/>
                <w:i w:val="0"/>
                <w:color w:val="212121"/>
                <w:sz w:val="19"/>
              </w:rPr>
              <w:t>Chronic leg ulcers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Poorly healing ulcers around the ankles from impaired microcirculation and skin ischaemia.</w:t>
            </w:r>
          </w:p>
        </w:tc>
      </w:tr>
      <w:tr>
        <w:trPr>
          <w:cantSplit/>
        </w:trPr>
        <w:tc>
          <w:tcPr>
            <w:tcW w:type="dxa" w:w="2304"/>
            <w:vAlign w:val="top"/>
          </w:tcPr>
          <w:p>
            <w:pPr>
              <w:spacing w:after="40" w:before="0" w:line="259" w:lineRule="auto"/>
            </w:pPr>
            <w:r>
              <w:rPr>
                <w:rFonts w:ascii="Calibri" w:hAnsi="Calibri"/>
                <w:b/>
                <w:i w:val="0"/>
                <w:color w:val="212121"/>
                <w:sz w:val="19"/>
              </w:rPr>
              <w:t>Sudden weakness, slurred speech or seizures (stroke)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Cerebral vaso-occlusion causes overt stroke; silent infarcts may impair learning without obvious symptoms.</w:t>
            </w:r>
          </w:p>
        </w:tc>
      </w:tr>
      <w:tr>
        <w:trPr>
          <w:cantSplit/>
        </w:trPr>
        <w:tc>
          <w:tcPr>
            <w:tcW w:type="dxa" w:w="2304"/>
            <w:vAlign w:val="top"/>
          </w:tcPr>
          <w:p>
            <w:pPr>
              <w:spacing w:after="40" w:before="0" w:line="259" w:lineRule="auto"/>
            </w:pPr>
            <w:r>
              <w:rPr>
                <w:rFonts w:ascii="Calibri" w:hAnsi="Calibri"/>
                <w:b/>
                <w:i w:val="0"/>
                <w:color w:val="212121"/>
                <w:sz w:val="19"/>
              </w:rPr>
              <w:t>Sudden abdominal fullness with collapse (splenic sequestration)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Rapid pooling of blood in the spleen causes acute anaemia and shock, chiefly in young children.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(conjunctival / palmar)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chronic haemolytic anaemia.</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 sclerae from raised indirect bilirubin due to haemolysis.</w:t>
            </w:r>
          </w:p>
        </w:tc>
      </w:tr>
      <w:tr>
        <w:trPr>
          <w:cantSplit/>
        </w:trPr>
        <w:tc>
          <w:tcPr>
            <w:tcW w:type="dxa" w:w="3456"/>
            <w:vAlign w:val="top"/>
          </w:tcPr>
          <w:p>
            <w:pPr>
              <w:spacing w:after="40" w:before="0" w:line="259" w:lineRule="auto"/>
            </w:pPr>
            <w:r>
              <w:rPr>
                <w:rFonts w:ascii="Calibri" w:hAnsi="Calibri"/>
                <w:b/>
                <w:i w:val="0"/>
                <w:color w:val="212121"/>
                <w:sz w:val="19"/>
              </w:rPr>
              <w:t>Splenomegaly (early childhood)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enlarged spleen before repeated infarction leads to autosplenectomy.</w:t>
            </w:r>
          </w:p>
        </w:tc>
      </w:tr>
      <w:tr>
        <w:trPr>
          <w:cantSplit/>
        </w:trPr>
        <w:tc>
          <w:tcPr>
            <w:tcW w:type="dxa" w:w="3456"/>
            <w:vAlign w:val="top"/>
          </w:tcPr>
          <w:p>
            <w:pPr>
              <w:spacing w:after="40" w:before="0" w:line="259" w:lineRule="auto"/>
            </w:pPr>
            <w:r>
              <w:rPr>
                <w:rFonts w:ascii="Calibri" w:hAnsi="Calibri"/>
                <w:b/>
                <w:i w:val="0"/>
                <w:color w:val="212121"/>
                <w:sz w:val="19"/>
              </w:rPr>
              <w:t>Tachycardia and systolic flow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Hyperdynamic circulation compensating for chronic anaemia.</w:t>
            </w:r>
          </w:p>
        </w:tc>
      </w:tr>
      <w:tr>
        <w:trPr>
          <w:cantSplit/>
        </w:trPr>
        <w:tc>
          <w:tcPr>
            <w:tcW w:type="dxa" w:w="3456"/>
            <w:vAlign w:val="top"/>
          </w:tcPr>
          <w:p>
            <w:pPr>
              <w:spacing w:after="40" w:before="0" w:line="259" w:lineRule="auto"/>
            </w:pPr>
            <w:r>
              <w:rPr>
                <w:rFonts w:ascii="Calibri" w:hAnsi="Calibri"/>
                <w:b/>
                <w:i w:val="0"/>
                <w:color w:val="212121"/>
                <w:sz w:val="19"/>
              </w:rPr>
              <w:t>Dactylitis - swollen, tender hands/feet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Early sign in infants from small-bone vaso-occlusion.</w:t>
            </w:r>
          </w:p>
        </w:tc>
      </w:tr>
      <w:tr>
        <w:trPr>
          <w:cantSplit/>
        </w:trPr>
        <w:tc>
          <w:tcPr>
            <w:tcW w:type="dxa" w:w="3456"/>
            <w:vAlign w:val="top"/>
          </w:tcPr>
          <w:p>
            <w:pPr>
              <w:spacing w:after="40" w:before="0" w:line="259" w:lineRule="auto"/>
            </w:pPr>
            <w:r>
              <w:rPr>
                <w:rFonts w:ascii="Calibri" w:hAnsi="Calibri"/>
                <w:b/>
                <w:i w:val="0"/>
                <w:color w:val="212121"/>
                <w:sz w:val="19"/>
              </w:rPr>
              <w:t>Growth failure / short stature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Chronic anaemia and increased metabolic demand impair growth.</w:t>
            </w:r>
          </w:p>
        </w:tc>
      </w:tr>
      <w:tr>
        <w:trPr>
          <w:cantSplit/>
        </w:trPr>
        <w:tc>
          <w:tcPr>
            <w:tcW w:type="dxa" w:w="3456"/>
            <w:vAlign w:val="top"/>
          </w:tcPr>
          <w:p>
            <w:pPr>
              <w:spacing w:after="40" w:before="0" w:line="259" w:lineRule="auto"/>
            </w:pPr>
            <w:r>
              <w:rPr>
                <w:rFonts w:ascii="Calibri" w:hAnsi="Calibri"/>
                <w:b/>
                <w:i w:val="0"/>
                <w:color w:val="212121"/>
                <w:sz w:val="19"/>
              </w:rPr>
              <w:t>Malleolar (ankle) leg ulcers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non-healing ulcers from cutaneous microvascular occlusion.</w:t>
            </w:r>
          </w:p>
        </w:tc>
      </w:tr>
      <w:tr>
        <w:trPr>
          <w:cantSplit/>
        </w:trPr>
        <w:tc>
          <w:tcPr>
            <w:tcW w:type="dxa" w:w="3456"/>
            <w:vAlign w:val="top"/>
          </w:tcPr>
          <w:p>
            <w:pPr>
              <w:spacing w:after="40" w:before="0" w:line="259" w:lineRule="auto"/>
            </w:pPr>
            <w:r>
              <w:rPr>
                <w:rFonts w:ascii="Calibri" w:hAnsi="Calibri"/>
                <w:b/>
                <w:i w:val="0"/>
                <w:color w:val="212121"/>
                <w:sz w:val="19"/>
              </w:rPr>
              <w:t>Frontal bossing / maxillary overgrowth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Marrow hyperplasia expands facial and skull bones in longstanding disease.</w:t>
            </w:r>
          </w:p>
        </w:tc>
      </w:tr>
      <w:tr>
        <w:trPr>
          <w:cantSplit/>
        </w:trPr>
        <w:tc>
          <w:tcPr>
            <w:tcW w:type="dxa" w:w="3456"/>
            <w:vAlign w:val="top"/>
          </w:tcPr>
          <w:p>
            <w:pPr>
              <w:spacing w:after="40" w:before="0" w:line="259" w:lineRule="auto"/>
            </w:pPr>
            <w:r>
              <w:rPr>
                <w:rFonts w:ascii="Calibri" w:hAnsi="Calibri"/>
                <w:b/>
                <w:i w:val="0"/>
                <w:color w:val="212121"/>
                <w:sz w:val="19"/>
              </w:rPr>
              <w:t>Proliferative retinopathy on fundoscopy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Peripheral neovascularisation, especially in HbSC disease.</w:t>
            </w:r>
          </w:p>
        </w:tc>
      </w:tr>
      <w:tr>
        <w:trPr>
          <w:cantSplit/>
        </w:trPr>
        <w:tc>
          <w:tcPr>
            <w:tcW w:type="dxa" w:w="3456"/>
            <w:vAlign w:val="top"/>
          </w:tcPr>
          <w:p>
            <w:pPr>
              <w:spacing w:after="40" w:before="0" w:line="259" w:lineRule="auto"/>
            </w:pPr>
            <w:r>
              <w:rPr>
                <w:rFonts w:ascii="Calibri" w:hAnsi="Calibri"/>
                <w:b/>
                <w:i w:val="0"/>
                <w:color w:val="212121"/>
                <w:sz w:val="19"/>
              </w:rPr>
              <w:t>Absent palpable spleen (autosplenectomy)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Later sign after repeated splenic infarction, marking functional asplenia.</w:t>
            </w:r>
          </w:p>
        </w:tc>
      </w:tr>
      <w:tr>
        <w:trPr>
          <w:cantSplit/>
        </w:trPr>
        <w:tc>
          <w:tcPr>
            <w:tcW w:type="dxa" w:w="3456"/>
            <w:vAlign w:val="top"/>
          </w:tcPr>
          <w:p>
            <w:pPr>
              <w:spacing w:after="40" w:before="0" w:line="259" w:lineRule="auto"/>
            </w:pPr>
            <w:r>
              <w:rPr>
                <w:rFonts w:ascii="Calibri" w:hAnsi="Calibri"/>
                <w:b/>
                <w:i w:val="0"/>
                <w:color w:val="212121"/>
                <w:sz w:val="19"/>
              </w:rPr>
              <w:t>Priapism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Persistent painful erection from penile vaso-occlusion in males.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painful vaso-occlusive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chest syndrome (fever, chest pain, hypoxia, new infiltrate)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splenic sequestration (rapid anaemia and shock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Aplastic crisis (parvovirus B19-triggered marrow shutdown)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ischaemic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Priapism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Overwhelming infection / sepsis (functional asplenia)</w:t>
            </w:r>
          </w:p>
        </w:tc>
        <w:tc>
          <w:tcPr>
            <w:tcW w:type="dxa" w:w="2980"/>
            <w:vAlign w:val="top"/>
          </w:tcPr>
          <w:p>
            <w:pPr>
              <w:spacing w:after="40" w:before="0" w:line="259" w:lineRule="auto"/>
            </w:pPr>
            <w:r>
              <w:rPr>
                <w:rFonts w:ascii="Calibri" w:hAnsi="Calibri"/>
                <w:b w:val="0"/>
                <w:i w:val="0"/>
                <w:color w:val="212121"/>
                <w:sz w:val="19"/>
              </w:rPr>
              <w:t>Acute, potentially life-threatening events driven directly by sickling, haemolysis and functional asplenia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haemolytic anaemia and cholelithiasis (pigment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asplenia with recurrent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Avascular (aseptic) necrosis of the femoral/humeral head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Sickle cell nephropathy (proteinuria, haematuria, hyposthenuria)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Proliferative retinopathy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leg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growth and puberty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Transfusional iron overload</w:t>
            </w:r>
          </w:p>
        </w:tc>
        <w:tc>
          <w:tcPr>
            <w:tcW w:type="dxa" w:w="2980"/>
            <w:vAlign w:val="top"/>
          </w:tcPr>
          <w:p>
            <w:pPr>
              <w:spacing w:after="40" w:before="0" w:line="259" w:lineRule="auto"/>
            </w:pPr>
            <w:r>
              <w:rPr>
                <w:rFonts w:ascii="Calibri" w:hAnsi="Calibri"/>
                <w:b w:val="0"/>
                <w:i w:val="0"/>
                <w:color w:val="212121"/>
                <w:sz w:val="19"/>
              </w:rPr>
              <w:t>Chronic organ damage from ongoing haemolysis, repeated micro-infarction and treatment (transfusion)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Stroke-related neurocognitive impairment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Blindness from vitreous haemorrhage or retinal detachment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syndrome and opioid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Femoral head collapse requiring joint replacement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Right heart failure from 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life expectancy and early mortality</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secondary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Functional asplenia / recurrent invasive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splenic infarction causes early autosplenectomy, leaving patients vulnerable to pneumococcal and Salmonella infection; a leading cause of childhood death, mitigated by penicillin prophylaxis and vaccination.</w:t>
            </w:r>
          </w:p>
        </w:tc>
      </w:tr>
      <w:tr>
        <w:trPr>
          <w:cantSplit/>
        </w:trPr>
        <w:tc>
          <w:tcPr>
            <w:tcW w:type="dxa" w:w="2232"/>
            <w:vAlign w:val="top"/>
          </w:tcPr>
          <w:p>
            <w:pPr>
              <w:spacing w:after="40" w:before="0" w:line="259" w:lineRule="auto"/>
            </w:pPr>
            <w:r>
              <w:rPr>
                <w:rFonts w:ascii="Calibri" w:hAnsi="Calibri"/>
                <w:b/>
                <w:i w:val="0"/>
                <w:color w:val="212121"/>
                <w:sz w:val="19"/>
              </w:rPr>
              <w:t>Stroke and silent cerebral infarction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Cerebral vaso-occlusion causes overt and silent strokes; TCD screening and transfusion reduce risk.</w:t>
            </w:r>
          </w:p>
          <w:p>
            <w:pPr>
              <w:spacing w:after="40" w:before="0" w:line="259" w:lineRule="auto"/>
            </w:pPr>
            <w:r>
              <w:rPr>
                <w:rFonts w:ascii="Calibri" w:hAnsi="Calibri"/>
                <w:b/>
                <w:i w:val="0"/>
                <w:color w:val="212121"/>
                <w:sz w:val="19"/>
              </w:rPr>
              <w:t>~11% overt stroke by age 20; silent infarcts ~21% of children</w:t>
            </w:r>
          </w:p>
        </w:tc>
      </w:tr>
      <w:tr>
        <w:trPr>
          <w:cantSplit/>
        </w:trPr>
        <w:tc>
          <w:tcPr>
            <w:tcW w:type="dxa" w:w="2232"/>
            <w:vAlign w:val="top"/>
          </w:tcPr>
          <w:p>
            <w:pPr>
              <w:spacing w:after="40" w:before="0" w:line="259" w:lineRule="auto"/>
            </w:pPr>
            <w:r>
              <w:rPr>
                <w:rFonts w:ascii="Calibri" w:hAnsi="Calibri"/>
                <w:b/>
                <w:i w:val="0"/>
                <w:color w:val="212121"/>
                <w:sz w:val="19"/>
              </w:rPr>
              <w:t>Acute chest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Pulmonary vaso-occlusion/infection presenting with fever, chest pain and hypoxia; a major cause of mortality and worsened by smoking.</w:t>
            </w:r>
          </w:p>
        </w:tc>
      </w:tr>
      <w:tr>
        <w:trPr>
          <w:cantSplit/>
        </w:trPr>
        <w:tc>
          <w:tcPr>
            <w:tcW w:type="dxa" w:w="2232"/>
            <w:vAlign w:val="top"/>
          </w:tcPr>
          <w:p>
            <w:pPr>
              <w:spacing w:after="40" w:before="0" w:line="259" w:lineRule="auto"/>
            </w:pPr>
            <w:r>
              <w:rPr>
                <w:rFonts w:ascii="Calibri" w:hAnsi="Calibri"/>
                <w:b/>
                <w:i w:val="0"/>
                <w:color w:val="212121"/>
                <w:sz w:val="19"/>
              </w:rPr>
              <w:t>Pulmonary 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haemolysis and vasculopathy raise pulmonary pressures and carry high mortality once established.</w:t>
            </w:r>
          </w:p>
          <w:p>
            <w:pPr>
              <w:spacing w:after="40" w:before="0" w:line="259" w:lineRule="auto"/>
            </w:pPr>
            <w:r>
              <w:rPr>
                <w:rFonts w:ascii="Calibri" w:hAnsi="Calibri"/>
                <w:b/>
                <w:i w:val="0"/>
                <w:color w:val="212121"/>
                <w:sz w:val="19"/>
              </w:rPr>
              <w:t>~6-10% of HbSS adults</w:t>
            </w:r>
          </w:p>
        </w:tc>
      </w:tr>
      <w:tr>
        <w:trPr>
          <w:cantSplit/>
        </w:trPr>
        <w:tc>
          <w:tcPr>
            <w:tcW w:type="dxa" w:w="2232"/>
            <w:vAlign w:val="top"/>
          </w:tcPr>
          <w:p>
            <w:pPr>
              <w:spacing w:after="40" w:before="0" w:line="259" w:lineRule="auto"/>
            </w:pPr>
            <w:r>
              <w:rPr>
                <w:rFonts w:ascii="Calibri" w:hAnsi="Calibri"/>
                <w:b/>
                <w:i w:val="0"/>
                <w:color w:val="212121"/>
                <w:sz w:val="19"/>
              </w:rPr>
              <w:t>Avascular (aseptic) necrosis of bone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Ischaemic death of the femoral/humeral head causes chronic pain and may need joint replacement.</w:t>
            </w:r>
          </w:p>
        </w:tc>
      </w:tr>
      <w:tr>
        <w:trPr>
          <w:cantSplit/>
        </w:trPr>
        <w:tc>
          <w:tcPr>
            <w:tcW w:type="dxa" w:w="2232"/>
            <w:vAlign w:val="top"/>
          </w:tcPr>
          <w:p>
            <w:pPr>
              <w:spacing w:after="40" w:before="0" w:line="259" w:lineRule="auto"/>
            </w:pPr>
            <w:r>
              <w:rPr>
                <w:rFonts w:ascii="Calibri" w:hAnsi="Calibri"/>
                <w:b/>
                <w:i w:val="0"/>
                <w:color w:val="212121"/>
                <w:sz w:val="19"/>
              </w:rPr>
              <w:t>Cholelithiasis (pigment gallstones)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haemolysis raises bilirubin turnover, forming pigment gallstones that may need cholecystectomy.</w:t>
            </w:r>
          </w:p>
        </w:tc>
      </w:tr>
      <w:tr>
        <w:trPr>
          <w:cantSplit/>
        </w:trPr>
        <w:tc>
          <w:tcPr>
            <w:tcW w:type="dxa" w:w="2232"/>
            <w:vAlign w:val="top"/>
          </w:tcPr>
          <w:p>
            <w:pPr>
              <w:spacing w:after="40" w:before="0" w:line="259" w:lineRule="auto"/>
            </w:pPr>
            <w:r>
              <w:rPr>
                <w:rFonts w:ascii="Calibri" w:hAnsi="Calibri"/>
                <w:b/>
                <w:i w:val="0"/>
                <w:color w:val="212121"/>
                <w:sz w:val="19"/>
              </w:rPr>
              <w:t>Sickle cell nephropathy / 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Medullary ischaemia and hyperfiltration cause hyposthenuria, proteinuria and progressive renal failure.</w:t>
            </w:r>
          </w:p>
        </w:tc>
      </w:tr>
      <w:tr>
        <w:trPr>
          <w:cantSplit/>
        </w:trPr>
        <w:tc>
          <w:tcPr>
            <w:tcW w:type="dxa" w:w="2232"/>
            <w:vAlign w:val="top"/>
          </w:tcPr>
          <w:p>
            <w:pPr>
              <w:spacing w:after="40" w:before="0" w:line="259" w:lineRule="auto"/>
            </w:pPr>
            <w:r>
              <w:rPr>
                <w:rFonts w:ascii="Calibri" w:hAnsi="Calibri"/>
                <w:b/>
                <w:i w:val="0"/>
                <w:color w:val="212121"/>
                <w:sz w:val="19"/>
              </w:rPr>
              <w:t>Proliferative sickle retinopathy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Peripheral retinal ischaemia drives neovascularisation and vision loss, notably in HbSC disease; needs regular screening.</w:t>
            </w:r>
          </w:p>
        </w:tc>
      </w:tr>
      <w:tr>
        <w:trPr>
          <w:cantSplit/>
        </w:trPr>
        <w:tc>
          <w:tcPr>
            <w:tcW w:type="dxa" w:w="2232"/>
            <w:vAlign w:val="top"/>
          </w:tcPr>
          <w:p>
            <w:pPr>
              <w:spacing w:after="40" w:before="0" w:line="259" w:lineRule="auto"/>
            </w:pPr>
            <w:r>
              <w:rPr>
                <w:rFonts w:ascii="Calibri" w:hAnsi="Calibri"/>
                <w:b/>
                <w:i w:val="0"/>
                <w:color w:val="212121"/>
                <w:sz w:val="19"/>
              </w:rPr>
              <w:t>Priapism</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Recurrent penile vaso-occlusion in males can cause erectile dysfunction if untreated.</w:t>
            </w:r>
          </w:p>
          <w:p>
            <w:pPr>
              <w:spacing w:after="40" w:before="0" w:line="259" w:lineRule="auto"/>
            </w:pPr>
            <w:r>
              <w:rPr>
                <w:rFonts w:ascii="Calibri" w:hAnsi="Calibri"/>
                <w:b/>
                <w:i w:val="0"/>
                <w:color w:val="212121"/>
                <w:sz w:val="19"/>
              </w:rPr>
              <w:t>Up to 48% of males</w:t>
            </w:r>
          </w:p>
        </w:tc>
      </w:tr>
      <w:tr>
        <w:trPr>
          <w:cantSplit/>
        </w:trPr>
        <w:tc>
          <w:tcPr>
            <w:tcW w:type="dxa" w:w="2232"/>
            <w:vAlign w:val="top"/>
          </w:tcPr>
          <w:p>
            <w:pPr>
              <w:spacing w:after="40" w:before="0" w:line="259" w:lineRule="auto"/>
            </w:pPr>
            <w:r>
              <w:rPr>
                <w:rFonts w:ascii="Calibri" w:hAnsi="Calibri"/>
                <w:b/>
                <w:i w:val="0"/>
                <w:color w:val="212121"/>
                <w:sz w:val="19"/>
              </w:rPr>
              <w:t>Transfusional iron overload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transfusions deposit iron in heart, liver and endocrine organs, needing ferritin monitoring and chelation.</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disability and stigma are bidirectionally linked with mood disorders and poorer adherence.</w:t>
            </w:r>
          </w:p>
          <w:p>
            <w:pPr>
              <w:spacing w:after="40" w:before="0" w:line="259" w:lineRule="auto"/>
            </w:pPr>
            <w:r>
              <w:rPr>
                <w:rFonts w:ascii="Calibri" w:hAnsi="Calibri"/>
                <w:b/>
                <w:i w:val="0"/>
                <w:color w:val="212121"/>
                <w:sz w:val="19"/>
              </w:rPr>
              <w:t>~26% of adults</w:t>
            </w:r>
          </w:p>
        </w:tc>
      </w:tr>
      <w:tr>
        <w:trPr>
          <w:cantSplit/>
        </w:trPr>
        <w:tc>
          <w:tcPr>
            <w:tcW w:type="dxa" w:w="2232"/>
            <w:vAlign w:val="top"/>
          </w:tcPr>
          <w:p>
            <w:pPr>
              <w:spacing w:after="40" w:before="0" w:line="259" w:lineRule="auto"/>
            </w:pPr>
            <w:r>
              <w:rPr>
                <w:rFonts w:ascii="Calibri" w:hAnsi="Calibri"/>
                <w:b/>
                <w:i w:val="0"/>
                <w:color w:val="212121"/>
                <w:sz w:val="19"/>
              </w:rPr>
              <w:t>Co-inherited alpha-thalassaemia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Very common in Indian SCD; reduces intracellular HbS and haemolysis, generally softening the phenotype and altering lab indices.</w:t>
            </w:r>
          </w:p>
          <w:p>
            <w:pPr>
              <w:spacing w:after="40" w:before="0" w:line="259" w:lineRule="auto"/>
            </w:pPr>
            <w:r>
              <w:rPr>
                <w:rFonts w:ascii="Calibri" w:hAnsi="Calibri"/>
                <w:b/>
                <w:i w:val="0"/>
                <w:color w:val="212121"/>
                <w:sz w:val="19"/>
              </w:rPr>
              <w:t>Up to ~86% in some Indian cohorts</w:t>
            </w:r>
          </w:p>
        </w:tc>
      </w:tr>
      <w:tr>
        <w:trPr>
          <w:cantSplit/>
        </w:trPr>
        <w:tc>
          <w:tcPr>
            <w:tcW w:type="dxa" w:w="2232"/>
            <w:vAlign w:val="top"/>
          </w:tcPr>
          <w:p>
            <w:pPr>
              <w:spacing w:after="40" w:before="0" w:line="259" w:lineRule="auto"/>
            </w:pPr>
            <w:r>
              <w:rPr>
                <w:rFonts w:ascii="Calibri" w:hAnsi="Calibri"/>
                <w:b/>
                <w:i w:val="0"/>
                <w:color w:val="212121"/>
                <w:sz w:val="19"/>
              </w:rPr>
              <w:t>High-risk pregnancy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Coexisting SCD raises crises, acute chest syndrome, pre-eclampsia, thrombosis and fetal growth restriction, demanding specialist care.</w:t>
            </w:r>
          </w:p>
        </w:tc>
      </w:tr>
      <w:tr>
        <w:trPr>
          <w:cantSplit/>
        </w:trPr>
        <w:tc>
          <w:tcPr>
            <w:tcW w:type="dxa" w:w="2232"/>
            <w:vAlign w:val="top"/>
          </w:tcPr>
          <w:p>
            <w:pPr>
              <w:spacing w:after="40" w:before="0" w:line="259" w:lineRule="auto"/>
            </w:pPr>
            <w:r>
              <w:rPr>
                <w:rFonts w:ascii="Calibri" w:hAnsi="Calibri"/>
                <w:b/>
                <w:i w:val="0"/>
                <w:color w:val="212121"/>
                <w:sz w:val="19"/>
              </w:rPr>
              <w:t>Salmonella osteomyelitis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Bone infarction plus impaired splenic clearance predisposes to Salmonella osteomyelitis, a characteristic SCD infection.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premarital, preconception and antenatal carrier screening in high-prevalence tribal communities so at-risk couples can make informed choices.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patients and families the warning signs that need urgent care: fever, severe pain, chest pain or breathlessness, sudden pallor/abdominal swelling, priapism or stroke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and support lifelong preventive care - penicillin prophylaxis in children, pneumococcal/Hib/meningococcal vaccination, and daily folic acid.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on trigger avoidance: stay well hydrated, avoid extreme cold and sudden temperature change, treat infections early, and avoid unaccustomed maximal exertion and high altitude.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adherence to hydroxyurea where prescribed, explaining that it raises fetal haemoglobin and reduces crises, chest syndrome and transfusion need.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and high-prevalence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transitioning to adult care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moderate activity (walking, light play, non-competitive sport) with frequent rest and water 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sudden maximal exertion, overheating and dehydration, which can precipitate a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extra caution with high altitude, unpressurised flight and strenuous exercise in 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Sickle cell trait carriers in sport or physically demanding jobs should hydrate, pace exertion and stop at early cramping to prevent exertional sickling.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 with SCD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and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with sickle cell trait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crisis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daily folic acid (1-5 mg) lifelong to meet the high demand of chronic haemolysis.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 and micronutrient-rich diet with green leafy vegetables, pulses and fruits to support growth and red-cell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zinc and vitamin D and correct nutritional deficiencies common in resource-poor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generous fluid intake with meals and throughout the day, especially in hot weather.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SCD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 tribal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Growing 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SCD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adequate sleep to reduce fatigue and pain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and nocturnal hypoxaemia, which worsen sickling.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sleeping area warm and avoid sudden cold exposure at night, a known crisis trigger.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snoring/OSA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night-time pain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(cigarettes and bidis) and offer cessation support, as smoking increases acute chest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indoor biomass-cooking smoke and other airborne irritants with better ventilation or cleaner fuels.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smoky, poorly ventilated and high-pollution environments that lower oxygenation.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with SCD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using biomass fuel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chest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causes dehydration and can precipitate crises.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compensate with generous water intake and never let alcohol displace hydration or medication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given added strain on the liver already affected by sickle hepatopathy and gallstones.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sickle hepatopathy or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crises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which are common and worsen pain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peer support and, where needed, psychological or psychiatric care for chronic pain and disease-related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coping, school/work participation and reduce stigma in the community and family.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mental-health support into comprehensive SCD care and pain-management plans.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with SCD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stigma or social isolation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pi.com/2409-515X/12/1/10" TargetMode="External"/><Relationship Id="rId10" Type="http://schemas.openxmlformats.org/officeDocument/2006/relationships/hyperlink" Target="https://www.ncbi.nlm.nih.gov/books/NBK566466/" TargetMode="External"/><Relationship Id="rId11" Type="http://schemas.openxmlformats.org/officeDocument/2006/relationships/hyperlink" Target="https://www.nejm.org/doi/full/10.1056/NEJMoa1516257" TargetMode="External"/><Relationship Id="rId12" Type="http://schemas.openxmlformats.org/officeDocument/2006/relationships/hyperlink" Target="https://ijmr.org.in/sickle-cell-disease-in-tribal-populations-in-india/" TargetMode="External"/><Relationship Id="rId13" Type="http://schemas.openxmlformats.org/officeDocument/2006/relationships/hyperlink" Target="https://www.nature.com/articles/s41598-024-81224-1" TargetMode="External"/><Relationship Id="rId14" Type="http://schemas.openxmlformats.org/officeDocument/2006/relationships/hyperlink" Target="https://sickle.nhm.gov.in/home/about" TargetMode="External"/><Relationship Id="rId15" Type="http://schemas.openxmlformats.org/officeDocument/2006/relationships/hyperlink" Target="https://www.ncbi.nlm.nih.gov/books/NBK1377/" TargetMode="External"/><Relationship Id="rId16" Type="http://schemas.openxmlformats.org/officeDocument/2006/relationships/hyperlink" Target="https://ijmr.org.in/sickle-cell-disease-in-india-a-perspective/" TargetMode="External"/><Relationship Id="rId17" Type="http://schemas.openxmlformats.org/officeDocument/2006/relationships/hyperlink" Target="https://www.ncbi.nlm.nih.gov/books/NBK526064/" TargetMode="External"/><Relationship Id="rId18" Type="http://schemas.openxmlformats.org/officeDocument/2006/relationships/hyperlink" Target="https://link.springer.com/article/10.1007/s12288-025-02270-x" TargetMode="External"/><Relationship Id="rId19" Type="http://schemas.openxmlformats.org/officeDocument/2006/relationships/hyperlink" Target="https://pubmed.ncbi.nlm.nih.gov/24135175/" TargetMode="External"/><Relationship Id="rId20" Type="http://schemas.openxmlformats.org/officeDocument/2006/relationships/hyperlink" Target="https://www.who.int/publications/i/item/9789240122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