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Hereditary Spherocytosis</w:t>
      </w:r>
    </w:p>
    <w:p>
      <w:pPr>
        <w:spacing w:before="0" w:after="160"/>
      </w:pPr>
      <w:r>
        <w:rPr>
          <w:rFonts w:ascii="Calibri" w:hAnsi="Calibri"/>
          <w:b/>
          <w:i w:val="0"/>
          <w:color w:val="212121"/>
          <w:sz w:val="22"/>
        </w:rPr>
        <w:t xml:space="preserve">AKA </w:t>
      </w:r>
      <w:r>
        <w:rPr>
          <w:rFonts w:ascii="Calibri" w:hAnsi="Calibri"/>
          <w:b w:val="0"/>
          <w:i w:val="0"/>
          <w:color w:val="212121"/>
          <w:sz w:val="22"/>
        </w:rPr>
        <w:t>i.e., HS, Congenital Spherocytic Anaemia, Spherocytic Haemolytic Anaemia, Minkowski-Chauffard Syndrome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Hereditary spherocytosis (HS) is the most common inherited disorder of the red-blood-cell membrane, caused by defects in the structural proteins that anchor the lipid bilayer to the underlying spectrin cytoskeleton (ankyrin, band 3, alpha/beta-spectrin, or protein 4.2). The affected erythrocytes progressively lose surface area and become small, dense, spherical cells (spherocytes) that are rigid and poorly deformable. These abnormal cells are selectively trapped and destroyed in the spleen, producing chronic extravascular haemolytic anaemia with variable jaundice, splenomegaly and a lifelong risk of pigment gallstones and acute crises.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HS is the commonest cause of inherited haemolytic anaemia in people of Northern European descent, affecting about 1 in 2,000 individuals. In India it is under-recognised and clinically overshadowed by the far more prevalent haemoglobinopathies (thalassaemia, sickle cell disease), yet tertiary-centre series identify it as the most frequent red-cell membrane disorder - accounting for roughly 13% of hereditary haemolytic anaemias in a South Indian series. Indian cohorts show a near-equal sex distribution (M:F approximately 1.1:1), presentation across all ages, and frequent late diagnosis, with gallstones already present in up to 42% and splenomegaly in about 54% of patients at tertiary presentation.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HS is diagnosed by combining the clinical picture (anaemia, jaundice, splenomegaly, family history) with the blood film and confirmatory red-cell membrane tests. A positive family history, spherocytes on the smear, raised MCHC and reticulocytosis are often sufficient; when the picture is equivocal, screening tests are added, based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anaemia with reticulocytosis, a raised mean corpuscular haemoglobin concentration (MCHC &gt; 35 g/dL) and numerous spherocytes / microspherocytes on the peripheral blood film;</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increased red-cell osmotic fragility, classically more marked after 24-hour incubation (or an abnormal acidified glycerol lysis time);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eosin-5-maleimide (EMA) binding on flow cytometry - the recommended first-line screening test together with the flow-cytometric osmotic fragility test;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NEGATIVE direct antiglobulin (Coombs) test, which is essential to exclude autoimmune haemolytic anaemia (AIHA), the main mimic that also produces spherocytes;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haemolytic markers: raised unconjugated (indirect) bilirubin, raised LDH, and low or absent haptoglobin;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atypical or severe cases, SDS-PAGE membrane-protein analysis or targeted genetic testing (ANK1, SPTB, SPTA1, SLC4A1, EPB42) to confirm the defect and inheritance pattern.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Hereditary spherocytosis is classified along three axes - clinical severity, mode of inheritance, and the underlying membrane-protein defect:</w:t>
      </w:r>
    </w:p>
    <w:p>
      <w:pPr>
        <w:spacing w:before="0" w:after="80"/>
      </w:pPr>
      <w:r>
        <w:rPr>
          <w:rFonts w:ascii="Calibri" w:hAnsi="Calibri"/>
          <w:b w:val="0"/>
          <w:i w:val="0"/>
          <w:color w:val="212121"/>
          <w:sz w:val="21"/>
        </w:rPr>
        <w:t>(1) By clinical severity (British Society for Haematology / BCSH bands): TRAIT/CARRIER - no anaemia, normal or near-normal reticulocytes and bilirubin; MILD HS - haemoglobin 11-15 g/dL, reticulocytes 3-6%, bilirubin 17-34 micromol/L (about 40-50% of patients); MODERATE HS - haemoglobin 8-12 g/dL, reticulocytes &gt;6%, bilirubin &gt;34 micromol/L; and SEVERE HS - haemoglobin 6-8 g/dL, reticulocytes &gt;10%, transfusion-dependent, usually with the greatest spectrin deficiency.</w:t>
      </w:r>
    </w:p>
    <w:p>
      <w:pPr>
        <w:spacing w:before="0" w:after="80"/>
      </w:pPr>
      <w:r>
        <w:rPr>
          <w:rFonts w:ascii="Calibri" w:hAnsi="Calibri"/>
          <w:b w:val="0"/>
          <w:i w:val="0"/>
          <w:color w:val="212121"/>
          <w:sz w:val="21"/>
        </w:rPr>
        <w:t>(2) By inheritance: approximately 75% of cases are autosomal dominant with a demonstrable family history; the remainder are autosomal recessive or arise from de novo (sporadic) mutations, and the non-dominant forms tend to be clinically more severe.</w:t>
      </w:r>
    </w:p>
    <w:p>
      <w:pPr>
        <w:spacing w:before="0" w:after="80"/>
      </w:pPr>
      <w:r>
        <w:rPr>
          <w:rFonts w:ascii="Calibri" w:hAnsi="Calibri"/>
          <w:b w:val="0"/>
          <w:i w:val="0"/>
          <w:color w:val="212121"/>
          <w:sz w:val="21"/>
        </w:rPr>
        <w:t>(3) By molecular defect: combined ankyrin (ANK1) and spectrin deficiency is the commonest (about 75-80% of dominant HS); band 3 / anion-exchanger (SLC4A1) deficiency accounts for roughly 10-20% of mild-to-moderate dominant disease; isolated beta-spectrin (SPTB) and recessive alpha-spectrin (SPTA1) deficiency occur; and protein 4.2 (EPB42) deficiency is relatively common in Japan and East Asia.</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Membrane protein defects: Loss-of-function mutations in ANK1, SPTB, SPTA1, SLC4A1 or EPB42 weaken the vertical linkage between the lipid bilayer and the spectrin-based cytoskeleton.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Loss of membrane surface area: Uncoupling of the bilayer causes progressive microvesiculation and surface-area loss, converting biconcave discs into rigid spherocytes.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Reduced deformability: Spherocytes have a low surface-area-to-volume ratio and cannot squeeze through the narrow fenestrations of the splenic cords and sinusoids.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Splenic sequestration and extravascular haemolysis: The spleen selectively conditions and destroys the abnormal cells, so haemolysis is predominantly extravascular and largely splenic.</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inheritance: Autosomal dominant transmission in about 75% of families; recessive or de novo mutations in the remainder, the latter presenting without a family history.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Precipitating and aggravating factors: Viral infection (especially parvovirus B19), folate deficiency, and co-inherited Gilbert syndrome (UGT1A1) amplify anaemia, trigger crises and accelerate gallstone formation.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&amp; infants</w:t>
            </w:r>
          </w:p>
        </w:tc>
        <w:tc>
          <w:tcPr>
            <w:tcW w:type="dxa" w:w="4276"/>
            <w:vAlign w:val="top"/>
          </w:tcPr>
          <w:p>
            <w:pPr>
              <w:spacing w:after="60" w:line="259" w:lineRule="auto"/>
            </w:pPr>
            <w:r>
              <w:rPr>
                <w:rFonts w:ascii="Calibri" w:hAnsi="Calibri"/>
                <w:b w:val="0"/>
                <w:i w:val="0"/>
                <w:color w:val="212121"/>
                <w:sz w:val="19"/>
              </w:rPr>
              <w:t>HS commonly declares itself in the newborn period as prolonged, unexplained hyperbilirubinaemia. Immature glucuronidation plus brisk haemolysis can push bilirubin to levels that risk kernicterus, so neonatal jaundice needing phototherapy or exchange transfusion is a frequent first clue.</w:t>
            </w:r>
          </w:p>
          <w:p>
            <w:pPr>
              <w:spacing w:after="40" w:before="60" w:line="259" w:lineRule="auto"/>
            </w:pPr>
            <w:r>
              <w:rPr>
                <w:rFonts w:ascii="Calibri" w:hAnsi="Calibri"/>
                <w:b w:val="0"/>
                <w:i w:val="0"/>
                <w:color w:val="212121"/>
                <w:sz w:val="19"/>
              </w:rPr>
              <w:t>In HS, the classic triad of jaundice, anaemia and splenomegaly is uncommon in neonates, who typically present with jaundice alone; HS should be considered in any neonate with unexplained Coombs-negative haemolytic jaundice.</w:t>
            </w:r>
          </w:p>
          <w:p>
            <w:pPr>
              <w:spacing w:after="40" w:line="252" w:lineRule="auto"/>
            </w:pPr>
            <w:hyperlink r:id="rId9">
              <w:r>
                <w:rPr>
                  <w:rFonts w:ascii="Calibri" w:hAnsi="Calibri" w:cs="Calibri"/>
                  <w:sz w:val="18"/>
                  <w:color w:val="1155CC"/>
                  <w:u w:val="single"/>
                </w:rPr>
                <w:t xml:space="preserve">StatPearls (NBK539797) - Hereditary Spherocytosis</w:t>
              </w:r>
            </w:hyperlink>
          </w:p>
          <w:p>
            <w:pPr>
              <w:spacing w:before="60" w:after="40"/>
            </w:pPr>
            <w:r>
              <w:rPr>
                <w:rFonts w:ascii="Calibri" w:hAnsi="Calibri"/>
                <w:b w:val="0"/>
                <w:i w:val="0"/>
                <w:color w:val="5A5A5A"/>
                <w:sz w:val="18"/>
              </w:rPr>
              <w:t>#neonataljaundice  #kernicterus  #hyperbilirubinemia  #coombsnegative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Chronic haemolysis through childhood produces pallor, intermittent jaundice, an enlarging spleen and, over years, pigment gallstones. Untreated moderate-to-severe disease can blunt growth and delay puberty.</w:t>
            </w:r>
          </w:p>
          <w:p>
            <w:pPr>
              <w:spacing w:after="40" w:before="60" w:line="259" w:lineRule="auto"/>
            </w:pPr>
            <w:r>
              <w:rPr>
                <w:rFonts w:ascii="Calibri" w:hAnsi="Calibri"/>
                <w:b w:val="0"/>
                <w:i w:val="0"/>
                <w:color w:val="212121"/>
                <w:sz w:val="19"/>
              </w:rPr>
              <w:t>In a North Indian tertiary cohort the majority of HS patients presented between 11 and 30 years, with a mean age of 25.7 years, reflecting frequent childhood-onset disease diagnosed late.</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#chronichemolysis  #growthdelay  #splenomegaly  #pediatric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Milder HS may go unrecognised until adulthood, surfacing as anaemia during an intercurrent infection, as symptomatic gallstones, or on incidental splenomegaly. Late diagnosis is common in India where the disorder is under-suspected.</w:t>
            </w:r>
          </w:p>
          <w:p>
            <w:pPr>
              <w:spacing w:after="40" w:before="60" w:line="259" w:lineRule="auto"/>
            </w:pPr>
            <w:r>
              <w:rPr>
                <w:rFonts w:ascii="Calibri" w:hAnsi="Calibri"/>
                <w:b w:val="0"/>
                <w:i w:val="0"/>
                <w:color w:val="212121"/>
                <w:sz w:val="19"/>
              </w:rPr>
              <w:t>In the same North Indian cohort (n=100) the mean age at presentation was 25.7 +/- 11.7 years, with gallstones already present in 42% - underscoring delayed recognition into adult life.</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#latediagnosis  #gallstones  #adultanemia  #underrecognised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 of reproductive age (pregnancy)</w:t>
            </w:r>
          </w:p>
        </w:tc>
        <w:tc>
          <w:tcPr>
            <w:tcW w:type="dxa" w:w="4276"/>
            <w:vAlign w:val="top"/>
          </w:tcPr>
          <w:p>
            <w:pPr>
              <w:spacing w:after="60" w:line="259" w:lineRule="auto"/>
            </w:pPr>
            <w:r>
              <w:rPr>
                <w:rFonts w:ascii="Calibri" w:hAnsi="Calibri"/>
                <w:b w:val="0"/>
                <w:i w:val="0"/>
                <w:color w:val="212121"/>
                <w:sz w:val="19"/>
              </w:rPr>
              <w:t>HS affects both sexes roughly equally, but pregnancy increases plasma volume, folate demand and haemolytic stress, so anaemia can worsen and folate-deficiency (megaloblastic) crises become more likely without supplementation.</w:t>
            </w:r>
          </w:p>
          <w:p>
            <w:pPr>
              <w:spacing w:after="40" w:before="60" w:line="259" w:lineRule="auto"/>
            </w:pPr>
            <w:r>
              <w:rPr>
                <w:rFonts w:ascii="Calibri" w:hAnsi="Calibri"/>
                <w:b w:val="0"/>
                <w:i w:val="0"/>
                <w:color w:val="212121"/>
                <w:sz w:val="19"/>
              </w:rPr>
              <w:t>Indian and international series report a near-equal sex distribution (male-to-female ratio about 1.1:1), so women of childbearing age form a substantial share of patients requiring peri-pregnancy folate and monitoring.</w:t>
            </w:r>
          </w:p>
          <w:p>
            <w:pPr>
              <w:spacing w:after="40" w:line="252" w:lineRule="auto"/>
            </w:pPr>
            <w:hyperlink r:id="rId11">
              <w:r>
                <w:rPr>
                  <w:rFonts w:ascii="Calibri" w:hAnsi="Calibri" w:cs="Calibri"/>
                  <w:sz w:val="18"/>
                  <w:color w:val="1155CC"/>
                  <w:u w:val="single"/>
                </w:rPr>
                <w:t xml:space="preserve">PMC5535365 - Hereditary haemolytic anaemias, South India</w:t>
              </w:r>
            </w:hyperlink>
          </w:p>
          <w:p>
            <w:pPr>
              <w:spacing w:before="60" w:after="40"/>
            </w:pPr>
            <w:r>
              <w:rPr>
                <w:rFonts w:ascii="Calibri" w:hAnsi="Calibri"/>
                <w:b w:val="0"/>
                <w:i w:val="0"/>
                <w:color w:val="5A5A5A"/>
                <w:sz w:val="18"/>
              </w:rPr>
              <w:t>#pregnancy  #folate  #hemolysis  #sexequal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Low-resource / rural populations</w:t>
            </w:r>
          </w:p>
        </w:tc>
        <w:tc>
          <w:tcPr>
            <w:tcW w:type="dxa" w:w="4276"/>
            <w:vAlign w:val="top"/>
          </w:tcPr>
          <w:p>
            <w:pPr>
              <w:spacing w:after="60" w:line="259" w:lineRule="auto"/>
            </w:pPr>
            <w:r>
              <w:rPr>
                <w:rFonts w:ascii="Calibri" w:hAnsi="Calibri"/>
                <w:b w:val="0"/>
                <w:i w:val="0"/>
                <w:color w:val="212121"/>
                <w:sz w:val="19"/>
              </w:rPr>
              <w:t>Where flow cytometry (EMA binding) and membrane studies are unavailable, mild HS is easily missed or mislabelled, and coexisting nutritional folate/iron deficiency masks the reticulocyte response - delaying diagnosis and appropriate counselling.</w:t>
            </w:r>
          </w:p>
          <w:p>
            <w:pPr>
              <w:spacing w:after="40" w:before="60" w:line="259" w:lineRule="auto"/>
            </w:pPr>
            <w:r>
              <w:rPr>
                <w:rFonts w:ascii="Calibri" w:hAnsi="Calibri"/>
                <w:b w:val="0"/>
                <w:i w:val="0"/>
                <w:color w:val="212121"/>
                <w:sz w:val="19"/>
              </w:rPr>
              <w:t>HS is described as relatively uncommon in Indian literature and under-diagnosed; in a South Indian tertiary series it still accounted for about 13% of hereditary haemolytic anaemias once systematically sought.</w:t>
            </w:r>
          </w:p>
          <w:p>
            <w:pPr>
              <w:spacing w:after="40" w:line="252" w:lineRule="auto"/>
            </w:pPr>
            <w:hyperlink r:id="rId11">
              <w:r>
                <w:rPr>
                  <w:rFonts w:ascii="Calibri" w:hAnsi="Calibri" w:cs="Calibri"/>
                  <w:sz w:val="18"/>
                  <w:color w:val="1155CC"/>
                  <w:u w:val="single"/>
                </w:rPr>
                <w:t xml:space="preserve">PMC5535365 - Hereditary haemolytic anaemias, South India</w:t>
              </w:r>
            </w:hyperlink>
          </w:p>
          <w:p>
            <w:pPr>
              <w:spacing w:before="60" w:after="40"/>
            </w:pPr>
            <w:r>
              <w:rPr>
                <w:rFonts w:ascii="Calibri" w:hAnsi="Calibri"/>
                <w:b w:val="0"/>
                <w:i w:val="0"/>
                <w:color w:val="5A5A5A"/>
                <w:sz w:val="18"/>
              </w:rPr>
              <w:t>#underdiagnosis  #accesstocare  #ruralhealth  #flowcytometry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Northern European ancestry</w:t>
            </w:r>
          </w:p>
        </w:tc>
        <w:tc>
          <w:tcPr>
            <w:tcW w:type="dxa" w:w="4276"/>
            <w:vAlign w:val="top"/>
          </w:tcPr>
          <w:p>
            <w:pPr>
              <w:spacing w:after="60" w:line="259" w:lineRule="auto"/>
            </w:pPr>
            <w:r>
              <w:rPr>
                <w:rFonts w:ascii="Calibri" w:hAnsi="Calibri"/>
                <w:b w:val="0"/>
                <w:i w:val="0"/>
                <w:color w:val="212121"/>
                <w:sz w:val="19"/>
              </w:rPr>
              <w:t>HS reaches its highest prevalence in populations of Northern European descent, in whom the dominant ankyrin/spectrin defects are most common. This is the reference population for the widely quoted incidence figure.</w:t>
            </w:r>
          </w:p>
          <w:p>
            <w:pPr>
              <w:spacing w:after="40" w:before="60" w:line="259" w:lineRule="auto"/>
            </w:pPr>
            <w:r>
              <w:rPr>
                <w:rFonts w:ascii="Calibri" w:hAnsi="Calibri"/>
                <w:b w:val="0"/>
                <w:i w:val="0"/>
                <w:color w:val="212121"/>
                <w:sz w:val="19"/>
              </w:rPr>
              <w:t>HS is diagnosed in about 1 in every 2,000 individuals of Northern European / North American descent, making it the commonest inherited red-cell membrane disorder.</w:t>
            </w:r>
          </w:p>
          <w:p>
            <w:pPr>
              <w:spacing w:after="40" w:line="252" w:lineRule="auto"/>
            </w:pPr>
            <w:hyperlink r:id="rId9">
              <w:r>
                <w:rPr>
                  <w:rFonts w:ascii="Calibri" w:hAnsi="Calibri" w:cs="Calibri"/>
                  <w:sz w:val="18"/>
                  <w:color w:val="1155CC"/>
                  <w:u w:val="single"/>
                </w:rPr>
                <w:t xml:space="preserve">StatPearls (NBK539797) - Hereditary Spherocytosis</w:t>
              </w:r>
            </w:hyperlink>
          </w:p>
          <w:p>
            <w:pPr>
              <w:spacing w:before="60" w:after="40"/>
            </w:pPr>
            <w:r>
              <w:rPr>
                <w:rFonts w:ascii="Calibri" w:hAnsi="Calibri"/>
                <w:b w:val="0"/>
                <w:i w:val="0"/>
                <w:color w:val="5A5A5A"/>
                <w:sz w:val="18"/>
              </w:rPr>
              <w:t>#northerneuropean  #1in2000  #membranedisorder  #ankyrin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tertiary-care patients</w:t>
            </w:r>
          </w:p>
        </w:tc>
        <w:tc>
          <w:tcPr>
            <w:tcW w:type="dxa" w:w="4276"/>
            <w:vAlign w:val="top"/>
          </w:tcPr>
          <w:p>
            <w:pPr>
              <w:spacing w:after="60" w:line="259" w:lineRule="auto"/>
            </w:pPr>
            <w:r>
              <w:rPr>
                <w:rFonts w:ascii="Calibri" w:hAnsi="Calibri"/>
                <w:b w:val="0"/>
                <w:i w:val="0"/>
                <w:color w:val="212121"/>
                <w:sz w:val="19"/>
              </w:rPr>
              <w:t>In India HS is real but eclipsed by haemoglobinopathies; it is often diagnosed only after haemoglobin electrophoresis excludes thalassaemia/sickle disease, and coexisting Gilbert syndrome makes gallstones a common presenting problem.</w:t>
            </w:r>
          </w:p>
          <w:p>
            <w:pPr>
              <w:spacing w:after="40" w:before="60" w:line="259" w:lineRule="auto"/>
            </w:pPr>
            <w:r>
              <w:rPr>
                <w:rFonts w:ascii="Calibri" w:hAnsi="Calibri"/>
                <w:b w:val="0"/>
                <w:i w:val="0"/>
                <w:color w:val="212121"/>
                <w:sz w:val="19"/>
              </w:rPr>
              <w:t>In a North Indian cohort, gallstones were present in 42% and splenomegaly in 54%; homozygous Gilbert (UGT1A1) genotype co-existed in 28% of whom 75% had gallstones, versus 0% in Gilbert-negative patients.</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#india  #gilbert  #gallstones  #hemoglobinopathyoverlap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Japanese / East Asian</w:t>
            </w:r>
          </w:p>
        </w:tc>
        <w:tc>
          <w:tcPr>
            <w:tcW w:type="dxa" w:w="4276"/>
            <w:vAlign w:val="top"/>
          </w:tcPr>
          <w:p>
            <w:pPr>
              <w:spacing w:after="60" w:line="259" w:lineRule="auto"/>
            </w:pPr>
            <w:r>
              <w:rPr>
                <w:rFonts w:ascii="Calibri" w:hAnsi="Calibri"/>
                <w:b w:val="0"/>
                <w:i w:val="0"/>
                <w:color w:val="212121"/>
                <w:sz w:val="19"/>
              </w:rPr>
              <w:t>The distribution of causative defects varies by ethnicity. Protein 4.2 (EPB42) deficiency, uncommon in the West, is a relatively frequent cause of HS in Japan and parts of East Asia.</w:t>
            </w:r>
          </w:p>
          <w:p>
            <w:pPr>
              <w:spacing w:after="40" w:before="60" w:line="259" w:lineRule="auto"/>
            </w:pPr>
            <w:r>
              <w:rPr>
                <w:rFonts w:ascii="Calibri" w:hAnsi="Calibri"/>
                <w:b w:val="0"/>
                <w:i w:val="0"/>
                <w:color w:val="212121"/>
                <w:sz w:val="19"/>
              </w:rPr>
              <w:t>Protein 4.2 deficiency is described as relatively common in Japan, whereas ankyrin/spectrin and band 3 defects predominate in European-derived populations.</w:t>
            </w:r>
          </w:p>
          <w:p>
            <w:pPr>
              <w:spacing w:after="40" w:line="252" w:lineRule="auto"/>
            </w:pPr>
            <w:hyperlink r:id="rId12">
              <w:r>
                <w:rPr>
                  <w:rFonts w:ascii="Calibri" w:hAnsi="Calibri" w:cs="Calibri"/>
                  <w:sz w:val="18"/>
                  <w:color w:val="1155CC"/>
                  <w:u w:val="single"/>
                </w:rPr>
                <w:t xml:space="preserve">Medscape - Hereditary Spherocytosis overview</w:t>
              </w:r>
            </w:hyperlink>
          </w:p>
          <w:p>
            <w:pPr>
              <w:spacing w:before="60" w:after="40"/>
            </w:pPr>
            <w:r>
              <w:rPr>
                <w:rFonts w:ascii="Calibri" w:hAnsi="Calibri"/>
                <w:b w:val="0"/>
                <w:i w:val="0"/>
                <w:color w:val="5A5A5A"/>
                <w:sz w:val="18"/>
              </w:rPr>
              <w:t>#protein4point2  #EPB42  #eastasia  #japan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Infection exposure</w:t>
            </w:r>
          </w:p>
        </w:tc>
        <w:tc>
          <w:tcPr>
            <w:tcW w:type="dxa" w:w="2160"/>
            <w:vAlign w:val="top"/>
          </w:tcPr>
          <w:p>
            <w:pPr>
              <w:spacing w:after="40" w:before="0" w:line="259" w:lineRule="auto"/>
            </w:pPr>
            <w:r>
              <w:rPr>
                <w:rFonts w:ascii="Calibri" w:hAnsi="Calibri"/>
                <w:b w:val="0"/>
                <w:i w:val="0"/>
                <w:color w:val="212121"/>
                <w:sz w:val="19"/>
              </w:rPr>
              <w:t>Children in crowded settings (parvovirus B19)</w:t>
            </w:r>
          </w:p>
        </w:tc>
        <w:tc>
          <w:tcPr>
            <w:tcW w:type="dxa" w:w="4276"/>
            <w:vAlign w:val="top"/>
          </w:tcPr>
          <w:p>
            <w:pPr>
              <w:spacing w:after="60" w:line="259" w:lineRule="auto"/>
            </w:pPr>
            <w:r>
              <w:rPr>
                <w:rFonts w:ascii="Calibri" w:hAnsi="Calibri"/>
                <w:b w:val="0"/>
                <w:i w:val="0"/>
                <w:color w:val="212121"/>
                <w:sz w:val="19"/>
              </w:rPr>
              <w:t>HS itself is genetic, but everyday exposure to common viruses is the main environmental trigger of acute deterioration. Parvovirus B19 shuts down erythropoiesis for days, and in a patient with already short-lived red cells this precipitates a dangerous aplastic crisis.</w:t>
            </w:r>
          </w:p>
          <w:p>
            <w:pPr>
              <w:spacing w:after="40" w:before="60" w:line="259" w:lineRule="auto"/>
            </w:pPr>
            <w:r>
              <w:rPr>
                <w:rFonts w:ascii="Calibri" w:hAnsi="Calibri"/>
                <w:b w:val="0"/>
                <w:i w:val="0"/>
                <w:color w:val="212121"/>
                <w:sz w:val="19"/>
              </w:rPr>
              <w:t>Aplastic crisis in HS is characteristically caused by parvovirus B19 infection, which transiently halts red-cell production; the resulting rapid fall in haemoglobin can precipitate high-output heart failure.</w:t>
            </w:r>
          </w:p>
          <w:p>
            <w:pPr>
              <w:spacing w:after="40" w:line="252" w:lineRule="auto"/>
            </w:pPr>
            <w:hyperlink r:id="rId9">
              <w:r>
                <w:rPr>
                  <w:rFonts w:ascii="Calibri" w:hAnsi="Calibri" w:cs="Calibri"/>
                  <w:sz w:val="18"/>
                  <w:color w:val="1155CC"/>
                  <w:u w:val="single"/>
                </w:rPr>
                <w:t xml:space="preserve">StatPearls (NBK539797) - Hereditary Spherocytosis</w:t>
              </w:r>
            </w:hyperlink>
          </w:p>
          <w:p>
            <w:pPr>
              <w:spacing w:before="60" w:after="40"/>
            </w:pPr>
            <w:r>
              <w:rPr>
                <w:rFonts w:ascii="Calibri" w:hAnsi="Calibri"/>
                <w:b w:val="0"/>
                <w:i w:val="0"/>
                <w:color w:val="5A5A5A"/>
                <w:sz w:val="18"/>
              </w:rPr>
              <w:t>#parvovirusB19  #aplasticcrisis  #infectiontrigger  #hemolyticcrisis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activity / exertion</w:t>
            </w:r>
          </w:p>
        </w:tc>
        <w:tc>
          <w:tcPr>
            <w:tcW w:type="dxa" w:w="2160"/>
            <w:vAlign w:val="top"/>
          </w:tcPr>
          <w:p>
            <w:pPr>
              <w:spacing w:after="40" w:before="0" w:line="259" w:lineRule="auto"/>
            </w:pPr>
            <w:r>
              <w:rPr>
                <w:rFonts w:ascii="Calibri" w:hAnsi="Calibri"/>
                <w:b w:val="0"/>
                <w:i w:val="0"/>
                <w:color w:val="212121"/>
                <w:sz w:val="19"/>
              </w:rPr>
              <w:t>Contact-sport players with splenomegaly</w:t>
            </w:r>
          </w:p>
        </w:tc>
        <w:tc>
          <w:tcPr>
            <w:tcW w:type="dxa" w:w="4276"/>
            <w:vAlign w:val="top"/>
          </w:tcPr>
          <w:p>
            <w:pPr>
              <w:spacing w:after="60" w:line="259" w:lineRule="auto"/>
            </w:pPr>
            <w:r>
              <w:rPr>
                <w:rFonts w:ascii="Calibri" w:hAnsi="Calibri"/>
                <w:b w:val="0"/>
                <w:i w:val="0"/>
                <w:color w:val="212121"/>
                <w:sz w:val="19"/>
              </w:rPr>
              <w:t>An enlarged, sequestering spleen is vulnerable to traumatic rupture, and vigorous exertion or contact sport can also transiently accentuate haemolysis. Activity restriction is advised while the spleen is significantly enlarged.</w:t>
            </w:r>
          </w:p>
          <w:p>
            <w:pPr>
              <w:spacing w:after="40" w:before="60" w:line="259" w:lineRule="auto"/>
            </w:pPr>
            <w:r>
              <w:rPr>
                <w:rFonts w:ascii="Calibri" w:hAnsi="Calibri"/>
                <w:b w:val="0"/>
                <w:i w:val="0"/>
                <w:color w:val="212121"/>
                <w:sz w:val="19"/>
              </w:rPr>
              <w:t>Splenomegaly was documented in 54% of an Indian HS cohort; a palpable/enlarged spleen raises the risk of traumatic rupture and is a recognised reason to avoid contact sports.</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#splenomegaly  #splenicrupture  #contactsport  #exertion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 folate intake</w:t>
            </w:r>
          </w:p>
        </w:tc>
        <w:tc>
          <w:tcPr>
            <w:tcW w:type="dxa" w:w="2160"/>
            <w:vAlign w:val="top"/>
          </w:tcPr>
          <w:p>
            <w:pPr>
              <w:spacing w:after="40" w:before="0" w:line="259" w:lineRule="auto"/>
            </w:pPr>
            <w:r>
              <w:rPr>
                <w:rFonts w:ascii="Calibri" w:hAnsi="Calibri"/>
                <w:b w:val="0"/>
                <w:i w:val="0"/>
                <w:color w:val="212121"/>
                <w:sz w:val="19"/>
              </w:rPr>
              <w:t>Vegetarian / folate-poor diets</w:t>
            </w:r>
          </w:p>
        </w:tc>
        <w:tc>
          <w:tcPr>
            <w:tcW w:type="dxa" w:w="4276"/>
            <w:vAlign w:val="top"/>
          </w:tcPr>
          <w:p>
            <w:pPr>
              <w:spacing w:after="60" w:line="259" w:lineRule="auto"/>
            </w:pPr>
            <w:r>
              <w:rPr>
                <w:rFonts w:ascii="Calibri" w:hAnsi="Calibri"/>
                <w:b w:val="0"/>
                <w:i w:val="0"/>
                <w:color w:val="212121"/>
                <w:sz w:val="19"/>
              </w:rPr>
              <w:t>Chronic haemolysis massively increases folate turnover to sustain compensatory erythropoiesis. Diets low in green leafy vegetables and pulses, common in some Indian settings, can precipitate a megaloblastic crisis with abrupt worsening of anaemia.</w:t>
            </w:r>
          </w:p>
          <w:p>
            <w:pPr>
              <w:spacing w:after="40" w:before="60" w:line="259" w:lineRule="auto"/>
            </w:pPr>
            <w:r>
              <w:rPr>
                <w:rFonts w:ascii="Calibri" w:hAnsi="Calibri"/>
                <w:b w:val="0"/>
                <w:i w:val="0"/>
                <w:color w:val="212121"/>
                <w:sz w:val="19"/>
              </w:rPr>
              <w:t>Folate supplementation is recommended in moderate and severe HS to prevent megaloblastic crisis; it is considered unnecessary in mild disease.</w:t>
            </w:r>
          </w:p>
          <w:p>
            <w:pPr>
              <w:spacing w:after="40" w:line="252" w:lineRule="auto"/>
            </w:pPr>
            <w:hyperlink r:id="rId13">
              <w:r>
                <w:rPr>
                  <w:rFonts w:ascii="Calibri" w:hAnsi="Calibri" w:cs="Calibri"/>
                  <w:sz w:val="18"/>
                  <w:color w:val="1155CC"/>
                  <w:u w:val="single"/>
                </w:rPr>
                <w:t xml:space="preserve">BCSH Guidelines - Hereditary Spherocytosis</w:t>
              </w:r>
            </w:hyperlink>
          </w:p>
          <w:p>
            <w:pPr>
              <w:spacing w:before="60" w:after="40"/>
            </w:pPr>
            <w:r>
              <w:rPr>
                <w:rFonts w:ascii="Calibri" w:hAnsi="Calibri"/>
                <w:b w:val="0"/>
                <w:i w:val="0"/>
                <w:color w:val="5A5A5A"/>
                <w:sz w:val="18"/>
              </w:rPr>
              <w:t>#folate  #megaloblasticcrisis  #diet  #hemolysis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intake</w:t>
            </w:r>
          </w:p>
        </w:tc>
        <w:tc>
          <w:tcPr>
            <w:tcW w:type="dxa" w:w="2160"/>
            <w:vAlign w:val="top"/>
          </w:tcPr>
          <w:p>
            <w:pPr>
              <w:spacing w:after="40" w:before="0" w:line="259" w:lineRule="auto"/>
            </w:pPr>
            <w:r>
              <w:rPr>
                <w:rFonts w:ascii="Calibri" w:hAnsi="Calibri"/>
                <w:b w:val="0"/>
                <w:i w:val="0"/>
                <w:color w:val="212121"/>
                <w:sz w:val="19"/>
              </w:rPr>
              <w:t>Patients on unindicated iron / multiple transfusions</w:t>
            </w:r>
          </w:p>
        </w:tc>
        <w:tc>
          <w:tcPr>
            <w:tcW w:type="dxa" w:w="4276"/>
            <w:vAlign w:val="top"/>
          </w:tcPr>
          <w:p>
            <w:pPr>
              <w:spacing w:after="60" w:line="259" w:lineRule="auto"/>
            </w:pPr>
            <w:r>
              <w:rPr>
                <w:rFonts w:ascii="Calibri" w:hAnsi="Calibri"/>
                <w:b w:val="0"/>
                <w:i w:val="0"/>
                <w:color w:val="212121"/>
                <w:sz w:val="19"/>
              </w:rPr>
              <w:t>HS patients are not usually iron-deficient; empirical iron supplements or repeated transfusions can drive iron overload, sometimes amplified by co-inherited hereditary haemochromatosis (HFE) genes.</w:t>
            </w:r>
          </w:p>
          <w:p>
            <w:pPr>
              <w:spacing w:after="40" w:before="60" w:line="259" w:lineRule="auto"/>
            </w:pPr>
            <w:r>
              <w:rPr>
                <w:rFonts w:ascii="Calibri" w:hAnsi="Calibri"/>
                <w:b w:val="0"/>
                <w:i w:val="0"/>
                <w:color w:val="212121"/>
                <w:sz w:val="19"/>
              </w:rPr>
              <w:t>Iron overload is a recognised, though under-appreciated, complication of HS - reported even in non-transfused patients and worsened by co-inherited HFE mutations.</w:t>
            </w:r>
          </w:p>
          <w:p>
            <w:pPr>
              <w:spacing w:after="40" w:line="252" w:lineRule="auto"/>
            </w:pPr>
            <w:hyperlink r:id="rId14">
              <w:r>
                <w:rPr>
                  <w:rFonts w:ascii="Calibri" w:hAnsi="Calibri" w:cs="Calibri"/>
                  <w:sz w:val="18"/>
                  <w:color w:val="1155CC"/>
                  <w:u w:val="single"/>
                </w:rPr>
                <w:t xml:space="preserve">PMC11298700 - Iron overload in Hereditary Spherocytosis</w:t>
              </w:r>
            </w:hyperlink>
          </w:p>
          <w:p>
            <w:pPr>
              <w:spacing w:before="60" w:after="40"/>
            </w:pPr>
            <w:r>
              <w:rPr>
                <w:rFonts w:ascii="Calibri" w:hAnsi="Calibri"/>
                <w:b w:val="0"/>
                <w:i w:val="0"/>
                <w:color w:val="5A5A5A"/>
                <w:sz w:val="18"/>
              </w:rPr>
              <w:t>#ironoverload  #HFE  #transfusion  #ferritin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HS / anaemia / splenectomy</w:t>
            </w:r>
          </w:p>
        </w:tc>
        <w:tc>
          <w:tcPr>
            <w:tcW w:type="dxa" w:w="4276"/>
            <w:vAlign w:val="top"/>
          </w:tcPr>
          <w:p>
            <w:pPr>
              <w:spacing w:after="60" w:line="259" w:lineRule="auto"/>
            </w:pPr>
            <w:r>
              <w:rPr>
                <w:rFonts w:ascii="Calibri" w:hAnsi="Calibri"/>
                <w:b w:val="0"/>
                <w:i w:val="0"/>
                <w:color w:val="212121"/>
                <w:sz w:val="19"/>
              </w:rPr>
              <w:t>Because most HS is autosomal dominant, an affected parent, jaundice/anaemia in relatives, a family history of gallstones at a young age, or a relative who had a splenectomy strongly predicts the diagnosis and should trigger screening.</w:t>
            </w:r>
          </w:p>
          <w:p>
            <w:pPr>
              <w:spacing w:after="40" w:before="60" w:line="259" w:lineRule="auto"/>
            </w:pPr>
            <w:r>
              <w:rPr>
                <w:rFonts w:ascii="Calibri" w:hAnsi="Calibri"/>
                <w:b w:val="0"/>
                <w:i w:val="0"/>
                <w:color w:val="212121"/>
                <w:sz w:val="19"/>
              </w:rPr>
              <w:t>About 75% of HS is autosomal dominant; in a South Indian series a positive family history was documented in roughly 16% (7 of 43 patients), often understated because milder relatives go undiagnosed.</w:t>
            </w:r>
          </w:p>
          <w:p>
            <w:pPr>
              <w:spacing w:after="40" w:line="252" w:lineRule="auto"/>
            </w:pPr>
            <w:hyperlink r:id="rId11">
              <w:r>
                <w:rPr>
                  <w:rFonts w:ascii="Calibri" w:hAnsi="Calibri" w:cs="Calibri"/>
                  <w:sz w:val="18"/>
                  <w:color w:val="1155CC"/>
                  <w:u w:val="single"/>
                </w:rPr>
                <w:t xml:space="preserve">PMC5535365 - Hereditary haemolytic anaemias, South India</w:t>
              </w:r>
            </w:hyperlink>
          </w:p>
          <w:p>
            <w:pPr>
              <w:spacing w:before="60" w:after="40"/>
            </w:pPr>
            <w:r>
              <w:rPr>
                <w:rFonts w:ascii="Calibri" w:hAnsi="Calibri"/>
                <w:b w:val="0"/>
                <w:i w:val="0"/>
                <w:color w:val="5A5A5A"/>
                <w:sz w:val="18"/>
              </w:rPr>
              <w:t>#autosomaldominant  #familyhistory  #screening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 mutation carrier</w:t>
            </w:r>
          </w:p>
        </w:tc>
        <w:tc>
          <w:tcPr>
            <w:tcW w:type="dxa" w:w="2160"/>
            <w:vAlign w:val="top"/>
          </w:tcPr>
          <w:p>
            <w:pPr>
              <w:spacing w:after="40" w:before="0" w:line="259" w:lineRule="auto"/>
            </w:pPr>
            <w:r>
              <w:rPr>
                <w:rFonts w:ascii="Calibri" w:hAnsi="Calibri"/>
                <w:b w:val="0"/>
                <w:i w:val="0"/>
                <w:color w:val="212121"/>
                <w:sz w:val="19"/>
              </w:rPr>
              <w:t>ANK1 / SPTB / SPTA1 / SLC4A1 / EPB42 variants</w:t>
            </w:r>
          </w:p>
        </w:tc>
        <w:tc>
          <w:tcPr>
            <w:tcW w:type="dxa" w:w="4276"/>
            <w:vAlign w:val="top"/>
          </w:tcPr>
          <w:p>
            <w:pPr>
              <w:spacing w:after="60" w:line="259" w:lineRule="auto"/>
            </w:pPr>
            <w:r>
              <w:rPr>
                <w:rFonts w:ascii="Calibri" w:hAnsi="Calibri"/>
                <w:b w:val="0"/>
                <w:i w:val="0"/>
                <w:color w:val="212121"/>
                <w:sz w:val="19"/>
              </w:rPr>
              <w:t>The specific gene and dose of the defect set the clinical severity: combined ankyrin/spectrin loss is the commonest and usually dominant, whereas recessive alpha-spectrin (SPTA1) defects tend to be severe and transfusion-dependent.</w:t>
            </w:r>
          </w:p>
          <w:p>
            <w:pPr>
              <w:spacing w:after="40" w:before="60" w:line="259" w:lineRule="auto"/>
            </w:pPr>
            <w:r>
              <w:rPr>
                <w:rFonts w:ascii="Calibri" w:hAnsi="Calibri"/>
                <w:b w:val="0"/>
                <w:i w:val="0"/>
                <w:color w:val="212121"/>
                <w:sz w:val="19"/>
              </w:rPr>
              <w:t>Combined ankyrin and spectrin deficiency underlies about 75-80% of autosomal dominant HS, band 3 (SLC4A1) deficiency about 10-20% of mild-to-moderate dominant cases.</w:t>
            </w:r>
          </w:p>
          <w:p>
            <w:pPr>
              <w:spacing w:after="40" w:line="252" w:lineRule="auto"/>
            </w:pPr>
            <w:hyperlink r:id="rId12">
              <w:r>
                <w:rPr>
                  <w:rFonts w:ascii="Calibri" w:hAnsi="Calibri" w:cs="Calibri"/>
                  <w:sz w:val="18"/>
                  <w:color w:val="1155CC"/>
                  <w:u w:val="single"/>
                </w:rPr>
                <w:t xml:space="preserve">Medscape - Hereditary Spherocytosis overview</w:t>
              </w:r>
            </w:hyperlink>
          </w:p>
          <w:p>
            <w:pPr>
              <w:spacing w:before="60" w:after="40"/>
            </w:pPr>
            <w:r>
              <w:rPr>
                <w:rFonts w:ascii="Calibri" w:hAnsi="Calibri"/>
                <w:b w:val="0"/>
                <w:i w:val="0"/>
                <w:color w:val="5A5A5A"/>
                <w:sz w:val="18"/>
              </w:rPr>
              <w:t>#ANK1  #SPTB  #band3  #spectrin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Co-inherited modifier</w:t>
            </w:r>
          </w:p>
        </w:tc>
        <w:tc>
          <w:tcPr>
            <w:tcW w:type="dxa" w:w="2160"/>
            <w:vAlign w:val="top"/>
          </w:tcPr>
          <w:p>
            <w:pPr>
              <w:spacing w:after="40" w:before="0" w:line="259" w:lineRule="auto"/>
            </w:pPr>
            <w:r>
              <w:rPr>
                <w:rFonts w:ascii="Calibri" w:hAnsi="Calibri"/>
                <w:b w:val="0"/>
                <w:i w:val="0"/>
                <w:color w:val="212121"/>
                <w:sz w:val="19"/>
              </w:rPr>
              <w:t>Coexisting Gilbert syndrome (UGT1A1)</w:t>
            </w:r>
          </w:p>
        </w:tc>
        <w:tc>
          <w:tcPr>
            <w:tcW w:type="dxa" w:w="4276"/>
            <w:vAlign w:val="top"/>
          </w:tcPr>
          <w:p>
            <w:pPr>
              <w:spacing w:after="60" w:line="259" w:lineRule="auto"/>
            </w:pPr>
            <w:r>
              <w:rPr>
                <w:rFonts w:ascii="Calibri" w:hAnsi="Calibri"/>
                <w:b w:val="0"/>
                <w:i w:val="0"/>
                <w:color w:val="212121"/>
                <w:sz w:val="19"/>
              </w:rPr>
              <w:t>Gilbert syndrome reduces bilirubin conjugation; when co-inherited with HS it magnifies unconjugated hyperbilirubinaemia and dramatically increases the risk of pigment gallstones, independent of the severity of haemolysis.</w:t>
            </w:r>
          </w:p>
          <w:p>
            <w:pPr>
              <w:spacing w:after="40" w:before="60" w:line="259" w:lineRule="auto"/>
            </w:pPr>
            <w:r>
              <w:rPr>
                <w:rFonts w:ascii="Calibri" w:hAnsi="Calibri"/>
                <w:b w:val="0"/>
                <w:i w:val="0"/>
                <w:color w:val="212121"/>
                <w:sz w:val="19"/>
              </w:rPr>
              <w:t>In a North Indian HS cohort, 75% of patients with homozygous Gilbert (UGT1A1) genotype had gallstones versus 50% of heterozygotes and 0% of Gilbert-negative patients.</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#gilbert  #UGT1A1  #pigmentstones  #biliriubin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Sporadic / de novo</w:t>
            </w:r>
          </w:p>
        </w:tc>
        <w:tc>
          <w:tcPr>
            <w:tcW w:type="dxa" w:w="2160"/>
            <w:vAlign w:val="top"/>
          </w:tcPr>
          <w:p>
            <w:pPr>
              <w:spacing w:after="40" w:before="0" w:line="259" w:lineRule="auto"/>
            </w:pPr>
            <w:r>
              <w:rPr>
                <w:rFonts w:ascii="Calibri" w:hAnsi="Calibri"/>
                <w:b w:val="0"/>
                <w:i w:val="0"/>
                <w:color w:val="212121"/>
                <w:sz w:val="19"/>
              </w:rPr>
              <w:t>No family history (new mutation)</w:t>
            </w:r>
          </w:p>
        </w:tc>
        <w:tc>
          <w:tcPr>
            <w:tcW w:type="dxa" w:w="4276"/>
            <w:vAlign w:val="top"/>
          </w:tcPr>
          <w:p>
            <w:pPr>
              <w:spacing w:after="60" w:line="259" w:lineRule="auto"/>
            </w:pPr>
            <w:r>
              <w:rPr>
                <w:rFonts w:ascii="Calibri" w:hAnsi="Calibri"/>
                <w:b w:val="0"/>
                <w:i w:val="0"/>
                <w:color w:val="212121"/>
                <w:sz w:val="19"/>
              </w:rPr>
              <w:t>Up to a quarter of patients have no affected relative, reflecting recessive inheritance or de novo mutations. Absence of family history does not exclude HS and these forms are often more severe.</w:t>
            </w:r>
          </w:p>
          <w:p>
            <w:pPr>
              <w:spacing w:after="40" w:before="60" w:line="259" w:lineRule="auto"/>
            </w:pPr>
            <w:r>
              <w:rPr>
                <w:rFonts w:ascii="Calibri" w:hAnsi="Calibri"/>
                <w:b w:val="0"/>
                <w:i w:val="0"/>
                <w:color w:val="212121"/>
                <w:sz w:val="19"/>
              </w:rPr>
              <w:t>Roughly 25% of HS is non-dominant (autosomal recessive or de novo), and such cases present without a positive family history and tend to be clinically more severe.</w:t>
            </w:r>
          </w:p>
          <w:p>
            <w:pPr>
              <w:spacing w:after="40" w:line="252" w:lineRule="auto"/>
            </w:pPr>
            <w:hyperlink r:id="rId12">
              <w:r>
                <w:rPr>
                  <w:rFonts w:ascii="Calibri" w:hAnsi="Calibri" w:cs="Calibri"/>
                  <w:sz w:val="18"/>
                  <w:color w:val="1155CC"/>
                  <w:u w:val="single"/>
                </w:rPr>
                <w:t xml:space="preserve">Medscape - Hereditary Spherocytosis overview</w:t>
              </w:r>
            </w:hyperlink>
          </w:p>
          <w:p>
            <w:pPr>
              <w:spacing w:before="60" w:after="40"/>
            </w:pPr>
            <w:r>
              <w:rPr>
                <w:rFonts w:ascii="Calibri" w:hAnsi="Calibri"/>
                <w:b w:val="0"/>
                <w:i w:val="0"/>
                <w:color w:val="5A5A5A"/>
                <w:sz w:val="18"/>
              </w:rPr>
              <w:t>#denovo  #recessive  #nofamilyhistory  #severe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Cholelithiasis</w:t>
            </w:r>
          </w:p>
        </w:tc>
        <w:tc>
          <w:tcPr>
            <w:tcW w:type="dxa" w:w="2160"/>
            <w:vAlign w:val="top"/>
          </w:tcPr>
          <w:p>
            <w:pPr>
              <w:spacing w:after="40" w:before="0" w:line="259" w:lineRule="auto"/>
            </w:pPr>
            <w:r>
              <w:rPr>
                <w:rFonts w:ascii="Calibri" w:hAnsi="Calibri"/>
                <w:b w:val="0"/>
                <w:i w:val="0"/>
                <w:color w:val="212121"/>
                <w:sz w:val="19"/>
              </w:rPr>
              <w:t>Patients with pigment gallstones</w:t>
            </w:r>
          </w:p>
        </w:tc>
        <w:tc>
          <w:tcPr>
            <w:tcW w:type="dxa" w:w="4276"/>
            <w:vAlign w:val="top"/>
          </w:tcPr>
          <w:p>
            <w:pPr>
              <w:spacing w:after="60" w:line="259" w:lineRule="auto"/>
            </w:pPr>
            <w:r>
              <w:rPr>
                <w:rFonts w:ascii="Calibri" w:hAnsi="Calibri"/>
                <w:b w:val="0"/>
                <w:i w:val="0"/>
                <w:color w:val="212121"/>
                <w:sz w:val="19"/>
              </w:rPr>
              <w:t>Lifelong haemolysis floods the bile with unconjugated bilirubin, forming black pigment stones. These may cause biliary colic, cholecystitis, or obstructive complications and are a leading reason for surgery in HS.</w:t>
            </w:r>
          </w:p>
          <w:p>
            <w:pPr>
              <w:spacing w:after="40" w:before="60" w:line="259" w:lineRule="auto"/>
            </w:pPr>
            <w:r>
              <w:rPr>
                <w:rFonts w:ascii="Calibri" w:hAnsi="Calibri"/>
                <w:b w:val="0"/>
                <w:i w:val="0"/>
                <w:color w:val="212121"/>
                <w:sz w:val="19"/>
              </w:rPr>
              <w:t>Gallstones were present in 42% of a North Indian HS cohort, with risk strongly modified by co-inherited Gilbert genotype.</w:t>
            </w:r>
          </w:p>
          <w:p>
            <w:pPr>
              <w:spacing w:after="40" w:line="252" w:lineRule="auto"/>
            </w:pPr>
            <w:hyperlink r:id="rId10">
              <w:r>
                <w:rPr>
                  <w:rFonts w:ascii="Calibri" w:hAnsi="Calibri" w:cs="Calibri"/>
                  <w:sz w:val="18"/>
                  <w:color w:val="1155CC"/>
                  <w:u w:val="single"/>
                </w:rPr>
                <w:t xml:space="preserve">Cureus - HS North India tertiary centre</w:t>
              </w:r>
            </w:hyperlink>
          </w:p>
          <w:p>
            <w:pPr>
              <w:spacing w:before="60" w:after="40"/>
            </w:pPr>
            <w:r>
              <w:rPr>
                <w:rFonts w:ascii="Calibri" w:hAnsi="Calibri"/>
                <w:b w:val="0"/>
                <w:i w:val="0"/>
                <w:color w:val="5A5A5A"/>
                <w:sz w:val="18"/>
              </w:rPr>
              <w:t>#gallstones  #cholelithiasis  #pigmentstones  #cholecystectomy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Post-splenectomy state</w:t>
            </w:r>
          </w:p>
        </w:tc>
        <w:tc>
          <w:tcPr>
            <w:tcW w:type="dxa" w:w="2160"/>
            <w:vAlign w:val="top"/>
          </w:tcPr>
          <w:p>
            <w:pPr>
              <w:spacing w:after="40" w:before="0" w:line="259" w:lineRule="auto"/>
            </w:pPr>
            <w:r>
              <w:rPr>
                <w:rFonts w:ascii="Calibri" w:hAnsi="Calibri"/>
                <w:b w:val="0"/>
                <w:i w:val="0"/>
                <w:color w:val="212121"/>
                <w:sz w:val="19"/>
              </w:rPr>
              <w:t>Splenectomised HS patients</w:t>
            </w:r>
          </w:p>
        </w:tc>
        <w:tc>
          <w:tcPr>
            <w:tcW w:type="dxa" w:w="4276"/>
            <w:vAlign w:val="top"/>
          </w:tcPr>
          <w:p>
            <w:pPr>
              <w:spacing w:after="60" w:line="259" w:lineRule="auto"/>
            </w:pPr>
            <w:r>
              <w:rPr>
                <w:rFonts w:ascii="Calibri" w:hAnsi="Calibri"/>
                <w:b w:val="0"/>
                <w:i w:val="0"/>
                <w:color w:val="212121"/>
                <w:sz w:val="19"/>
              </w:rPr>
              <w:t>Splenectomy cures the anaemia but leaves lifelong susceptibility to overwhelming infection by encapsulated organisms and a raised risk of venous thrombosis and pulmonary hypertension - so it is now reserved, vaccine-covered, and often delayed to after age 6.</w:t>
            </w:r>
          </w:p>
          <w:p>
            <w:pPr>
              <w:spacing w:after="40" w:before="60" w:line="259" w:lineRule="auto"/>
            </w:pPr>
            <w:r>
              <w:rPr>
                <w:rFonts w:ascii="Calibri" w:hAnsi="Calibri"/>
                <w:b w:val="0"/>
                <w:i w:val="0"/>
                <w:color w:val="212121"/>
                <w:sz w:val="19"/>
              </w:rPr>
              <w:t>Post-splenectomy patients are at risk of overwhelming sepsis from encapsulated organisms (pneumococcus, meningococcus, H. influenzae) and of thrombo-embolic complications such as pulmonary thromboembolism.</w:t>
            </w:r>
          </w:p>
          <w:p>
            <w:pPr>
              <w:spacing w:after="40" w:line="252" w:lineRule="auto"/>
            </w:pPr>
            <w:hyperlink r:id="rId15">
              <w:r>
                <w:rPr>
                  <w:rFonts w:ascii="Calibri" w:hAnsi="Calibri" w:cs="Calibri"/>
                  <w:sz w:val="18"/>
                  <w:color w:val="1155CC"/>
                  <w:u w:val="single"/>
                </w:rPr>
                <w:t xml:space="preserve">J Med Cases - Pulmonary thromboembolism after splenectomy in HS</w:t>
              </w:r>
            </w:hyperlink>
          </w:p>
          <w:p>
            <w:pPr>
              <w:spacing w:before="60" w:after="40"/>
            </w:pPr>
            <w:r>
              <w:rPr>
                <w:rFonts w:ascii="Calibri" w:hAnsi="Calibri"/>
                <w:b w:val="0"/>
                <w:i w:val="0"/>
                <w:color w:val="5A5A5A"/>
                <w:sz w:val="18"/>
              </w:rPr>
              <w:t>#splenectomy  #OPSI  #thrombosis  #vaccination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Iron overload</w:t>
            </w:r>
          </w:p>
        </w:tc>
        <w:tc>
          <w:tcPr>
            <w:tcW w:type="dxa" w:w="2160"/>
            <w:vAlign w:val="top"/>
          </w:tcPr>
          <w:p>
            <w:pPr>
              <w:spacing w:after="40" w:before="0" w:line="259" w:lineRule="auto"/>
            </w:pPr>
            <w:r>
              <w:rPr>
                <w:rFonts w:ascii="Calibri" w:hAnsi="Calibri"/>
                <w:b w:val="0"/>
                <w:i w:val="0"/>
                <w:color w:val="212121"/>
                <w:sz w:val="19"/>
              </w:rPr>
              <w:t>HS with co-inherited HFE haemochromatosis</w:t>
            </w:r>
          </w:p>
        </w:tc>
        <w:tc>
          <w:tcPr>
            <w:tcW w:type="dxa" w:w="4276"/>
            <w:vAlign w:val="top"/>
          </w:tcPr>
          <w:p>
            <w:pPr>
              <w:spacing w:after="60" w:line="259" w:lineRule="auto"/>
            </w:pPr>
            <w:r>
              <w:rPr>
                <w:rFonts w:ascii="Calibri" w:hAnsi="Calibri"/>
                <w:b w:val="0"/>
                <w:i w:val="0"/>
                <w:color w:val="212121"/>
                <w:sz w:val="19"/>
              </w:rPr>
              <w:t>Co-inheritance of hereditary haemochromatosis genes with HS can produce clinically important iron loading even without transfusion, threatening the liver, heart and endocrine organs and requiring ferritin surveillance.</w:t>
            </w:r>
          </w:p>
          <w:p>
            <w:pPr>
              <w:spacing w:after="40" w:before="60" w:line="259" w:lineRule="auto"/>
            </w:pPr>
            <w:r>
              <w:rPr>
                <w:rFonts w:ascii="Calibri" w:hAnsi="Calibri"/>
                <w:b w:val="0"/>
                <w:i w:val="0"/>
                <w:color w:val="212121"/>
                <w:sz w:val="19"/>
              </w:rPr>
              <w:t>Iron overload is reported in HS - including non-transfused patients - and is potentiated by coexisting HFE mutations, warranting monitoring of serum ferritin and transferrin saturation.</w:t>
            </w:r>
          </w:p>
          <w:p>
            <w:pPr>
              <w:spacing w:after="40" w:line="252" w:lineRule="auto"/>
            </w:pPr>
            <w:hyperlink r:id="rId14">
              <w:r>
                <w:rPr>
                  <w:rFonts w:ascii="Calibri" w:hAnsi="Calibri" w:cs="Calibri"/>
                  <w:sz w:val="18"/>
                  <w:color w:val="1155CC"/>
                  <w:u w:val="single"/>
                </w:rPr>
                <w:t xml:space="preserve">PMC11298700 - Iron overload in Hereditary Spherocytosis</w:t>
              </w:r>
            </w:hyperlink>
          </w:p>
          <w:p>
            <w:pPr>
              <w:spacing w:before="60" w:after="40"/>
            </w:pPr>
            <w:r>
              <w:rPr>
                <w:rFonts w:ascii="Calibri" w:hAnsi="Calibri"/>
                <w:b w:val="0"/>
                <w:i w:val="0"/>
                <w:color w:val="5A5A5A"/>
                <w:sz w:val="18"/>
              </w:rPr>
              <w:t>#ironoverload  #hemochromatosis  #ferritin  #HFE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HS is genetically determined and activity does not cause it, but an enlarged spleen makes contact sport hazardous (risk of splenic rupture) and vigorous exertion can transiently accentuate haemolysis; activity is otherwise encouraged as tolerated.</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haemolysis greatly increases folate demand, so a folate-poor diet precipitates megaloblastic crises; conversely unnecessary iron intake or repeated transfusion can drive iron overload.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though adequate rest is advised during haemolytic or aplastic crises when anaemia is symptomatic.</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HS but adds vascular and thrombotic risk, which is relevant after splenectomy when thrombo-embolic risk is already increased.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alcohol worsens folate deficiency and hepatobiliary disease, potentially aggravating anaemia and gallstone-related complications.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anaemia, jaundice, repeated hospital visits and lifelong disease carry a psychosocial burden, but mental health does not influence disease onset.</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the circulation during haemolytic episodes but has no role in causation or prevention of HS.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meaningful relationship between caffeine intake and HS onset, severity or complications.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Infection is the principal trigger of haemolytic and aplastic crises; hygiene, vaccination and prompt treatment of infection are especially critical in asplenic patients at risk of overwhelming sepsis.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Viral infection (especially parvovirus B19) precipitates aplastic crisis; other infections drive haemolytic crises, and folate depletion drives megaloblastic crises - the dominant modifiable influences on acute deterioration.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Children &amp; adults with HS</w:t>
            </w:r>
          </w:p>
        </w:tc>
        <w:tc>
          <w:tcPr>
            <w:tcW w:type="dxa" w:w="1512"/>
            <w:vAlign w:val="top"/>
          </w:tcPr>
          <w:p>
            <w:pPr>
              <w:spacing w:after="40" w:before="0" w:line="259" w:lineRule="auto"/>
            </w:pPr>
            <w:r>
              <w:rPr>
                <w:rFonts w:ascii="Calibri" w:hAnsi="Calibri"/>
                <w:b w:val="0"/>
                <w:i w:val="0"/>
                <w:color w:val="212121"/>
                <w:sz w:val="19"/>
              </w:rPr>
              <w:t>F &gt;= 11-15; M &gt;= 13-15 g/dL</w:t>
            </w:r>
          </w:p>
        </w:tc>
        <w:tc>
          <w:tcPr>
            <w:tcW w:type="dxa" w:w="1512"/>
            <w:vAlign w:val="top"/>
          </w:tcPr>
          <w:p>
            <w:pPr>
              <w:spacing w:after="40" w:before="0" w:line="259" w:lineRule="auto"/>
            </w:pPr>
            <w:r>
              <w:rPr>
                <w:rFonts w:ascii="Calibri" w:hAnsi="Calibri"/>
                <w:b w:val="0"/>
                <w:i w:val="0"/>
                <w:color w:val="212121"/>
                <w:sz w:val="19"/>
              </w:rPr>
              <w:t>&lt; 8 g/dL (severe); rapid fall in a crisis</w:t>
            </w:r>
          </w:p>
        </w:tc>
        <w:tc>
          <w:tcPr>
            <w:tcW w:type="dxa" w:w="1468"/>
            <w:vAlign w:val="top"/>
          </w:tcPr>
          <w:p>
            <w:pPr>
              <w:spacing w:after="60" w:line="259" w:lineRule="auto"/>
            </w:pPr>
            <w:r>
              <w:rPr>
                <w:rFonts w:ascii="Calibri" w:hAnsi="Calibri"/>
                <w:b w:val="0"/>
                <w:i w:val="0"/>
                <w:color w:val="212121"/>
                <w:sz w:val="19"/>
              </w:rPr>
              <w:t>Defines severity band and transfusion need</w:t>
            </w:r>
          </w:p>
          <w:p>
            <w:pPr>
              <w:spacing w:after="40" w:line="252" w:lineRule="auto"/>
            </w:pPr>
            <w:hyperlink r:id="rId13">
              <w:r>
                <w:rPr>
                  <w:rFonts w:ascii="Calibri" w:hAnsi="Calibri" w:cs="Calibri"/>
                  <w:sz w:val="18"/>
                  <w:color w:val="1155CC"/>
                  <w:u w:val="single"/>
                </w:rPr>
                <w:t xml:space="preserve">https://www.gloshospitals.nhs.uk/media/documents/BCSH_Guidelines_for_Hereditary_Spherocytosis.pdf</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Reticulocyte count (%)</w:t>
            </w:r>
          </w:p>
        </w:tc>
        <w:tc>
          <w:tcPr>
            <w:tcW w:type="dxa" w:w="1655"/>
            <w:vAlign w:val="top"/>
          </w:tcPr>
          <w:p>
            <w:pPr>
              <w:spacing w:after="40" w:before="0" w:line="259" w:lineRule="auto"/>
            </w:pPr>
            <w:r>
              <w:rPr>
                <w:rFonts w:ascii="Calibri" w:hAnsi="Calibri"/>
                <w:b w:val="0"/>
                <w:i w:val="0"/>
                <w:color w:val="212121"/>
                <w:sz w:val="19"/>
              </w:rPr>
              <w:t>HS patients</w:t>
            </w:r>
          </w:p>
        </w:tc>
        <w:tc>
          <w:tcPr>
            <w:tcW w:type="dxa" w:w="1512"/>
            <w:vAlign w:val="top"/>
          </w:tcPr>
          <w:p>
            <w:pPr>
              <w:spacing w:after="40" w:before="0" w:line="259" w:lineRule="auto"/>
            </w:pPr>
            <w:r>
              <w:rPr>
                <w:rFonts w:ascii="Calibri" w:hAnsi="Calibri"/>
                <w:b w:val="0"/>
                <w:i w:val="0"/>
                <w:color w:val="212121"/>
                <w:sz w:val="19"/>
              </w:rPr>
              <w:t>Baseline 3-12% (compensated)</w:t>
            </w:r>
          </w:p>
        </w:tc>
        <w:tc>
          <w:tcPr>
            <w:tcW w:type="dxa" w:w="1512"/>
            <w:vAlign w:val="top"/>
          </w:tcPr>
          <w:p>
            <w:pPr>
              <w:spacing w:after="40" w:before="0" w:line="259" w:lineRule="auto"/>
            </w:pPr>
            <w:r>
              <w:rPr>
                <w:rFonts w:ascii="Calibri" w:hAnsi="Calibri"/>
                <w:b w:val="0"/>
                <w:i w:val="0"/>
                <w:color w:val="212121"/>
                <w:sz w:val="19"/>
              </w:rPr>
              <w:t>&lt; 1% suggests aplastic crisis; &gt; 10% severe haemolysis</w:t>
            </w:r>
          </w:p>
        </w:tc>
        <w:tc>
          <w:tcPr>
            <w:tcW w:type="dxa" w:w="1468"/>
            <w:vAlign w:val="top"/>
          </w:tcPr>
          <w:p>
            <w:pPr>
              <w:spacing w:after="60" w:line="259" w:lineRule="auto"/>
            </w:pPr>
            <w:r>
              <w:rPr>
                <w:rFonts w:ascii="Calibri" w:hAnsi="Calibri"/>
                <w:b w:val="0"/>
                <w:i w:val="0"/>
                <w:color w:val="212121"/>
                <w:sz w:val="19"/>
              </w:rPr>
              <w:t>Falls sharply in parvovirus B19 aplastic crisis</w:t>
            </w:r>
          </w:p>
          <w:p>
            <w:pPr>
              <w:spacing w:after="40" w:line="252" w:lineRule="auto"/>
            </w:pPr>
            <w:hyperlink r:id="rId13">
              <w:r>
                <w:rPr>
                  <w:rFonts w:ascii="Calibri" w:hAnsi="Calibri" w:cs="Calibri"/>
                  <w:sz w:val="18"/>
                  <w:color w:val="1155CC"/>
                  <w:u w:val="single"/>
                </w:rPr>
                <w:t xml:space="preserve">https://www.gloshospitals.nhs.uk/media/documents/BCSH_Guidelines_for_Hereditary_Spherocytosis.pdf</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MCHC (g/dL)</w:t>
            </w:r>
          </w:p>
        </w:tc>
        <w:tc>
          <w:tcPr>
            <w:tcW w:type="dxa" w:w="1655"/>
            <w:vAlign w:val="top"/>
          </w:tcPr>
          <w:p>
            <w:pPr>
              <w:spacing w:after="40" w:before="0" w:line="259" w:lineRule="auto"/>
            </w:pPr>
            <w:r>
              <w:rPr>
                <w:rFonts w:ascii="Calibri" w:hAnsi="Calibri"/>
                <w:b w:val="0"/>
                <w:i w:val="0"/>
                <w:color w:val="212121"/>
                <w:sz w:val="19"/>
              </w:rPr>
              <w:t>HS patients</w:t>
            </w:r>
          </w:p>
        </w:tc>
        <w:tc>
          <w:tcPr>
            <w:tcW w:type="dxa" w:w="1512"/>
            <w:vAlign w:val="top"/>
          </w:tcPr>
          <w:p>
            <w:pPr>
              <w:spacing w:after="40" w:before="0" w:line="259" w:lineRule="auto"/>
            </w:pPr>
            <w:r>
              <w:rPr>
                <w:rFonts w:ascii="Calibri" w:hAnsi="Calibri"/>
                <w:b w:val="0"/>
                <w:i w:val="0"/>
                <w:color w:val="212121"/>
                <w:sz w:val="19"/>
              </w:rPr>
              <w:t>33-35 g/dL</w:t>
            </w:r>
          </w:p>
        </w:tc>
        <w:tc>
          <w:tcPr>
            <w:tcW w:type="dxa" w:w="1512"/>
            <w:vAlign w:val="top"/>
          </w:tcPr>
          <w:p>
            <w:pPr>
              <w:spacing w:after="40" w:before="0" w:line="259" w:lineRule="auto"/>
            </w:pPr>
            <w:r>
              <w:rPr>
                <w:rFonts w:ascii="Calibri" w:hAnsi="Calibri"/>
                <w:b w:val="0"/>
                <w:i w:val="0"/>
                <w:color w:val="212121"/>
                <w:sz w:val="19"/>
              </w:rPr>
              <w:t>&gt; 35 g/dL (dehydrated hyperdense cells)</w:t>
            </w:r>
          </w:p>
        </w:tc>
        <w:tc>
          <w:tcPr>
            <w:tcW w:type="dxa" w:w="1468"/>
            <w:vAlign w:val="top"/>
          </w:tcPr>
          <w:p>
            <w:pPr>
              <w:spacing w:after="60" w:line="259" w:lineRule="auto"/>
            </w:pPr>
            <w:r>
              <w:rPr>
                <w:rFonts w:ascii="Calibri" w:hAnsi="Calibri"/>
                <w:b w:val="0"/>
                <w:i w:val="0"/>
                <w:color w:val="212121"/>
                <w:sz w:val="19"/>
              </w:rPr>
              <w:t>Raised MCHC is a simple red-flag for HS on the CBC</w:t>
            </w:r>
          </w:p>
          <w:p>
            <w:pPr>
              <w:spacing w:after="40" w:line="252" w:lineRule="auto"/>
            </w:pPr>
            <w:hyperlink r:id="rId16">
              <w:r>
                <w:rPr>
                  <w:rFonts w:ascii="Calibri" w:hAnsi="Calibri" w:cs="Calibri"/>
                  <w:sz w:val="18"/>
                  <w:color w:val="1155CC"/>
                  <w:u w:val="single"/>
                </w:rPr>
                <w:t xml:space="preserve">https://www.merckmanuals.com/professional/hematology-and-oncology/anemias-caused-by-hemolysis/hereditary-spherocytosis-and-hereditary-elliptocytosis</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bilirubin (unconjugated)</w:t>
            </w:r>
          </w:p>
        </w:tc>
        <w:tc>
          <w:tcPr>
            <w:tcW w:type="dxa" w:w="1655"/>
            <w:vAlign w:val="top"/>
          </w:tcPr>
          <w:p>
            <w:pPr>
              <w:spacing w:after="40" w:before="0" w:line="259" w:lineRule="auto"/>
            </w:pPr>
            <w:r>
              <w:rPr>
                <w:rFonts w:ascii="Calibri" w:hAnsi="Calibri"/>
                <w:b w:val="0"/>
                <w:i w:val="0"/>
                <w:color w:val="212121"/>
                <w:sz w:val="19"/>
              </w:rPr>
              <w:t>HS patients</w:t>
            </w:r>
          </w:p>
        </w:tc>
        <w:tc>
          <w:tcPr>
            <w:tcW w:type="dxa" w:w="1512"/>
            <w:vAlign w:val="top"/>
          </w:tcPr>
          <w:p>
            <w:pPr>
              <w:spacing w:after="40" w:before="0" w:line="259" w:lineRule="auto"/>
            </w:pPr>
            <w:r>
              <w:rPr>
                <w:rFonts w:ascii="Calibri" w:hAnsi="Calibri"/>
                <w:b w:val="0"/>
                <w:i w:val="0"/>
                <w:color w:val="212121"/>
                <w:sz w:val="19"/>
              </w:rPr>
              <w:t>&lt; 1.2 mg/dL total</w:t>
            </w:r>
          </w:p>
        </w:tc>
        <w:tc>
          <w:tcPr>
            <w:tcW w:type="dxa" w:w="1512"/>
            <w:vAlign w:val="top"/>
          </w:tcPr>
          <w:p>
            <w:pPr>
              <w:spacing w:after="40" w:before="0" w:line="259" w:lineRule="auto"/>
            </w:pPr>
            <w:r>
              <w:rPr>
                <w:rFonts w:ascii="Calibri" w:hAnsi="Calibri"/>
                <w:b w:val="0"/>
                <w:i w:val="0"/>
                <w:color w:val="212121"/>
                <w:sz w:val="19"/>
              </w:rPr>
              <w:t>Persistently raised indirect bilirubin</w:t>
            </w:r>
          </w:p>
        </w:tc>
        <w:tc>
          <w:tcPr>
            <w:tcW w:type="dxa" w:w="1468"/>
            <w:vAlign w:val="top"/>
          </w:tcPr>
          <w:p>
            <w:pPr>
              <w:spacing w:after="60" w:line="259" w:lineRule="auto"/>
            </w:pPr>
            <w:r>
              <w:rPr>
                <w:rFonts w:ascii="Calibri" w:hAnsi="Calibri"/>
                <w:b w:val="0"/>
                <w:i w:val="0"/>
                <w:color w:val="212121"/>
                <w:sz w:val="19"/>
              </w:rPr>
              <w:t>Marks haemolysis and pigment-gallstone risk, amplified by Gilbert genotype</w:t>
            </w:r>
          </w:p>
          <w:p>
            <w:pPr>
              <w:spacing w:after="40" w:line="252" w:lineRule="auto"/>
            </w:pPr>
            <w:hyperlink r:id="rId10">
              <w:r>
                <w:rPr>
                  <w:rFonts w:ascii="Calibri" w:hAnsi="Calibri" w:cs="Calibri"/>
                  <w:sz w:val="18"/>
                  <w:color w:val="1155CC"/>
                  <w:u w:val="single"/>
                </w:rPr>
                <w:t xml:space="preserve">https://www.cureus.com/articles/375176-confounding-factors-in-the-diagnosis-of-hereditary-spherocytosis-and-gallstone-formation-in-related-hemolytic-disorders-from-a-tertiary-care-center-in-north-india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folate</w:t>
            </w:r>
          </w:p>
        </w:tc>
        <w:tc>
          <w:tcPr>
            <w:tcW w:type="dxa" w:w="1655"/>
            <w:vAlign w:val="top"/>
          </w:tcPr>
          <w:p>
            <w:pPr>
              <w:spacing w:after="40" w:before="0" w:line="259" w:lineRule="auto"/>
            </w:pPr>
            <w:r>
              <w:rPr>
                <w:rFonts w:ascii="Calibri" w:hAnsi="Calibri"/>
                <w:b w:val="0"/>
                <w:i w:val="0"/>
                <w:color w:val="212121"/>
                <w:sz w:val="19"/>
              </w:rPr>
              <w:t>Moderate-severe HS, pregnancy</w:t>
            </w:r>
          </w:p>
        </w:tc>
        <w:tc>
          <w:tcPr>
            <w:tcW w:type="dxa" w:w="1512"/>
            <w:vAlign w:val="top"/>
          </w:tcPr>
          <w:p>
            <w:pPr>
              <w:spacing w:after="40" w:before="0" w:line="259" w:lineRule="auto"/>
            </w:pPr>
            <w:r>
              <w:rPr>
                <w:rFonts w:ascii="Calibri" w:hAnsi="Calibri"/>
                <w:b w:val="0"/>
                <w:i w:val="0"/>
                <w:color w:val="212121"/>
                <w:sz w:val="19"/>
              </w:rPr>
              <w:t>&gt; 4 ng/mL</w:t>
            </w:r>
          </w:p>
        </w:tc>
        <w:tc>
          <w:tcPr>
            <w:tcW w:type="dxa" w:w="1512"/>
            <w:vAlign w:val="top"/>
          </w:tcPr>
          <w:p>
            <w:pPr>
              <w:spacing w:after="40" w:before="0" w:line="259" w:lineRule="auto"/>
            </w:pPr>
            <w:r>
              <w:rPr>
                <w:rFonts w:ascii="Calibri" w:hAnsi="Calibri"/>
                <w:b w:val="0"/>
                <w:i w:val="0"/>
                <w:color w:val="212121"/>
                <w:sz w:val="19"/>
              </w:rPr>
              <w:t>Low folate / rising MCV</w:t>
            </w:r>
          </w:p>
        </w:tc>
        <w:tc>
          <w:tcPr>
            <w:tcW w:type="dxa" w:w="1468"/>
            <w:vAlign w:val="top"/>
          </w:tcPr>
          <w:p>
            <w:pPr>
              <w:spacing w:after="60" w:line="259" w:lineRule="auto"/>
            </w:pPr>
            <w:r>
              <w:rPr>
                <w:rFonts w:ascii="Calibri" w:hAnsi="Calibri"/>
                <w:b w:val="0"/>
                <w:i w:val="0"/>
                <w:color w:val="212121"/>
                <w:sz w:val="19"/>
              </w:rPr>
              <w:t>Low folate precipitates megaloblastic crisis; supplement in moderate-severe HS</w:t>
            </w:r>
          </w:p>
          <w:p>
            <w:pPr>
              <w:spacing w:after="40" w:line="252" w:lineRule="auto"/>
            </w:pPr>
            <w:hyperlink r:id="rId13">
              <w:r>
                <w:rPr>
                  <w:rFonts w:ascii="Calibri" w:hAnsi="Calibri" w:cs="Calibri"/>
                  <w:sz w:val="18"/>
                  <w:color w:val="1155CC"/>
                  <w:u w:val="single"/>
                </w:rPr>
                <w:t xml:space="preserve">https://www.gloshospitals.nhs.uk/media/documents/BCSH_Guidelines_for_Hereditary_Spherocytosis.pdf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 / transferrin saturation</w:t>
            </w:r>
          </w:p>
        </w:tc>
        <w:tc>
          <w:tcPr>
            <w:tcW w:type="dxa" w:w="1655"/>
            <w:vAlign w:val="top"/>
          </w:tcPr>
          <w:p>
            <w:pPr>
              <w:spacing w:after="40" w:before="0" w:line="259" w:lineRule="auto"/>
            </w:pPr>
            <w:r>
              <w:rPr>
                <w:rFonts w:ascii="Calibri" w:hAnsi="Calibri"/>
                <w:b w:val="0"/>
                <w:i w:val="0"/>
                <w:color w:val="212121"/>
                <w:sz w:val="19"/>
              </w:rPr>
              <w:t>Transfused or HFE co-inheritance</w:t>
            </w:r>
          </w:p>
        </w:tc>
        <w:tc>
          <w:tcPr>
            <w:tcW w:type="dxa" w:w="1512"/>
            <w:vAlign w:val="top"/>
          </w:tcPr>
          <w:p>
            <w:pPr>
              <w:spacing w:after="40" w:before="0" w:line="259" w:lineRule="auto"/>
            </w:pPr>
            <w:r>
              <w:rPr>
                <w:rFonts w:ascii="Calibri" w:hAnsi="Calibri"/>
                <w:b w:val="0"/>
                <w:i w:val="0"/>
                <w:color w:val="212121"/>
                <w:sz w:val="19"/>
              </w:rPr>
              <w:t>Ferritin ~30-300 ng/mL</w:t>
            </w:r>
          </w:p>
        </w:tc>
        <w:tc>
          <w:tcPr>
            <w:tcW w:type="dxa" w:w="1512"/>
            <w:vAlign w:val="top"/>
          </w:tcPr>
          <w:p>
            <w:pPr>
              <w:spacing w:after="40" w:before="0" w:line="259" w:lineRule="auto"/>
            </w:pPr>
            <w:r>
              <w:rPr>
                <w:rFonts w:ascii="Calibri" w:hAnsi="Calibri"/>
                <w:b w:val="0"/>
                <w:i w:val="0"/>
                <w:color w:val="212121"/>
                <w:sz w:val="19"/>
              </w:rPr>
              <w:t>Ferritin &gt; 1000 ng/mL or TSat &gt; 45%</w:t>
            </w:r>
          </w:p>
        </w:tc>
        <w:tc>
          <w:tcPr>
            <w:tcW w:type="dxa" w:w="1468"/>
            <w:vAlign w:val="top"/>
          </w:tcPr>
          <w:p>
            <w:pPr>
              <w:spacing w:after="60" w:line="259" w:lineRule="auto"/>
            </w:pPr>
            <w:r>
              <w:rPr>
                <w:rFonts w:ascii="Calibri" w:hAnsi="Calibri"/>
                <w:b w:val="0"/>
                <w:i w:val="0"/>
                <w:color w:val="212121"/>
                <w:sz w:val="19"/>
              </w:rPr>
              <w:t>Screens for iron overload, worsened by co-inherited HFE</w:t>
            </w:r>
          </w:p>
          <w:p>
            <w:pPr>
              <w:spacing w:after="40" w:line="252" w:lineRule="auto"/>
            </w:pPr>
            <w:hyperlink r:id="rId14">
              <w:r>
                <w:rPr>
                  <w:rFonts w:ascii="Calibri" w:hAnsi="Calibri" w:cs="Calibri"/>
                  <w:sz w:val="18"/>
                  <w:color w:val="1155CC"/>
                  <w:u w:val="single"/>
                </w:rPr>
                <w:t xml:space="preserve">https://pmc.ncbi.nlm.nih.gov/articles/PMC11298700/</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Spleen size on ultrasound</w:t>
            </w:r>
          </w:p>
        </w:tc>
        <w:tc>
          <w:tcPr>
            <w:tcW w:type="dxa" w:w="1655"/>
            <w:vAlign w:val="top"/>
          </w:tcPr>
          <w:p>
            <w:pPr>
              <w:spacing w:after="40" w:before="0" w:line="259" w:lineRule="auto"/>
            </w:pPr>
            <w:r>
              <w:rPr>
                <w:rFonts w:ascii="Calibri" w:hAnsi="Calibri"/>
                <w:b w:val="0"/>
                <w:i w:val="0"/>
                <w:color w:val="212121"/>
                <w:sz w:val="19"/>
              </w:rPr>
              <w:t>HS with splenomegaly</w:t>
            </w:r>
          </w:p>
        </w:tc>
        <w:tc>
          <w:tcPr>
            <w:tcW w:type="dxa" w:w="1512"/>
            <w:vAlign w:val="top"/>
          </w:tcPr>
          <w:p>
            <w:pPr>
              <w:spacing w:after="40" w:before="0" w:line="259" w:lineRule="auto"/>
            </w:pPr>
            <w:r>
              <w:rPr>
                <w:rFonts w:ascii="Calibri" w:hAnsi="Calibri"/>
                <w:b w:val="0"/>
                <w:i w:val="0"/>
                <w:color w:val="212121"/>
                <w:sz w:val="19"/>
              </w:rPr>
              <w:t>Craniocaudal &lt;= 12 cm</w:t>
            </w:r>
          </w:p>
        </w:tc>
        <w:tc>
          <w:tcPr>
            <w:tcW w:type="dxa" w:w="1512"/>
            <w:vAlign w:val="top"/>
          </w:tcPr>
          <w:p>
            <w:pPr>
              <w:spacing w:after="40" w:before="0" w:line="259" w:lineRule="auto"/>
            </w:pPr>
            <w:r>
              <w:rPr>
                <w:rFonts w:ascii="Calibri" w:hAnsi="Calibri"/>
                <w:b w:val="0"/>
                <w:i w:val="0"/>
                <w:color w:val="212121"/>
                <w:sz w:val="19"/>
              </w:rPr>
              <w:t>Massive splenomegaly / palpable spleen</w:t>
            </w:r>
          </w:p>
        </w:tc>
        <w:tc>
          <w:tcPr>
            <w:tcW w:type="dxa" w:w="1468"/>
            <w:vAlign w:val="top"/>
          </w:tcPr>
          <w:p>
            <w:pPr>
              <w:spacing w:after="60" w:line="259" w:lineRule="auto"/>
            </w:pPr>
            <w:r>
              <w:rPr>
                <w:rFonts w:ascii="Calibri" w:hAnsi="Calibri"/>
                <w:b w:val="0"/>
                <w:i w:val="0"/>
                <w:color w:val="212121"/>
                <w:sz w:val="19"/>
              </w:rPr>
              <w:t>Guides contact-sport restriction and splenectomy decisions</w:t>
            </w:r>
          </w:p>
          <w:p>
            <w:pPr>
              <w:spacing w:after="40" w:line="252" w:lineRule="auto"/>
            </w:pPr>
            <w:hyperlink r:id="rId10">
              <w:r>
                <w:rPr>
                  <w:rFonts w:ascii="Calibri" w:hAnsi="Calibri" w:cs="Calibri"/>
                  <w:sz w:val="18"/>
                  <w:color w:val="1155CC"/>
                  <w:u w:val="single"/>
                </w:rPr>
                <w:t xml:space="preserve">https://www.cureus.com/articles/375176-confounding-factors-in-the-diagnosis-of-hereditary-spherocytosis-and-gallstone-formation-in-related-hemolytic-disorders-from-a-tertiary-care-center-in-north-india</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Pre-splenectomy vaccination status</w:t>
            </w:r>
          </w:p>
        </w:tc>
        <w:tc>
          <w:tcPr>
            <w:tcW w:type="dxa" w:w="1655"/>
            <w:vAlign w:val="top"/>
          </w:tcPr>
          <w:p>
            <w:pPr>
              <w:spacing w:after="40" w:before="0" w:line="259" w:lineRule="auto"/>
            </w:pPr>
            <w:r>
              <w:rPr>
                <w:rFonts w:ascii="Calibri" w:hAnsi="Calibri"/>
                <w:b w:val="0"/>
                <w:i w:val="0"/>
                <w:color w:val="212121"/>
                <w:sz w:val="19"/>
              </w:rPr>
              <w:t>Patients planned for / after splenectomy</w:t>
            </w:r>
          </w:p>
        </w:tc>
        <w:tc>
          <w:tcPr>
            <w:tcW w:type="dxa" w:w="1512"/>
            <w:vAlign w:val="top"/>
          </w:tcPr>
          <w:p>
            <w:pPr>
              <w:spacing w:after="40" w:before="0" w:line="259" w:lineRule="auto"/>
            </w:pPr>
            <w:r>
              <w:rPr>
                <w:rFonts w:ascii="Calibri" w:hAnsi="Calibri"/>
                <w:b w:val="0"/>
                <w:i w:val="0"/>
                <w:color w:val="212121"/>
                <w:sz w:val="19"/>
              </w:rPr>
              <w:t>Pneumococcal, meningococcal &amp; Hib complete</w:t>
            </w:r>
          </w:p>
        </w:tc>
        <w:tc>
          <w:tcPr>
            <w:tcW w:type="dxa" w:w="1512"/>
            <w:vAlign w:val="top"/>
          </w:tcPr>
          <w:p>
            <w:pPr>
              <w:spacing w:after="40" w:before="0" w:line="259" w:lineRule="auto"/>
            </w:pPr>
            <w:r>
              <w:rPr>
                <w:rFonts w:ascii="Calibri" w:hAnsi="Calibri"/>
                <w:b w:val="0"/>
                <w:i w:val="0"/>
                <w:color w:val="212121"/>
                <w:sz w:val="19"/>
              </w:rPr>
              <w:t>Unvaccinated asplenic patient</w:t>
            </w:r>
          </w:p>
        </w:tc>
        <w:tc>
          <w:tcPr>
            <w:tcW w:type="dxa" w:w="1468"/>
            <w:vAlign w:val="top"/>
          </w:tcPr>
          <w:p>
            <w:pPr>
              <w:spacing w:after="60" w:line="259" w:lineRule="auto"/>
            </w:pPr>
            <w:r>
              <w:rPr>
                <w:rFonts w:ascii="Calibri" w:hAnsi="Calibri"/>
                <w:b w:val="0"/>
                <w:i w:val="0"/>
                <w:color w:val="212121"/>
                <w:sz w:val="19"/>
              </w:rPr>
              <w:t>Prevents overwhelming post-splenectomy infection (OPSI)</w:t>
            </w:r>
          </w:p>
          <w:p>
            <w:pPr>
              <w:spacing w:after="40" w:line="252" w:lineRule="auto"/>
            </w:pPr>
            <w:hyperlink r:id="rId9">
              <w:r>
                <w:rPr>
                  <w:rFonts w:ascii="Calibri" w:hAnsi="Calibri" w:cs="Calibri"/>
                  <w:sz w:val="18"/>
                  <w:color w:val="1155CC"/>
                  <w:u w:val="single"/>
                </w:rPr>
                <w:t xml:space="preserve">https://www.ncbi.nlm.nih.gov/books/NBK539797/</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MCHC, MCV, RDW</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F 12-15 / M 13-17 g/dL; MCHC 33-35 g/dL</w:t>
            </w:r>
          </w:p>
        </w:tc>
        <w:tc>
          <w:tcPr>
            <w:tcW w:type="dxa" w:w="950"/>
            <w:vAlign w:val="top"/>
          </w:tcPr>
          <w:p>
            <w:pPr>
              <w:spacing w:after="40" w:before="0" w:line="259" w:lineRule="auto"/>
            </w:pPr>
            <w:r>
              <w:rPr>
                <w:rFonts w:ascii="Calibri" w:hAnsi="Calibri"/>
                <w:b w:val="0"/>
                <w:i w:val="0"/>
                <w:color w:val="212121"/>
                <w:sz w:val="16"/>
              </w:rPr>
              <w:t>Low Hb; MCHC &gt; 35 g/dL; raised RDW</w:t>
            </w:r>
          </w:p>
        </w:tc>
        <w:tc>
          <w:tcPr>
            <w:tcW w:type="dxa" w:w="1036"/>
            <w:vAlign w:val="top"/>
          </w:tcPr>
          <w:p>
            <w:pPr>
              <w:spacing w:after="40" w:before="0" w:line="259" w:lineRule="auto"/>
            </w:pPr>
            <w:r>
              <w:rPr>
                <w:rFonts w:ascii="Calibri" w:hAnsi="Calibri"/>
                <w:b w:val="0"/>
                <w:i w:val="0"/>
                <w:color w:val="212121"/>
                <w:sz w:val="16"/>
              </w:rPr>
              <w:t>Anaemia with hyperdense (high-MCHC) cells is a classic HS signature</w:t>
            </w:r>
          </w:p>
        </w:tc>
        <w:tc>
          <w:tcPr>
            <w:tcW w:type="dxa" w:w="1036"/>
            <w:vAlign w:val="top"/>
          </w:tcPr>
          <w:p>
            <w:pPr>
              <w:spacing w:after="40" w:before="0" w:line="259" w:lineRule="auto"/>
            </w:pPr>
            <w:r>
              <w:rPr>
                <w:rFonts w:ascii="Calibri" w:hAnsi="Calibri"/>
                <w:b w:val="0"/>
                <w:i w:val="0"/>
                <w:color w:val="212121"/>
                <w:sz w:val="16"/>
              </w:rPr>
              <w:t>All suspected HS; neonatal jaundice; family history</w:t>
            </w:r>
          </w:p>
        </w:tc>
        <w:tc>
          <w:tcPr>
            <w:tcW w:type="dxa" w:w="720"/>
            <w:vAlign w:val="top"/>
          </w:tcPr>
          <w:p>
            <w:pPr>
              <w:spacing w:after="40" w:before="0" w:line="259" w:lineRule="auto"/>
            </w:pPr>
            <w:r>
              <w:rPr>
                <w:rFonts w:ascii="Calibri" w:hAnsi="Calibri"/>
                <w:b w:val="0"/>
                <w:i w:val="0"/>
                <w:color w:val="212121"/>
                <w:sz w:val="16"/>
              </w:rPr>
              <w:t>Food; Provoking factors</w:t>
            </w:r>
          </w:p>
        </w:tc>
        <w:tc>
          <w:tcPr>
            <w:tcW w:type="dxa" w:w="720"/>
            <w:vAlign w:val="top"/>
          </w:tcPr>
          <w:p>
            <w:pPr>
              <w:spacing w:after="40" w:before="0" w:line="259" w:lineRule="auto"/>
            </w:pPr>
            <w:r>
              <w:rPr>
                <w:rFonts w:ascii="Calibri" w:hAnsi="Calibri"/>
                <w:b w:val="0"/>
                <w:i w:val="0"/>
                <w:color w:val="212121"/>
                <w:sz w:val="16"/>
              </w:rPr>
              <w:t>Screening / first-line</w:t>
            </w:r>
          </w:p>
        </w:tc>
        <w:tc>
          <w:tcPr>
            <w:tcW w:type="dxa" w:w="720"/>
            <w:vAlign w:val="top"/>
          </w:tcPr>
          <w:p>
            <w:pPr>
              <w:spacing w:after="40" w:before="0" w:line="259" w:lineRule="auto"/>
            </w:pPr>
            <w:r>
              <w:rPr>
                <w:rFonts w:ascii="Calibri" w:hAnsi="Calibri"/>
                <w:b w:val="0"/>
                <w:i w:val="0"/>
                <w:color w:val="212121"/>
                <w:sz w:val="16"/>
              </w:rPr>
              <w:t>Raised MCHC is one of the most useful clues on the CBC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Reticulocyte count / percentage</w:t>
            </w:r>
          </w:p>
        </w:tc>
        <w:tc>
          <w:tcPr>
            <w:tcW w:type="dxa" w:w="892"/>
            <w:vAlign w:val="top"/>
          </w:tcPr>
          <w:p>
            <w:pPr>
              <w:spacing w:after="40" w:before="0" w:line="259" w:lineRule="auto"/>
            </w:pPr>
            <w:r>
              <w:rPr>
                <w:rFonts w:ascii="Calibri" w:hAnsi="Calibri"/>
                <w:b w:val="0"/>
                <w:i w:val="0"/>
                <w:color w:val="212121"/>
                <w:sz w:val="16"/>
              </w:rPr>
              <w:t>Reticulocyte Count</w:t>
            </w:r>
          </w:p>
        </w:tc>
        <w:tc>
          <w:tcPr>
            <w:tcW w:type="dxa" w:w="950"/>
            <w:vAlign w:val="top"/>
          </w:tcPr>
          <w:p>
            <w:pPr>
              <w:spacing w:after="40" w:before="0" w:line="259" w:lineRule="auto"/>
            </w:pPr>
            <w:r>
              <w:rPr>
                <w:rFonts w:ascii="Calibri" w:hAnsi="Calibri"/>
                <w:b w:val="0"/>
                <w:i w:val="0"/>
                <w:color w:val="212121"/>
                <w:sz w:val="16"/>
              </w:rPr>
              <w:t>0.5-2.5%</w:t>
            </w:r>
          </w:p>
        </w:tc>
        <w:tc>
          <w:tcPr>
            <w:tcW w:type="dxa" w:w="950"/>
            <w:vAlign w:val="top"/>
          </w:tcPr>
          <w:p>
            <w:pPr>
              <w:spacing w:after="40" w:before="0" w:line="259" w:lineRule="auto"/>
            </w:pPr>
            <w:r>
              <w:rPr>
                <w:rFonts w:ascii="Calibri" w:hAnsi="Calibri"/>
                <w:b w:val="0"/>
                <w:i w:val="0"/>
                <w:color w:val="212121"/>
                <w:sz w:val="16"/>
              </w:rPr>
              <w:t>Raised (3-12%) at baseline; &lt; 1% in aplastic crisis</w:t>
            </w:r>
          </w:p>
        </w:tc>
        <w:tc>
          <w:tcPr>
            <w:tcW w:type="dxa" w:w="1036"/>
            <w:vAlign w:val="top"/>
          </w:tcPr>
          <w:p>
            <w:pPr>
              <w:spacing w:after="40" w:before="0" w:line="259" w:lineRule="auto"/>
            </w:pPr>
            <w:r>
              <w:rPr>
                <w:rFonts w:ascii="Calibri" w:hAnsi="Calibri"/>
                <w:b w:val="0"/>
                <w:i w:val="0"/>
                <w:color w:val="212121"/>
                <w:sz w:val="16"/>
              </w:rPr>
              <w:t>Reflects compensatory erythropoiesis; a fall signals aplastic crisis</w:t>
            </w:r>
          </w:p>
        </w:tc>
        <w:tc>
          <w:tcPr>
            <w:tcW w:type="dxa" w:w="1036"/>
            <w:vAlign w:val="top"/>
          </w:tcPr>
          <w:p>
            <w:pPr>
              <w:spacing w:after="40" w:before="0" w:line="259" w:lineRule="auto"/>
            </w:pPr>
            <w:r>
              <w:rPr>
                <w:rFonts w:ascii="Calibri" w:hAnsi="Calibri"/>
                <w:b w:val="0"/>
                <w:i w:val="0"/>
                <w:color w:val="212121"/>
                <w:sz w:val="16"/>
              </w:rPr>
              <w:t>HS with anaemia, suspected crisis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Interpret alongside haemoglobin trend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Morphology</w:t>
            </w:r>
          </w:p>
        </w:tc>
        <w:tc>
          <w:tcPr>
            <w:tcW w:type="dxa" w:w="1036"/>
            <w:vAlign w:val="top"/>
          </w:tcPr>
          <w:p>
            <w:pPr>
              <w:spacing w:after="40" w:before="0" w:line="259" w:lineRule="auto"/>
            </w:pPr>
            <w:r>
              <w:rPr>
                <w:rFonts w:ascii="Calibri" w:hAnsi="Calibri"/>
                <w:b w:val="0"/>
                <w:i w:val="0"/>
                <w:color w:val="212121"/>
                <w:sz w:val="16"/>
              </w:rPr>
              <w:t>Spherocytes / microspherocytes</w:t>
            </w:r>
          </w:p>
        </w:tc>
        <w:tc>
          <w:tcPr>
            <w:tcW w:type="dxa" w:w="892"/>
            <w:vAlign w:val="top"/>
          </w:tcPr>
          <w:p>
            <w:pPr>
              <w:spacing w:after="40" w:before="0" w:line="259" w:lineRule="auto"/>
            </w:pPr>
            <w:r>
              <w:rPr>
                <w:rFonts w:ascii="Calibri" w:hAnsi="Calibri"/>
                <w:b w:val="0"/>
                <w:i w:val="0"/>
                <w:color w:val="212121"/>
                <w:sz w:val="16"/>
              </w:rPr>
              <w:t>Peripheral Blood Film</w:t>
            </w:r>
          </w:p>
        </w:tc>
        <w:tc>
          <w:tcPr>
            <w:tcW w:type="dxa" w:w="950"/>
            <w:vAlign w:val="top"/>
          </w:tcPr>
          <w:p>
            <w:pPr>
              <w:spacing w:after="40" w:before="0" w:line="259" w:lineRule="auto"/>
            </w:pPr>
            <w:r>
              <w:rPr>
                <w:rFonts w:ascii="Calibri" w:hAnsi="Calibri"/>
                <w:b w:val="0"/>
                <w:i w:val="0"/>
                <w:color w:val="212121"/>
                <w:sz w:val="16"/>
              </w:rPr>
              <w:t>Biconcave discs, no spherocytes</w:t>
            </w:r>
          </w:p>
        </w:tc>
        <w:tc>
          <w:tcPr>
            <w:tcW w:type="dxa" w:w="950"/>
            <w:vAlign w:val="top"/>
          </w:tcPr>
          <w:p>
            <w:pPr>
              <w:spacing w:after="40" w:before="0" w:line="259" w:lineRule="auto"/>
            </w:pPr>
            <w:r>
              <w:rPr>
                <w:rFonts w:ascii="Calibri" w:hAnsi="Calibri"/>
                <w:b w:val="0"/>
                <w:i w:val="0"/>
                <w:color w:val="212121"/>
                <w:sz w:val="16"/>
              </w:rPr>
              <w:t>Numerous spherocytes, polychromasia, occasional nRBC</w:t>
            </w:r>
          </w:p>
        </w:tc>
        <w:tc>
          <w:tcPr>
            <w:tcW w:type="dxa" w:w="1036"/>
            <w:vAlign w:val="top"/>
          </w:tcPr>
          <w:p>
            <w:pPr>
              <w:spacing w:after="40" w:before="0" w:line="259" w:lineRule="auto"/>
            </w:pPr>
            <w:r>
              <w:rPr>
                <w:rFonts w:ascii="Calibri" w:hAnsi="Calibri"/>
                <w:b w:val="0"/>
                <w:i w:val="0"/>
                <w:color w:val="212121"/>
                <w:sz w:val="16"/>
              </w:rPr>
              <w:t>Spherocytes support HS but are not specific (also seen in AIHA)</w:t>
            </w:r>
          </w:p>
        </w:tc>
        <w:tc>
          <w:tcPr>
            <w:tcW w:type="dxa" w:w="1036"/>
            <w:vAlign w:val="top"/>
          </w:tcPr>
          <w:p>
            <w:pPr>
              <w:spacing w:after="40" w:before="0" w:line="259" w:lineRule="auto"/>
            </w:pPr>
            <w:r>
              <w:rPr>
                <w:rFonts w:ascii="Calibri" w:hAnsi="Calibri"/>
                <w:b w:val="0"/>
                <w:i w:val="0"/>
                <w:color w:val="212121"/>
                <w:sz w:val="16"/>
              </w:rPr>
              <w:t>All suspected haemolytic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Always pair with a Coombs test to exclude AIHA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Flow cytometry</w:t>
            </w:r>
          </w:p>
        </w:tc>
        <w:tc>
          <w:tcPr>
            <w:tcW w:type="dxa" w:w="1036"/>
            <w:vAlign w:val="top"/>
          </w:tcPr>
          <w:p>
            <w:pPr>
              <w:spacing w:after="40" w:before="0" w:line="259" w:lineRule="auto"/>
            </w:pPr>
            <w:r>
              <w:rPr>
                <w:rFonts w:ascii="Calibri" w:hAnsi="Calibri"/>
                <w:b w:val="0"/>
                <w:i w:val="0"/>
                <w:color w:val="212121"/>
                <w:sz w:val="16"/>
              </w:rPr>
              <w:t>EMA (eosin-5-maleimide) dye binding</w:t>
            </w:r>
          </w:p>
        </w:tc>
        <w:tc>
          <w:tcPr>
            <w:tcW w:type="dxa" w:w="892"/>
            <w:vAlign w:val="top"/>
          </w:tcPr>
          <w:p>
            <w:pPr>
              <w:spacing w:after="40" w:before="0" w:line="259" w:lineRule="auto"/>
            </w:pPr>
            <w:r>
              <w:rPr>
                <w:rFonts w:ascii="Calibri" w:hAnsi="Calibri"/>
                <w:b w:val="0"/>
                <w:i w:val="0"/>
                <w:color w:val="212121"/>
                <w:sz w:val="16"/>
              </w:rPr>
              <w:t>EMA Binding Test</w:t>
            </w:r>
          </w:p>
        </w:tc>
        <w:tc>
          <w:tcPr>
            <w:tcW w:type="dxa" w:w="950"/>
            <w:vAlign w:val="top"/>
          </w:tcPr>
          <w:p>
            <w:pPr>
              <w:spacing w:after="40" w:before="0" w:line="259" w:lineRule="auto"/>
            </w:pPr>
            <w:r>
              <w:rPr>
                <w:rFonts w:ascii="Calibri" w:hAnsi="Calibri"/>
                <w:b w:val="0"/>
                <w:i w:val="0"/>
                <w:color w:val="212121"/>
                <w:sz w:val="16"/>
              </w:rPr>
              <w:t>Normal mean fluorescence intensity</w:t>
            </w:r>
          </w:p>
        </w:tc>
        <w:tc>
          <w:tcPr>
            <w:tcW w:type="dxa" w:w="950"/>
            <w:vAlign w:val="top"/>
          </w:tcPr>
          <w:p>
            <w:pPr>
              <w:spacing w:after="40" w:before="0" w:line="259" w:lineRule="auto"/>
            </w:pPr>
            <w:r>
              <w:rPr>
                <w:rFonts w:ascii="Calibri" w:hAnsi="Calibri"/>
                <w:b w:val="0"/>
                <w:i w:val="0"/>
                <w:color w:val="212121"/>
                <w:sz w:val="16"/>
              </w:rPr>
              <w:t>Reduced EMA binding (low fluorescence)</w:t>
            </w:r>
          </w:p>
        </w:tc>
        <w:tc>
          <w:tcPr>
            <w:tcW w:type="dxa" w:w="1036"/>
            <w:vAlign w:val="top"/>
          </w:tcPr>
          <w:p>
            <w:pPr>
              <w:spacing w:after="40" w:before="0" w:line="259" w:lineRule="auto"/>
            </w:pPr>
            <w:r>
              <w:rPr>
                <w:rFonts w:ascii="Calibri" w:hAnsi="Calibri"/>
                <w:b w:val="0"/>
                <w:i w:val="0"/>
                <w:color w:val="212121"/>
                <w:sz w:val="16"/>
              </w:rPr>
              <w:t>Reduced binding to band 3/Rh proteins indicates membrane defect</w:t>
            </w:r>
          </w:p>
        </w:tc>
        <w:tc>
          <w:tcPr>
            <w:tcW w:type="dxa" w:w="1036"/>
            <w:vAlign w:val="top"/>
          </w:tcPr>
          <w:p>
            <w:pPr>
              <w:spacing w:after="40" w:before="0" w:line="259" w:lineRule="auto"/>
            </w:pPr>
            <w:r>
              <w:rPr>
                <w:rFonts w:ascii="Calibri" w:hAnsi="Calibri"/>
                <w:b w:val="0"/>
                <w:i w:val="0"/>
                <w:color w:val="212121"/>
                <w:sz w:val="16"/>
              </w:rPr>
              <w:t>Equivocal or atypical cases; confirmation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Recommended screening</w:t>
            </w:r>
          </w:p>
        </w:tc>
        <w:tc>
          <w:tcPr>
            <w:tcW w:type="dxa" w:w="720"/>
            <w:vAlign w:val="top"/>
          </w:tcPr>
          <w:p>
            <w:pPr>
              <w:spacing w:after="40" w:before="0" w:line="259" w:lineRule="auto"/>
            </w:pPr>
            <w:r>
              <w:rPr>
                <w:rFonts w:ascii="Calibri" w:hAnsi="Calibri"/>
                <w:b w:val="0"/>
                <w:i w:val="0"/>
                <w:color w:val="212121"/>
                <w:sz w:val="16"/>
              </w:rPr>
              <w:t>EMA binding and flow-cytometric osmotic fragility are the recommended screens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Red-cell fragility</w:t>
            </w:r>
          </w:p>
        </w:tc>
        <w:tc>
          <w:tcPr>
            <w:tcW w:type="dxa" w:w="1036"/>
            <w:vAlign w:val="top"/>
          </w:tcPr>
          <w:p>
            <w:pPr>
              <w:spacing w:after="40" w:before="0" w:line="259" w:lineRule="auto"/>
            </w:pPr>
            <w:r>
              <w:rPr>
                <w:rFonts w:ascii="Calibri" w:hAnsi="Calibri"/>
                <w:b w:val="0"/>
                <w:i w:val="0"/>
                <w:color w:val="212121"/>
                <w:sz w:val="16"/>
              </w:rPr>
              <w:t>Osmotic fragility (fresh &amp; 24-h incubated)</w:t>
            </w:r>
          </w:p>
        </w:tc>
        <w:tc>
          <w:tcPr>
            <w:tcW w:type="dxa" w:w="892"/>
            <w:vAlign w:val="top"/>
          </w:tcPr>
          <w:p>
            <w:pPr>
              <w:spacing w:after="40" w:before="0" w:line="259" w:lineRule="auto"/>
            </w:pPr>
            <w:r>
              <w:rPr>
                <w:rFonts w:ascii="Calibri" w:hAnsi="Calibri"/>
                <w:b w:val="0"/>
                <w:i w:val="0"/>
                <w:color w:val="212121"/>
                <w:sz w:val="16"/>
              </w:rPr>
              <w:t>Osmotic Fragility / AGLT</w:t>
            </w:r>
          </w:p>
        </w:tc>
        <w:tc>
          <w:tcPr>
            <w:tcW w:type="dxa" w:w="950"/>
            <w:vAlign w:val="top"/>
          </w:tcPr>
          <w:p>
            <w:pPr>
              <w:spacing w:after="40" w:before="0" w:line="259" w:lineRule="auto"/>
            </w:pPr>
            <w:r>
              <w:rPr>
                <w:rFonts w:ascii="Calibri" w:hAnsi="Calibri"/>
                <w:b w:val="0"/>
                <w:i w:val="0"/>
                <w:color w:val="212121"/>
                <w:sz w:val="16"/>
              </w:rPr>
              <w:t>Normal lysis curve</w:t>
            </w:r>
          </w:p>
        </w:tc>
        <w:tc>
          <w:tcPr>
            <w:tcW w:type="dxa" w:w="950"/>
            <w:vAlign w:val="top"/>
          </w:tcPr>
          <w:p>
            <w:pPr>
              <w:spacing w:after="40" w:before="0" w:line="259" w:lineRule="auto"/>
            </w:pPr>
            <w:r>
              <w:rPr>
                <w:rFonts w:ascii="Calibri" w:hAnsi="Calibri"/>
                <w:b w:val="0"/>
                <w:i w:val="0"/>
                <w:color w:val="212121"/>
                <w:sz w:val="16"/>
              </w:rPr>
              <w:t>Increased fragility, accentuated after incubation</w:t>
            </w:r>
          </w:p>
        </w:tc>
        <w:tc>
          <w:tcPr>
            <w:tcW w:type="dxa" w:w="1036"/>
            <w:vAlign w:val="top"/>
          </w:tcPr>
          <w:p>
            <w:pPr>
              <w:spacing w:after="40" w:before="0" w:line="259" w:lineRule="auto"/>
            </w:pPr>
            <w:r>
              <w:rPr>
                <w:rFonts w:ascii="Calibri" w:hAnsi="Calibri"/>
                <w:b w:val="0"/>
                <w:i w:val="0"/>
                <w:color w:val="212121"/>
                <w:sz w:val="16"/>
              </w:rPr>
              <w:t>Spherocytes lyse at higher saline concentrations</w:t>
            </w:r>
          </w:p>
        </w:tc>
        <w:tc>
          <w:tcPr>
            <w:tcW w:type="dxa" w:w="1036"/>
            <w:vAlign w:val="top"/>
          </w:tcPr>
          <w:p>
            <w:pPr>
              <w:spacing w:after="40" w:before="0" w:line="259" w:lineRule="auto"/>
            </w:pPr>
            <w:r>
              <w:rPr>
                <w:rFonts w:ascii="Calibri" w:hAnsi="Calibri"/>
                <w:b w:val="0"/>
                <w:i w:val="0"/>
                <w:color w:val="212121"/>
                <w:sz w:val="16"/>
              </w:rPr>
              <w:t>Suspected HS where flow cytometry unavailable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May be normal in mild HS; less sensitive than EMA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Biochemistry</w:t>
            </w:r>
          </w:p>
        </w:tc>
        <w:tc>
          <w:tcPr>
            <w:tcW w:type="dxa" w:w="1036"/>
            <w:vAlign w:val="top"/>
          </w:tcPr>
          <w:p>
            <w:pPr>
              <w:spacing w:after="40" w:before="0" w:line="259" w:lineRule="auto"/>
            </w:pPr>
            <w:r>
              <w:rPr>
                <w:rFonts w:ascii="Calibri" w:hAnsi="Calibri"/>
                <w:b w:val="0"/>
                <w:i w:val="0"/>
                <w:color w:val="212121"/>
                <w:sz w:val="16"/>
              </w:rPr>
              <w:t>Indirect bilirubin, LDH, haptoglobin</w:t>
            </w:r>
          </w:p>
        </w:tc>
        <w:tc>
          <w:tcPr>
            <w:tcW w:type="dxa" w:w="892"/>
            <w:vAlign w:val="top"/>
          </w:tcPr>
          <w:p>
            <w:pPr>
              <w:spacing w:after="40" w:before="0" w:line="259" w:lineRule="auto"/>
            </w:pPr>
            <w:r>
              <w:rPr>
                <w:rFonts w:ascii="Calibri" w:hAnsi="Calibri"/>
                <w:b w:val="0"/>
                <w:i w:val="0"/>
                <w:color w:val="212121"/>
                <w:sz w:val="16"/>
              </w:rPr>
              <w:t>Haemolysis Panel</w:t>
            </w:r>
          </w:p>
        </w:tc>
        <w:tc>
          <w:tcPr>
            <w:tcW w:type="dxa" w:w="950"/>
            <w:vAlign w:val="top"/>
          </w:tcPr>
          <w:p>
            <w:pPr>
              <w:spacing w:after="40" w:before="0" w:line="259" w:lineRule="auto"/>
            </w:pPr>
            <w:r>
              <w:rPr>
                <w:rFonts w:ascii="Calibri" w:hAnsi="Calibri"/>
                <w:b w:val="0"/>
                <w:i w:val="0"/>
                <w:color w:val="212121"/>
                <w:sz w:val="16"/>
              </w:rPr>
              <w:t>Bilirubin &lt; 1.2 mg/dL; normal LDH; normal haptoglobin</w:t>
            </w:r>
          </w:p>
        </w:tc>
        <w:tc>
          <w:tcPr>
            <w:tcW w:type="dxa" w:w="950"/>
            <w:vAlign w:val="top"/>
          </w:tcPr>
          <w:p>
            <w:pPr>
              <w:spacing w:after="40" w:before="0" w:line="259" w:lineRule="auto"/>
            </w:pPr>
            <w:r>
              <w:rPr>
                <w:rFonts w:ascii="Calibri" w:hAnsi="Calibri"/>
                <w:b w:val="0"/>
                <w:i w:val="0"/>
                <w:color w:val="212121"/>
                <w:sz w:val="16"/>
              </w:rPr>
              <w:t>Raised indirect bilirubin &amp; LDH; low/absent haptoglobin</w:t>
            </w:r>
          </w:p>
        </w:tc>
        <w:tc>
          <w:tcPr>
            <w:tcW w:type="dxa" w:w="1036"/>
            <w:vAlign w:val="top"/>
          </w:tcPr>
          <w:p>
            <w:pPr>
              <w:spacing w:after="40" w:before="0" w:line="259" w:lineRule="auto"/>
            </w:pPr>
            <w:r>
              <w:rPr>
                <w:rFonts w:ascii="Calibri" w:hAnsi="Calibri"/>
                <w:b w:val="0"/>
                <w:i w:val="0"/>
                <w:color w:val="212121"/>
                <w:sz w:val="16"/>
              </w:rPr>
              <w:t>Confirms active haemolysis and pigment-stone risk</w:t>
            </w:r>
          </w:p>
        </w:tc>
        <w:tc>
          <w:tcPr>
            <w:tcW w:type="dxa" w:w="1036"/>
            <w:vAlign w:val="top"/>
          </w:tcPr>
          <w:p>
            <w:pPr>
              <w:spacing w:after="40" w:before="0" w:line="259" w:lineRule="auto"/>
            </w:pPr>
            <w:r>
              <w:rPr>
                <w:rFonts w:ascii="Calibri" w:hAnsi="Calibri"/>
                <w:b w:val="0"/>
                <w:i w:val="0"/>
                <w:color w:val="212121"/>
                <w:sz w:val="16"/>
              </w:rPr>
              <w:t>HS with jaundice; gallstone work-up</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Bilirubin markedly higher when Gilbert syndrome co-exists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Immunohaematology</w:t>
            </w:r>
          </w:p>
        </w:tc>
        <w:tc>
          <w:tcPr>
            <w:tcW w:type="dxa" w:w="1036"/>
            <w:vAlign w:val="top"/>
          </w:tcPr>
          <w:p>
            <w:pPr>
              <w:spacing w:after="40" w:before="0" w:line="259" w:lineRule="auto"/>
            </w:pPr>
            <w:r>
              <w:rPr>
                <w:rFonts w:ascii="Calibri" w:hAnsi="Calibri"/>
                <w:b w:val="0"/>
                <w:i w:val="0"/>
                <w:color w:val="212121"/>
                <w:sz w:val="16"/>
              </w:rPr>
              <w:t>Direct antiglobulin (Coombs) test</w:t>
            </w:r>
          </w:p>
        </w:tc>
        <w:tc>
          <w:tcPr>
            <w:tcW w:type="dxa" w:w="892"/>
            <w:vAlign w:val="top"/>
          </w:tcPr>
          <w:p>
            <w:pPr>
              <w:spacing w:after="40" w:before="0" w:line="259" w:lineRule="auto"/>
            </w:pPr>
            <w:r>
              <w:rPr>
                <w:rFonts w:ascii="Calibri" w:hAnsi="Calibri"/>
                <w:b w:val="0"/>
                <w:i w:val="0"/>
                <w:color w:val="212121"/>
                <w:sz w:val="16"/>
              </w:rPr>
              <w:t>Direct Coombs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Negative in HS (positive in AIHA)</w:t>
            </w:r>
          </w:p>
        </w:tc>
        <w:tc>
          <w:tcPr>
            <w:tcW w:type="dxa" w:w="1036"/>
            <w:vAlign w:val="top"/>
          </w:tcPr>
          <w:p>
            <w:pPr>
              <w:spacing w:after="40" w:before="0" w:line="259" w:lineRule="auto"/>
            </w:pPr>
            <w:r>
              <w:rPr>
                <w:rFonts w:ascii="Calibri" w:hAnsi="Calibri"/>
                <w:b w:val="0"/>
                <w:i w:val="0"/>
                <w:color w:val="212121"/>
                <w:sz w:val="16"/>
              </w:rPr>
              <w:t>A negative test is REQUIRED to separate HS from autoimmune haemolysis</w:t>
            </w:r>
          </w:p>
        </w:tc>
        <w:tc>
          <w:tcPr>
            <w:tcW w:type="dxa" w:w="1036"/>
            <w:vAlign w:val="top"/>
          </w:tcPr>
          <w:p>
            <w:pPr>
              <w:spacing w:after="40" w:before="0" w:line="259" w:lineRule="auto"/>
            </w:pPr>
            <w:r>
              <w:rPr>
                <w:rFonts w:ascii="Calibri" w:hAnsi="Calibri"/>
                <w:b w:val="0"/>
                <w:i w:val="0"/>
                <w:color w:val="212121"/>
                <w:sz w:val="16"/>
              </w:rPr>
              <w:t>Any spherocytic haemolytic anaemia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Spherocytes plus positive Coombs = AIHA, not HS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Gallstones, spleen size</w:t>
            </w:r>
          </w:p>
        </w:tc>
        <w:tc>
          <w:tcPr>
            <w:tcW w:type="dxa" w:w="892"/>
            <w:vAlign w:val="top"/>
          </w:tcPr>
          <w:p>
            <w:pPr>
              <w:spacing w:after="40" w:before="0" w:line="259" w:lineRule="auto"/>
            </w:pPr>
            <w:r>
              <w:rPr>
                <w:rFonts w:ascii="Calibri" w:hAnsi="Calibri"/>
                <w:b w:val="0"/>
                <w:i w:val="0"/>
                <w:color w:val="212121"/>
                <w:sz w:val="16"/>
              </w:rPr>
              <w:t>Abdominal Ultrasound</w:t>
            </w:r>
          </w:p>
        </w:tc>
        <w:tc>
          <w:tcPr>
            <w:tcW w:type="dxa" w:w="950"/>
            <w:vAlign w:val="top"/>
          </w:tcPr>
          <w:p>
            <w:pPr>
              <w:spacing w:after="40" w:before="0" w:line="259" w:lineRule="auto"/>
            </w:pPr>
            <w:r>
              <w:rPr>
                <w:rFonts w:ascii="Calibri" w:hAnsi="Calibri"/>
                <w:b w:val="0"/>
                <w:i w:val="0"/>
                <w:color w:val="212121"/>
                <w:sz w:val="16"/>
              </w:rPr>
              <w:t>No stones; spleen &lt;= 12 cm</w:t>
            </w:r>
          </w:p>
        </w:tc>
        <w:tc>
          <w:tcPr>
            <w:tcW w:type="dxa" w:w="950"/>
            <w:vAlign w:val="top"/>
          </w:tcPr>
          <w:p>
            <w:pPr>
              <w:spacing w:after="40" w:before="0" w:line="259" w:lineRule="auto"/>
            </w:pPr>
            <w:r>
              <w:rPr>
                <w:rFonts w:ascii="Calibri" w:hAnsi="Calibri"/>
                <w:b w:val="0"/>
                <w:i w:val="0"/>
                <w:color w:val="212121"/>
                <w:sz w:val="16"/>
              </w:rPr>
              <w:t>Pigment gallstones; splenomegaly</w:t>
            </w:r>
          </w:p>
        </w:tc>
        <w:tc>
          <w:tcPr>
            <w:tcW w:type="dxa" w:w="1036"/>
            <w:vAlign w:val="top"/>
          </w:tcPr>
          <w:p>
            <w:pPr>
              <w:spacing w:after="40" w:before="0" w:line="259" w:lineRule="auto"/>
            </w:pPr>
            <w:r>
              <w:rPr>
                <w:rFonts w:ascii="Calibri" w:hAnsi="Calibri"/>
                <w:b w:val="0"/>
                <w:i w:val="0"/>
                <w:color w:val="212121"/>
                <w:sz w:val="16"/>
              </w:rPr>
              <w:t>Screens for cholelithiasis and quantifies splenomegaly</w:t>
            </w:r>
          </w:p>
        </w:tc>
        <w:tc>
          <w:tcPr>
            <w:tcW w:type="dxa" w:w="1036"/>
            <w:vAlign w:val="top"/>
          </w:tcPr>
          <w:p>
            <w:pPr>
              <w:spacing w:after="40" w:before="0" w:line="259" w:lineRule="auto"/>
            </w:pPr>
            <w:r>
              <w:rPr>
                <w:rFonts w:ascii="Calibri" w:hAnsi="Calibri"/>
                <w:b w:val="0"/>
                <w:i w:val="0"/>
                <w:color w:val="212121"/>
                <w:sz w:val="16"/>
              </w:rPr>
              <w:t>HS from about age 5; before splenectomy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Surveillance</w:t>
            </w:r>
          </w:p>
        </w:tc>
        <w:tc>
          <w:tcPr>
            <w:tcW w:type="dxa" w:w="720"/>
            <w:vAlign w:val="top"/>
          </w:tcPr>
          <w:p>
            <w:pPr>
              <w:spacing w:after="40" w:before="0" w:line="259" w:lineRule="auto"/>
            </w:pPr>
            <w:r>
              <w:rPr>
                <w:rFonts w:ascii="Calibri" w:hAnsi="Calibri"/>
                <w:b w:val="0"/>
                <w:i w:val="0"/>
                <w:color w:val="212121"/>
                <w:sz w:val="16"/>
              </w:rPr>
              <w:t>Periodic biliary ultrasound recommended from childhood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Anaemia, jaundice, gallstones, splenectomy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first-degree relative</w:t>
            </w:r>
          </w:p>
        </w:tc>
        <w:tc>
          <w:tcPr>
            <w:tcW w:type="dxa" w:w="1036"/>
            <w:vAlign w:val="top"/>
          </w:tcPr>
          <w:p>
            <w:pPr>
              <w:spacing w:after="40" w:before="0" w:line="259" w:lineRule="auto"/>
            </w:pPr>
            <w:r>
              <w:rPr>
                <w:rFonts w:ascii="Calibri" w:hAnsi="Calibri"/>
                <w:b w:val="0"/>
                <w:i w:val="0"/>
                <w:color w:val="212121"/>
                <w:sz w:val="16"/>
              </w:rPr>
              <w:t>Autosomal dominant HS in ~75%; strong diagnostic pointer</w:t>
            </w:r>
          </w:p>
        </w:tc>
        <w:tc>
          <w:tcPr>
            <w:tcW w:type="dxa" w:w="1036"/>
            <w:vAlign w:val="top"/>
          </w:tcPr>
          <w:p>
            <w:pPr>
              <w:spacing w:after="40" w:before="0" w:line="259" w:lineRule="auto"/>
            </w:pPr>
            <w:r>
              <w:rPr>
                <w:rFonts w:ascii="Calibri" w:hAnsi="Calibri"/>
                <w:b w:val="0"/>
                <w:i w:val="0"/>
                <w:color w:val="212121"/>
                <w:sz w:val="16"/>
              </w:rPr>
              <w:t>Relatives of HS patients; index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Milder relatives are often undiagnosed - ask specifically about early gallstones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Neonatal / childhood course</w:t>
            </w:r>
          </w:p>
        </w:tc>
        <w:tc>
          <w:tcPr>
            <w:tcW w:type="dxa" w:w="979"/>
            <w:vAlign w:val="top"/>
          </w:tcPr>
          <w:p>
            <w:pPr>
              <w:spacing w:after="40" w:before="0" w:line="259" w:lineRule="auto"/>
            </w:pPr>
            <w:r>
              <w:rPr>
                <w:rFonts w:ascii="Calibri" w:hAnsi="Calibri"/>
                <w:b w:val="0"/>
                <w:i w:val="0"/>
                <w:color w:val="212121"/>
                <w:sz w:val="16"/>
              </w:rPr>
              <w:t>Neonatal jaundice, phototherapy, exchange transfusion</w:t>
            </w:r>
          </w:p>
        </w:tc>
        <w:tc>
          <w:tcPr>
            <w:tcW w:type="dxa" w:w="950"/>
            <w:vAlign w:val="top"/>
          </w:tcPr>
          <w:p>
            <w:pPr>
              <w:spacing w:after="40" w:before="0" w:line="259" w:lineRule="auto"/>
            </w:pPr>
            <w:r>
              <w:rPr>
                <w:rFonts w:ascii="Calibri" w:hAnsi="Calibri"/>
                <w:b w:val="0"/>
                <w:i w:val="0"/>
                <w:color w:val="212121"/>
                <w:sz w:val="16"/>
              </w:rPr>
              <w:t>Uneventful neonatal period</w:t>
            </w:r>
          </w:p>
        </w:tc>
        <w:tc>
          <w:tcPr>
            <w:tcW w:type="dxa" w:w="950"/>
            <w:vAlign w:val="top"/>
          </w:tcPr>
          <w:p>
            <w:pPr>
              <w:spacing w:after="40" w:before="0" w:line="259" w:lineRule="auto"/>
            </w:pPr>
            <w:r>
              <w:rPr>
                <w:rFonts w:ascii="Calibri" w:hAnsi="Calibri"/>
                <w:b w:val="0"/>
                <w:i w:val="0"/>
                <w:color w:val="212121"/>
                <w:sz w:val="16"/>
              </w:rPr>
              <w:t>Prolonged neonatal jaundice / phototherapy</w:t>
            </w:r>
          </w:p>
        </w:tc>
        <w:tc>
          <w:tcPr>
            <w:tcW w:type="dxa" w:w="1036"/>
            <w:vAlign w:val="top"/>
          </w:tcPr>
          <w:p>
            <w:pPr>
              <w:spacing w:after="40" w:before="0" w:line="259" w:lineRule="auto"/>
            </w:pPr>
            <w:r>
              <w:rPr>
                <w:rFonts w:ascii="Calibri" w:hAnsi="Calibri"/>
                <w:b w:val="0"/>
                <w:i w:val="0"/>
                <w:color w:val="212121"/>
                <w:sz w:val="16"/>
              </w:rPr>
              <w:t>Early haemolytic jaundice is a common first manifestation</w:t>
            </w:r>
          </w:p>
        </w:tc>
        <w:tc>
          <w:tcPr>
            <w:tcW w:type="dxa" w:w="1036"/>
            <w:vAlign w:val="top"/>
          </w:tcPr>
          <w:p>
            <w:pPr>
              <w:spacing w:after="40" w:before="0" w:line="259" w:lineRule="auto"/>
            </w:pPr>
            <w:r>
              <w:rPr>
                <w:rFonts w:ascii="Calibri" w:hAnsi="Calibri"/>
                <w:b w:val="0"/>
                <w:i w:val="0"/>
                <w:color w:val="212121"/>
                <w:sz w:val="16"/>
              </w:rPr>
              <w:t>Neonates, infants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Consider HS in Coombs-negative neonatal haemolytic jaundice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Episodic symptoms / triggers</w:t>
            </w:r>
          </w:p>
        </w:tc>
        <w:tc>
          <w:tcPr>
            <w:tcW w:type="dxa" w:w="979"/>
            <w:vAlign w:val="top"/>
          </w:tcPr>
          <w:p>
            <w:pPr>
              <w:spacing w:after="40" w:before="0" w:line="259" w:lineRule="auto"/>
            </w:pPr>
            <w:r>
              <w:rPr>
                <w:rFonts w:ascii="Calibri" w:hAnsi="Calibri"/>
                <w:b w:val="0"/>
                <w:i w:val="0"/>
                <w:color w:val="212121"/>
                <w:sz w:val="16"/>
              </w:rPr>
              <w:t>Intermittent pallor, jaundice, dark urine after infections</w:t>
            </w:r>
          </w:p>
        </w:tc>
        <w:tc>
          <w:tcPr>
            <w:tcW w:type="dxa" w:w="950"/>
            <w:vAlign w:val="top"/>
          </w:tcPr>
          <w:p>
            <w:pPr>
              <w:spacing w:after="40" w:before="0" w:line="259" w:lineRule="auto"/>
            </w:pPr>
            <w:r>
              <w:rPr>
                <w:rFonts w:ascii="Calibri" w:hAnsi="Calibri"/>
                <w:b w:val="0"/>
                <w:i w:val="0"/>
                <w:color w:val="212121"/>
                <w:sz w:val="16"/>
              </w:rPr>
              <w:t>No episodes</w:t>
            </w:r>
          </w:p>
        </w:tc>
        <w:tc>
          <w:tcPr>
            <w:tcW w:type="dxa" w:w="950"/>
            <w:vAlign w:val="top"/>
          </w:tcPr>
          <w:p>
            <w:pPr>
              <w:spacing w:after="40" w:before="0" w:line="259" w:lineRule="auto"/>
            </w:pPr>
            <w:r>
              <w:rPr>
                <w:rFonts w:ascii="Calibri" w:hAnsi="Calibri"/>
                <w:b w:val="0"/>
                <w:i w:val="0"/>
                <w:color w:val="212121"/>
                <w:sz w:val="16"/>
              </w:rPr>
              <w:t>Crises precipitated by viral illness</w:t>
            </w:r>
          </w:p>
        </w:tc>
        <w:tc>
          <w:tcPr>
            <w:tcW w:type="dxa" w:w="1036"/>
            <w:vAlign w:val="top"/>
          </w:tcPr>
          <w:p>
            <w:pPr>
              <w:spacing w:after="40" w:before="0" w:line="259" w:lineRule="auto"/>
            </w:pPr>
            <w:r>
              <w:rPr>
                <w:rFonts w:ascii="Calibri" w:hAnsi="Calibri"/>
                <w:b w:val="0"/>
                <w:i w:val="0"/>
                <w:color w:val="212121"/>
                <w:sz w:val="16"/>
              </w:rPr>
              <w:t>Identifies haemolytic/aplastic crises and their triggers</w:t>
            </w:r>
          </w:p>
        </w:tc>
        <w:tc>
          <w:tcPr>
            <w:tcW w:type="dxa" w:w="1036"/>
            <w:vAlign w:val="top"/>
          </w:tcPr>
          <w:p>
            <w:pPr>
              <w:spacing w:after="40" w:before="0" w:line="259" w:lineRule="auto"/>
            </w:pPr>
            <w:r>
              <w:rPr>
                <w:rFonts w:ascii="Calibri" w:hAnsi="Calibri"/>
                <w:b w:val="0"/>
                <w:i w:val="0"/>
                <w:color w:val="212121"/>
                <w:sz w:val="16"/>
              </w:rPr>
              <w:t>HS of any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specifically about recent parvovirus-like illness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Pallor &amp; icterus</w:t>
            </w:r>
          </w:p>
        </w:tc>
        <w:tc>
          <w:tcPr>
            <w:tcW w:type="dxa" w:w="979"/>
            <w:vAlign w:val="top"/>
          </w:tcPr>
          <w:p>
            <w:pPr>
              <w:spacing w:after="40" w:before="0" w:line="259" w:lineRule="auto"/>
            </w:pPr>
            <w:r>
              <w:rPr>
                <w:rFonts w:ascii="Calibri" w:hAnsi="Calibri"/>
                <w:b w:val="0"/>
                <w:i w:val="0"/>
                <w:color w:val="212121"/>
                <w:sz w:val="16"/>
              </w:rPr>
              <w:t>Conjunctival/palmar pallor, scleral icterus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Pallor and/or jaundice present</w:t>
            </w:r>
          </w:p>
        </w:tc>
        <w:tc>
          <w:tcPr>
            <w:tcW w:type="dxa" w:w="1036"/>
            <w:vAlign w:val="top"/>
          </w:tcPr>
          <w:p>
            <w:pPr>
              <w:spacing w:after="40" w:before="0" w:line="259" w:lineRule="auto"/>
            </w:pPr>
            <w:r>
              <w:rPr>
                <w:rFonts w:ascii="Calibri" w:hAnsi="Calibri"/>
                <w:b w:val="0"/>
                <w:i w:val="0"/>
                <w:color w:val="212121"/>
                <w:sz w:val="16"/>
              </w:rPr>
              <w:t>Reflects anaemia and unconjugated hyperbilirubinaemia</w:t>
            </w:r>
          </w:p>
        </w:tc>
        <w:tc>
          <w:tcPr>
            <w:tcW w:type="dxa" w:w="1036"/>
            <w:vAlign w:val="top"/>
          </w:tcPr>
          <w:p>
            <w:pPr>
              <w:spacing w:after="40" w:before="0" w:line="259" w:lineRule="auto"/>
            </w:pPr>
            <w:r>
              <w:rPr>
                <w:rFonts w:ascii="Calibri" w:hAnsi="Calibri"/>
                <w:b w:val="0"/>
                <w:i w:val="0"/>
                <w:color w:val="212121"/>
                <w:sz w:val="16"/>
              </w:rPr>
              <w:t>All symptomatic HS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Jaundice may be the only sign in neonates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Splenomegaly +/- hepatomegaly, RUQ tenderness</w:t>
            </w:r>
          </w:p>
        </w:tc>
        <w:tc>
          <w:tcPr>
            <w:tcW w:type="dxa" w:w="950"/>
            <w:vAlign w:val="top"/>
          </w:tcPr>
          <w:p>
            <w:pPr>
              <w:spacing w:after="40" w:before="0" w:line="259" w:lineRule="auto"/>
            </w:pPr>
            <w:r>
              <w:rPr>
                <w:rFonts w:ascii="Calibri" w:hAnsi="Calibri"/>
                <w:b w:val="0"/>
                <w:i w:val="0"/>
                <w:color w:val="212121"/>
                <w:sz w:val="16"/>
              </w:rPr>
              <w:t>No organomegaly</w:t>
            </w:r>
          </w:p>
        </w:tc>
        <w:tc>
          <w:tcPr>
            <w:tcW w:type="dxa" w:w="950"/>
            <w:vAlign w:val="top"/>
          </w:tcPr>
          <w:p>
            <w:pPr>
              <w:spacing w:after="40" w:before="0" w:line="259" w:lineRule="auto"/>
            </w:pPr>
            <w:r>
              <w:rPr>
                <w:rFonts w:ascii="Calibri" w:hAnsi="Calibri"/>
                <w:b w:val="0"/>
                <w:i w:val="0"/>
                <w:color w:val="212121"/>
                <w:sz w:val="16"/>
              </w:rPr>
              <w:t>Palpable spleen; RUQ tenderness (gallstones)</w:t>
            </w:r>
          </w:p>
        </w:tc>
        <w:tc>
          <w:tcPr>
            <w:tcW w:type="dxa" w:w="1036"/>
            <w:vAlign w:val="top"/>
          </w:tcPr>
          <w:p>
            <w:pPr>
              <w:spacing w:after="40" w:before="0" w:line="259" w:lineRule="auto"/>
            </w:pPr>
            <w:r>
              <w:rPr>
                <w:rFonts w:ascii="Calibri" w:hAnsi="Calibri"/>
                <w:b w:val="0"/>
                <w:i w:val="0"/>
                <w:color w:val="212121"/>
                <w:sz w:val="16"/>
              </w:rPr>
              <w:t>Splenomegaly is central to HS; RUQ signs suggest biliary disease</w:t>
            </w:r>
          </w:p>
        </w:tc>
        <w:tc>
          <w:tcPr>
            <w:tcW w:type="dxa" w:w="1036"/>
            <w:vAlign w:val="top"/>
          </w:tcPr>
          <w:p>
            <w:pPr>
              <w:spacing w:after="40" w:before="0" w:line="259" w:lineRule="auto"/>
            </w:pPr>
            <w:r>
              <w:rPr>
                <w:rFonts w:ascii="Calibri" w:hAnsi="Calibri"/>
                <w:b w:val="0"/>
                <w:i w:val="0"/>
                <w:color w:val="212121"/>
                <w:sz w:val="16"/>
              </w:rPr>
              <w:t>HS across ages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Splenomegaly found in about 54% of an Indian cohort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Growth &amp; development</w:t>
            </w:r>
          </w:p>
        </w:tc>
        <w:tc>
          <w:tcPr>
            <w:tcW w:type="dxa" w:w="979"/>
            <w:vAlign w:val="top"/>
          </w:tcPr>
          <w:p>
            <w:pPr>
              <w:spacing w:after="40" w:before="0" w:line="259" w:lineRule="auto"/>
            </w:pPr>
            <w:r>
              <w:rPr>
                <w:rFonts w:ascii="Calibri" w:hAnsi="Calibri"/>
                <w:b w:val="0"/>
                <w:i w:val="0"/>
                <w:color w:val="212121"/>
                <w:sz w:val="16"/>
              </w:rPr>
              <w:t>Height/weight, pubertal staging</w:t>
            </w:r>
          </w:p>
        </w:tc>
        <w:tc>
          <w:tcPr>
            <w:tcW w:type="dxa" w:w="950"/>
            <w:vAlign w:val="top"/>
          </w:tcPr>
          <w:p>
            <w:pPr>
              <w:spacing w:after="40" w:before="0" w:line="259" w:lineRule="auto"/>
            </w:pPr>
            <w:r>
              <w:rPr>
                <w:rFonts w:ascii="Calibri" w:hAnsi="Calibri"/>
                <w:b w:val="0"/>
                <w:i w:val="0"/>
                <w:color w:val="212121"/>
                <w:sz w:val="16"/>
              </w:rPr>
              <w:t>Age-appropriate growth</w:t>
            </w:r>
          </w:p>
        </w:tc>
        <w:tc>
          <w:tcPr>
            <w:tcW w:type="dxa" w:w="950"/>
            <w:vAlign w:val="top"/>
          </w:tcPr>
          <w:p>
            <w:pPr>
              <w:spacing w:after="40" w:before="0" w:line="259" w:lineRule="auto"/>
            </w:pPr>
            <w:r>
              <w:rPr>
                <w:rFonts w:ascii="Calibri" w:hAnsi="Calibri"/>
                <w:b w:val="0"/>
                <w:i w:val="0"/>
                <w:color w:val="212121"/>
                <w:sz w:val="16"/>
              </w:rPr>
              <w:t>Growth faltering / delayed puberty</w:t>
            </w:r>
          </w:p>
        </w:tc>
        <w:tc>
          <w:tcPr>
            <w:tcW w:type="dxa" w:w="1036"/>
            <w:vAlign w:val="top"/>
          </w:tcPr>
          <w:p>
            <w:pPr>
              <w:spacing w:after="40" w:before="0" w:line="259" w:lineRule="auto"/>
            </w:pPr>
            <w:r>
              <w:rPr>
                <w:rFonts w:ascii="Calibri" w:hAnsi="Calibri"/>
                <w:b w:val="0"/>
                <w:i w:val="0"/>
                <w:color w:val="212121"/>
                <w:sz w:val="16"/>
              </w:rPr>
              <w:t>Chronic anaemia in moderate-severe HS can impair growth</w:t>
            </w:r>
          </w:p>
        </w:tc>
        <w:tc>
          <w:tcPr>
            <w:tcW w:type="dxa" w:w="1036"/>
            <w:vAlign w:val="top"/>
          </w:tcPr>
          <w:p>
            <w:pPr>
              <w:spacing w:after="40" w:before="0" w:line="259" w:lineRule="auto"/>
            </w:pPr>
            <w:r>
              <w:rPr>
                <w:rFonts w:ascii="Calibri" w:hAnsi="Calibri"/>
                <w:b w:val="0"/>
                <w:i w:val="0"/>
                <w:color w:val="212121"/>
                <w:sz w:val="16"/>
              </w:rPr>
              <w:t>Children &amp; adolescents with HS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An indication to consider splenectomy in severe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Cardiovascular assessment</w:t>
            </w:r>
          </w:p>
        </w:tc>
        <w:tc>
          <w:tcPr>
            <w:tcW w:type="dxa" w:w="979"/>
            <w:vAlign w:val="top"/>
          </w:tcPr>
          <w:p>
            <w:pPr>
              <w:spacing w:after="40" w:before="0" w:line="259" w:lineRule="auto"/>
            </w:pPr>
            <w:r>
              <w:rPr>
                <w:rFonts w:ascii="Calibri" w:hAnsi="Calibri"/>
                <w:b w:val="0"/>
                <w:i w:val="0"/>
                <w:color w:val="212121"/>
                <w:sz w:val="16"/>
              </w:rPr>
              <w:t>Heart rate, flow murmur, signs of decompensation</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Tachycardia, systolic flow murmur, heart failure in crisis</w:t>
            </w:r>
          </w:p>
        </w:tc>
        <w:tc>
          <w:tcPr>
            <w:tcW w:type="dxa" w:w="1036"/>
            <w:vAlign w:val="top"/>
          </w:tcPr>
          <w:p>
            <w:pPr>
              <w:spacing w:after="40" w:before="0" w:line="259" w:lineRule="auto"/>
            </w:pPr>
            <w:r>
              <w:rPr>
                <w:rFonts w:ascii="Calibri" w:hAnsi="Calibri"/>
                <w:b w:val="0"/>
                <w:i w:val="0"/>
                <w:color w:val="212121"/>
                <w:sz w:val="16"/>
              </w:rPr>
              <w:t>Severe anaemia (esp. aplastic crisis) can cause high-output failure</w:t>
            </w:r>
          </w:p>
        </w:tc>
        <w:tc>
          <w:tcPr>
            <w:tcW w:type="dxa" w:w="1036"/>
            <w:vAlign w:val="top"/>
          </w:tcPr>
          <w:p>
            <w:pPr>
              <w:spacing w:after="40" w:before="0" w:line="259" w:lineRule="auto"/>
            </w:pPr>
            <w:r>
              <w:rPr>
                <w:rFonts w:ascii="Calibri" w:hAnsi="Calibri"/>
                <w:b w:val="0"/>
                <w:i w:val="0"/>
                <w:color w:val="212121"/>
                <w:sz w:val="16"/>
              </w:rPr>
              <w:t>HS during crisis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Prompt transfusion may be needed in aplastic crisis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Fatigue and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chronic anaemia and reduced oxygen-carrying capacity.</w:t>
            </w:r>
          </w:p>
        </w:tc>
      </w:tr>
      <w:tr>
        <w:trPr>
          <w:cantSplit/>
        </w:trPr>
        <w:tc>
          <w:tcPr>
            <w:tcW w:type="dxa" w:w="2304"/>
            <w:vAlign w:val="top"/>
          </w:tcPr>
          <w:p>
            <w:pPr>
              <w:spacing w:after="40" w:before="0" w:line="259" w:lineRule="auto"/>
            </w:pPr>
            <w:r>
              <w:rPr>
                <w:rFonts w:ascii="Calibri" w:hAnsi="Calibri"/>
                <w:b/>
                <w:i w:val="0"/>
                <w:color w:val="212121"/>
                <w:sz w:val="19"/>
              </w:rPr>
              <w:t>Pallor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underlying haemolytic anaemia; worsens during crises.</w:t>
            </w:r>
          </w:p>
        </w:tc>
      </w:tr>
      <w:tr>
        <w:trPr>
          <w:cantSplit/>
        </w:trPr>
        <w:tc>
          <w:tcPr>
            <w:tcW w:type="dxa" w:w="2304"/>
            <w:vAlign w:val="top"/>
          </w:tcPr>
          <w:p>
            <w:pPr>
              <w:spacing w:after="40" w:before="0" w:line="259" w:lineRule="auto"/>
            </w:pPr>
            <w:r>
              <w:rPr>
                <w:rFonts w:ascii="Calibri" w:hAnsi="Calibri"/>
                <w:b/>
                <w:i w:val="0"/>
                <w:color w:val="212121"/>
                <w:sz w:val="19"/>
              </w:rPr>
              <w:t>Jaundice (yellow eyes/skin)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unconjugated hyperbilirubinaemia; often intermittent and worse with infection.</w:t>
            </w:r>
          </w:p>
        </w:tc>
      </w:tr>
      <w:tr>
        <w:trPr>
          <w:cantSplit/>
        </w:trPr>
        <w:tc>
          <w:tcPr>
            <w:tcW w:type="dxa" w:w="2304"/>
            <w:vAlign w:val="top"/>
          </w:tcPr>
          <w:p>
            <w:pPr>
              <w:spacing w:after="40" w:before="0" w:line="259" w:lineRule="auto"/>
            </w:pPr>
            <w:r>
              <w:rPr>
                <w:rFonts w:ascii="Calibri" w:hAnsi="Calibri"/>
                <w:b/>
                <w:i w:val="0"/>
                <w:color w:val="212121"/>
                <w:sz w:val="19"/>
              </w:rPr>
              <w:t>Dark / high-coloured urine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urinary urobilinogen during brisk haemolysis (not true haemoglobinuria).</w:t>
            </w:r>
          </w:p>
        </w:tc>
      </w:tr>
      <w:tr>
        <w:trPr>
          <w:cantSplit/>
        </w:trPr>
        <w:tc>
          <w:tcPr>
            <w:tcW w:type="dxa" w:w="2304"/>
            <w:vAlign w:val="top"/>
          </w:tcPr>
          <w:p>
            <w:pPr>
              <w:spacing w:after="40" w:before="0" w:line="259" w:lineRule="auto"/>
            </w:pPr>
            <w:r>
              <w:rPr>
                <w:rFonts w:ascii="Calibri" w:hAnsi="Calibri"/>
                <w:b/>
                <w:i w:val="0"/>
                <w:color w:val="212121"/>
                <w:sz w:val="19"/>
              </w:rPr>
              <w:t>Neonatal jaundice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first presentation; may be severe enough to need phototherapy or exchange transfusion.</w:t>
            </w:r>
          </w:p>
        </w:tc>
      </w:tr>
      <w:tr>
        <w:trPr>
          <w:cantSplit/>
        </w:trPr>
        <w:tc>
          <w:tcPr>
            <w:tcW w:type="dxa" w:w="2304"/>
            <w:vAlign w:val="top"/>
          </w:tcPr>
          <w:p>
            <w:pPr>
              <w:spacing w:after="40" w:before="0" w:line="259" w:lineRule="auto"/>
            </w:pPr>
            <w:r>
              <w:rPr>
                <w:rFonts w:ascii="Calibri" w:hAnsi="Calibri"/>
                <w:b/>
                <w:i w:val="0"/>
                <w:color w:val="212121"/>
                <w:sz w:val="19"/>
              </w:rPr>
              <w:t>Exertional breathlessness / 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Anaemia-related; pronounced during haemolytic or aplastic crises.</w:t>
            </w:r>
          </w:p>
        </w:tc>
      </w:tr>
      <w:tr>
        <w:trPr>
          <w:cantSplit/>
        </w:trPr>
        <w:tc>
          <w:tcPr>
            <w:tcW w:type="dxa" w:w="2304"/>
            <w:vAlign w:val="top"/>
          </w:tcPr>
          <w:p>
            <w:pPr>
              <w:spacing w:after="40" w:before="0" w:line="259" w:lineRule="auto"/>
            </w:pPr>
            <w:r>
              <w:rPr>
                <w:rFonts w:ascii="Calibri" w:hAnsi="Calibri"/>
                <w:b/>
                <w:i w:val="0"/>
                <w:color w:val="212121"/>
                <w:sz w:val="19"/>
              </w:rPr>
              <w:t>Left-upper-quadrant fullness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splenomegaly and splenic sequestration.</w:t>
            </w:r>
          </w:p>
        </w:tc>
      </w:tr>
      <w:tr>
        <w:trPr>
          <w:cantSplit/>
        </w:trPr>
        <w:tc>
          <w:tcPr>
            <w:tcW w:type="dxa" w:w="2304"/>
            <w:vAlign w:val="top"/>
          </w:tcPr>
          <w:p>
            <w:pPr>
              <w:spacing w:after="40" w:before="0" w:line="259" w:lineRule="auto"/>
            </w:pPr>
            <w:r>
              <w:rPr>
                <w:rFonts w:ascii="Calibri" w:hAnsi="Calibri"/>
                <w:b/>
                <w:i w:val="0"/>
                <w:color w:val="212121"/>
                <w:sz w:val="19"/>
              </w:rPr>
              <w:t>Right-upper-quadrant / biliary colic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Pigment gallstones causing cholelithiasis or cholecystitis.</w:t>
            </w:r>
          </w:p>
        </w:tc>
      </w:tr>
      <w:tr>
        <w:trPr>
          <w:cantSplit/>
        </w:trPr>
        <w:tc>
          <w:tcPr>
            <w:tcW w:type="dxa" w:w="2304"/>
            <w:vAlign w:val="top"/>
          </w:tcPr>
          <w:p>
            <w:pPr>
              <w:spacing w:after="40" w:before="0" w:line="259" w:lineRule="auto"/>
            </w:pPr>
            <w:r>
              <w:rPr>
                <w:rFonts w:ascii="Calibri" w:hAnsi="Calibri"/>
                <w:b/>
                <w:i w:val="0"/>
                <w:color w:val="212121"/>
                <w:sz w:val="19"/>
              </w:rPr>
              <w:t>Abrupt severe pallor and collapse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Aplastic crisis (parvovirus B19) with a rapid fall in haemoglobin.</w:t>
            </w:r>
          </w:p>
        </w:tc>
      </w:tr>
      <w:tr>
        <w:trPr>
          <w:cantSplit/>
        </w:trPr>
        <w:tc>
          <w:tcPr>
            <w:tcW w:type="dxa" w:w="2304"/>
            <w:vAlign w:val="top"/>
          </w:tcPr>
          <w:p>
            <w:pPr>
              <w:spacing w:after="40" w:before="0" w:line="259" w:lineRule="auto"/>
            </w:pPr>
            <w:r>
              <w:rPr>
                <w:rFonts w:ascii="Calibri" w:hAnsi="Calibri"/>
                <w:b/>
                <w:i w:val="0"/>
                <w:color w:val="212121"/>
                <w:sz w:val="19"/>
              </w:rPr>
              <w:t>Delayed growth or puberty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Seen in children with untreated moderate-to-severe HS.</w:t>
            </w:r>
          </w:p>
        </w:tc>
      </w:tr>
      <w:tr>
        <w:trPr>
          <w:cantSplit/>
        </w:trPr>
        <w:tc>
          <w:tcPr>
            <w:tcW w:type="dxa" w:w="2304"/>
            <w:vAlign w:val="top"/>
          </w:tcPr>
          <w:p>
            <w:pPr>
              <w:spacing w:after="40" w:before="0" w:line="259" w:lineRule="auto"/>
            </w:pPr>
            <w:r>
              <w:rPr>
                <w:rFonts w:ascii="Calibri" w:hAnsi="Calibri"/>
                <w:b/>
                <w:i w:val="0"/>
                <w:color w:val="212121"/>
                <w:sz w:val="19"/>
              </w:rPr>
              <w:t>Chronic leg ulcers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uncommon complication of longstanding severe haemolytic anaemia.</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Pallor of conjunctivae and palms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Clinical marker of anaemia; degree tracks severity band.</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Unconjugated hyperbilirubinaemia from ongoing haemolysis.</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sometimes massive; present in about 54% of an Indian HS cohort.</w:t>
            </w:r>
          </w:p>
        </w:tc>
      </w:tr>
      <w:tr>
        <w:trPr>
          <w:cantSplit/>
        </w:trPr>
        <w:tc>
          <w:tcPr>
            <w:tcW w:type="dxa" w:w="3456"/>
            <w:vAlign w:val="top"/>
          </w:tcPr>
          <w:p>
            <w:pPr>
              <w:spacing w:after="40" w:before="0" w:line="259" w:lineRule="auto"/>
            </w:pPr>
            <w:r>
              <w:rPr>
                <w:rFonts w:ascii="Calibri" w:hAnsi="Calibri"/>
                <w:b/>
                <w:i w:val="0"/>
                <w:color w:val="212121"/>
                <w:sz w:val="19"/>
              </w:rPr>
              <w:t>Tachycardia and systolic flow murmur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Hyperdynamic circulation of chronic/acute anaemia.</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accompany splenomegaly, especially in severe disease.</w:t>
            </w:r>
          </w:p>
        </w:tc>
      </w:tr>
      <w:tr>
        <w:trPr>
          <w:cantSplit/>
        </w:trPr>
        <w:tc>
          <w:tcPr>
            <w:tcW w:type="dxa" w:w="3456"/>
            <w:vAlign w:val="top"/>
          </w:tcPr>
          <w:p>
            <w:pPr>
              <w:spacing w:after="40" w:before="0" w:line="259" w:lineRule="auto"/>
            </w:pPr>
            <w:r>
              <w:rPr>
                <w:rFonts w:ascii="Calibri" w:hAnsi="Calibri"/>
                <w:b/>
                <w:i w:val="0"/>
                <w:color w:val="212121"/>
                <w:sz w:val="19"/>
              </w:rPr>
              <w:t>Right-upper-quadrant tenderness / positive Murphy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cholecystitis from pigment gallstones.</w:t>
            </w:r>
          </w:p>
        </w:tc>
      </w:tr>
      <w:tr>
        <w:trPr>
          <w:cantSplit/>
        </w:trPr>
        <w:tc>
          <w:tcPr>
            <w:tcW w:type="dxa" w:w="3456"/>
            <w:vAlign w:val="top"/>
          </w:tcPr>
          <w:p>
            <w:pPr>
              <w:spacing w:after="40" w:before="0" w:line="259" w:lineRule="auto"/>
            </w:pPr>
            <w:r>
              <w:rPr>
                <w:rFonts w:ascii="Calibri" w:hAnsi="Calibri"/>
                <w:b/>
                <w:i w:val="0"/>
                <w:color w:val="212121"/>
                <w:sz w:val="19"/>
              </w:rPr>
              <w:t>Growth retardation / delayed puberty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Consequence of chronic anaemia in children with moderate-severe HS.</w:t>
            </w:r>
          </w:p>
        </w:tc>
      </w:tr>
      <w:tr>
        <w:trPr>
          <w:cantSplit/>
        </w:trPr>
        <w:tc>
          <w:tcPr>
            <w:tcW w:type="dxa" w:w="3456"/>
            <w:vAlign w:val="top"/>
          </w:tcPr>
          <w:p>
            <w:pPr>
              <w:spacing w:after="40" w:before="0" w:line="259" w:lineRule="auto"/>
            </w:pPr>
            <w:r>
              <w:rPr>
                <w:rFonts w:ascii="Calibri" w:hAnsi="Calibri"/>
                <w:b/>
                <w:i w:val="0"/>
                <w:color w:val="212121"/>
                <w:sz w:val="19"/>
              </w:rPr>
              <w:t>Frontal bossing / expanded marrow changes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Skeletal changes from marrow hyperplasia in severe untreated disease.</w:t>
            </w:r>
          </w:p>
        </w:tc>
      </w:tr>
      <w:tr>
        <w:trPr>
          <w:cantSplit/>
        </w:trPr>
        <w:tc>
          <w:tcPr>
            <w:tcW w:type="dxa" w:w="3456"/>
            <w:vAlign w:val="top"/>
          </w:tcPr>
          <w:p>
            <w:pPr>
              <w:spacing w:after="40" w:before="0" w:line="259" w:lineRule="auto"/>
            </w:pPr>
            <w:r>
              <w:rPr>
                <w:rFonts w:ascii="Calibri" w:hAnsi="Calibri"/>
                <w:b/>
                <w:i w:val="0"/>
                <w:color w:val="212121"/>
                <w:sz w:val="19"/>
              </w:rPr>
              <w:t>Chronic malleolar leg ulcers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Rare cutaneous complication of severe chronic haemolysis.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extravascular haemolytic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Unconjugated (indirect) hyperbilirubinaemia and jaundice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Splenomegaly with splenic sequestration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Haemolytic crises (often infection-triggered)</w:t>
            </w:r>
          </w:p>
        </w:tc>
        <w:tc>
          <w:tcPr>
            <w:tcW w:type="dxa" w:w="2980"/>
            <w:vAlign w:val="top"/>
          </w:tcPr>
          <w:p>
            <w:pPr>
              <w:spacing w:after="40" w:before="0" w:line="259" w:lineRule="auto"/>
            </w:pPr>
            <w:r>
              <w:rPr>
                <w:rFonts w:ascii="Calibri" w:hAnsi="Calibri"/>
                <w:b w:val="0"/>
                <w:i w:val="0"/>
                <w:color w:val="212121"/>
                <w:sz w:val="19"/>
              </w:rPr>
              <w:t>Direct consequences of splenic destruction of spherocytes and ongoing haemolysis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Pigment (black) gallstones - cholelithiasis and cholecystitis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Aplastic crisis (parvovirus B19) with abrupt severe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Megaloblastic crisis from folate depletion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hyperbilirubinaemia (risk of kernicterus)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Iron overload (transfusion- and/or HFE-related)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Growth faltering and delayed puberty in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leg ulcers and, rarely, extramedullary haematopoiesis</w:t>
            </w:r>
          </w:p>
        </w:tc>
        <w:tc>
          <w:tcPr>
            <w:tcW w:type="dxa" w:w="2980"/>
            <w:vAlign w:val="top"/>
          </w:tcPr>
          <w:p>
            <w:pPr>
              <w:spacing w:after="40" w:before="0" w:line="259" w:lineRule="auto"/>
            </w:pPr>
            <w:r>
              <w:rPr>
                <w:rFonts w:ascii="Calibri" w:hAnsi="Calibri"/>
                <w:b w:val="0"/>
                <w:i w:val="0"/>
                <w:color w:val="212121"/>
                <w:sz w:val="19"/>
              </w:rPr>
              <w:t>Result from sustained haemolysis, bilirubin load, marrow stress and acute triggers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Overwhelming post-splenectomy infection (OPSI) by encapsulated organisms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Post-splenectomy venous thrombosis, pulmonary thrombo-embolism and 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Obstructive jaundice, ascending cholangitis or gallstone pancreatitis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Kernicterus / bilirubin encephalopathy in severe neonatal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End-organ damage from iron overload (hepatic, cardiac, endocrine)</w:t>
            </w:r>
          </w:p>
        </w:tc>
        <w:tc>
          <w:tcPr>
            <w:tcW w:type="dxa" w:w="2980"/>
            <w:vAlign w:val="top"/>
          </w:tcPr>
          <w:p>
            <w:pPr>
              <w:spacing w:after="40" w:before="0" w:line="259" w:lineRule="auto"/>
            </w:pPr>
            <w:r>
              <w:rPr>
                <w:rFonts w:ascii="Calibri" w:hAnsi="Calibri"/>
                <w:b w:val="0"/>
                <w:i w:val="0"/>
                <w:color w:val="212121"/>
                <w:sz w:val="19"/>
              </w:rPr>
              <w:t>Irreversible or life-threatening outcomes of longstanding disease and of its treatment (splenectomy)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Pigment gallstones (cholelithiasis)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unconjugated bilirubin load forms black pigment stones; a leading cause of surgery in HS and a common presenting problem.</w:t>
            </w:r>
          </w:p>
          <w:p>
            <w:pPr>
              <w:spacing w:after="40" w:before="0" w:line="259" w:lineRule="auto"/>
            </w:pPr>
            <w:r>
              <w:rPr>
                <w:rFonts w:ascii="Calibri" w:hAnsi="Calibri"/>
                <w:b/>
                <w:i w:val="0"/>
                <w:color w:val="212121"/>
                <w:sz w:val="19"/>
              </w:rPr>
              <w:t>Up to 42% (India)</w:t>
            </w:r>
          </w:p>
        </w:tc>
      </w:tr>
      <w:tr>
        <w:trPr>
          <w:cantSplit/>
        </w:trPr>
        <w:tc>
          <w:tcPr>
            <w:tcW w:type="dxa" w:w="2232"/>
            <w:vAlign w:val="top"/>
          </w:tcPr>
          <w:p>
            <w:pPr>
              <w:spacing w:after="40" w:before="0" w:line="259" w:lineRule="auto"/>
            </w:pPr>
            <w:r>
              <w:rPr>
                <w:rFonts w:ascii="Calibri" w:hAnsi="Calibri"/>
                <w:b/>
                <w:i w:val="0"/>
                <w:color w:val="212121"/>
                <w:sz w:val="19"/>
              </w:rPr>
              <w:t>Gilbert syndrome (UGT1A1)</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Co-inherited reduced bilirubin conjugation markedly amplifies jaundice and gallstone risk in HS.</w:t>
            </w:r>
          </w:p>
          <w:p>
            <w:pPr>
              <w:spacing w:after="40" w:before="0" w:line="259" w:lineRule="auto"/>
            </w:pPr>
            <w:r>
              <w:rPr>
                <w:rFonts w:ascii="Calibri" w:hAnsi="Calibri"/>
                <w:b/>
                <w:i w:val="0"/>
                <w:color w:val="212121"/>
                <w:sz w:val="19"/>
              </w:rPr>
              <w:t>Homozygous ~28% of an Indian cohort</w:t>
            </w:r>
          </w:p>
        </w:tc>
      </w:tr>
      <w:tr>
        <w:trPr>
          <w:cantSplit/>
        </w:trPr>
        <w:tc>
          <w:tcPr>
            <w:tcW w:type="dxa" w:w="2232"/>
            <w:vAlign w:val="top"/>
          </w:tcPr>
          <w:p>
            <w:pPr>
              <w:spacing w:after="40" w:before="0" w:line="259" w:lineRule="auto"/>
            </w:pPr>
            <w:r>
              <w:rPr>
                <w:rFonts w:ascii="Calibri" w:hAnsi="Calibri"/>
                <w:b/>
                <w:i w:val="0"/>
                <w:color w:val="212121"/>
                <w:sz w:val="19"/>
              </w:rPr>
              <w:t>Aplastic crisis (parvovirus B19)</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Transient arrest of erythropoiesis causes a rapid, potentially life-threatening fall in haemoglobin.</w:t>
            </w:r>
          </w:p>
        </w:tc>
      </w:tr>
      <w:tr>
        <w:trPr>
          <w:cantSplit/>
        </w:trPr>
        <w:tc>
          <w:tcPr>
            <w:tcW w:type="dxa" w:w="2232"/>
            <w:vAlign w:val="top"/>
          </w:tcPr>
          <w:p>
            <w:pPr>
              <w:spacing w:after="40" w:before="0" w:line="259" w:lineRule="auto"/>
            </w:pPr>
            <w:r>
              <w:rPr>
                <w:rFonts w:ascii="Calibri" w:hAnsi="Calibri"/>
                <w:b/>
                <w:i w:val="0"/>
                <w:color w:val="212121"/>
                <w:sz w:val="19"/>
              </w:rPr>
              <w:t>Megaloblastic crisis / folate deficiency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 folate turnover from haemolysis precipitates megaloblastic anaemia unless folate is supplemented.</w:t>
            </w:r>
          </w:p>
        </w:tc>
      </w:tr>
      <w:tr>
        <w:trPr>
          <w:cantSplit/>
        </w:trPr>
        <w:tc>
          <w:tcPr>
            <w:tcW w:type="dxa" w:w="2232"/>
            <w:vAlign w:val="top"/>
          </w:tcPr>
          <w:p>
            <w:pPr>
              <w:spacing w:after="40" w:before="0" w:line="259" w:lineRule="auto"/>
            </w:pPr>
            <w:r>
              <w:rPr>
                <w:rFonts w:ascii="Calibri" w:hAnsi="Calibri"/>
                <w:b/>
                <w:i w:val="0"/>
                <w:color w:val="212121"/>
                <w:sz w:val="19"/>
              </w:rPr>
              <w:t>Neonatal hyperbilirubinaemia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Early severe jaundice risking kernicterus; often the first manifestation of HS.</w:t>
            </w:r>
          </w:p>
        </w:tc>
      </w:tr>
      <w:tr>
        <w:trPr>
          <w:cantSplit/>
        </w:trPr>
        <w:tc>
          <w:tcPr>
            <w:tcW w:type="dxa" w:w="2232"/>
            <w:vAlign w:val="top"/>
          </w:tcPr>
          <w:p>
            <w:pPr>
              <w:spacing w:after="40" w:before="0" w:line="259" w:lineRule="auto"/>
            </w:pPr>
            <w:r>
              <w:rPr>
                <w:rFonts w:ascii="Calibri" w:hAnsi="Calibri"/>
                <w:b/>
                <w:i w:val="0"/>
                <w:color w:val="212121"/>
                <w:sz w:val="19"/>
              </w:rPr>
              <w:t>Iron overload / secondary haemochromatosis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From transfusion and/or co-inherited HFE mutations, threatening liver, heart and endocrine organs.</w:t>
            </w:r>
          </w:p>
        </w:tc>
      </w:tr>
      <w:tr>
        <w:trPr>
          <w:cantSplit/>
        </w:trPr>
        <w:tc>
          <w:tcPr>
            <w:tcW w:type="dxa" w:w="2232"/>
            <w:vAlign w:val="top"/>
          </w:tcPr>
          <w:p>
            <w:pPr>
              <w:spacing w:after="40" w:before="0" w:line="259" w:lineRule="auto"/>
            </w:pPr>
            <w:r>
              <w:rPr>
                <w:rFonts w:ascii="Calibri" w:hAnsi="Calibri"/>
                <w:b/>
                <w:i w:val="0"/>
                <w:color w:val="212121"/>
                <w:sz w:val="19"/>
              </w:rPr>
              <w:t>Cholecystitis / biliary tract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Complication of pigment gallstones - colic, cholecystitis, cholangitis or gallstone pancreatitis.</w:t>
            </w:r>
          </w:p>
        </w:tc>
      </w:tr>
      <w:tr>
        <w:trPr>
          <w:cantSplit/>
        </w:trPr>
        <w:tc>
          <w:tcPr>
            <w:tcW w:type="dxa" w:w="2232"/>
            <w:vAlign w:val="top"/>
          </w:tcPr>
          <w:p>
            <w:pPr>
              <w:spacing w:after="40" w:before="0" w:line="259" w:lineRule="auto"/>
            </w:pPr>
            <w:r>
              <w:rPr>
                <w:rFonts w:ascii="Calibri" w:hAnsi="Calibri"/>
                <w:b/>
                <w:i w:val="0"/>
                <w:color w:val="212121"/>
                <w:sz w:val="19"/>
              </w:rPr>
              <w:t>Overwhelming post-splenectomy infection (OPSI)</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Lifelong risk of fulminant sepsis by encapsulated bacteria after therapeutic splenectomy.</w:t>
            </w:r>
          </w:p>
        </w:tc>
      </w:tr>
      <w:tr>
        <w:trPr>
          <w:cantSplit/>
        </w:trPr>
        <w:tc>
          <w:tcPr>
            <w:tcW w:type="dxa" w:w="2232"/>
            <w:vAlign w:val="top"/>
          </w:tcPr>
          <w:p>
            <w:pPr>
              <w:spacing w:after="40" w:before="0" w:line="259" w:lineRule="auto"/>
            </w:pPr>
            <w:r>
              <w:rPr>
                <w:rFonts w:ascii="Calibri" w:hAnsi="Calibri"/>
                <w:b/>
                <w:i w:val="0"/>
                <w:color w:val="212121"/>
                <w:sz w:val="19"/>
              </w:rPr>
              <w:t>Post-splenectomy thrombosis / pulmonary hypertension</w:t>
            </w:r>
          </w:p>
        </w:tc>
        <w:tc>
          <w:tcPr>
            <w:tcW w:type="dxa" w:w="2520"/>
            <w:vAlign w:val="top"/>
          </w:tcPr>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Splenectomy raises venous thrombo-embolic risk and can contribute to pulmonary hypertension.</w:t>
            </w:r>
          </w:p>
        </w:tc>
      </w:tr>
      <w:tr>
        <w:trPr>
          <w:cantSplit/>
        </w:trPr>
        <w:tc>
          <w:tcPr>
            <w:tcW w:type="dxa" w:w="2232"/>
            <w:vAlign w:val="top"/>
          </w:tcPr>
          <w:p>
            <w:pPr>
              <w:spacing w:after="40" w:before="0" w:line="259" w:lineRule="auto"/>
            </w:pPr>
            <w:r>
              <w:rPr>
                <w:rFonts w:ascii="Calibri" w:hAnsi="Calibri"/>
                <w:b/>
                <w:i w:val="0"/>
                <w:color w:val="212121"/>
                <w:sz w:val="19"/>
              </w:rPr>
              <w:t>Autoimmune haemolytic anaemia (AIHA)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Principal diagnostic mimic - also causes spherocytes; a Coombs test is essential to distinguish it from HS.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HS as a lifelong inherited condition and recognise the warning signs of a crisis: rapidly worsening pallor, breathlessness, deepening jaundice or dark urine after an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genetic counselling and screen first-degree relatives (CBC, blood film, MCHC, EMA binding); mild HS is easily missed.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pneumococcal, meningococcal and Haemophilus influenzae type b vaccination and arrange stand-by antibiotics BEFORE any planned splenectomy.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unprescribed iron supplements, and inform every treating doctor of the diagnosis and any splenectomy (asplenia alert card).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Arrange periodic biliary ultrasound from around age 5 to detect gallstones early.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HS 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affected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planned for splenectomy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Relatives of index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folic acid supplementation in moderate-to-severe HS and during pregnancy to prevent megaloblastic crises.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folate-rich diet (green leafy vegetables, pulses, legumes, citrus) to match the high demand of chronic haemolysis.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unnecessary iron and monitor serum ferritin, especially if transfused or if hereditary haemochromatosis is suspected.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hydration during febrile illnesses and haemolytic episodes.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Moderate-severe 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Transfusion-dependent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physically active as tolerated; regular anaemia does not preclude routine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contact and collision sports while the spleen is significantly enlarged, because of the risk of splenic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activity and rest during haemolytic or aplastic crises when haemoglobin is low.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 patients with splenomegaly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a crisis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Prioritise adequate rest during intercurrent infections and acute crises when anaemia is symptomatic.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medical review promptly rather than 'sleeping off' escalating pallor or breathlessness.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HS patients during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 of affected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smoke; smoking adds vascular and thrombotic risk that compounds the post-splenectomy thrombo-embolic tendency.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increases respiratory infections that can trigger crises.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and adult HS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Splenectomised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which worsens folate deficiency and can aggravate the anaemia.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alcohol to protect the liver and reduce gallstone-related and hepatobiliary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HS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gallstones or iron overload</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psychosocial support for the burden of a chronic, visible (jaundice) illness with repeated hospital visits.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children and adolescents around body image, growth concerns and coping with transfusions or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patient support resources and school liaison for affected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adolescents with 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severe/transfusion-dependent 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39797/" TargetMode="External"/><Relationship Id="rId10" Type="http://schemas.openxmlformats.org/officeDocument/2006/relationships/hyperlink" Target="https://www.cureus.com/articles/375176-confounding-factors-in-the-diagnosis-of-hereditary-spherocytosis-and-gallstone-formation-in-related-hemolytic-disorders-from-a-tertiary-care-center-in-north-india" TargetMode="External"/><Relationship Id="rId11" Type="http://schemas.openxmlformats.org/officeDocument/2006/relationships/hyperlink" Target="https://pmc.ncbi.nlm.nih.gov/articles/PMC5535365/" TargetMode="External"/><Relationship Id="rId12" Type="http://schemas.openxmlformats.org/officeDocument/2006/relationships/hyperlink" Target="https://emedicine.medscape.com/article/206107-overview" TargetMode="External"/><Relationship Id="rId13" Type="http://schemas.openxmlformats.org/officeDocument/2006/relationships/hyperlink" Target="https://www.gloshospitals.nhs.uk/media/documents/BCSH_Guidelines_for_Hereditary_Spherocytosis.pdf" TargetMode="External"/><Relationship Id="rId14" Type="http://schemas.openxmlformats.org/officeDocument/2006/relationships/hyperlink" Target="https://pmc.ncbi.nlm.nih.gov/articles/PMC11298700/" TargetMode="External"/><Relationship Id="rId15" Type="http://schemas.openxmlformats.org/officeDocument/2006/relationships/hyperlink" Target="https://www.journalmc.org/index.php/JMC/article/view/4/5" TargetMode="External"/><Relationship Id="rId16" Type="http://schemas.openxmlformats.org/officeDocument/2006/relationships/hyperlink" Target="https://www.merckmanuals.com/professional/hematology-and-oncology/anemias-caused-by-hemolysis/hereditary-spherocytosis-and-hereditary-elliptocyt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