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Hepatitis A / B / C / D / E</w:t>
      </w:r>
    </w:p>
    <w:p>
      <w:pPr>
        <w:spacing w:before="0" w:after="160"/>
      </w:pPr>
      <w:r>
        <w:rPr>
          <w:rFonts w:ascii="Calibri" w:hAnsi="Calibri"/>
          <w:b/>
          <w:i w:val="0"/>
          <w:color w:val="212121"/>
          <w:sz w:val="22"/>
        </w:rPr>
        <w:t xml:space="preserve">AKA </w:t>
      </w:r>
      <w:r>
        <w:rPr>
          <w:rFonts w:ascii="Calibri" w:hAnsi="Calibri"/>
          <w:b w:val="0"/>
          <w:i w:val="0"/>
          <w:color w:val="212121"/>
          <w:sz w:val="22"/>
        </w:rPr>
        <w:t>i.e., Viral hepatitis (A/B/C/D/E), Infectious jaundice, Epidemic jaundice (HAV/HEV), Serum hepatitis (HBV), 'Piliya' / 'Kamala' (jaundice)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Viral hepatitis is inflammation of the liver caused by five distinct hepatotropic viruses - hepatitis A (HAV), B (HBV), C (HCV), D (HDV) and E (HEV). HAV and HEV spread enterically (feco-oral, chiefly through contaminated water and food) and usually cause acute, self-limiting illness, though HEV is dangerous in pregnancy. HBV, HCV and HDV are blood-borne, sexually and perinatally transmitted, can persist as chronic infection, and are the leading viral causes of cirrhosis and hepatocellular carcinoma. HDV is a defective virus that infects only people who already carry hepatitis B.</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world's largest viral-hepatitis burdens. An estimated 3.5 crore (35 million) Indians were living with viral hepatitis in 2022 - about 11.6% of the global total and second only to China. Roughly 2.98 crore (29.8 million) have chronic hepatitis B and about 55 lakh (5.5 million) chronic hepatitis C, together causing over 1.2 lakh (~124,000) deaths a year, yet only about 2.4% of those infected are ever diagnosed. Hepatitis A and E remain hyperendemic and are the commonest causes of acute viral hepatitis and acute liver failure across the country.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Viral hepatitis is confirmed by virus-specific serology and nucleic-acid testing, supported by liver-function tests. The typing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Hepatitis A: detection of anti-HAV IgM antibodies in serum (acute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Hepatitis E: detection of anti-HEV IgM antibodies, with HEV RNA in early or severe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Hepatitis B: HBsAg positive - anti-HBc IgM indicates acute infection, while HBsAg persisting beyond 6 months defines chronic infection; HBeAg and HBV DNA quantify viral replication;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Hepatitis C: reactive anti-HCV antibody confirmed by detectable HCV RNA (active infection), with genotype to guide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Hepatitis D: anti-HDV antibody and/or HDV RNA in an HBsAg-positive person (coinfection or superinfection);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biochemistry: markedly raised ALT/AST (often &gt;10x the upper limit in acute disease), raised conjugated bilirubin, and a prolonged prothrombin time/INR signalling severe or fulminant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Viral hepatitis is classified by the causative virus and by whether the infection is acute or chronic:</w:t>
      </w:r>
    </w:p>
    <w:p>
      <w:pPr>
        <w:spacing w:before="0" w:after="80"/>
      </w:pPr>
      <w:r>
        <w:rPr>
          <w:rFonts w:ascii="Calibri" w:hAnsi="Calibri"/>
          <w:b w:val="0"/>
          <w:i w:val="0"/>
          <w:color w:val="212121"/>
          <w:sz w:val="21"/>
        </w:rPr>
        <w:t>(1) Hepatitis A (HAV, an RNA picornavirus) - enterically transmitted by the feco-oral route; causes acute, self-limiting hepatitis with no chronic carrier state; vaccine-preventable;</w:t>
      </w:r>
    </w:p>
    <w:p>
      <w:pPr>
        <w:spacing w:before="0" w:after="80"/>
      </w:pPr>
      <w:r>
        <w:rPr>
          <w:rFonts w:ascii="Calibri" w:hAnsi="Calibri"/>
          <w:b w:val="0"/>
          <w:i w:val="0"/>
          <w:color w:val="212121"/>
          <w:sz w:val="21"/>
        </w:rPr>
        <w:t>(2) Hepatitis B (HBV, a DNA hepadnavirus) - transmitted perinatally, by unsafe injections/blood and sexually; may be acute or become chronic, and is a major cause of cirrhosis and liver cancer; vaccine-preventable;</w:t>
      </w:r>
    </w:p>
    <w:p>
      <w:pPr>
        <w:spacing w:before="0" w:after="80"/>
      </w:pPr>
      <w:r>
        <w:rPr>
          <w:rFonts w:ascii="Calibri" w:hAnsi="Calibri"/>
          <w:b w:val="0"/>
          <w:i w:val="0"/>
          <w:color w:val="212121"/>
          <w:sz w:val="21"/>
        </w:rPr>
        <w:t>(3) Hepatitis C (HCV, an RNA flavivirus) - blood-borne (unsafe injections, transfusion, injecting drug use, tattoos); becomes chronic in a majority of cases but is now curable with direct-acting antivirals; no vaccine yet;</w:t>
      </w:r>
    </w:p>
    <w:p>
      <w:pPr>
        <w:spacing w:before="0" w:after="80"/>
      </w:pPr>
      <w:r>
        <w:rPr>
          <w:rFonts w:ascii="Calibri" w:hAnsi="Calibri"/>
          <w:b w:val="0"/>
          <w:i w:val="0"/>
          <w:color w:val="212121"/>
          <w:sz w:val="21"/>
        </w:rPr>
        <w:t>(4) Hepatitis D (HDV, a defective RNA virus) - replicates only in the presence of HBV, as coinfection (simultaneous with HBV) or superinfection (on established chronic HBV); causes the most rapid, severe liver disease;</w:t>
      </w:r>
    </w:p>
    <w:p>
      <w:pPr>
        <w:spacing w:before="0" w:after="80"/>
      </w:pPr>
      <w:r>
        <w:rPr>
          <w:rFonts w:ascii="Calibri" w:hAnsi="Calibri"/>
          <w:b w:val="0"/>
          <w:i w:val="0"/>
          <w:color w:val="212121"/>
          <w:sz w:val="21"/>
        </w:rPr>
        <w:t>(5) Hepatitis E (HEV, an RNA hepevirus) - waterborne (genotype 1 predominates in India), causing acute hepatitis and large monsoon-related outbreaks; unusually severe in pregnancy and chronic in the immunosuppressed (genotype 3).</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Hepatitis A virus (HAV): acquired feco-orally through water and food contaminated with human sewage; poor sanitation and unsafe drinking water are the key drivers.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Hepatitis E virus (HEV): waterborne genotype 1 transmitted by faecally contaminated drinking water, especially during floods and the monsoon; zoonotic genotype 3/4 from undercooked meat.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Hepatitis B virus (HBV): transmitted from mother to child at birth (perinatal), horizontally in early childhood, through unsafe injections, unscreened blood, and unprotected sex.</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Hepatitis C virus (HCV): blood-borne - unsafe/therapeutic injections, transfusion of unscreened blood, injecting drug use, tattooing/piercing and haemodialysis.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Hepatitis D virus (HDV): parenterally transmitted but restricted to people already carrying HBsAg, as coinfection or superinfection.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behavioural factors: inadequate sanitation and safe-water access, unsafe healthcare injections, injecting drug use, low hepatitis-B vaccination coverage, pregnancy (severe HEV) and immunosuppression.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(under 15 years)</w:t>
            </w:r>
          </w:p>
        </w:tc>
        <w:tc>
          <w:tcPr>
            <w:tcW w:type="dxa" w:w="4276"/>
            <w:vAlign w:val="top"/>
          </w:tcPr>
          <w:p>
            <w:pPr>
              <w:spacing w:after="60" w:line="259" w:lineRule="auto"/>
            </w:pPr>
            <w:r>
              <w:rPr>
                <w:rFonts w:ascii="Calibri" w:hAnsi="Calibri"/>
                <w:b w:val="0"/>
                <w:i w:val="0"/>
                <w:color w:val="212121"/>
                <w:sz w:val="19"/>
              </w:rPr>
              <w:t>In most of India children are exposed early to HAV and HEV through contaminated water and food and, historically, acquire lifelong immunity to HAV in childhood. They remain the group with the highest force of enteric hepatitis transmission.</w:t>
            </w:r>
          </w:p>
          <w:p>
            <w:pPr>
              <w:spacing w:after="40" w:before="60" w:line="259" w:lineRule="auto"/>
            </w:pPr>
            <w:r>
              <w:rPr>
                <w:rFonts w:ascii="Calibri" w:hAnsi="Calibri"/>
                <w:b w:val="0"/>
                <w:i w:val="0"/>
                <w:color w:val="212121"/>
                <w:sz w:val="19"/>
              </w:rPr>
              <w:t>In a multicentric Indian study of healthy volunteers, anti-HAV seroprevalence reached 92.68% and anti-HEV 17.05%, reflecting near-universal childhood exposure to HAV in endemic settings.</w:t>
            </w:r>
          </w:p>
          <w:p>
            <w:pPr>
              <w:spacing w:after="40" w:line="252" w:lineRule="auto"/>
            </w:pPr>
            <w:hyperlink r:id="rId9">
              <w:r>
                <w:rPr>
                  <w:rFonts w:ascii="Calibri" w:hAnsi="Calibri" w:cs="Calibri"/>
                  <w:sz w:val="18"/>
                  <w:color w:val="1155CC"/>
                  <w:u w:val="single"/>
                </w:rPr>
                <w:t xml:space="preserve">ijmr.org.in - waterborne &amp; foodborne viral hepatitis (public health perspective)</w:t>
              </w:r>
            </w:hyperlink>
          </w:p>
          <w:p>
            <w:pPr>
              <w:spacing w:before="60" w:after="40"/>
            </w:pPr>
            <w:r>
              <w:rPr>
                <w:rFonts w:ascii="Calibri" w:hAnsi="Calibri"/>
                <w:b w:val="0"/>
                <w:i w:val="0"/>
                <w:color w:val="5A5A5A"/>
                <w:sz w:val="18"/>
              </w:rPr>
              <w:t>#hepatitisA  #hepatitisE  #fecaloral  #childhoodexposure  #unsafewater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Improving urban sanitation paradoxically delays first HAV exposure, so a growing pool of adolescents and young adults reach adulthood non-immune. First infection at an older age is far more likely to be symptomatic, prolonged and complicated by acute liver failure.</w:t>
            </w:r>
          </w:p>
          <w:p>
            <w:pPr>
              <w:spacing w:after="40" w:before="60" w:line="259" w:lineRule="auto"/>
            </w:pPr>
            <w:r>
              <w:rPr>
                <w:rFonts w:ascii="Calibri" w:hAnsi="Calibri"/>
                <w:b w:val="0"/>
                <w:i w:val="0"/>
                <w:color w:val="212121"/>
                <w:sz w:val="19"/>
              </w:rPr>
              <w:t>Among socioeconomically developed Indian populations HAV seroprevalence stays low until age 15 and reaches only about 40% in young adults, leaving many susceptible to severe symptomatic disease.</w:t>
            </w:r>
          </w:p>
          <w:p>
            <w:pPr>
              <w:spacing w:after="40" w:line="252" w:lineRule="auto"/>
            </w:pPr>
            <w:hyperlink r:id="rId9">
              <w:r>
                <w:rPr>
                  <w:rFonts w:ascii="Calibri" w:hAnsi="Calibri" w:cs="Calibri"/>
                  <w:sz w:val="18"/>
                  <w:color w:val="1155CC"/>
                  <w:u w:val="single"/>
                </w:rPr>
                <w:t xml:space="preserve">ijmr.org.in - waterborne &amp; foodborne viral hepatitis</w:t>
              </w:r>
            </w:hyperlink>
          </w:p>
          <w:p>
            <w:pPr>
              <w:spacing w:before="60" w:after="40"/>
            </w:pPr>
            <w:r>
              <w:rPr>
                <w:rFonts w:ascii="Calibri" w:hAnsi="Calibri"/>
                <w:b w:val="0"/>
                <w:i w:val="0"/>
                <w:color w:val="5A5A5A"/>
                <w:sz w:val="18"/>
              </w:rPr>
              <w:t>#susceptibleadults  #epidemiologicshift  #symptomatichepatitisA  #urbanindia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 / Reproductive status</w:t>
            </w:r>
          </w:p>
        </w:tc>
        <w:tc>
          <w:tcPr>
            <w:tcW w:type="dxa" w:w="2160"/>
            <w:vAlign w:val="top"/>
          </w:tcPr>
          <w:p>
            <w:pPr>
              <w:spacing w:after="40" w:before="0" w:line="259" w:lineRule="auto"/>
            </w:pPr>
            <w:r>
              <w:rPr>
                <w:rFonts w:ascii="Calibri" w:hAnsi="Calibri"/>
                <w:b w:val="0"/>
                <w:i w:val="0"/>
                <w:color w:val="212121"/>
                <w:sz w:val="19"/>
              </w:rPr>
              <w:t>Pregnant women (esp. third trimester)</w:t>
            </w:r>
          </w:p>
        </w:tc>
        <w:tc>
          <w:tcPr>
            <w:tcW w:type="dxa" w:w="4276"/>
            <w:vAlign w:val="top"/>
          </w:tcPr>
          <w:p>
            <w:pPr>
              <w:spacing w:after="60" w:line="259" w:lineRule="auto"/>
            </w:pPr>
            <w:r>
              <w:rPr>
                <w:rFonts w:ascii="Calibri" w:hAnsi="Calibri"/>
                <w:b w:val="0"/>
                <w:i w:val="0"/>
                <w:color w:val="212121"/>
                <w:sz w:val="19"/>
              </w:rPr>
              <w:t>Pregnancy, with its altered immunity and hormonal milieu, dramatically worsens hepatitis E. HEV in the third trimester frequently progresses to fulminant hepatic failure with high maternal and fetal death.</w:t>
            </w:r>
          </w:p>
          <w:p>
            <w:pPr>
              <w:spacing w:after="40" w:before="60" w:line="259" w:lineRule="auto"/>
            </w:pPr>
            <w:r>
              <w:rPr>
                <w:rFonts w:ascii="Calibri" w:hAnsi="Calibri"/>
                <w:b w:val="0"/>
                <w:i w:val="0"/>
                <w:color w:val="212121"/>
                <w:sz w:val="19"/>
              </w:rPr>
              <w:t>Case fatality from HEV reaches up to 20-25% in women infected in the third trimester, versus 0.1-4% in the general population.</w:t>
            </w:r>
          </w:p>
          <w:p>
            <w:pPr>
              <w:spacing w:after="40" w:line="252" w:lineRule="auto"/>
            </w:pPr>
            <w:hyperlink r:id="rId10">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#hepatitisE  #pregnancy  #acuteliverfailure  #maternalmortality  #thirdtrimester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Men carry higher chronic HBV and HCV prevalence and bear the large majority of hepatocellular carcinoma, reflecting greater exposure (injections, alcohol, occupational) and androgen-driven tumour promotion.</w:t>
            </w:r>
          </w:p>
          <w:p>
            <w:pPr>
              <w:spacing w:after="40" w:before="60" w:line="259" w:lineRule="auto"/>
            </w:pPr>
            <w:r>
              <w:rPr>
                <w:rFonts w:ascii="Calibri" w:hAnsi="Calibri"/>
                <w:b w:val="0"/>
                <w:i w:val="0"/>
                <w:color w:val="212121"/>
                <w:sz w:val="19"/>
              </w:rPr>
              <w:t>In the Punjab HCV serosurvey men had 1.52 times higher adjusted odds of infection than women, with prevalence peaking at 6.2% in those aged 40-49 years.</w:t>
            </w:r>
          </w:p>
          <w:p>
            <w:pPr>
              <w:spacing w:after="40" w:line="252" w:lineRule="auto"/>
            </w:pPr>
            <w:hyperlink r:id="rId11">
              <w:r>
                <w:rPr>
                  <w:rFonts w:ascii="Calibri" w:hAnsi="Calibri" w:cs="Calibri"/>
                  <w:sz w:val="18"/>
                  <w:color w:val="1155CC"/>
                  <w:u w:val="single"/>
                </w:rPr>
                <w:t xml:space="preserve">journals.plos.org - burden of HCV in Punjab, India</w:t>
              </w:r>
            </w:hyperlink>
          </w:p>
          <w:p>
            <w:pPr>
              <w:spacing w:before="60" w:after="40"/>
            </w:pPr>
            <w:r>
              <w:rPr>
                <w:rFonts w:ascii="Calibri" w:hAnsi="Calibri"/>
                <w:b w:val="0"/>
                <w:i w:val="0"/>
                <w:color w:val="5A5A5A"/>
                <w:sz w:val="18"/>
              </w:rPr>
              <w:t>#hepatitisC  #malepredominance  #HCC  #chronichepatitis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slum &amp; open-defecation communities</w:t>
            </w:r>
          </w:p>
        </w:tc>
        <w:tc>
          <w:tcPr>
            <w:tcW w:type="dxa" w:w="4276"/>
            <w:vAlign w:val="top"/>
          </w:tcPr>
          <w:p>
            <w:pPr>
              <w:spacing w:after="60" w:line="259" w:lineRule="auto"/>
            </w:pPr>
            <w:r>
              <w:rPr>
                <w:rFonts w:ascii="Calibri" w:hAnsi="Calibri"/>
                <w:b w:val="0"/>
                <w:i w:val="0"/>
                <w:color w:val="212121"/>
                <w:sz w:val="19"/>
              </w:rPr>
              <w:t>Overcrowding, unsafe drinking water, poor sewage disposal and open defecation drive feco-oral transmission of HAV and HEV and fuel large community outbreaks.</w:t>
            </w:r>
          </w:p>
          <w:p>
            <w:pPr>
              <w:spacing w:after="40" w:before="60" w:line="259" w:lineRule="auto"/>
            </w:pPr>
            <w:r>
              <w:rPr>
                <w:rFonts w:ascii="Calibri" w:hAnsi="Calibri"/>
                <w:b w:val="0"/>
                <w:i w:val="0"/>
                <w:color w:val="212121"/>
                <w:sz w:val="19"/>
              </w:rPr>
              <w:t>HEV alone accounts for 10-40% of acute hepatitis and 15-45% of acute liver failure in India, concentrated where water and sanitation are inadequate.</w:t>
            </w:r>
          </w:p>
          <w:p>
            <w:pPr>
              <w:spacing w:after="40" w:line="252" w:lineRule="auto"/>
            </w:pPr>
            <w:hyperlink r:id="rId9">
              <w:r>
                <w:rPr>
                  <w:rFonts w:ascii="Calibri" w:hAnsi="Calibri" w:cs="Calibri"/>
                  <w:sz w:val="18"/>
                  <w:color w:val="1155CC"/>
                  <w:u w:val="single"/>
                </w:rPr>
                <w:t xml:space="preserve">ijmr.org.in - waterborne &amp; foodborne viral hepatitis</w:t>
              </w:r>
            </w:hyperlink>
          </w:p>
          <w:p>
            <w:pPr>
              <w:spacing w:before="60" w:after="40"/>
            </w:pPr>
            <w:r>
              <w:rPr>
                <w:rFonts w:ascii="Calibri" w:hAnsi="Calibri"/>
                <w:b w:val="0"/>
                <w:i w:val="0"/>
                <w:color w:val="5A5A5A"/>
                <w:sz w:val="18"/>
              </w:rPr>
              <w:t>#sanitation  #watersafety  #slums  #opendefecation  #outbreak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Northeast India (Manipur, Nagaland)</w:t>
            </w:r>
          </w:p>
        </w:tc>
        <w:tc>
          <w:tcPr>
            <w:tcW w:type="dxa" w:w="4276"/>
            <w:vAlign w:val="top"/>
          </w:tcPr>
          <w:p>
            <w:pPr>
              <w:spacing w:after="60" w:line="259" w:lineRule="auto"/>
            </w:pPr>
            <w:r>
              <w:rPr>
                <w:rFonts w:ascii="Calibri" w:hAnsi="Calibri"/>
                <w:b w:val="0"/>
                <w:i w:val="0"/>
                <w:color w:val="212121"/>
                <w:sz w:val="19"/>
              </w:rPr>
              <w:t>The Northeast lies on injecting-drug-use trafficking routes; needle-sharing spreads HCV, HBV and HIV together, giving some of India's highest blood-borne hepatitis rates.</w:t>
            </w:r>
          </w:p>
          <w:p>
            <w:pPr>
              <w:spacing w:after="40" w:before="60" w:line="259" w:lineRule="auto"/>
            </w:pPr>
            <w:r>
              <w:rPr>
                <w:rFonts w:ascii="Calibri" w:hAnsi="Calibri"/>
                <w:b w:val="0"/>
                <w:i w:val="0"/>
                <w:color w:val="212121"/>
                <w:sz w:val="19"/>
              </w:rPr>
              <w:t>Among people who inject drugs in Manipur, anti-HCV prevalence was 73.9% (up to 91.5% in Churachandpur), and 95.3% of HIV-positive injectors were co-infected with HCV.</w:t>
            </w:r>
          </w:p>
          <w:p>
            <w:pPr>
              <w:spacing w:after="40" w:line="252" w:lineRule="auto"/>
            </w:pPr>
            <w:hyperlink r:id="rId12">
              <w:r>
                <w:rPr>
                  <w:rFonts w:ascii="Calibri" w:hAnsi="Calibri" w:cs="Calibri"/>
                  <w:sz w:val="18"/>
                  <w:color w:val="1155CC"/>
                  <w:u w:val="single"/>
                </w:rPr>
                <w:t xml:space="preserve">ijmr.org.in - HCV &amp; HIV co-infection in PWID, Manipur</w:t>
              </w:r>
            </w:hyperlink>
          </w:p>
          <w:p>
            <w:pPr>
              <w:spacing w:before="60" w:after="40"/>
            </w:pPr>
            <w:r>
              <w:rPr>
                <w:rFonts w:ascii="Calibri" w:hAnsi="Calibri"/>
                <w:b w:val="0"/>
                <w:i w:val="0"/>
                <w:color w:val="5A5A5A"/>
                <w:sz w:val="18"/>
              </w:rPr>
              <w:t>#northeastindia  #PWID  #hepatitisC  #HIVcoinfection  #needlesharing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Punjab</w:t>
            </w:r>
          </w:p>
        </w:tc>
        <w:tc>
          <w:tcPr>
            <w:tcW w:type="dxa" w:w="4276"/>
            <w:vAlign w:val="top"/>
          </w:tcPr>
          <w:p>
            <w:pPr>
              <w:spacing w:after="60" w:line="259" w:lineRule="auto"/>
            </w:pPr>
            <w:r>
              <w:rPr>
                <w:rFonts w:ascii="Calibri" w:hAnsi="Calibri"/>
                <w:b w:val="0"/>
                <w:i w:val="0"/>
                <w:color w:val="212121"/>
                <w:sz w:val="19"/>
              </w:rPr>
              <w:t>Widespread therapeutic injections by informal practitioners, past unscreened transfusions and tattooing have made Punjab a recognised HCV hotspot, prompting a state-wide elimination programme.</w:t>
            </w:r>
          </w:p>
          <w:p>
            <w:pPr>
              <w:spacing w:after="40" w:before="60" w:line="259" w:lineRule="auto"/>
            </w:pPr>
            <w:r>
              <w:rPr>
                <w:rFonts w:ascii="Calibri" w:hAnsi="Calibri"/>
                <w:b w:val="0"/>
                <w:i w:val="0"/>
                <w:color w:val="212121"/>
                <w:sz w:val="19"/>
              </w:rPr>
              <w:t>A population-based Punjab serosurvey found anti-HCV seropositivity of 3.6% and active (RNA-positive) HCV in 2.6% - nearly three-quarters of a million people chronically infected in the state alone.</w:t>
            </w:r>
          </w:p>
          <w:p>
            <w:pPr>
              <w:spacing w:after="40" w:line="252" w:lineRule="auto"/>
            </w:pPr>
            <w:hyperlink r:id="rId11">
              <w:r>
                <w:rPr>
                  <w:rFonts w:ascii="Calibri" w:hAnsi="Calibri" w:cs="Calibri"/>
                  <w:sz w:val="18"/>
                  <w:color w:val="1155CC"/>
                  <w:u w:val="single"/>
                </w:rPr>
                <w:t xml:space="preserve">journals.plos.org - burden of HCV in Punjab, India</w:t>
              </w:r>
            </w:hyperlink>
          </w:p>
          <w:p>
            <w:pPr>
              <w:spacing w:before="60" w:after="40"/>
            </w:pPr>
            <w:r>
              <w:rPr>
                <w:rFonts w:ascii="Calibri" w:hAnsi="Calibri"/>
                <w:b w:val="0"/>
                <w:i w:val="0"/>
                <w:color w:val="5A5A5A"/>
                <w:sz w:val="18"/>
              </w:rPr>
              <w:t>#punjab  #hepatitisC  #iatrogenic  #unsafeinjections  #HCVhotspot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Andhra Pradesh, Telangana &amp; tribal populations</w:t>
            </w:r>
          </w:p>
        </w:tc>
        <w:tc>
          <w:tcPr>
            <w:tcW w:type="dxa" w:w="4276"/>
            <w:vAlign w:val="top"/>
          </w:tcPr>
          <w:p>
            <w:pPr>
              <w:spacing w:after="60" w:line="259" w:lineRule="auto"/>
            </w:pPr>
            <w:r>
              <w:rPr>
                <w:rFonts w:ascii="Calibri" w:hAnsi="Calibri"/>
                <w:b w:val="0"/>
                <w:i w:val="0"/>
                <w:color w:val="212121"/>
                <w:sz w:val="19"/>
              </w:rPr>
              <w:t>Southern coastal states and several tribal communities show clustering of chronic hepatitis B, reflecting perinatal and early-childhood horizontal transmission and lower vaccination reach.</w:t>
            </w:r>
          </w:p>
          <w:p>
            <w:pPr>
              <w:spacing w:after="40" w:before="60" w:line="259" w:lineRule="auto"/>
            </w:pPr>
            <w:r>
              <w:rPr>
                <w:rFonts w:ascii="Calibri" w:hAnsi="Calibri"/>
                <w:b w:val="0"/>
                <w:i w:val="0"/>
                <w:color w:val="212121"/>
                <w:sz w:val="19"/>
              </w:rPr>
              <w:t>NFHS-4 HBsAg prevalence was highest in Andhra Pradesh and Telangana at 2.39% and reached 1.84% in tribal communities, against a national average of about 0.95%.</w:t>
            </w:r>
          </w:p>
          <w:p>
            <w:pPr>
              <w:spacing w:after="40" w:line="252" w:lineRule="auto"/>
            </w:pPr>
            <w:hyperlink r:id="rId13">
              <w:r>
                <w:rPr>
                  <w:rFonts w:ascii="Calibri" w:hAnsi="Calibri" w:cs="Calibri"/>
                  <w:sz w:val="18"/>
                  <w:color w:val="1155CC"/>
                  <w:u w:val="single"/>
                </w:rPr>
                <w:t xml:space="preserve">link.springer.com - HBV prevalence in India (INASL)</w:t>
              </w:r>
            </w:hyperlink>
          </w:p>
          <w:p>
            <w:pPr>
              <w:spacing w:before="60" w:after="40"/>
            </w:pPr>
            <w:r>
              <w:rPr>
                <w:rFonts w:ascii="Calibri" w:hAnsi="Calibri"/>
                <w:b w:val="0"/>
                <w:i w:val="0"/>
                <w:color w:val="5A5A5A"/>
                <w:sz w:val="18"/>
              </w:rPr>
              <w:t>#hepatitisB  #HBsAg  #tribalhealth  #southindia  #regionalvariation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Injecting drug use</w:t>
            </w:r>
          </w:p>
        </w:tc>
        <w:tc>
          <w:tcPr>
            <w:tcW w:type="dxa" w:w="2160"/>
            <w:vAlign w:val="top"/>
          </w:tcPr>
          <w:p>
            <w:pPr>
              <w:spacing w:after="40" w:before="0" w:line="259" w:lineRule="auto"/>
            </w:pPr>
            <w:r>
              <w:rPr>
                <w:rFonts w:ascii="Calibri" w:hAnsi="Calibri"/>
                <w:b w:val="0"/>
                <w:i w:val="0"/>
                <w:color w:val="212121"/>
                <w:sz w:val="19"/>
              </w:rPr>
              <w:t>People who inject drugs (PWID)</w:t>
            </w:r>
          </w:p>
        </w:tc>
        <w:tc>
          <w:tcPr>
            <w:tcW w:type="dxa" w:w="4276"/>
            <w:vAlign w:val="top"/>
          </w:tcPr>
          <w:p>
            <w:pPr>
              <w:spacing w:after="60" w:line="259" w:lineRule="auto"/>
            </w:pPr>
            <w:r>
              <w:rPr>
                <w:rFonts w:ascii="Calibri" w:hAnsi="Calibri"/>
                <w:b w:val="0"/>
                <w:i w:val="0"/>
                <w:color w:val="212121"/>
                <w:sz w:val="19"/>
              </w:rPr>
              <w:t>Sharing needles and syringes is the most efficient route for blood-borne viruses, transmitting HCV, HBV, HDV and HIV, often simultaneously, in the same individuals.</w:t>
            </w:r>
          </w:p>
          <w:p>
            <w:pPr>
              <w:spacing w:after="40" w:before="60" w:line="259" w:lineRule="auto"/>
            </w:pPr>
            <w:r>
              <w:rPr>
                <w:rFonts w:ascii="Calibri" w:hAnsi="Calibri"/>
                <w:b w:val="0"/>
                <w:i w:val="0"/>
                <w:color w:val="212121"/>
                <w:sz w:val="19"/>
              </w:rPr>
              <w:t>Manipuri injectors showed anti-HCV 73.9%, HIV 30.8% and HCV-HIV co-infection of 29.4%, illustrating the overlapping epidemics in this group.</w:t>
            </w:r>
          </w:p>
          <w:p>
            <w:pPr>
              <w:spacing w:after="40" w:line="252" w:lineRule="auto"/>
            </w:pPr>
            <w:hyperlink r:id="rId12">
              <w:r>
                <w:rPr>
                  <w:rFonts w:ascii="Calibri" w:hAnsi="Calibri" w:cs="Calibri"/>
                  <w:sz w:val="18"/>
                  <w:color w:val="1155CC"/>
                  <w:u w:val="single"/>
                </w:rPr>
                <w:t xml:space="preserve">ijmr.org.in - HCV &amp; HIV in PWID, Manipur</w:t>
              </w:r>
            </w:hyperlink>
          </w:p>
          <w:p>
            <w:pPr>
              <w:spacing w:before="60" w:after="40"/>
            </w:pPr>
            <w:r>
              <w:rPr>
                <w:rFonts w:ascii="Calibri" w:hAnsi="Calibri"/>
                <w:b w:val="0"/>
                <w:i w:val="0"/>
                <w:color w:val="5A5A5A"/>
                <w:sz w:val="18"/>
              </w:rPr>
              <w:t>#PWID  #hepatitisC  #hepatitisB  #harmreduction  #needleexchange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Unsafe injections / blood / tattoos</w:t>
            </w:r>
          </w:p>
        </w:tc>
        <w:tc>
          <w:tcPr>
            <w:tcW w:type="dxa" w:w="2160"/>
            <w:vAlign w:val="top"/>
          </w:tcPr>
          <w:p>
            <w:pPr>
              <w:spacing w:after="40" w:before="0" w:line="259" w:lineRule="auto"/>
            </w:pPr>
            <w:r>
              <w:rPr>
                <w:rFonts w:ascii="Calibri" w:hAnsi="Calibri"/>
                <w:b w:val="0"/>
                <w:i w:val="0"/>
                <w:color w:val="212121"/>
                <w:sz w:val="19"/>
              </w:rPr>
              <w:t>Recipients of unsafe injections, transfusions, tattoos &amp; piercings</w:t>
            </w:r>
          </w:p>
        </w:tc>
        <w:tc>
          <w:tcPr>
            <w:tcW w:type="dxa" w:w="4276"/>
            <w:vAlign w:val="top"/>
          </w:tcPr>
          <w:p>
            <w:pPr>
              <w:spacing w:after="60" w:line="259" w:lineRule="auto"/>
            </w:pPr>
            <w:r>
              <w:rPr>
                <w:rFonts w:ascii="Calibri" w:hAnsi="Calibri"/>
                <w:b w:val="0"/>
                <w:i w:val="0"/>
                <w:color w:val="212121"/>
                <w:sz w:val="19"/>
              </w:rPr>
              <w:t>Reused needles, informal 'injectionists', unscreened blood and non-sterile tattooing or piercing transmit HBV and HCV parenterally - a major iatrogenic route in India.</w:t>
            </w:r>
          </w:p>
          <w:p>
            <w:pPr>
              <w:spacing w:after="40" w:before="60" w:line="259" w:lineRule="auto"/>
            </w:pPr>
            <w:r>
              <w:rPr>
                <w:rFonts w:ascii="Calibri" w:hAnsi="Calibri"/>
                <w:b w:val="0"/>
                <w:i w:val="0"/>
                <w:color w:val="212121"/>
                <w:sz w:val="19"/>
              </w:rPr>
              <w:t>In Punjab, HCV prevalence was higher among people with permanent tattoos (5.2% vs 3.4%) and rose with the number of prior blood transfusions.</w:t>
            </w:r>
          </w:p>
          <w:p>
            <w:pPr>
              <w:spacing w:after="40" w:line="252" w:lineRule="auto"/>
            </w:pPr>
            <w:hyperlink r:id="rId11">
              <w:r>
                <w:rPr>
                  <w:rFonts w:ascii="Calibri" w:hAnsi="Calibri" w:cs="Calibri"/>
                  <w:sz w:val="18"/>
                  <w:color w:val="1155CC"/>
                  <w:u w:val="single"/>
                </w:rPr>
                <w:t xml:space="preserve">journals.plos.org - burden of HCV in Punjab, India</w:t>
              </w:r>
            </w:hyperlink>
          </w:p>
          <w:p>
            <w:pPr>
              <w:spacing w:before="60" w:after="40"/>
            </w:pPr>
            <w:r>
              <w:rPr>
                <w:rFonts w:ascii="Calibri" w:hAnsi="Calibri"/>
                <w:b w:val="0"/>
                <w:i w:val="0"/>
                <w:color w:val="5A5A5A"/>
                <w:sz w:val="18"/>
              </w:rPr>
              <w:t>#unsafeinjections  #tattoos  #bloodsafety  #iatrogenic  #hepatitisB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Healthcare &amp; sanitation workers</w:t>
            </w:r>
          </w:p>
        </w:tc>
        <w:tc>
          <w:tcPr>
            <w:tcW w:type="dxa" w:w="4276"/>
            <w:vAlign w:val="top"/>
          </w:tcPr>
          <w:p>
            <w:pPr>
              <w:spacing w:after="60" w:line="259" w:lineRule="auto"/>
            </w:pPr>
            <w:r>
              <w:rPr>
                <w:rFonts w:ascii="Calibri" w:hAnsi="Calibri"/>
                <w:b w:val="0"/>
                <w:i w:val="0"/>
                <w:color w:val="212121"/>
                <w:sz w:val="19"/>
              </w:rPr>
              <w:t>Needlestick injuries and mucosal blood exposure put healthcare workers at occupational risk of HBV and HCV, while sanitation workers face enteric HAV/HEV exposure; hepatitis B is vaccine-preventable in this group.</w:t>
            </w:r>
          </w:p>
          <w:p>
            <w:pPr>
              <w:spacing w:after="40" w:before="60" w:line="259" w:lineRule="auto"/>
            </w:pPr>
            <w:r>
              <w:rPr>
                <w:rFonts w:ascii="Calibri" w:hAnsi="Calibri"/>
                <w:b w:val="0"/>
                <w:i w:val="0"/>
                <w:color w:val="212121"/>
                <w:sz w:val="19"/>
              </w:rPr>
              <w:t>Hepatitis B is efficiently transmitted through percutaneous blood exposure; universal hepatitis-B immunisation of healthcare workers is standard occupational protection.</w:t>
            </w:r>
          </w:p>
          <w:p>
            <w:pPr>
              <w:spacing w:before="60" w:after="40"/>
            </w:pPr>
            <w:r>
              <w:rPr>
                <w:rFonts w:ascii="Calibri" w:hAnsi="Calibri"/>
                <w:b w:val="0"/>
                <w:i w:val="0"/>
                <w:color w:val="5A5A5A"/>
                <w:sz w:val="18"/>
              </w:rPr>
              <w:t>#occupationalrisk  #healthcareworkers  #needlestick  #hepatitisBvaccine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 partners / MSM / unprotected sex</w:t>
            </w:r>
          </w:p>
        </w:tc>
        <w:tc>
          <w:tcPr>
            <w:tcW w:type="dxa" w:w="4276"/>
            <w:vAlign w:val="top"/>
          </w:tcPr>
          <w:p>
            <w:pPr>
              <w:spacing w:after="60" w:line="259" w:lineRule="auto"/>
            </w:pPr>
            <w:r>
              <w:rPr>
                <w:rFonts w:ascii="Calibri" w:hAnsi="Calibri"/>
                <w:b w:val="0"/>
                <w:i w:val="0"/>
                <w:color w:val="212121"/>
                <w:sz w:val="19"/>
              </w:rPr>
              <w:t>HBV is efficiently sexually transmitted, and HCV and HAV can spread through sexual contact (including oro-anal), so multiple partners and unprotected sex raise risk.</w:t>
            </w:r>
          </w:p>
          <w:p>
            <w:pPr>
              <w:spacing w:after="40" w:before="60" w:line="259" w:lineRule="auto"/>
            </w:pPr>
            <w:r>
              <w:rPr>
                <w:rFonts w:ascii="Calibri" w:hAnsi="Calibri"/>
                <w:b w:val="0"/>
                <w:i w:val="0"/>
                <w:color w:val="212121"/>
                <w:sz w:val="19"/>
              </w:rPr>
              <w:t>Sexual transmission is an established route for hepatitis B; consistent condom use and vaccination reduce risk.</w:t>
            </w:r>
          </w:p>
          <w:p>
            <w:pPr>
              <w:spacing w:before="60" w:after="40"/>
            </w:pPr>
            <w:r>
              <w:rPr>
                <w:rFonts w:ascii="Calibri" w:hAnsi="Calibri"/>
                <w:b w:val="0"/>
                <w:i w:val="0"/>
                <w:color w:val="5A5A5A"/>
                <w:sz w:val="18"/>
              </w:rPr>
              <w:t>#sexualtransmission  #hepatitisB  #MSM  #condoms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users with chronic hepatitis</w:t>
            </w:r>
          </w:p>
        </w:tc>
        <w:tc>
          <w:tcPr>
            <w:tcW w:type="dxa" w:w="4276"/>
            <w:vAlign w:val="top"/>
          </w:tcPr>
          <w:p>
            <w:pPr>
              <w:spacing w:after="60" w:line="259" w:lineRule="auto"/>
            </w:pPr>
            <w:r>
              <w:rPr>
                <w:rFonts w:ascii="Calibri" w:hAnsi="Calibri"/>
                <w:b w:val="0"/>
                <w:i w:val="0"/>
                <w:color w:val="212121"/>
                <w:sz w:val="19"/>
              </w:rPr>
              <w:t>Alcohol acts synergistically with chronic HBV or HCV to accelerate hepatic fibrosis, cirrhosis and hepatocellular carcinoma, and impairs immune clearance of the virus.</w:t>
            </w:r>
          </w:p>
          <w:p>
            <w:pPr>
              <w:spacing w:after="40" w:before="60" w:line="259" w:lineRule="auto"/>
            </w:pPr>
            <w:r>
              <w:rPr>
                <w:rFonts w:ascii="Calibri" w:hAnsi="Calibri"/>
                <w:b w:val="0"/>
                <w:i w:val="0"/>
                <w:color w:val="212121"/>
                <w:sz w:val="19"/>
              </w:rPr>
              <w:t>Abstinence is advised in all chronic viral hepatitis because concurrent alcohol markedly speeds progression to cirrhosis and liver cancer.</w:t>
            </w:r>
          </w:p>
          <w:p>
            <w:pPr>
              <w:spacing w:before="60" w:after="40"/>
            </w:pPr>
            <w:r>
              <w:rPr>
                <w:rFonts w:ascii="Calibri" w:hAnsi="Calibri"/>
                <w:b w:val="0"/>
                <w:i w:val="0"/>
                <w:color w:val="5A5A5A"/>
                <w:sz w:val="18"/>
              </w:rPr>
              <w:t>#alcohol  #cirrhosis  #fibrosis  #HCC  #synergisticinjury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Contaminated water &amp; food</w:t>
            </w:r>
          </w:p>
        </w:tc>
        <w:tc>
          <w:tcPr>
            <w:tcW w:type="dxa" w:w="2160"/>
            <w:vAlign w:val="top"/>
          </w:tcPr>
          <w:p>
            <w:pPr>
              <w:spacing w:after="40" w:before="0" w:line="259" w:lineRule="auto"/>
            </w:pPr>
            <w:r>
              <w:rPr>
                <w:rFonts w:ascii="Calibri" w:hAnsi="Calibri"/>
                <w:b w:val="0"/>
                <w:i w:val="0"/>
                <w:color w:val="212121"/>
                <w:sz w:val="19"/>
              </w:rPr>
              <w:t>Consumers of unsafe water, street food &amp; raw shellfish</w:t>
            </w:r>
          </w:p>
        </w:tc>
        <w:tc>
          <w:tcPr>
            <w:tcW w:type="dxa" w:w="4276"/>
            <w:vAlign w:val="top"/>
          </w:tcPr>
          <w:p>
            <w:pPr>
              <w:spacing w:after="60" w:line="259" w:lineRule="auto"/>
            </w:pPr>
            <w:r>
              <w:rPr>
                <w:rFonts w:ascii="Calibri" w:hAnsi="Calibri"/>
                <w:b w:val="0"/>
                <w:i w:val="0"/>
                <w:color w:val="212121"/>
                <w:sz w:val="19"/>
              </w:rPr>
              <w:t>Drinking faecally contaminated water and eating street food, cut fruit, raw salads or raw/undercooked shellfish transmits HAV and HEV; monsoon flooding cross-contaminates water supplies.</w:t>
            </w:r>
          </w:p>
          <w:p>
            <w:pPr>
              <w:spacing w:after="40" w:before="60" w:line="259" w:lineRule="auto"/>
            </w:pPr>
            <w:r>
              <w:rPr>
                <w:rFonts w:ascii="Calibri" w:hAnsi="Calibri"/>
                <w:b w:val="0"/>
                <w:i w:val="0"/>
                <w:color w:val="212121"/>
                <w:sz w:val="19"/>
              </w:rPr>
              <w:t>HEV is responsible for 10-40% of acute hepatitis and 15-45% of acute liver failure in India, driven largely by contaminated drinking water.</w:t>
            </w:r>
          </w:p>
          <w:p>
            <w:pPr>
              <w:spacing w:after="40" w:line="252" w:lineRule="auto"/>
            </w:pPr>
            <w:hyperlink r:id="rId9">
              <w:r>
                <w:rPr>
                  <w:rFonts w:ascii="Calibri" w:hAnsi="Calibri" w:cs="Calibri"/>
                  <w:sz w:val="18"/>
                  <w:color w:val="1155CC"/>
                  <w:u w:val="single"/>
                </w:rPr>
                <w:t xml:space="preserve">ijmr.org.in - waterborne &amp; foodborne viral hepatitis</w:t>
              </w:r>
            </w:hyperlink>
          </w:p>
          <w:p>
            <w:pPr>
              <w:spacing w:before="60" w:after="40"/>
            </w:pPr>
            <w:r>
              <w:rPr>
                <w:rFonts w:ascii="Calibri" w:hAnsi="Calibri"/>
                <w:b w:val="0"/>
                <w:i w:val="0"/>
                <w:color w:val="5A5A5A"/>
                <w:sz w:val="18"/>
              </w:rPr>
              <w:t>#unsafewater  #streetfood  #shellfish  #hepatitisE  #monsoon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history</w:t>
            </w:r>
          </w:p>
        </w:tc>
        <w:tc>
          <w:tcPr>
            <w:tcW w:type="dxa" w:w="2160"/>
            <w:vAlign w:val="top"/>
          </w:tcPr>
          <w:p>
            <w:pPr>
              <w:spacing w:after="40" w:before="0" w:line="259" w:lineRule="auto"/>
            </w:pPr>
            <w:r>
              <w:rPr>
                <w:rFonts w:ascii="Calibri" w:hAnsi="Calibri"/>
                <w:b w:val="0"/>
                <w:i w:val="0"/>
                <w:color w:val="212121"/>
                <w:sz w:val="19"/>
              </w:rPr>
              <w:t>Infants of HBsAg-positive mothers &amp; household contacts</w:t>
            </w:r>
          </w:p>
        </w:tc>
        <w:tc>
          <w:tcPr>
            <w:tcW w:type="dxa" w:w="4276"/>
            <w:vAlign w:val="top"/>
          </w:tcPr>
          <w:p>
            <w:pPr>
              <w:spacing w:after="60" w:line="259" w:lineRule="auto"/>
            </w:pPr>
            <w:r>
              <w:rPr>
                <w:rFonts w:ascii="Calibri" w:hAnsi="Calibri"/>
                <w:b w:val="0"/>
                <w:i w:val="0"/>
                <w:color w:val="212121"/>
                <w:sz w:val="19"/>
              </w:rPr>
              <w:t>Perinatal transmission from an HBsAg-positive mother, and horizontal spread within households, are the dominant routes for chronic HBV in India; infection in infancy carries the highest risk of chronicity.</w:t>
            </w:r>
          </w:p>
          <w:p>
            <w:pPr>
              <w:spacing w:after="40" w:before="60" w:line="259" w:lineRule="auto"/>
            </w:pPr>
            <w:r>
              <w:rPr>
                <w:rFonts w:ascii="Calibri" w:hAnsi="Calibri"/>
                <w:b w:val="0"/>
                <w:i w:val="0"/>
                <w:color w:val="212121"/>
                <w:sz w:val="19"/>
              </w:rPr>
              <w:t>A timely hepatitis-B birth dose plus the routine infant series prevents most mother-to-child transmission, the key target of India's immunisation programme.</w:t>
            </w:r>
          </w:p>
          <w:p>
            <w:pPr>
              <w:spacing w:after="40" w:line="252" w:lineRule="auto"/>
            </w:pPr>
            <w:hyperlink r:id="rId14">
              <w:r>
                <w:rPr>
                  <w:rFonts w:ascii="Calibri" w:hAnsi="Calibri" w:cs="Calibri"/>
                  <w:sz w:val="18"/>
                  <w:color w:val="1155CC"/>
                  <w:u w:val="single"/>
                </w:rPr>
                <w:t xml:space="preserve">who.int - mother-to-child transmission of hepatitis B</w:t>
              </w:r>
            </w:hyperlink>
          </w:p>
          <w:p>
            <w:pPr>
              <w:spacing w:before="60" w:after="40"/>
            </w:pPr>
            <w:r>
              <w:rPr>
                <w:rFonts w:ascii="Calibri" w:hAnsi="Calibri"/>
                <w:b w:val="0"/>
                <w:i w:val="0"/>
                <w:color w:val="5A5A5A"/>
                <w:sz w:val="18"/>
              </w:rPr>
              <w:t>#perinatal  #verticaltransmission  #householdcontacts  #birthdose  #chronicHBV</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HIV shares parenteral and sexual transmission routes with HBV and HCV, and immunosuppression speeds progression to cirrhosis and complicates treatment of both infections.</w:t>
            </w:r>
          </w:p>
          <w:p>
            <w:pPr>
              <w:spacing w:after="40" w:before="60" w:line="259" w:lineRule="auto"/>
            </w:pPr>
            <w:r>
              <w:rPr>
                <w:rFonts w:ascii="Calibri" w:hAnsi="Calibri"/>
                <w:b w:val="0"/>
                <w:i w:val="0"/>
                <w:color w:val="212121"/>
                <w:sz w:val="19"/>
              </w:rPr>
              <w:t>Among HIV-positive injecting drug users in Manipur, 95.3% were co-infected with hepatitis C, underscoring the tight overlap of these epidemics.</w:t>
            </w:r>
          </w:p>
          <w:p>
            <w:pPr>
              <w:spacing w:after="40" w:line="252" w:lineRule="auto"/>
            </w:pPr>
            <w:hyperlink r:id="rId12">
              <w:r>
                <w:rPr>
                  <w:rFonts w:ascii="Calibri" w:hAnsi="Calibri" w:cs="Calibri"/>
                  <w:sz w:val="18"/>
                  <w:color w:val="1155CC"/>
                  <w:u w:val="single"/>
                </w:rPr>
                <w:t xml:space="preserve">ijmr.org.in - HCV &amp; HIV co-infection, Manipur</w:t>
              </w:r>
            </w:hyperlink>
          </w:p>
          <w:p>
            <w:pPr>
              <w:spacing w:before="60" w:after="40"/>
            </w:pPr>
            <w:r>
              <w:rPr>
                <w:rFonts w:ascii="Calibri" w:hAnsi="Calibri"/>
                <w:b w:val="0"/>
                <w:i w:val="0"/>
                <w:color w:val="5A5A5A"/>
                <w:sz w:val="18"/>
              </w:rPr>
              <w:t>#HIV  #coinfection  #hepatitisC  #hepatitisB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 / dialysis</w:t>
            </w:r>
          </w:p>
        </w:tc>
        <w:tc>
          <w:tcPr>
            <w:tcW w:type="dxa" w:w="2160"/>
            <w:vAlign w:val="top"/>
          </w:tcPr>
          <w:p>
            <w:pPr>
              <w:spacing w:after="40" w:before="0" w:line="259" w:lineRule="auto"/>
            </w:pPr>
            <w:r>
              <w:rPr>
                <w:rFonts w:ascii="Calibri" w:hAnsi="Calibri"/>
                <w:b w:val="0"/>
                <w:i w:val="0"/>
                <w:color w:val="212121"/>
                <w:sz w:val="19"/>
              </w:rPr>
              <w:t>Patients on maintenance haemodialysis</w:t>
            </w:r>
          </w:p>
        </w:tc>
        <w:tc>
          <w:tcPr>
            <w:tcW w:type="dxa" w:w="4276"/>
            <w:vAlign w:val="top"/>
          </w:tcPr>
          <w:p>
            <w:pPr>
              <w:spacing w:after="60" w:line="259" w:lineRule="auto"/>
            </w:pPr>
            <w:r>
              <w:rPr>
                <w:rFonts w:ascii="Calibri" w:hAnsi="Calibri"/>
                <w:b w:val="0"/>
                <w:i w:val="0"/>
                <w:color w:val="212121"/>
                <w:sz w:val="19"/>
              </w:rPr>
              <w:t>Repeated vascular access, shared equipment and frequent blood exposure make dialysis units a setting for nosocomial HBV and HCV transmission; HCV itself can cause glomerulonephritis.</w:t>
            </w:r>
          </w:p>
          <w:p>
            <w:pPr>
              <w:spacing w:after="40" w:before="60" w:line="259" w:lineRule="auto"/>
            </w:pPr>
            <w:r>
              <w:rPr>
                <w:rFonts w:ascii="Calibri" w:hAnsi="Calibri"/>
                <w:b w:val="0"/>
                <w:i w:val="0"/>
                <w:color w:val="212121"/>
                <w:sz w:val="19"/>
              </w:rPr>
              <w:t>Blood-borne hepatitis is a recognised nosocomial risk in haemodialysis; strict infection control, HBV vaccination and regular serological screening are standard.</w:t>
            </w:r>
          </w:p>
          <w:p>
            <w:pPr>
              <w:spacing w:before="60" w:after="40"/>
            </w:pPr>
            <w:r>
              <w:rPr>
                <w:rFonts w:ascii="Calibri" w:hAnsi="Calibri"/>
                <w:b w:val="0"/>
                <w:i w:val="0"/>
                <w:color w:val="5A5A5A"/>
                <w:sz w:val="18"/>
              </w:rPr>
              <w:t>#haemodialysis  #CKD  #nosocomial  #hepatitisC  #hepatitisB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Patients with cirrhosis or hepatocellular carcinoma</w:t>
            </w:r>
          </w:p>
        </w:tc>
        <w:tc>
          <w:tcPr>
            <w:tcW w:type="dxa" w:w="4276"/>
            <w:vAlign w:val="top"/>
          </w:tcPr>
          <w:p>
            <w:pPr>
              <w:spacing w:after="60" w:line="259" w:lineRule="auto"/>
            </w:pPr>
            <w:r>
              <w:rPr>
                <w:rFonts w:ascii="Calibri" w:hAnsi="Calibri"/>
                <w:b w:val="0"/>
                <w:i w:val="0"/>
                <w:color w:val="212121"/>
                <w:sz w:val="19"/>
              </w:rPr>
              <w:t>Longstanding chronic HBV and HCV are the principal drivers of cirrhosis and primary liver cancer in India; these patients also fare worst if they acquire a superimposed acute HAV/HEV.</w:t>
            </w:r>
          </w:p>
          <w:p>
            <w:pPr>
              <w:spacing w:after="40" w:before="60" w:line="259" w:lineRule="auto"/>
            </w:pPr>
            <w:r>
              <w:rPr>
                <w:rFonts w:ascii="Calibri" w:hAnsi="Calibri"/>
                <w:b w:val="0"/>
                <w:i w:val="0"/>
                <w:color w:val="212121"/>
                <w:sz w:val="19"/>
              </w:rPr>
              <w:t>Chronic hepatitis B accounts for an estimated 40-50% of hepatocellular carcinoma and 20-30% of cirrhosis in India.</w:t>
            </w:r>
          </w:p>
          <w:p>
            <w:pPr>
              <w:spacing w:after="40" w:line="252" w:lineRule="auto"/>
            </w:pPr>
            <w:hyperlink r:id="rId15">
              <w:r>
                <w:rPr>
                  <w:rFonts w:ascii="Calibri" w:hAnsi="Calibri" w:cs="Calibri"/>
                  <w:sz w:val="18"/>
                  <w:color w:val="1155CC"/>
                  <w:u w:val="single"/>
                </w:rPr>
                <w:t xml:space="preserve">theprint.in - WHO 2024 report, India hepatitis burden</w:t>
              </w:r>
            </w:hyperlink>
          </w:p>
          <w:p>
            <w:pPr>
              <w:spacing w:before="60" w:after="40"/>
            </w:pPr>
            <w:r>
              <w:rPr>
                <w:rFonts w:ascii="Calibri" w:hAnsi="Calibri"/>
                <w:b w:val="0"/>
                <w:i w:val="0"/>
                <w:color w:val="5A5A5A"/>
                <w:sz w:val="18"/>
              </w:rPr>
              <w:t>#cirrhosis  #HCC  #chronicHBV  #chronicHCV  #endstageliver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does not prevent viral infection, but obesity and NAFLD accelerate fibrosis in chronic HBV/HCV; regular moderate activity and weight control slow progression. Strenuous activity is limited during the acute icteric phase.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Hepatitis A and E are transmitted feco-orally through contaminated food and water; HEV accounts for 10-40% of acute hepatitis in India. Safe food handling is central to prevention.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Profound fatigue is a hallmark of acute hepatitis and rest is advised, but sleep has no established role in preventing infection; poor sleep mainly affects recovery and quality of life.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use is associated with faster hepatic fibrosis and higher hepatocellular-carcinoma risk in people with chronic HBV or HCV.</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acts synergistically with chronic HBV/HCV to accelerate fibrosis, cirrhosis and liver cancer; complete abstinence is recommended in any viral hepatitis.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infection, stigma and (historically) interferon therapy are linked to depression and anxiety, which reduce adherence to long-term antiviral treatment.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Safe drinking water is the single most important measure against HAV and HEV; faecally contaminated water drives monsoon outbreaks and 15-45% of acute liver failure in India.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coffee intake is associated with lower liver fibrosis and reduced hepatocellular-carcinoma risk in chronic liver disease, but this is a weak protective trend, not a treatment.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and sanitation prevent enteric HAV/HEV, while safe injection practices, sterile instruments and blood screening prevent blood-borne HBV/HCV/HDV.</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Pregnancy (severe HEV), HDV superinfection of an HBV carrier, and HBV reactivation during immunosuppression or chemotherapy can precipitate severe or fulminant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Safe drinking-water source / free chlorine residual</w:t>
            </w:r>
          </w:p>
        </w:tc>
        <w:tc>
          <w:tcPr>
            <w:tcW w:type="dxa" w:w="1655"/>
            <w:vAlign w:val="top"/>
          </w:tcPr>
          <w:p>
            <w:pPr>
              <w:spacing w:after="40" w:before="0" w:line="259" w:lineRule="auto"/>
            </w:pPr>
            <w:r>
              <w:rPr>
                <w:rFonts w:ascii="Calibri" w:hAnsi="Calibri"/>
                <w:b w:val="0"/>
                <w:i w:val="0"/>
                <w:color w:val="212121"/>
                <w:sz w:val="19"/>
              </w:rPr>
              <w:t>All households, outbreak areas</w:t>
            </w:r>
          </w:p>
        </w:tc>
        <w:tc>
          <w:tcPr>
            <w:tcW w:type="dxa" w:w="1512"/>
            <w:vAlign w:val="top"/>
          </w:tcPr>
          <w:p>
            <w:pPr>
              <w:spacing w:after="40" w:before="0" w:line="259" w:lineRule="auto"/>
            </w:pPr>
            <w:r>
              <w:rPr>
                <w:rFonts w:ascii="Calibri" w:hAnsi="Calibri"/>
                <w:b w:val="0"/>
                <w:i w:val="0"/>
                <w:color w:val="212121"/>
                <w:sz w:val="19"/>
              </w:rPr>
              <w:t>Treated water; &gt;= 0.2 mg/L free chlorine at point of use</w:t>
            </w:r>
          </w:p>
        </w:tc>
        <w:tc>
          <w:tcPr>
            <w:tcW w:type="dxa" w:w="1512"/>
            <w:vAlign w:val="top"/>
          </w:tcPr>
          <w:p>
            <w:pPr>
              <w:spacing w:after="40" w:before="0" w:line="259" w:lineRule="auto"/>
            </w:pPr>
            <w:r>
              <w:rPr>
                <w:rFonts w:ascii="Calibri" w:hAnsi="Calibri"/>
                <w:b w:val="0"/>
                <w:i w:val="0"/>
                <w:color w:val="212121"/>
                <w:sz w:val="19"/>
              </w:rPr>
              <w:t>Untreated / faecally contaminated source</w:t>
            </w:r>
          </w:p>
        </w:tc>
        <w:tc>
          <w:tcPr>
            <w:tcW w:type="dxa" w:w="1468"/>
            <w:vAlign w:val="top"/>
          </w:tcPr>
          <w:p>
            <w:pPr>
              <w:spacing w:after="40" w:before="0" w:line="259" w:lineRule="auto"/>
            </w:pPr>
            <w:r>
              <w:rPr>
                <w:rFonts w:ascii="Calibri" w:hAnsi="Calibri"/>
                <w:b w:val="0"/>
                <w:i w:val="0"/>
                <w:color w:val="212121"/>
                <w:sz w:val="19"/>
              </w:rPr>
              <w:t>Adequate treatment prevents HAV and HEV transmission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Consumption of street food, cut fruit &amp; raw shellfish</w:t>
            </w:r>
          </w:p>
        </w:tc>
        <w:tc>
          <w:tcPr>
            <w:tcW w:type="dxa" w:w="1655"/>
            <w:vAlign w:val="top"/>
          </w:tcPr>
          <w:p>
            <w:pPr>
              <w:spacing w:after="40" w:before="0" w:line="259" w:lineRule="auto"/>
            </w:pPr>
            <w:r>
              <w:rPr>
                <w:rFonts w:ascii="Calibri" w:hAnsi="Calibri"/>
                <w:b w:val="0"/>
                <w:i w:val="0"/>
                <w:color w:val="212121"/>
                <w:sz w:val="19"/>
              </w:rPr>
              <w:t>General public, travellers, pregnant women</w:t>
            </w:r>
          </w:p>
        </w:tc>
        <w:tc>
          <w:tcPr>
            <w:tcW w:type="dxa" w:w="1512"/>
            <w:vAlign w:val="top"/>
          </w:tcPr>
          <w:p>
            <w:pPr>
              <w:spacing w:after="40" w:before="0" w:line="259" w:lineRule="auto"/>
            </w:pPr>
            <w:r>
              <w:rPr>
                <w:rFonts w:ascii="Calibri" w:hAnsi="Calibri"/>
                <w:b w:val="0"/>
                <w:i w:val="0"/>
                <w:color w:val="212121"/>
                <w:sz w:val="19"/>
              </w:rPr>
              <w:t>Freshly cooked, hot food; avoid raw shellfish and cut fruit</w:t>
            </w:r>
          </w:p>
        </w:tc>
        <w:tc>
          <w:tcPr>
            <w:tcW w:type="dxa" w:w="1512"/>
            <w:vAlign w:val="top"/>
          </w:tcPr>
          <w:p>
            <w:pPr>
              <w:spacing w:after="40" w:before="0" w:line="259" w:lineRule="auto"/>
            </w:pPr>
            <w:r>
              <w:rPr>
                <w:rFonts w:ascii="Calibri" w:hAnsi="Calibri"/>
                <w:b w:val="0"/>
                <w:i w:val="0"/>
                <w:color w:val="212121"/>
                <w:sz w:val="19"/>
              </w:rPr>
              <w:t>Frequent street/raw food, especially in monsoon</w:t>
            </w:r>
          </w:p>
        </w:tc>
        <w:tc>
          <w:tcPr>
            <w:tcW w:type="dxa" w:w="1468"/>
            <w:vAlign w:val="top"/>
          </w:tcPr>
          <w:p>
            <w:pPr>
              <w:spacing w:after="40" w:before="0" w:line="259" w:lineRule="auto"/>
            </w:pPr>
            <w:r>
              <w:rPr>
                <w:rFonts w:ascii="Calibri" w:hAnsi="Calibri"/>
                <w:b w:val="0"/>
                <w:i w:val="0"/>
                <w:color w:val="212121"/>
                <w:sz w:val="19"/>
              </w:rPr>
              <w:t>High-risk vehicles for enteric hepatitis A and 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(after toilet, before food)</w:t>
            </w:r>
          </w:p>
        </w:tc>
        <w:tc>
          <w:tcPr>
            <w:tcW w:type="dxa" w:w="1655"/>
            <w:vAlign w:val="top"/>
          </w:tcPr>
          <w:p>
            <w:pPr>
              <w:spacing w:after="40" w:before="0" w:line="259" w:lineRule="auto"/>
            </w:pPr>
            <w:r>
              <w:rPr>
                <w:rFonts w:ascii="Calibri" w:hAnsi="Calibri"/>
                <w:b w:val="0"/>
                <w:i w:val="0"/>
                <w:color w:val="212121"/>
                <w:sz w:val="19"/>
              </w:rPr>
              <w:t>All ages, food handlers, caregivers</w:t>
            </w:r>
          </w:p>
        </w:tc>
        <w:tc>
          <w:tcPr>
            <w:tcW w:type="dxa" w:w="1512"/>
            <w:vAlign w:val="top"/>
          </w:tcPr>
          <w:p>
            <w:pPr>
              <w:spacing w:after="40" w:before="0" w:line="259" w:lineRule="auto"/>
            </w:pPr>
            <w:r>
              <w:rPr>
                <w:rFonts w:ascii="Calibri" w:hAnsi="Calibri"/>
                <w:b w:val="0"/>
                <w:i w:val="0"/>
                <w:color w:val="212121"/>
                <w:sz w:val="19"/>
              </w:rPr>
              <w:t>Consistent hand-washing at key times</w:t>
            </w:r>
          </w:p>
        </w:tc>
        <w:tc>
          <w:tcPr>
            <w:tcW w:type="dxa" w:w="1512"/>
            <w:vAlign w:val="top"/>
          </w:tcPr>
          <w:p>
            <w:pPr>
              <w:spacing w:after="40" w:before="0" w:line="259" w:lineRule="auto"/>
            </w:pPr>
            <w:r>
              <w:rPr>
                <w:rFonts w:ascii="Calibri" w:hAnsi="Calibri"/>
                <w:b w:val="0"/>
                <w:i w:val="0"/>
                <w:color w:val="212121"/>
                <w:sz w:val="19"/>
              </w:rPr>
              <w:t>Inconsistent hand hygiene</w:t>
            </w:r>
          </w:p>
        </w:tc>
        <w:tc>
          <w:tcPr>
            <w:tcW w:type="dxa" w:w="1468"/>
            <w:vAlign w:val="top"/>
          </w:tcPr>
          <w:p>
            <w:pPr>
              <w:spacing w:after="40" w:before="0" w:line="259" w:lineRule="auto"/>
            </w:pPr>
            <w:r>
              <w:rPr>
                <w:rFonts w:ascii="Calibri" w:hAnsi="Calibri"/>
                <w:b w:val="0"/>
                <w:i w:val="0"/>
                <w:color w:val="212121"/>
                <w:sz w:val="19"/>
              </w:rPr>
              <w:t>Interrupts feco-oral spread of HAV/HEV</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Needle/syringe reuse &amp; injection safety</w:t>
            </w:r>
          </w:p>
        </w:tc>
        <w:tc>
          <w:tcPr>
            <w:tcW w:type="dxa" w:w="1655"/>
            <w:vAlign w:val="top"/>
          </w:tcPr>
          <w:p>
            <w:pPr>
              <w:spacing w:after="40" w:before="0" w:line="259" w:lineRule="auto"/>
            </w:pPr>
            <w:r>
              <w:rPr>
                <w:rFonts w:ascii="Calibri" w:hAnsi="Calibri"/>
                <w:b w:val="0"/>
                <w:i w:val="0"/>
                <w:color w:val="212121"/>
                <w:sz w:val="19"/>
              </w:rPr>
              <w:t>Patients, PWID, health facilities</w:t>
            </w:r>
          </w:p>
        </w:tc>
        <w:tc>
          <w:tcPr>
            <w:tcW w:type="dxa" w:w="1512"/>
            <w:vAlign w:val="top"/>
          </w:tcPr>
          <w:p>
            <w:pPr>
              <w:spacing w:after="40" w:before="0" w:line="259" w:lineRule="auto"/>
            </w:pPr>
            <w:r>
              <w:rPr>
                <w:rFonts w:ascii="Calibri" w:hAnsi="Calibri"/>
                <w:b w:val="0"/>
                <w:i w:val="0"/>
                <w:color w:val="212121"/>
                <w:sz w:val="19"/>
              </w:rPr>
              <w:t>Single-use sterile devices every time</w:t>
            </w:r>
          </w:p>
        </w:tc>
        <w:tc>
          <w:tcPr>
            <w:tcW w:type="dxa" w:w="1512"/>
            <w:vAlign w:val="top"/>
          </w:tcPr>
          <w:p>
            <w:pPr>
              <w:spacing w:after="40" w:before="0" w:line="259" w:lineRule="auto"/>
            </w:pPr>
            <w:r>
              <w:rPr>
                <w:rFonts w:ascii="Calibri" w:hAnsi="Calibri"/>
                <w:b w:val="0"/>
                <w:i w:val="0"/>
                <w:color w:val="212121"/>
                <w:sz w:val="19"/>
              </w:rPr>
              <w:t>Any reuse or sharing of needles/syringes</w:t>
            </w:r>
          </w:p>
        </w:tc>
        <w:tc>
          <w:tcPr>
            <w:tcW w:type="dxa" w:w="1468"/>
            <w:vAlign w:val="top"/>
          </w:tcPr>
          <w:p>
            <w:pPr>
              <w:spacing w:after="40" w:before="0" w:line="259" w:lineRule="auto"/>
            </w:pPr>
            <w:r>
              <w:rPr>
                <w:rFonts w:ascii="Calibri" w:hAnsi="Calibri"/>
                <w:b w:val="0"/>
                <w:i w:val="0"/>
                <w:color w:val="212121"/>
                <w:sz w:val="19"/>
              </w:rPr>
              <w:t>Sharing/reuse transmits HBV, HCV and HDV</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Hepatitis-B vaccination status / anti-HBs titre</w:t>
            </w:r>
          </w:p>
        </w:tc>
        <w:tc>
          <w:tcPr>
            <w:tcW w:type="dxa" w:w="1655"/>
            <w:vAlign w:val="top"/>
          </w:tcPr>
          <w:p>
            <w:pPr>
              <w:spacing w:after="40" w:before="0" w:line="259" w:lineRule="auto"/>
            </w:pPr>
            <w:r>
              <w:rPr>
                <w:rFonts w:ascii="Calibri" w:hAnsi="Calibri"/>
                <w:b w:val="0"/>
                <w:i w:val="0"/>
                <w:color w:val="212121"/>
                <w:sz w:val="19"/>
              </w:rPr>
              <w:t>Infants, healthcare workers, contacts</w:t>
            </w:r>
          </w:p>
        </w:tc>
        <w:tc>
          <w:tcPr>
            <w:tcW w:type="dxa" w:w="1512"/>
            <w:vAlign w:val="top"/>
          </w:tcPr>
          <w:p>
            <w:pPr>
              <w:spacing w:after="40" w:before="0" w:line="259" w:lineRule="auto"/>
            </w:pPr>
            <w:r>
              <w:rPr>
                <w:rFonts w:ascii="Calibri" w:hAnsi="Calibri"/>
                <w:b w:val="0"/>
                <w:i w:val="0"/>
                <w:color w:val="212121"/>
                <w:sz w:val="19"/>
              </w:rPr>
              <w:t>Completed schedule with anti-HBs &gt;= 10 mIU/mL</w:t>
            </w:r>
          </w:p>
        </w:tc>
        <w:tc>
          <w:tcPr>
            <w:tcW w:type="dxa" w:w="1512"/>
            <w:vAlign w:val="top"/>
          </w:tcPr>
          <w:p>
            <w:pPr>
              <w:spacing w:after="40" w:before="0" w:line="259" w:lineRule="auto"/>
            </w:pPr>
            <w:r>
              <w:rPr>
                <w:rFonts w:ascii="Calibri" w:hAnsi="Calibri"/>
                <w:b w:val="0"/>
                <w:i w:val="0"/>
                <w:color w:val="212121"/>
                <w:sz w:val="19"/>
              </w:rPr>
              <w:t>Unvaccinated or anti-HBs &lt; 10 mIU/mL</w:t>
            </w:r>
          </w:p>
        </w:tc>
        <w:tc>
          <w:tcPr>
            <w:tcW w:type="dxa" w:w="1468"/>
            <w:vAlign w:val="top"/>
          </w:tcPr>
          <w:p>
            <w:pPr>
              <w:spacing w:after="40" w:before="0" w:line="259" w:lineRule="auto"/>
            </w:pPr>
            <w:r>
              <w:rPr>
                <w:rFonts w:ascii="Calibri" w:hAnsi="Calibri"/>
                <w:b w:val="0"/>
                <w:i w:val="0"/>
                <w:color w:val="212121"/>
                <w:sz w:val="19"/>
              </w:rPr>
              <w:t>Protective antibody prevents HBV (and thereby HDV)</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Hepatitis-A vaccination status</w:t>
            </w:r>
          </w:p>
        </w:tc>
        <w:tc>
          <w:tcPr>
            <w:tcW w:type="dxa" w:w="1655"/>
            <w:vAlign w:val="top"/>
          </w:tcPr>
          <w:p>
            <w:pPr>
              <w:spacing w:after="40" w:before="0" w:line="259" w:lineRule="auto"/>
            </w:pPr>
            <w:r>
              <w:rPr>
                <w:rFonts w:ascii="Calibri" w:hAnsi="Calibri"/>
                <w:b w:val="0"/>
                <w:i w:val="0"/>
                <w:color w:val="212121"/>
                <w:sz w:val="19"/>
              </w:rPr>
              <w:t>Susceptible adolescents/adults, travellers, CLD patients</w:t>
            </w:r>
          </w:p>
        </w:tc>
        <w:tc>
          <w:tcPr>
            <w:tcW w:type="dxa" w:w="1512"/>
            <w:vAlign w:val="top"/>
          </w:tcPr>
          <w:p>
            <w:pPr>
              <w:spacing w:after="40" w:before="0" w:line="259" w:lineRule="auto"/>
            </w:pPr>
            <w:r>
              <w:rPr>
                <w:rFonts w:ascii="Calibri" w:hAnsi="Calibri"/>
                <w:b w:val="0"/>
                <w:i w:val="0"/>
                <w:color w:val="212121"/>
                <w:sz w:val="19"/>
              </w:rPr>
              <w:t>Two documented doses</w:t>
            </w:r>
          </w:p>
        </w:tc>
        <w:tc>
          <w:tcPr>
            <w:tcW w:type="dxa" w:w="1512"/>
            <w:vAlign w:val="top"/>
          </w:tcPr>
          <w:p>
            <w:pPr>
              <w:spacing w:after="40" w:before="0" w:line="259" w:lineRule="auto"/>
            </w:pPr>
            <w:r>
              <w:rPr>
                <w:rFonts w:ascii="Calibri" w:hAnsi="Calibri"/>
                <w:b w:val="0"/>
                <w:i w:val="0"/>
                <w:color w:val="212121"/>
                <w:sz w:val="19"/>
              </w:rPr>
              <w:t>Non-immune and unvaccinated</w:t>
            </w:r>
          </w:p>
        </w:tc>
        <w:tc>
          <w:tcPr>
            <w:tcW w:type="dxa" w:w="1468"/>
            <w:vAlign w:val="top"/>
          </w:tcPr>
          <w:p>
            <w:pPr>
              <w:spacing w:after="40" w:before="0" w:line="259" w:lineRule="auto"/>
            </w:pPr>
            <w:r>
              <w:rPr>
                <w:rFonts w:ascii="Calibri" w:hAnsi="Calibri"/>
                <w:b w:val="0"/>
                <w:i w:val="0"/>
                <w:color w:val="212121"/>
                <w:sz w:val="19"/>
              </w:rPr>
              <w:t>Protects the growing pool of susceptible Indian adults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in chronic hepatitis</w:t>
            </w:r>
          </w:p>
        </w:tc>
        <w:tc>
          <w:tcPr>
            <w:tcW w:type="dxa" w:w="1655"/>
            <w:vAlign w:val="top"/>
          </w:tcPr>
          <w:p>
            <w:pPr>
              <w:spacing w:after="40" w:before="0" w:line="259" w:lineRule="auto"/>
            </w:pPr>
            <w:r>
              <w:rPr>
                <w:rFonts w:ascii="Calibri" w:hAnsi="Calibri"/>
                <w:b w:val="0"/>
                <w:i w:val="0"/>
                <w:color w:val="212121"/>
                <w:sz w:val="19"/>
              </w:rPr>
              <w:t>Chronic HBV/HCV, cirrhosis</w:t>
            </w:r>
          </w:p>
        </w:tc>
        <w:tc>
          <w:tcPr>
            <w:tcW w:type="dxa" w:w="1512"/>
            <w:vAlign w:val="top"/>
          </w:tcPr>
          <w:p>
            <w:pPr>
              <w:spacing w:after="40" w:before="0" w:line="259" w:lineRule="auto"/>
            </w:pPr>
            <w:r>
              <w:rPr>
                <w:rFonts w:ascii="Calibri" w:hAnsi="Calibri"/>
                <w:b w:val="0"/>
                <w:i w:val="0"/>
                <w:color w:val="212121"/>
                <w:sz w:val="19"/>
              </w:rPr>
              <w:t>Complete abstinence (0 drinks)</w:t>
            </w:r>
          </w:p>
        </w:tc>
        <w:tc>
          <w:tcPr>
            <w:tcW w:type="dxa" w:w="1512"/>
            <w:vAlign w:val="top"/>
          </w:tcPr>
          <w:p>
            <w:pPr>
              <w:spacing w:after="40" w:before="0" w:line="259" w:lineRule="auto"/>
            </w:pPr>
            <w:r>
              <w:rPr>
                <w:rFonts w:ascii="Calibri" w:hAnsi="Calibri"/>
                <w:b w:val="0"/>
                <w:i w:val="0"/>
                <w:color w:val="212121"/>
                <w:sz w:val="19"/>
              </w:rPr>
              <w:t>Any regular alcohol use</w:t>
            </w:r>
          </w:p>
        </w:tc>
        <w:tc>
          <w:tcPr>
            <w:tcW w:type="dxa" w:w="1468"/>
            <w:vAlign w:val="top"/>
          </w:tcPr>
          <w:p>
            <w:pPr>
              <w:spacing w:after="40" w:before="0" w:line="259" w:lineRule="auto"/>
            </w:pPr>
            <w:r>
              <w:rPr>
                <w:rFonts w:ascii="Calibri" w:hAnsi="Calibri"/>
                <w:b w:val="0"/>
                <w:i w:val="0"/>
                <w:color w:val="212121"/>
                <w:sz w:val="19"/>
              </w:rPr>
              <w:t>Alcohol accelerates fibrosis, cirrhosis and HCC</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Chronic HBV/HCV</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raises HCC and fibrosis-progression risk</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Chronic hepatitis, overweight 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kg/m2 (at risk); &gt;= 25 (obese)</w:t>
            </w:r>
          </w:p>
        </w:tc>
        <w:tc>
          <w:tcPr>
            <w:tcW w:type="dxa" w:w="1468"/>
            <w:vAlign w:val="top"/>
          </w:tcPr>
          <w:p>
            <w:pPr>
              <w:spacing w:after="40" w:before="0" w:line="259" w:lineRule="auto"/>
            </w:pPr>
            <w:r>
              <w:rPr>
                <w:rFonts w:ascii="Calibri" w:hAnsi="Calibri"/>
                <w:b w:val="0"/>
                <w:i w:val="0"/>
                <w:color w:val="212121"/>
                <w:sz w:val="19"/>
              </w:rPr>
              <w:t>Coexisting NAFLD accelerates fibrosis in chronic HBV/HCV</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ALT / AST (transaminases)</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ALT ~ 7-40 U/L</w:t>
            </w:r>
          </w:p>
        </w:tc>
        <w:tc>
          <w:tcPr>
            <w:tcW w:type="dxa" w:w="950"/>
            <w:vAlign w:val="top"/>
          </w:tcPr>
          <w:p>
            <w:pPr>
              <w:spacing w:after="40" w:before="0" w:line="259" w:lineRule="auto"/>
            </w:pPr>
            <w:r>
              <w:rPr>
                <w:rFonts w:ascii="Calibri" w:hAnsi="Calibri"/>
                <w:b w:val="0"/>
                <w:i w:val="0"/>
                <w:color w:val="212121"/>
                <w:sz w:val="16"/>
              </w:rPr>
              <w:t>Markedly raised, often &gt; 10x ULN in acute hepatitis</w:t>
            </w:r>
          </w:p>
        </w:tc>
        <w:tc>
          <w:tcPr>
            <w:tcW w:type="dxa" w:w="1036"/>
            <w:vAlign w:val="top"/>
          </w:tcPr>
          <w:p>
            <w:pPr>
              <w:spacing w:after="40" w:before="0" w:line="259" w:lineRule="auto"/>
            </w:pPr>
            <w:r>
              <w:rPr>
                <w:rFonts w:ascii="Calibri" w:hAnsi="Calibri"/>
                <w:b w:val="0"/>
                <w:i w:val="0"/>
                <w:color w:val="212121"/>
                <w:sz w:val="16"/>
              </w:rPr>
              <w:t>Reflects hepatocellular injury; magnitude and trend track disease activity</w:t>
            </w:r>
          </w:p>
        </w:tc>
        <w:tc>
          <w:tcPr>
            <w:tcW w:type="dxa" w:w="1036"/>
            <w:vAlign w:val="top"/>
          </w:tcPr>
          <w:p>
            <w:pPr>
              <w:spacing w:after="40" w:before="0" w:line="259" w:lineRule="auto"/>
            </w:pPr>
            <w:r>
              <w:rPr>
                <w:rFonts w:ascii="Calibri" w:hAnsi="Calibri"/>
                <w:b w:val="0"/>
                <w:i w:val="0"/>
                <w:color w:val="212121"/>
                <w:sz w:val="16"/>
              </w:rPr>
              <w:t>All suspected acute hepatitis, chronic HBV/HCV monitoring</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Very high in acute; may be normal or fluctuating in chronic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bilirubin (total &amp; direct)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Total &lt; 1.2 mg/dL</w:t>
            </w:r>
          </w:p>
        </w:tc>
        <w:tc>
          <w:tcPr>
            <w:tcW w:type="dxa" w:w="950"/>
            <w:vAlign w:val="top"/>
          </w:tcPr>
          <w:p>
            <w:pPr>
              <w:spacing w:after="40" w:before="0" w:line="259" w:lineRule="auto"/>
            </w:pPr>
            <w:r>
              <w:rPr>
                <w:rFonts w:ascii="Calibri" w:hAnsi="Calibri"/>
                <w:b w:val="0"/>
                <w:i w:val="0"/>
                <w:color w:val="212121"/>
                <w:sz w:val="16"/>
              </w:rPr>
              <w:t>Raised, predominantly conjugated</w:t>
            </w:r>
          </w:p>
        </w:tc>
        <w:tc>
          <w:tcPr>
            <w:tcW w:type="dxa" w:w="1036"/>
            <w:vAlign w:val="top"/>
          </w:tcPr>
          <w:p>
            <w:pPr>
              <w:spacing w:after="40" w:before="0" w:line="259" w:lineRule="auto"/>
            </w:pPr>
            <w:r>
              <w:rPr>
                <w:rFonts w:ascii="Calibri" w:hAnsi="Calibri"/>
                <w:b w:val="0"/>
                <w:i w:val="0"/>
                <w:color w:val="212121"/>
                <w:sz w:val="16"/>
              </w:rPr>
              <w:t>Explains jaundice and dark urine; degree reflects severity</w:t>
            </w:r>
          </w:p>
        </w:tc>
        <w:tc>
          <w:tcPr>
            <w:tcW w:type="dxa" w:w="1036"/>
            <w:vAlign w:val="top"/>
          </w:tcPr>
          <w:p>
            <w:pPr>
              <w:spacing w:after="40" w:before="0" w:line="259" w:lineRule="auto"/>
            </w:pPr>
            <w:r>
              <w:rPr>
                <w:rFonts w:ascii="Calibri" w:hAnsi="Calibri"/>
                <w:b w:val="0"/>
                <w:i w:val="0"/>
                <w:color w:val="212121"/>
                <w:sz w:val="16"/>
              </w:rPr>
              <w:t>Icteric patients, cholestatic hepatitis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Prolonged elevation suggests cholestatic HAV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Prothrombin time / INR</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&lt; 1.2</w:t>
            </w:r>
          </w:p>
        </w:tc>
        <w:tc>
          <w:tcPr>
            <w:tcW w:type="dxa" w:w="950"/>
            <w:vAlign w:val="top"/>
          </w:tcPr>
          <w:p>
            <w:pPr>
              <w:spacing w:after="40" w:before="0" w:line="259" w:lineRule="auto"/>
            </w:pPr>
            <w:r>
              <w:rPr>
                <w:rFonts w:ascii="Calibri" w:hAnsi="Calibri"/>
                <w:b w:val="0"/>
                <w:i w:val="0"/>
                <w:color w:val="212121"/>
                <w:sz w:val="16"/>
              </w:rPr>
              <w:t>Prolonged (INR &gt;= 1.5)</w:t>
            </w:r>
          </w:p>
        </w:tc>
        <w:tc>
          <w:tcPr>
            <w:tcW w:type="dxa" w:w="1036"/>
            <w:vAlign w:val="top"/>
          </w:tcPr>
          <w:p>
            <w:pPr>
              <w:spacing w:after="40" w:before="0" w:line="259" w:lineRule="auto"/>
            </w:pPr>
            <w:r>
              <w:rPr>
                <w:rFonts w:ascii="Calibri" w:hAnsi="Calibri"/>
                <w:b w:val="0"/>
                <w:i w:val="0"/>
                <w:color w:val="212121"/>
                <w:sz w:val="16"/>
              </w:rPr>
              <w:t>Best marker of synthetic liver failure; defines acute liver failure</w:t>
            </w:r>
          </w:p>
        </w:tc>
        <w:tc>
          <w:tcPr>
            <w:tcW w:type="dxa" w:w="1036"/>
            <w:vAlign w:val="top"/>
          </w:tcPr>
          <w:p>
            <w:pPr>
              <w:spacing w:after="40" w:before="0" w:line="259" w:lineRule="auto"/>
            </w:pPr>
            <w:r>
              <w:rPr>
                <w:rFonts w:ascii="Calibri" w:hAnsi="Calibri"/>
                <w:b w:val="0"/>
                <w:i w:val="0"/>
                <w:color w:val="212121"/>
                <w:sz w:val="16"/>
              </w:rPr>
              <w:t>Severe/fulminant hepatitis, HEV in pregnancy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gold standard for severity</w:t>
            </w:r>
          </w:p>
        </w:tc>
        <w:tc>
          <w:tcPr>
            <w:tcW w:type="dxa" w:w="720"/>
            <w:vAlign w:val="top"/>
          </w:tcPr>
          <w:p>
            <w:pPr>
              <w:spacing w:after="40" w:before="0" w:line="259" w:lineRule="auto"/>
            </w:pPr>
            <w:r>
              <w:rPr>
                <w:rFonts w:ascii="Calibri" w:hAnsi="Calibri"/>
                <w:b w:val="0"/>
                <w:i w:val="0"/>
                <w:color w:val="212121"/>
                <w:sz w:val="16"/>
              </w:rPr>
              <w:t>Rising INR mandates urgent referral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Anti-HAV IgM</w:t>
            </w:r>
          </w:p>
        </w:tc>
        <w:tc>
          <w:tcPr>
            <w:tcW w:type="dxa" w:w="892"/>
            <w:vAlign w:val="top"/>
          </w:tcPr>
          <w:p>
            <w:pPr>
              <w:spacing w:after="40" w:before="0" w:line="259" w:lineRule="auto"/>
            </w:pPr>
            <w:r>
              <w:rPr>
                <w:rFonts w:ascii="Calibri" w:hAnsi="Calibri"/>
                <w:b w:val="0"/>
                <w:i w:val="0"/>
                <w:color w:val="212121"/>
                <w:sz w:val="16"/>
              </w:rPr>
              <w:t>Hepatitis A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acute hepatitis A</w:t>
            </w:r>
          </w:p>
        </w:tc>
        <w:tc>
          <w:tcPr>
            <w:tcW w:type="dxa" w:w="1036"/>
            <w:vAlign w:val="top"/>
          </w:tcPr>
          <w:p>
            <w:pPr>
              <w:spacing w:after="40" w:before="0" w:line="259" w:lineRule="auto"/>
            </w:pPr>
            <w:r>
              <w:rPr>
                <w:rFonts w:ascii="Calibri" w:hAnsi="Calibri"/>
                <w:b w:val="0"/>
                <w:i w:val="0"/>
                <w:color w:val="212121"/>
                <w:sz w:val="16"/>
              </w:rPr>
              <w:t>Acute hepatitis, susceptible adults, outbreaks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IgG indicates past infection or vaccination (immunity)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HBsAg and anti-HBc IgM</w:t>
            </w:r>
          </w:p>
        </w:tc>
        <w:tc>
          <w:tcPr>
            <w:tcW w:type="dxa" w:w="892"/>
            <w:vAlign w:val="top"/>
          </w:tcPr>
          <w:p>
            <w:pPr>
              <w:spacing w:after="40" w:before="0" w:line="259" w:lineRule="auto"/>
            </w:pPr>
            <w:r>
              <w:rPr>
                <w:rFonts w:ascii="Calibri" w:hAnsi="Calibri"/>
                <w:b w:val="0"/>
                <w:i w:val="0"/>
                <w:color w:val="212121"/>
                <w:sz w:val="16"/>
              </w:rPr>
              <w:t>Hepatitis B serology</w:t>
            </w:r>
          </w:p>
        </w:tc>
        <w:tc>
          <w:tcPr>
            <w:tcW w:type="dxa" w:w="950"/>
            <w:vAlign w:val="top"/>
          </w:tcPr>
          <w:p>
            <w:pPr>
              <w:spacing w:after="40" w:before="0" w:line="259" w:lineRule="auto"/>
            </w:pPr>
            <w:r>
              <w:rPr>
                <w:rFonts w:ascii="Calibri" w:hAnsi="Calibri"/>
                <w:b w:val="0"/>
                <w:i w:val="0"/>
                <w:color w:val="212121"/>
                <w:sz w:val="16"/>
              </w:rPr>
              <w:t>HBsAg negative</w:t>
            </w:r>
          </w:p>
        </w:tc>
        <w:tc>
          <w:tcPr>
            <w:tcW w:type="dxa" w:w="950"/>
            <w:vAlign w:val="top"/>
          </w:tcPr>
          <w:p>
            <w:pPr>
              <w:spacing w:after="40" w:before="0" w:line="259" w:lineRule="auto"/>
            </w:pPr>
            <w:r>
              <w:rPr>
                <w:rFonts w:ascii="Calibri" w:hAnsi="Calibri"/>
                <w:b w:val="0"/>
                <w:i w:val="0"/>
                <w:color w:val="212121"/>
                <w:sz w:val="16"/>
              </w:rPr>
              <w:t>HBsAg positive</w:t>
            </w:r>
          </w:p>
        </w:tc>
        <w:tc>
          <w:tcPr>
            <w:tcW w:type="dxa" w:w="1036"/>
            <w:vAlign w:val="top"/>
          </w:tcPr>
          <w:p>
            <w:pPr>
              <w:spacing w:after="40" w:before="0" w:line="259" w:lineRule="auto"/>
            </w:pPr>
            <w:r>
              <w:rPr>
                <w:rFonts w:ascii="Calibri" w:hAnsi="Calibri"/>
                <w:b w:val="0"/>
                <w:i w:val="0"/>
                <w:color w:val="212121"/>
                <w:sz w:val="16"/>
              </w:rPr>
              <w:t>HBsAg = current HBV infection; anti-HBc IgM = acute; HBsAg &gt; 6 months = chronic</w:t>
            </w:r>
          </w:p>
        </w:tc>
        <w:tc>
          <w:tcPr>
            <w:tcW w:type="dxa" w:w="1036"/>
            <w:vAlign w:val="top"/>
          </w:tcPr>
          <w:p>
            <w:pPr>
              <w:spacing w:after="40" w:before="0" w:line="259" w:lineRule="auto"/>
            </w:pPr>
            <w:r>
              <w:rPr>
                <w:rFonts w:ascii="Calibri" w:hAnsi="Calibri"/>
                <w:b w:val="0"/>
                <w:i w:val="0"/>
                <w:color w:val="212121"/>
                <w:sz w:val="16"/>
              </w:rPr>
              <w:t>Acute hepatitis, chronic carriers, pregnant women,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Also screen anti-HBc and anti-HBs to stage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HBV DNA (with HBeAg)</w:t>
            </w:r>
          </w:p>
        </w:tc>
        <w:tc>
          <w:tcPr>
            <w:tcW w:type="dxa" w:w="892"/>
            <w:vAlign w:val="top"/>
          </w:tcPr>
          <w:p>
            <w:pPr>
              <w:spacing w:after="40" w:before="0" w:line="259" w:lineRule="auto"/>
            </w:pPr>
            <w:r>
              <w:rPr>
                <w:rFonts w:ascii="Calibri" w:hAnsi="Calibri"/>
                <w:b w:val="0"/>
                <w:i w:val="0"/>
                <w:color w:val="212121"/>
                <w:sz w:val="16"/>
              </w:rPr>
              <w:t>HBV viral load</w:t>
            </w:r>
          </w:p>
        </w:tc>
        <w:tc>
          <w:tcPr>
            <w:tcW w:type="dxa" w:w="950"/>
            <w:vAlign w:val="top"/>
          </w:tcPr>
          <w:p>
            <w:pPr>
              <w:spacing w:after="40" w:before="0" w:line="259" w:lineRule="auto"/>
            </w:pPr>
            <w:r>
              <w:rPr>
                <w:rFonts w:ascii="Calibri" w:hAnsi="Calibri"/>
                <w:b w:val="0"/>
                <w:i w:val="0"/>
                <w:color w:val="212121"/>
                <w:sz w:val="16"/>
              </w:rPr>
              <w:t>Undetectable / low</w:t>
            </w:r>
          </w:p>
        </w:tc>
        <w:tc>
          <w:tcPr>
            <w:tcW w:type="dxa" w:w="950"/>
            <w:vAlign w:val="top"/>
          </w:tcPr>
          <w:p>
            <w:pPr>
              <w:spacing w:after="40" w:before="0" w:line="259" w:lineRule="auto"/>
            </w:pPr>
            <w:r>
              <w:rPr>
                <w:rFonts w:ascii="Calibri" w:hAnsi="Calibri"/>
                <w:b w:val="0"/>
                <w:i w:val="0"/>
                <w:color w:val="212121"/>
                <w:sz w:val="16"/>
              </w:rPr>
              <w:t>High viral load</w:t>
            </w:r>
          </w:p>
        </w:tc>
        <w:tc>
          <w:tcPr>
            <w:tcW w:type="dxa" w:w="1036"/>
            <w:vAlign w:val="top"/>
          </w:tcPr>
          <w:p>
            <w:pPr>
              <w:spacing w:after="40" w:before="0" w:line="259" w:lineRule="auto"/>
            </w:pPr>
            <w:r>
              <w:rPr>
                <w:rFonts w:ascii="Calibri" w:hAnsi="Calibri"/>
                <w:b w:val="0"/>
                <w:i w:val="0"/>
                <w:color w:val="212121"/>
                <w:sz w:val="16"/>
              </w:rPr>
              <w:t>Quantifies replication and infectivity; guides antiviral therapy and monitoring</w:t>
            </w:r>
          </w:p>
        </w:tc>
        <w:tc>
          <w:tcPr>
            <w:tcW w:type="dxa" w:w="1036"/>
            <w:vAlign w:val="top"/>
          </w:tcPr>
          <w:p>
            <w:pPr>
              <w:spacing w:after="40" w:before="0" w:line="259" w:lineRule="auto"/>
            </w:pPr>
            <w:r>
              <w:rPr>
                <w:rFonts w:ascii="Calibri" w:hAnsi="Calibri"/>
                <w:b w:val="0"/>
                <w:i w:val="0"/>
                <w:color w:val="212121"/>
                <w:sz w:val="16"/>
              </w:rPr>
              <w:t>Chronic HBV, pregnant HBsAg-positive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High maternal DNA warrants antiviral to cut perinatal transmission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Anti-HCV antibody</w:t>
            </w:r>
          </w:p>
        </w:tc>
        <w:tc>
          <w:tcPr>
            <w:tcW w:type="dxa" w:w="892"/>
            <w:vAlign w:val="top"/>
          </w:tcPr>
          <w:p>
            <w:pPr>
              <w:spacing w:after="40" w:before="0" w:line="259" w:lineRule="auto"/>
            </w:pPr>
            <w:r>
              <w:rPr>
                <w:rFonts w:ascii="Calibri" w:hAnsi="Calibri"/>
                <w:b w:val="0"/>
                <w:i w:val="0"/>
                <w:color w:val="212121"/>
                <w:sz w:val="16"/>
              </w:rPr>
              <w:t>Hepatitis C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Indicates HCV exposure; must be confirmed with RNA for active infection</w:t>
            </w:r>
          </w:p>
        </w:tc>
        <w:tc>
          <w:tcPr>
            <w:tcW w:type="dxa" w:w="1036"/>
            <w:vAlign w:val="top"/>
          </w:tcPr>
          <w:p>
            <w:pPr>
              <w:spacing w:after="40" w:before="0" w:line="259" w:lineRule="auto"/>
            </w:pPr>
            <w:r>
              <w:rPr>
                <w:rFonts w:ascii="Calibri" w:hAnsi="Calibri"/>
                <w:b w:val="0"/>
                <w:i w:val="0"/>
                <w:color w:val="212121"/>
                <w:sz w:val="16"/>
              </w:rPr>
              <w:t>PWID, transfusion/dialysis recipients, Punjab/NE residents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Antibody persists after cure - not a marker of active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HCV RNA (PCR) and genotype</w:t>
            </w:r>
          </w:p>
        </w:tc>
        <w:tc>
          <w:tcPr>
            <w:tcW w:type="dxa" w:w="892"/>
            <w:vAlign w:val="top"/>
          </w:tcPr>
          <w:p>
            <w:pPr>
              <w:spacing w:after="40" w:before="0" w:line="259" w:lineRule="auto"/>
            </w:pPr>
            <w:r>
              <w:rPr>
                <w:rFonts w:ascii="Calibri" w:hAnsi="Calibri"/>
                <w:b w:val="0"/>
                <w:i w:val="0"/>
                <w:color w:val="212121"/>
                <w:sz w:val="16"/>
              </w:rPr>
              <w:t>HCV confirmatory test</w:t>
            </w:r>
          </w:p>
        </w:tc>
        <w:tc>
          <w:tcPr>
            <w:tcW w:type="dxa" w:w="950"/>
            <w:vAlign w:val="top"/>
          </w:tcPr>
          <w:p>
            <w:pPr>
              <w:spacing w:after="40" w:before="0" w:line="259" w:lineRule="auto"/>
            </w:pPr>
            <w:r>
              <w:rPr>
                <w:rFonts w:ascii="Calibri" w:hAnsi="Calibri"/>
                <w:b w:val="0"/>
                <w:i w:val="0"/>
                <w:color w:val="212121"/>
                <w:sz w:val="16"/>
              </w:rPr>
              <w:t>Undetectable</w:t>
            </w:r>
          </w:p>
        </w:tc>
        <w:tc>
          <w:tcPr>
            <w:tcW w:type="dxa" w:w="950"/>
            <w:vAlign w:val="top"/>
          </w:tcPr>
          <w:p>
            <w:pPr>
              <w:spacing w:after="40" w:before="0" w:line="259" w:lineRule="auto"/>
            </w:pPr>
            <w:r>
              <w:rPr>
                <w:rFonts w:ascii="Calibri" w:hAnsi="Calibri"/>
                <w:b w:val="0"/>
                <w:i w:val="0"/>
                <w:color w:val="212121"/>
                <w:sz w:val="16"/>
              </w:rPr>
              <w:t>Detectable HCV RNA</w:t>
            </w:r>
          </w:p>
        </w:tc>
        <w:tc>
          <w:tcPr>
            <w:tcW w:type="dxa" w:w="1036"/>
            <w:vAlign w:val="top"/>
          </w:tcPr>
          <w:p>
            <w:pPr>
              <w:spacing w:after="40" w:before="0" w:line="259" w:lineRule="auto"/>
            </w:pPr>
            <w:r>
              <w:rPr>
                <w:rFonts w:ascii="Calibri" w:hAnsi="Calibri"/>
                <w:b w:val="0"/>
                <w:i w:val="0"/>
                <w:color w:val="212121"/>
                <w:sz w:val="16"/>
              </w:rPr>
              <w:t>Confirms active infection; genotype guides direct-acting antiviral choice</w:t>
            </w:r>
          </w:p>
        </w:tc>
        <w:tc>
          <w:tcPr>
            <w:tcW w:type="dxa" w:w="1036"/>
            <w:vAlign w:val="top"/>
          </w:tcPr>
          <w:p>
            <w:pPr>
              <w:spacing w:after="40" w:before="0" w:line="259" w:lineRule="auto"/>
            </w:pPr>
            <w:r>
              <w:rPr>
                <w:rFonts w:ascii="Calibri" w:hAnsi="Calibri"/>
                <w:b w:val="0"/>
                <w:i w:val="0"/>
                <w:color w:val="212121"/>
                <w:sz w:val="16"/>
              </w:rPr>
              <w:t>Anti-HCV-positive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Genotype 3 predominates in India; sustained virologic response = cure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 / Molecular</w:t>
            </w:r>
          </w:p>
        </w:tc>
        <w:tc>
          <w:tcPr>
            <w:tcW w:type="dxa" w:w="1036"/>
            <w:vAlign w:val="top"/>
          </w:tcPr>
          <w:p>
            <w:pPr>
              <w:spacing w:after="40" w:before="0" w:line="259" w:lineRule="auto"/>
            </w:pPr>
            <w:r>
              <w:rPr>
                <w:rFonts w:ascii="Calibri" w:hAnsi="Calibri"/>
                <w:b w:val="0"/>
                <w:i w:val="0"/>
                <w:color w:val="212121"/>
                <w:sz w:val="16"/>
              </w:rPr>
              <w:t>Anti-HDV antibody / HDV RNA</w:t>
            </w:r>
          </w:p>
        </w:tc>
        <w:tc>
          <w:tcPr>
            <w:tcW w:type="dxa" w:w="892"/>
            <w:vAlign w:val="top"/>
          </w:tcPr>
          <w:p>
            <w:pPr>
              <w:spacing w:after="40" w:before="0" w:line="259" w:lineRule="auto"/>
            </w:pPr>
            <w:r>
              <w:rPr>
                <w:rFonts w:ascii="Calibri" w:hAnsi="Calibri"/>
                <w:b w:val="0"/>
                <w:i w:val="0"/>
                <w:color w:val="212121"/>
                <w:sz w:val="16"/>
              </w:rPr>
              <w:t>Hepatitis D testing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Detects delta coinfection/superinfection in HBsAg-positive patients; predicts severe disease</w:t>
            </w:r>
          </w:p>
        </w:tc>
        <w:tc>
          <w:tcPr>
            <w:tcW w:type="dxa" w:w="1036"/>
            <w:vAlign w:val="top"/>
          </w:tcPr>
          <w:p>
            <w:pPr>
              <w:spacing w:after="40" w:before="0" w:line="259" w:lineRule="auto"/>
            </w:pPr>
            <w:r>
              <w:rPr>
                <w:rFonts w:ascii="Calibri" w:hAnsi="Calibri"/>
                <w:b w:val="0"/>
                <w:i w:val="0"/>
                <w:color w:val="212121"/>
                <w:sz w:val="16"/>
              </w:rPr>
              <w:t>HBsAg-positive, fulminant or rapidly worsening HBV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 all HBsAg-positive patients at least once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Anti-HEV IgM (with HEV RNA)</w:t>
            </w:r>
          </w:p>
        </w:tc>
        <w:tc>
          <w:tcPr>
            <w:tcW w:type="dxa" w:w="892"/>
            <w:vAlign w:val="top"/>
          </w:tcPr>
          <w:p>
            <w:pPr>
              <w:spacing w:after="40" w:before="0" w:line="259" w:lineRule="auto"/>
            </w:pPr>
            <w:r>
              <w:rPr>
                <w:rFonts w:ascii="Calibri" w:hAnsi="Calibri"/>
                <w:b w:val="0"/>
                <w:i w:val="0"/>
                <w:color w:val="212121"/>
                <w:sz w:val="16"/>
              </w:rPr>
              <w:t>Hepatitis E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acute hepatitis E - important in pregnancy and outbreaks</w:t>
            </w:r>
          </w:p>
        </w:tc>
        <w:tc>
          <w:tcPr>
            <w:tcW w:type="dxa" w:w="1036"/>
            <w:vAlign w:val="top"/>
          </w:tcPr>
          <w:p>
            <w:pPr>
              <w:spacing w:after="40" w:before="0" w:line="259" w:lineRule="auto"/>
            </w:pPr>
            <w:r>
              <w:rPr>
                <w:rFonts w:ascii="Calibri" w:hAnsi="Calibri"/>
                <w:b w:val="0"/>
                <w:i w:val="0"/>
                <w:color w:val="212121"/>
                <w:sz w:val="16"/>
              </w:rPr>
              <w:t>Acute hepatitis, pregnant women, outbreak clusters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HEV RNA useful early and in immunosuppressed/chronic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Tumour marker</w:t>
            </w:r>
          </w:p>
        </w:tc>
        <w:tc>
          <w:tcPr>
            <w:tcW w:type="dxa" w:w="1036"/>
            <w:vAlign w:val="top"/>
          </w:tcPr>
          <w:p>
            <w:pPr>
              <w:spacing w:after="40" w:before="0" w:line="259" w:lineRule="auto"/>
            </w:pPr>
            <w:r>
              <w:rPr>
                <w:rFonts w:ascii="Calibri" w:hAnsi="Calibri"/>
                <w:b w:val="0"/>
                <w:i w:val="0"/>
                <w:color w:val="212121"/>
                <w:sz w:val="16"/>
              </w:rPr>
              <w:t>Ultrasound abdomen + alpha-fetoprotein (AFP)</w:t>
            </w:r>
          </w:p>
        </w:tc>
        <w:tc>
          <w:tcPr>
            <w:tcW w:type="dxa" w:w="892"/>
            <w:vAlign w:val="top"/>
          </w:tcPr>
          <w:p>
            <w:pPr>
              <w:spacing w:after="40" w:before="0" w:line="259" w:lineRule="auto"/>
            </w:pPr>
            <w:r>
              <w:rPr>
                <w:rFonts w:ascii="Calibri" w:hAnsi="Calibri"/>
                <w:b w:val="0"/>
                <w:i w:val="0"/>
                <w:color w:val="212121"/>
                <w:sz w:val="16"/>
              </w:rPr>
              <w:t>HCC &amp; cirrhosis surveillance</w:t>
            </w:r>
          </w:p>
        </w:tc>
        <w:tc>
          <w:tcPr>
            <w:tcW w:type="dxa" w:w="950"/>
            <w:vAlign w:val="top"/>
          </w:tcPr>
          <w:p>
            <w:pPr>
              <w:spacing w:after="40" w:before="0" w:line="259" w:lineRule="auto"/>
            </w:pPr>
            <w:r>
              <w:rPr>
                <w:rFonts w:ascii="Calibri" w:hAnsi="Calibri"/>
                <w:b w:val="0"/>
                <w:i w:val="0"/>
                <w:color w:val="212121"/>
                <w:sz w:val="16"/>
              </w:rPr>
              <w:t>Normal liver, AFP &lt; 10 ng/mL</w:t>
            </w:r>
          </w:p>
        </w:tc>
        <w:tc>
          <w:tcPr>
            <w:tcW w:type="dxa" w:w="950"/>
            <w:vAlign w:val="top"/>
          </w:tcPr>
          <w:p>
            <w:pPr>
              <w:spacing w:after="40" w:before="0" w:line="259" w:lineRule="auto"/>
            </w:pPr>
            <w:r>
              <w:rPr>
                <w:rFonts w:ascii="Calibri" w:hAnsi="Calibri"/>
                <w:b w:val="0"/>
                <w:i w:val="0"/>
                <w:color w:val="212121"/>
                <w:sz w:val="16"/>
              </w:rPr>
              <w:t>Coarse/nodular liver, focal lesion, rising AFP</w:t>
            </w:r>
          </w:p>
        </w:tc>
        <w:tc>
          <w:tcPr>
            <w:tcW w:type="dxa" w:w="1036"/>
            <w:vAlign w:val="top"/>
          </w:tcPr>
          <w:p>
            <w:pPr>
              <w:spacing w:after="40" w:before="0" w:line="259" w:lineRule="auto"/>
            </w:pPr>
            <w:r>
              <w:rPr>
                <w:rFonts w:ascii="Calibri" w:hAnsi="Calibri"/>
                <w:b w:val="0"/>
                <w:i w:val="0"/>
                <w:color w:val="212121"/>
                <w:sz w:val="16"/>
              </w:rPr>
              <w:t>Detects cirrhosis and early hepatocellular carcinoma</w:t>
            </w:r>
          </w:p>
        </w:tc>
        <w:tc>
          <w:tcPr>
            <w:tcW w:type="dxa" w:w="1036"/>
            <w:vAlign w:val="top"/>
          </w:tcPr>
          <w:p>
            <w:pPr>
              <w:spacing w:after="40" w:before="0" w:line="259" w:lineRule="auto"/>
            </w:pPr>
            <w:r>
              <w:rPr>
                <w:rFonts w:ascii="Calibri" w:hAnsi="Calibri"/>
                <w:b w:val="0"/>
                <w:i w:val="0"/>
                <w:color w:val="212121"/>
                <w:sz w:val="16"/>
              </w:rPr>
              <w:t>Chronic HBV/HCV, cirrhosis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Surveillance</w:t>
            </w:r>
          </w:p>
        </w:tc>
        <w:tc>
          <w:tcPr>
            <w:tcW w:type="dxa" w:w="720"/>
            <w:vAlign w:val="top"/>
          </w:tcPr>
          <w:p>
            <w:pPr>
              <w:spacing w:after="40" w:before="0" w:line="259" w:lineRule="auto"/>
            </w:pPr>
            <w:r>
              <w:rPr>
                <w:rFonts w:ascii="Calibri" w:hAnsi="Calibri"/>
                <w:b w:val="0"/>
                <w:i w:val="0"/>
                <w:color w:val="212121"/>
                <w:sz w:val="16"/>
              </w:rPr>
              <w:t>6-monthly screening recommended in chronic HBV and cirrhosis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Jaundice, fatigue, anorexia, nausea, dark urine, pale stools, RUQ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features of acute hepatitis</w:t>
            </w:r>
          </w:p>
        </w:tc>
        <w:tc>
          <w:tcPr>
            <w:tcW w:type="dxa" w:w="1036"/>
            <w:vAlign w:val="top"/>
          </w:tcPr>
          <w:p>
            <w:pPr>
              <w:spacing w:after="40" w:before="0" w:line="259" w:lineRule="auto"/>
            </w:pPr>
            <w:r>
              <w:rPr>
                <w:rFonts w:ascii="Calibri" w:hAnsi="Calibri"/>
                <w:b w:val="0"/>
                <w:i w:val="0"/>
                <w:color w:val="212121"/>
                <w:sz w:val="16"/>
              </w:rPr>
              <w:t>Acute hepatitis of any cause</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Chronic HBV/HCV may be silent for years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risk history</w:t>
            </w:r>
          </w:p>
        </w:tc>
        <w:tc>
          <w:tcPr>
            <w:tcW w:type="dxa" w:w="979"/>
            <w:vAlign w:val="top"/>
          </w:tcPr>
          <w:p>
            <w:pPr>
              <w:spacing w:after="40" w:before="0" w:line="259" w:lineRule="auto"/>
            </w:pPr>
            <w:r>
              <w:rPr>
                <w:rFonts w:ascii="Calibri" w:hAnsi="Calibri"/>
                <w:b w:val="0"/>
                <w:i w:val="0"/>
                <w:color w:val="212121"/>
                <w:sz w:val="16"/>
              </w:rPr>
              <w:t>Travel/water, injections, transfusion, surgery, tattoos, IDU, sexual, occupational, pregnancy</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One or more exposures</w:t>
            </w:r>
          </w:p>
        </w:tc>
        <w:tc>
          <w:tcPr>
            <w:tcW w:type="dxa" w:w="1036"/>
            <w:vAlign w:val="top"/>
          </w:tcPr>
          <w:p>
            <w:pPr>
              <w:spacing w:after="40" w:before="0" w:line="259" w:lineRule="auto"/>
            </w:pPr>
            <w:r>
              <w:rPr>
                <w:rFonts w:ascii="Calibri" w:hAnsi="Calibri"/>
                <w:b w:val="0"/>
                <w:i w:val="0"/>
                <w:color w:val="212121"/>
                <w:sz w:val="16"/>
              </w:rPr>
              <w:t>Points to the likely virus and route</w:t>
            </w:r>
          </w:p>
        </w:tc>
        <w:tc>
          <w:tcPr>
            <w:tcW w:type="dxa" w:w="1036"/>
            <w:vAlign w:val="top"/>
          </w:tcPr>
          <w:p>
            <w:pPr>
              <w:spacing w:after="40" w:before="0" w:line="259" w:lineRule="auto"/>
            </w:pPr>
            <w:r>
              <w:rPr>
                <w:rFonts w:ascii="Calibri" w:hAnsi="Calibri"/>
                <w:b w:val="0"/>
                <w:i w:val="0"/>
                <w:color w:val="212121"/>
                <w:sz w:val="16"/>
              </w:rPr>
              <w:t>All suspected hepatitis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which serologies to order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history</w:t>
            </w:r>
          </w:p>
        </w:tc>
        <w:tc>
          <w:tcPr>
            <w:tcW w:type="dxa" w:w="979"/>
            <w:vAlign w:val="top"/>
          </w:tcPr>
          <w:p>
            <w:pPr>
              <w:spacing w:after="40" w:before="0" w:line="259" w:lineRule="auto"/>
            </w:pPr>
            <w:r>
              <w:rPr>
                <w:rFonts w:ascii="Calibri" w:hAnsi="Calibri"/>
                <w:b w:val="0"/>
                <w:i w:val="0"/>
                <w:color w:val="212121"/>
                <w:sz w:val="16"/>
              </w:rPr>
              <w:t>Hepatitis A and B vaccination status</w:t>
            </w:r>
          </w:p>
        </w:tc>
        <w:tc>
          <w:tcPr>
            <w:tcW w:type="dxa" w:w="950"/>
            <w:vAlign w:val="top"/>
          </w:tcPr>
          <w:p>
            <w:pPr>
              <w:spacing w:after="40" w:before="0" w:line="259" w:lineRule="auto"/>
            </w:pPr>
            <w:r>
              <w:rPr>
                <w:rFonts w:ascii="Calibri" w:hAnsi="Calibri"/>
                <w:b w:val="0"/>
                <w:i w:val="0"/>
                <w:color w:val="212121"/>
                <w:sz w:val="16"/>
              </w:rPr>
              <w:t>Fully immunised</w:t>
            </w:r>
          </w:p>
        </w:tc>
        <w:tc>
          <w:tcPr>
            <w:tcW w:type="dxa" w:w="950"/>
            <w:vAlign w:val="top"/>
          </w:tcPr>
          <w:p>
            <w:pPr>
              <w:spacing w:after="40" w:before="0" w:line="259" w:lineRule="auto"/>
            </w:pPr>
            <w:r>
              <w:rPr>
                <w:rFonts w:ascii="Calibri" w:hAnsi="Calibri"/>
                <w:b w:val="0"/>
                <w:i w:val="0"/>
                <w:color w:val="212121"/>
                <w:sz w:val="16"/>
              </w:rPr>
              <w:t>Unvaccinated / incomplete</w:t>
            </w:r>
          </w:p>
        </w:tc>
        <w:tc>
          <w:tcPr>
            <w:tcW w:type="dxa" w:w="1036"/>
            <w:vAlign w:val="top"/>
          </w:tcPr>
          <w:p>
            <w:pPr>
              <w:spacing w:after="40" w:before="0" w:line="259" w:lineRule="auto"/>
            </w:pPr>
            <w:r>
              <w:rPr>
                <w:rFonts w:ascii="Calibri" w:hAnsi="Calibri"/>
                <w:b w:val="0"/>
                <w:i w:val="0"/>
                <w:color w:val="212121"/>
                <w:sz w:val="16"/>
              </w:rPr>
              <w:t>Identifies preventable susceptibility</w:t>
            </w:r>
          </w:p>
        </w:tc>
        <w:tc>
          <w:tcPr>
            <w:tcW w:type="dxa" w:w="1036"/>
            <w:vAlign w:val="top"/>
          </w:tcPr>
          <w:p>
            <w:pPr>
              <w:spacing w:after="40" w:before="0" w:line="259" w:lineRule="auto"/>
            </w:pPr>
            <w:r>
              <w:rPr>
                <w:rFonts w:ascii="Calibri" w:hAnsi="Calibri"/>
                <w:b w:val="0"/>
                <w:i w:val="0"/>
                <w:color w:val="212121"/>
                <w:sz w:val="16"/>
              </w:rPr>
              <w:t>Children, healthcare workers, travellers,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Prompts catch-up vaccination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 household history</w:t>
            </w:r>
          </w:p>
        </w:tc>
        <w:tc>
          <w:tcPr>
            <w:tcW w:type="dxa" w:w="979"/>
            <w:vAlign w:val="top"/>
          </w:tcPr>
          <w:p>
            <w:pPr>
              <w:spacing w:after="40" w:before="0" w:line="259" w:lineRule="auto"/>
            </w:pPr>
            <w:r>
              <w:rPr>
                <w:rFonts w:ascii="Calibri" w:hAnsi="Calibri"/>
                <w:b w:val="0"/>
                <w:i w:val="0"/>
                <w:color w:val="212121"/>
                <w:sz w:val="16"/>
              </w:rPr>
              <w:t>HBsAg-positive mother or contacts, family history of HCC</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family/household history</w:t>
            </w:r>
          </w:p>
        </w:tc>
        <w:tc>
          <w:tcPr>
            <w:tcW w:type="dxa" w:w="1036"/>
            <w:vAlign w:val="top"/>
          </w:tcPr>
          <w:p>
            <w:pPr>
              <w:spacing w:after="40" w:before="0" w:line="259" w:lineRule="auto"/>
            </w:pPr>
            <w:r>
              <w:rPr>
                <w:rFonts w:ascii="Calibri" w:hAnsi="Calibri"/>
                <w:b w:val="0"/>
                <w:i w:val="0"/>
                <w:color w:val="212121"/>
                <w:sz w:val="16"/>
              </w:rPr>
              <w:t>Flags perinatal/household HBV and cancer risk</w:t>
            </w:r>
          </w:p>
        </w:tc>
        <w:tc>
          <w:tcPr>
            <w:tcW w:type="dxa" w:w="1036"/>
            <w:vAlign w:val="top"/>
          </w:tcPr>
          <w:p>
            <w:pPr>
              <w:spacing w:after="40" w:before="0" w:line="259" w:lineRule="auto"/>
            </w:pPr>
            <w:r>
              <w:rPr>
                <w:rFonts w:ascii="Calibri" w:hAnsi="Calibri"/>
                <w:b w:val="0"/>
                <w:i w:val="0"/>
                <w:color w:val="212121"/>
                <w:sz w:val="16"/>
              </w:rPr>
              <w:t>Infants of carriers, household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Trigger contact screening and vaccination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Icterus &amp; hepatomegaly</w:t>
            </w:r>
          </w:p>
        </w:tc>
        <w:tc>
          <w:tcPr>
            <w:tcW w:type="dxa" w:w="979"/>
            <w:vAlign w:val="top"/>
          </w:tcPr>
          <w:p>
            <w:pPr>
              <w:spacing w:after="40" w:before="0" w:line="259" w:lineRule="auto"/>
            </w:pPr>
            <w:r>
              <w:rPr>
                <w:rFonts w:ascii="Calibri" w:hAnsi="Calibri"/>
                <w:b w:val="0"/>
                <w:i w:val="0"/>
                <w:color w:val="212121"/>
                <w:sz w:val="16"/>
              </w:rPr>
              <w:t>Scleral icterus, tender hepatomegaly, RUQ tenderness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Confirms clinical hepatitis and tender liver</w:t>
            </w:r>
          </w:p>
        </w:tc>
        <w:tc>
          <w:tcPr>
            <w:tcW w:type="dxa" w:w="1036"/>
            <w:vAlign w:val="top"/>
          </w:tcPr>
          <w:p>
            <w:pPr>
              <w:spacing w:after="40" w:before="0" w:line="259" w:lineRule="auto"/>
            </w:pPr>
            <w:r>
              <w:rPr>
                <w:rFonts w:ascii="Calibri" w:hAnsi="Calibri"/>
                <w:b w:val="0"/>
                <w:i w:val="0"/>
                <w:color w:val="212121"/>
                <w:sz w:val="16"/>
              </w:rPr>
              <w:t>Acute icteric hepatitis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Tender smooth hepatomegaly typical of acute viral hepatitis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Stigmata of chronic liver disease</w:t>
            </w:r>
          </w:p>
        </w:tc>
        <w:tc>
          <w:tcPr>
            <w:tcW w:type="dxa" w:w="979"/>
            <w:vAlign w:val="top"/>
          </w:tcPr>
          <w:p>
            <w:pPr>
              <w:spacing w:after="40" w:before="0" w:line="259" w:lineRule="auto"/>
            </w:pPr>
            <w:r>
              <w:rPr>
                <w:rFonts w:ascii="Calibri" w:hAnsi="Calibri"/>
                <w:b w:val="0"/>
                <w:i w:val="0"/>
                <w:color w:val="212121"/>
                <w:sz w:val="16"/>
              </w:rPr>
              <w:t>Spider naevi, palmar erythema, splenomegaly, ascites, gynecomastia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Indicate cirrhosis / portal hypertension from chronic HBV/HCV</w:t>
            </w:r>
          </w:p>
        </w:tc>
        <w:tc>
          <w:tcPr>
            <w:tcW w:type="dxa" w:w="1036"/>
            <w:vAlign w:val="top"/>
          </w:tcPr>
          <w:p>
            <w:pPr>
              <w:spacing w:after="40" w:before="0" w:line="259" w:lineRule="auto"/>
            </w:pPr>
            <w:r>
              <w:rPr>
                <w:rFonts w:ascii="Calibri" w:hAnsi="Calibri"/>
                <w:b w:val="0"/>
                <w:i w:val="0"/>
                <w:color w:val="212121"/>
                <w:sz w:val="16"/>
              </w:rPr>
              <w:t>Chronic hepatitis, cirrhosis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Presence changes management and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acute liver failure</w:t>
            </w:r>
          </w:p>
        </w:tc>
        <w:tc>
          <w:tcPr>
            <w:tcW w:type="dxa" w:w="979"/>
            <w:vAlign w:val="top"/>
          </w:tcPr>
          <w:p>
            <w:pPr>
              <w:spacing w:after="40" w:before="0" w:line="259" w:lineRule="auto"/>
            </w:pPr>
            <w:r>
              <w:rPr>
                <w:rFonts w:ascii="Calibri" w:hAnsi="Calibri"/>
                <w:b w:val="0"/>
                <w:i w:val="0"/>
                <w:color w:val="212121"/>
                <w:sz w:val="16"/>
              </w:rPr>
              <w:t>Altered sensorium, asterixis, bruising/bleeding, worsening jaundice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Encephalopathy plus coagulopathy defines acute liver failure - emergency</w:t>
            </w:r>
          </w:p>
        </w:tc>
        <w:tc>
          <w:tcPr>
            <w:tcW w:type="dxa" w:w="1036"/>
            <w:vAlign w:val="top"/>
          </w:tcPr>
          <w:p>
            <w:pPr>
              <w:spacing w:after="40" w:before="0" w:line="259" w:lineRule="auto"/>
            </w:pPr>
            <w:r>
              <w:rPr>
                <w:rFonts w:ascii="Calibri" w:hAnsi="Calibri"/>
                <w:b w:val="0"/>
                <w:i w:val="0"/>
                <w:color w:val="212121"/>
                <w:sz w:val="16"/>
              </w:rPr>
              <w:t>Fulminant hepatitis, HEV in pregnancy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 gold standard for severity</w:t>
            </w:r>
          </w:p>
        </w:tc>
        <w:tc>
          <w:tcPr>
            <w:tcW w:type="dxa" w:w="720"/>
            <w:vAlign w:val="top"/>
          </w:tcPr>
          <w:p>
            <w:pPr>
              <w:spacing w:after="40" w:before="0" w:line="259" w:lineRule="auto"/>
            </w:pPr>
            <w:r>
              <w:rPr>
                <w:rFonts w:ascii="Calibri" w:hAnsi="Calibri"/>
                <w:b w:val="0"/>
                <w:i w:val="0"/>
                <w:color w:val="212121"/>
                <w:sz w:val="16"/>
              </w:rPr>
              <w:t>Mandates urgent transfer to a liver unit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tiredness is often the earliest and most persistent symptom of acute hepatitis.</w:t>
            </w:r>
          </w:p>
        </w:tc>
      </w:tr>
      <w:tr>
        <w:trPr>
          <w:cantSplit/>
        </w:trPr>
        <w:tc>
          <w:tcPr>
            <w:tcW w:type="dxa" w:w="2304"/>
            <w:vAlign w:val="top"/>
          </w:tcPr>
          <w:p>
            <w:pPr>
              <w:spacing w:after="40" w:before="0" w:line="259" w:lineRule="auto"/>
            </w:pPr>
            <w:r>
              <w:rPr>
                <w:rFonts w:ascii="Calibri" w:hAnsi="Calibri"/>
                <w:b/>
                <w:i w:val="0"/>
                <w:color w:val="212121"/>
                <w:sz w:val="19"/>
              </w:rPr>
              <w:t>Anorexia, 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appetite with nausea in the pre-icteric (prodromal) phase.</w:t>
            </w:r>
          </w:p>
        </w:tc>
      </w:tr>
      <w:tr>
        <w:trPr>
          <w:cantSplit/>
        </w:trPr>
        <w:tc>
          <w:tcPr>
            <w:tcW w:type="dxa" w:w="2304"/>
            <w:vAlign w:val="top"/>
          </w:tcPr>
          <w:p>
            <w:pPr>
              <w:spacing w:after="40" w:before="0" w:line="259" w:lineRule="auto"/>
            </w:pPr>
            <w:r>
              <w:rPr>
                <w:rFonts w:ascii="Calibri" w:hAnsi="Calibri"/>
                <w:b/>
                <w:i w:val="0"/>
                <w:color w:val="212121"/>
                <w:sz w:val="19"/>
              </w:rPr>
              <w:t>Jaundice (yellow eyes and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Yellowing of sclerae and skin from rising conjugated bilirubin.</w:t>
            </w:r>
          </w:p>
        </w:tc>
      </w:tr>
      <w:tr>
        <w:trPr>
          <w:cantSplit/>
        </w:trPr>
        <w:tc>
          <w:tcPr>
            <w:tcW w:type="dxa" w:w="2304"/>
            <w:vAlign w:val="top"/>
          </w:tcPr>
          <w:p>
            <w:pPr>
              <w:spacing w:after="40" w:before="0" w:line="259" w:lineRule="auto"/>
            </w:pPr>
            <w:r>
              <w:rPr>
                <w:rFonts w:ascii="Calibri" w:hAnsi="Calibri"/>
                <w:b/>
                <w:i w:val="0"/>
                <w:color w:val="212121"/>
                <w:sz w:val="19"/>
              </w:rPr>
              <w:t>Dark (tea-coloured)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Conjugated bilirubin spilling into urine; often precedes visible jaundice.</w:t>
            </w:r>
          </w:p>
        </w:tc>
      </w:tr>
      <w:tr>
        <w:trPr>
          <w:cantSplit/>
        </w:trPr>
        <w:tc>
          <w:tcPr>
            <w:tcW w:type="dxa" w:w="2304"/>
            <w:vAlign w:val="top"/>
          </w:tcPr>
          <w:p>
            <w:pPr>
              <w:spacing w:after="40" w:before="0" w:line="259" w:lineRule="auto"/>
            </w:pPr>
            <w:r>
              <w:rPr>
                <w:rFonts w:ascii="Calibri" w:hAnsi="Calibri"/>
                <w:b/>
                <w:i w:val="0"/>
                <w:color w:val="212121"/>
                <w:sz w:val="19"/>
              </w:rPr>
              <w:t>Pale / clay-coloured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bilirubin reaching the gut during cholestatic phases.</w:t>
            </w:r>
          </w:p>
        </w:tc>
      </w:tr>
      <w:tr>
        <w:trPr>
          <w:cantSplit/>
        </w:trPr>
        <w:tc>
          <w:tcPr>
            <w:tcW w:type="dxa" w:w="2304"/>
            <w:vAlign w:val="top"/>
          </w:tcPr>
          <w:p>
            <w:pPr>
              <w:spacing w:after="40" w:before="0" w:line="259" w:lineRule="auto"/>
            </w:pPr>
            <w:r>
              <w:rPr>
                <w:rFonts w:ascii="Calibri" w:hAnsi="Calibri"/>
                <w:b/>
                <w:i w:val="0"/>
                <w:color w:val="212121"/>
                <w:sz w:val="19"/>
              </w:rPr>
              <w:t>Right-upper-quadrant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from a tender, inflamed, stretched liver capsule.</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Prodromal fever, more typical of hepatitis A and E.</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cholestasis, especially in prolonged or cholestatic hepatitis A.</w:t>
            </w:r>
          </w:p>
        </w:tc>
      </w:tr>
      <w:tr>
        <w:trPr>
          <w:cantSplit/>
        </w:trPr>
        <w:tc>
          <w:tcPr>
            <w:tcW w:type="dxa" w:w="2304"/>
            <w:vAlign w:val="top"/>
          </w:tcPr>
          <w:p>
            <w:pPr>
              <w:spacing w:after="40" w:before="0" w:line="259" w:lineRule="auto"/>
            </w:pPr>
            <w:r>
              <w:rPr>
                <w:rFonts w:ascii="Calibri" w:hAnsi="Calibri"/>
                <w:b/>
                <w:i w:val="0"/>
                <w:color w:val="212121"/>
                <w:sz w:val="19"/>
              </w:rPr>
              <w:t>Myalgia and arthralgia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Prodromal muscle and joint aches, notably in acute hepatitis B.</w:t>
            </w:r>
          </w:p>
        </w:tc>
      </w:tr>
      <w:tr>
        <w:trPr>
          <w:cantSplit/>
        </w:trPr>
        <w:tc>
          <w:tcPr>
            <w:tcW w:type="dxa" w:w="2304"/>
            <w:vAlign w:val="top"/>
          </w:tcPr>
          <w:p>
            <w:pPr>
              <w:spacing w:after="40" w:before="0" w:line="259" w:lineRule="auto"/>
            </w:pPr>
            <w:r>
              <w:rPr>
                <w:rFonts w:ascii="Calibri" w:hAnsi="Calibri"/>
                <w:b/>
                <w:i w:val="0"/>
                <w:color w:val="212121"/>
                <w:sz w:val="19"/>
              </w:rPr>
              <w:t>Aversion to food, fatty meals or cigarettes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Classic distaste (including for smoking) described in acute hepatitis A.</w:t>
            </w:r>
          </w:p>
        </w:tc>
      </w:tr>
      <w:tr>
        <w:trPr>
          <w:cantSplit/>
        </w:trPr>
        <w:tc>
          <w:tcPr>
            <w:tcW w:type="dxa" w:w="2304"/>
            <w:vAlign w:val="top"/>
          </w:tcPr>
          <w:p>
            <w:pPr>
              <w:spacing w:after="40" w:before="0" w:line="259" w:lineRule="auto"/>
            </w:pPr>
            <w:r>
              <w:rPr>
                <w:rFonts w:ascii="Calibri" w:hAnsi="Calibri"/>
                <w:b/>
                <w:i w:val="0"/>
                <w:color w:val="212121"/>
                <w:sz w:val="19"/>
              </w:rPr>
              <w:t>Urticaria or serum-sickness-like illness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Immune-complex rash and joint symptoms in the pre-icteric phase of hepatitis B.</w:t>
            </w:r>
          </w:p>
        </w:tc>
      </w:tr>
      <w:tr>
        <w:trPr>
          <w:cantSplit/>
        </w:trPr>
        <w:tc>
          <w:tcPr>
            <w:tcW w:type="dxa" w:w="2304"/>
            <w:vAlign w:val="top"/>
          </w:tcPr>
          <w:p>
            <w:pPr>
              <w:spacing w:after="40" w:before="0" w:line="259" w:lineRule="auto"/>
            </w:pPr>
            <w:r>
              <w:rPr>
                <w:rFonts w:ascii="Calibri" w:hAnsi="Calibri"/>
                <w:b/>
                <w:i w:val="0"/>
                <w:color w:val="212121"/>
                <w:sz w:val="19"/>
              </w:rPr>
              <w:t>Confusion, drowsiness or altered behaviour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Hepatic encephalopathy signalling acute liver failure - a medical emergency.</w:t>
            </w:r>
          </w:p>
        </w:tc>
      </w:tr>
      <w:tr>
        <w:trPr>
          <w:cantSplit/>
        </w:trPr>
        <w:tc>
          <w:tcPr>
            <w:tcW w:type="dxa" w:w="2304"/>
            <w:vAlign w:val="top"/>
          </w:tcPr>
          <w:p>
            <w:pPr>
              <w:spacing w:after="40" w:before="0" w:line="259" w:lineRule="auto"/>
            </w:pPr>
            <w:r>
              <w:rPr>
                <w:rFonts w:ascii="Calibri" w:hAnsi="Calibri"/>
                <w:b/>
                <w:i w:val="0"/>
                <w:color w:val="212121"/>
                <w:sz w:val="19"/>
              </w:rPr>
              <w:t>Easy bruising or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Coagulopathy from failing hepatic synthesis of clotting factors.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 discolouration of sclerae and skin - the defining physical sign.</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tender, mildly enlarged liver typical of acute viral hepatitis.</w:t>
            </w:r>
          </w:p>
        </w:tc>
      </w:tr>
      <w:tr>
        <w:trPr>
          <w:cantSplit/>
        </w:trPr>
        <w:tc>
          <w:tcPr>
            <w:tcW w:type="dxa" w:w="3456"/>
            <w:vAlign w:val="top"/>
          </w:tcPr>
          <w:p>
            <w:pPr>
              <w:spacing w:after="40" w:before="0" w:line="259" w:lineRule="auto"/>
            </w:pPr>
            <w:r>
              <w:rPr>
                <w:rFonts w:ascii="Calibri" w:hAnsi="Calibri"/>
                <w:b/>
                <w:i w:val="0"/>
                <w:color w:val="212121"/>
                <w:sz w:val="19"/>
              </w:rPr>
              <w:t>Right-upper-quadrant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Discomfort on palpation over the inflamed liver.</w:t>
            </w:r>
          </w:p>
        </w:tc>
      </w:tr>
      <w:tr>
        <w:trPr>
          <w:cantSplit/>
        </w:trPr>
        <w:tc>
          <w:tcPr>
            <w:tcW w:type="dxa" w:w="3456"/>
            <w:vAlign w:val="top"/>
          </w:tcPr>
          <w:p>
            <w:pPr>
              <w:spacing w:after="40" w:before="0" w:line="259" w:lineRule="auto"/>
            </w:pPr>
            <w:r>
              <w:rPr>
                <w:rFonts w:ascii="Calibri" w:hAnsi="Calibri"/>
                <w:b/>
                <w:i w:val="0"/>
                <w:color w:val="212121"/>
                <w:sz w:val="19"/>
              </w:rPr>
              <w:t>Dark urine (bilirubinuria)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Frothy dark urine positive for bilirubin on dipstick.</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accompany acute hepatitis or reflect portal hypertension in chronic disease.</w:t>
            </w:r>
          </w:p>
        </w:tc>
      </w:tr>
      <w:tr>
        <w:trPr>
          <w:cantSplit/>
        </w:trPr>
        <w:tc>
          <w:tcPr>
            <w:tcW w:type="dxa" w:w="3456"/>
            <w:vAlign w:val="top"/>
          </w:tcPr>
          <w:p>
            <w:pPr>
              <w:spacing w:after="40" w:before="0" w:line="259" w:lineRule="auto"/>
            </w:pPr>
            <w:r>
              <w:rPr>
                <w:rFonts w:ascii="Calibri" w:hAnsi="Calibri"/>
                <w:b/>
                <w:i w:val="0"/>
                <w:color w:val="212121"/>
                <w:sz w:val="19"/>
              </w:rPr>
              <w:t>Spider naevi and palmar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stigmata of chronic liver disease from chronic HBV/HCV.</w:t>
            </w:r>
          </w:p>
        </w:tc>
      </w:tr>
      <w:tr>
        <w:trPr>
          <w:cantSplit/>
        </w:trPr>
        <w:tc>
          <w:tcPr>
            <w:tcW w:type="dxa" w:w="3456"/>
            <w:vAlign w:val="top"/>
          </w:tcPr>
          <w:p>
            <w:pPr>
              <w:spacing w:after="40" w:before="0" w:line="259" w:lineRule="auto"/>
            </w:pPr>
            <w:r>
              <w:rPr>
                <w:rFonts w:ascii="Calibri" w:hAnsi="Calibri"/>
                <w:b/>
                <w:i w:val="0"/>
                <w:color w:val="212121"/>
                <w:sz w:val="19"/>
              </w:rPr>
              <w:t>Ascites and pedal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Fluid retention indicating decompensated cirrhosis.</w:t>
            </w:r>
          </w:p>
        </w:tc>
      </w:tr>
      <w:tr>
        <w:trPr>
          <w:cantSplit/>
        </w:trPr>
        <w:tc>
          <w:tcPr>
            <w:tcW w:type="dxa" w:w="3456"/>
            <w:vAlign w:val="top"/>
          </w:tcPr>
          <w:p>
            <w:pPr>
              <w:spacing w:after="40" w:before="0" w:line="259" w:lineRule="auto"/>
            </w:pPr>
            <w:r>
              <w:rPr>
                <w:rFonts w:ascii="Calibri" w:hAnsi="Calibri"/>
                <w:b/>
                <w:i w:val="0"/>
                <w:color w:val="212121"/>
                <w:sz w:val="19"/>
              </w:rPr>
              <w:t>Excoriation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Scratch marks secondary to cholestatic pruritus.</w:t>
            </w:r>
          </w:p>
        </w:tc>
      </w:tr>
      <w:tr>
        <w:trPr>
          <w:cantSplit/>
        </w:trPr>
        <w:tc>
          <w:tcPr>
            <w:tcW w:type="dxa" w:w="3456"/>
            <w:vAlign w:val="top"/>
          </w:tcPr>
          <w:p>
            <w:pPr>
              <w:spacing w:after="40" w:before="0" w:line="259" w:lineRule="auto"/>
            </w:pPr>
            <w:r>
              <w:rPr>
                <w:rFonts w:ascii="Calibri" w:hAnsi="Calibri"/>
                <w:b/>
                <w:i w:val="0"/>
                <w:color w:val="212121"/>
                <w:sz w:val="19"/>
              </w:rPr>
              <w:t>Asterixis / altered sensorium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Flapping tremor and confusion of hepatic encephalopathy in acute liver failure.</w:t>
            </w:r>
          </w:p>
        </w:tc>
      </w:tr>
      <w:tr>
        <w:trPr>
          <w:cantSplit/>
        </w:trPr>
        <w:tc>
          <w:tcPr>
            <w:tcW w:type="dxa" w:w="3456"/>
            <w:vAlign w:val="top"/>
          </w:tcPr>
          <w:p>
            <w:pPr>
              <w:spacing w:after="40" w:before="0" w:line="259" w:lineRule="auto"/>
            </w:pPr>
            <w:r>
              <w:rPr>
                <w:rFonts w:ascii="Calibri" w:hAnsi="Calibri"/>
                <w:b/>
                <w:i w:val="0"/>
                <w:color w:val="212121"/>
                <w:sz w:val="19"/>
              </w:rPr>
              <w:t>Gynecomastia, caput medusae, testicular atrophy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Advanced signs of established cirrhosis and portal hypertension.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Fulminant hepatic failure / acute liver failure (HEV in pregnancy, hepatitis A, acute HBV, HBV+HDV)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Cholestatic hepatitis with prolonged jaundice (notably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Coagulopathy and hypoglycaemia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liver failure when acute HAV/HEV is superimposed on chronic liver disease</w:t>
            </w:r>
          </w:p>
        </w:tc>
        <w:tc>
          <w:tcPr>
            <w:tcW w:type="dxa" w:w="2980"/>
            <w:vAlign w:val="top"/>
          </w:tcPr>
          <w:p>
            <w:pPr>
              <w:spacing w:after="40" w:before="0" w:line="259" w:lineRule="auto"/>
            </w:pPr>
            <w:r>
              <w:rPr>
                <w:rFonts w:ascii="Calibri" w:hAnsi="Calibri"/>
                <w:b w:val="0"/>
                <w:i w:val="0"/>
                <w:color w:val="212121"/>
                <w:sz w:val="19"/>
              </w:rPr>
              <w:t>Direct consequences of acute hepatocyte injury and failing synthetic 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B, C or D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Compensated cirrhosis and 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HBV extrahepatic disease: polyarteritis nodosa, membranous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HCV extrahepatic disease: mixed cryoglobulinaemia, glomerulonephritis, porphyria cutanea tarda,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Post-hepatitis aplastic anaemia (rare)</w:t>
            </w:r>
          </w:p>
        </w:tc>
        <w:tc>
          <w:tcPr>
            <w:tcW w:type="dxa" w:w="2980"/>
            <w:vAlign w:val="top"/>
          </w:tcPr>
          <w:p>
            <w:pPr>
              <w:spacing w:after="40" w:before="0" w:line="259" w:lineRule="auto"/>
            </w:pPr>
            <w:r>
              <w:rPr>
                <w:rFonts w:ascii="Calibri" w:hAnsi="Calibri"/>
                <w:b w:val="0"/>
                <w:i w:val="0"/>
                <w:color w:val="212121"/>
                <w:sz w:val="19"/>
              </w:rPr>
              <w:t>Result from viral persistence, chronic inflammation and immune-complex mechanisms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(ascites, variceal bleeding, hepatic encephalopathy, 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liver disease requiring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and fetal death (hepatitis E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w:t>
            </w:r>
          </w:p>
        </w:tc>
        <w:tc>
          <w:tcPr>
            <w:tcW w:type="dxa" w:w="2980"/>
            <w:vAlign w:val="top"/>
          </w:tcPr>
          <w:p>
            <w:pPr>
              <w:spacing w:after="40" w:before="0" w:line="259" w:lineRule="auto"/>
            </w:pPr>
            <w:r>
              <w:rPr>
                <w:rFonts w:ascii="Calibri" w:hAnsi="Calibri"/>
                <w:b w:val="0"/>
                <w:i w:val="0"/>
                <w:color w:val="212121"/>
                <w:sz w:val="19"/>
              </w:rPr>
              <w:t>Irreversible, life-threatening end-stage outcomes of long-standing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Hepatocellular carcinoma (liver cancer)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HBV, and to a lesser extent HCV, is the leading cause of primary liver cancer in India.</w:t>
            </w:r>
          </w:p>
          <w:p>
            <w:pPr>
              <w:spacing w:after="40" w:before="0" w:line="259" w:lineRule="auto"/>
            </w:pPr>
            <w:r>
              <w:rPr>
                <w:rFonts w:ascii="Calibri" w:hAnsi="Calibri"/>
                <w:b/>
                <w:i w:val="0"/>
                <w:color w:val="212121"/>
                <w:sz w:val="19"/>
              </w:rPr>
              <w:t>40-50% of HCC (HBV-related)</w:t>
            </w:r>
          </w:p>
        </w:tc>
      </w:tr>
      <w:tr>
        <w:trPr>
          <w:cantSplit/>
        </w:trPr>
        <w:tc>
          <w:tcPr>
            <w:tcW w:type="dxa" w:w="2232"/>
            <w:vAlign w:val="top"/>
          </w:tcPr>
          <w:p>
            <w:pPr>
              <w:spacing w:after="40" w:before="0" w:line="259" w:lineRule="auto"/>
            </w:pPr>
            <w:r>
              <w:rPr>
                <w:rFonts w:ascii="Calibri" w:hAnsi="Calibri"/>
                <w:b/>
                <w:i w:val="0"/>
                <w:color w:val="212121"/>
                <w:sz w:val="19"/>
              </w:rPr>
              <w:t>Cirrhosis of the liver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Long-standing chronic hepatitis B and C are major causes of cirrhosis and portal hypertension.</w:t>
            </w:r>
          </w:p>
          <w:p>
            <w:pPr>
              <w:spacing w:after="40" w:before="0" w:line="259" w:lineRule="auto"/>
            </w:pPr>
            <w:r>
              <w:rPr>
                <w:rFonts w:ascii="Calibri" w:hAnsi="Calibri"/>
                <w:b/>
                <w:i w:val="0"/>
                <w:color w:val="212121"/>
                <w:sz w:val="19"/>
              </w:rPr>
              <w:t>20-30% of cirrhosis (HBV-related)</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parenteral and sexual routes; immunosuppression accelerates liver disease and complicates therapy.</w:t>
            </w:r>
          </w:p>
          <w:p>
            <w:pPr>
              <w:spacing w:after="40" w:before="0" w:line="259" w:lineRule="auto"/>
            </w:pPr>
            <w:r>
              <w:rPr>
                <w:rFonts w:ascii="Calibri" w:hAnsi="Calibri"/>
                <w:b/>
                <w:i w:val="0"/>
                <w:color w:val="212121"/>
                <w:sz w:val="19"/>
              </w:rPr>
              <w:t>Up to 95% of HIV+ PWID co-infected with HCV (Manipur)</w:t>
            </w:r>
          </w:p>
        </w:tc>
      </w:tr>
      <w:tr>
        <w:trPr>
          <w:cantSplit/>
        </w:trPr>
        <w:tc>
          <w:tcPr>
            <w:tcW w:type="dxa" w:w="2232"/>
            <w:vAlign w:val="top"/>
          </w:tcPr>
          <w:p>
            <w:pPr>
              <w:spacing w:after="40" w:before="0" w:line="259" w:lineRule="auto"/>
            </w:pPr>
            <w:r>
              <w:rPr>
                <w:rFonts w:ascii="Calibri" w:hAnsi="Calibri"/>
                <w:b/>
                <w:i w:val="0"/>
                <w:color w:val="212121"/>
                <w:sz w:val="19"/>
              </w:rPr>
              <w:t>Hepatitis D (delta) superinfection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only in HBsAg carriers and produces the most rapid, severe liver injury and fulminant failure.</w:t>
            </w:r>
          </w:p>
        </w:tc>
      </w:tr>
      <w:tr>
        <w:trPr>
          <w:cantSplit/>
        </w:trPr>
        <w:tc>
          <w:tcPr>
            <w:tcW w:type="dxa" w:w="2232"/>
            <w:vAlign w:val="top"/>
          </w:tcPr>
          <w:p>
            <w:pPr>
              <w:spacing w:after="40" w:before="0" w:line="259" w:lineRule="auto"/>
            </w:pPr>
            <w:r>
              <w:rPr>
                <w:rFonts w:ascii="Calibri" w:hAnsi="Calibri"/>
                <w:b/>
                <w:i w:val="0"/>
                <w:color w:val="212121"/>
                <w:sz w:val="19"/>
              </w:rPr>
              <w:t>Chronic kidney disease / haemodialysis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Dialysis is a setting for nosocomial HBV/HCV, and HCV can itself cause glomerulonephritis.</w:t>
            </w:r>
          </w:p>
        </w:tc>
      </w:tr>
      <w:tr>
        <w:trPr>
          <w:cantSplit/>
        </w:trPr>
        <w:tc>
          <w:tcPr>
            <w:tcW w:type="dxa" w:w="2232"/>
            <w:vAlign w:val="top"/>
          </w:tcPr>
          <w:p>
            <w:pPr>
              <w:spacing w:after="40" w:before="0" w:line="259" w:lineRule="auto"/>
            </w:pPr>
            <w:r>
              <w:rPr>
                <w:rFonts w:ascii="Calibri" w:hAnsi="Calibri"/>
                <w:b/>
                <w:i w:val="0"/>
                <w:color w:val="212121"/>
                <w:sz w:val="19"/>
              </w:rPr>
              <w:t>Mixed cryoglobulinaemia &amp; vasculitis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HCV-driven immune-complex disease affecting skin, nerves and kidneys.</w:t>
            </w:r>
          </w:p>
        </w:tc>
      </w:tr>
      <w:tr>
        <w:trPr>
          <w:cantSplit/>
        </w:trPr>
        <w:tc>
          <w:tcPr>
            <w:tcW w:type="dxa" w:w="2232"/>
            <w:vAlign w:val="top"/>
          </w:tcPr>
          <w:p>
            <w:pPr>
              <w:spacing w:after="40" w:before="0" w:line="259" w:lineRule="auto"/>
            </w:pPr>
            <w:r>
              <w:rPr>
                <w:rFonts w:ascii="Calibri" w:hAnsi="Calibri"/>
                <w:b/>
                <w:i w:val="0"/>
                <w:color w:val="212121"/>
                <w:sz w:val="19"/>
              </w:rPr>
              <w:t>Type 2 diabetes / insulin resistance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HCV promotes insulin resistance, and diabetes in turn accelerates fibrosis and HCC risk.</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(NAFLD/MASLD)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steatosis accelerates fibrosis progression in chronic HBV/HCV.</w:t>
            </w:r>
          </w:p>
        </w:tc>
      </w:tr>
      <w:tr>
        <w:trPr>
          <w:cantSplit/>
        </w:trPr>
        <w:tc>
          <w:tcPr>
            <w:tcW w:type="dxa" w:w="2232"/>
            <w:vAlign w:val="top"/>
          </w:tcPr>
          <w:p>
            <w:pPr>
              <w:spacing w:after="40" w:before="0" w:line="259" w:lineRule="auto"/>
            </w:pPr>
            <w:r>
              <w:rPr>
                <w:rFonts w:ascii="Calibri" w:hAnsi="Calibri"/>
                <w:b/>
                <w:i w:val="0"/>
                <w:color w:val="212121"/>
                <w:sz w:val="19"/>
              </w:rPr>
              <w:t>Alcohol-related liver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acts synergistically with chronic viral hepatitis to speed cirrhosis and cancer.</w:t>
            </w:r>
          </w:p>
        </w:tc>
      </w:tr>
      <w:tr>
        <w:trPr>
          <w:cantSplit/>
        </w:trPr>
        <w:tc>
          <w:tcPr>
            <w:tcW w:type="dxa" w:w="2232"/>
            <w:vAlign w:val="top"/>
          </w:tcPr>
          <w:p>
            <w:pPr>
              <w:spacing w:after="40" w:before="0" w:line="259" w:lineRule="auto"/>
            </w:pPr>
            <w:r>
              <w:rPr>
                <w:rFonts w:ascii="Calibri" w:hAnsi="Calibri"/>
                <w:b/>
                <w:i w:val="0"/>
                <w:color w:val="212121"/>
                <w:sz w:val="19"/>
              </w:rPr>
              <w:t>Depression &amp; reduced quality of life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infection, stigma and therapy affect mood and adherence to long-term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against hepatitis B (birth dose plus the infant series) and hepatitis A where indicated; both are safe and highly effective.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Insist on new, single-use needles and syringes for every injection and never share needles, razors or toothbrushes.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all pregnant women for HBsAg and give the newborn a timely birth-dose vaccine (plus immunoglobulin/antiviral when required) to prevent mother-to-child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condoms and limit sexual partners to reduce hepatitis B (and HIV/HCV)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blood and blood products are screened, and choose registered facilities for tattoos, piercing and dental/surgical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yellow eyes, dark urine, persistent vomiting, drowsiness or confusion - and seek prompt medical care rather than self-medicating or taking unregulated herbal 'liver' remedies.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&amp;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sexual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&amp; sanitation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water that is boiled, filtered, chlorinated or reverse-osmosis treated, and store it in a covered, narrow-mouthed container.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street food, cut fruit, raw salads, ice and raw or undercooked shellfish, especially during the monsoon and in outbreak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after using the toilet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peel fruit and vegetables with safe water; ensure food is freshly and thoroughly cooked and served hot.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food handlers healthy and hygienic - one infected handler can seed a community hepatitis A outbreak.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Slum &amp; flood-affected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icteric phase and avoid strenuous or contact activity until liver enzymes normalise.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as symptoms settle; there is no need for prolonged bed rest once recovering.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chronic hepatitis, maintain a healthy weight and do regular moderate exercise to prevent NAFLD-driven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as coexisting fatty liver worsens outcomes in chronic HBV/HCV.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hepatitis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HBV/HCV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 with fatty liver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adequate rest and sleep during acute illness to support recovery from marked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and good sleep hygiene while convalescing.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worsening daytime drowsiness or reversed sleep pattern promptly - it can signal hepatic encephalopathy.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hepatitis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 chronic hepatitis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from alcohol during any acute viral hepatitis and throughout chronic HBV/HCV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even modest drinking synergistically accelerates fibrosis, cirrhosis and liver cancer in viral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de-addiction support and structured counselling if alcohol dependence coexists with chronic hepatitis.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viral hepatitis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HBV/HCV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lower the risk of hepatocellular carcinoma and slow fibrosis progression in chronic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and avoid second-hand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HBV/HCV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liver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reliable information to reduce the stigma and anxiety of a chronic hepatitis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is common and undermines adherence to long-term antiviral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adherence support and peer groups to sustain lifelong hepatitis-B treatment and complete hepatitis-C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HBV/HCV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HIV co-infected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diagnosed patients to the National Viral Hepatitis Control Programme, which provides free diagnosis and treatment across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B is controlled with lifelong oral antivirals (tenofovir/entecavir) plus 6-monthly ultrasound and AFP surveillance for liver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C is now curable in most people with a 12-week course of direct-acting antivirals (cure rates over 95%).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 and vaccinate household and sexual contacts of every hepatitis-B case.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hepatotoxic over-the-counter, ayurvedic or herbal products, and review all medicines with the treating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so that cirrhosis and early liver cancer are detected and managed in 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mr.org.in/waterborne-foodborne-viral-hepatitis-a-public-health-perspective/" TargetMode="External"/><Relationship Id="rId10" Type="http://schemas.openxmlformats.org/officeDocument/2006/relationships/hyperlink" Target="https://www.who.int/news-room/fact-sheets/detail/hepatitis-e" TargetMode="External"/><Relationship Id="rId11" Type="http://schemas.openxmlformats.org/officeDocument/2006/relationships/hyperlink" Target="https://journals.plos.org/plosone/article?id=10.1371/journal.pone.0200461" TargetMode="External"/><Relationship Id="rId12" Type="http://schemas.openxmlformats.org/officeDocument/2006/relationships/hyperlink" Target="https://ijmr.org.in/high-burden-of-hepatitis-c-hiv-co-infection-among-people-who-inject-drugs-in-manipur-northeast-india/" TargetMode="External"/><Relationship Id="rId13" Type="http://schemas.openxmlformats.org/officeDocument/2006/relationships/hyperlink" Target="https://link.springer.com/article/10.1007/s12664-025-01804-5" TargetMode="External"/><Relationship Id="rId14" Type="http://schemas.openxmlformats.org/officeDocument/2006/relationships/hyperlink" Target="https://www.who.int/teams/global-hiv-hepatitis-and-stis-programmes/hepatitis/prevention/mother-to-child-transmission-of-hepatitis-b" TargetMode="External"/><Relationship Id="rId15" Type="http://schemas.openxmlformats.org/officeDocument/2006/relationships/hyperlink" Target="https://theprint.in/health/india-second-highest-in-hepatitis-b-c-after-china-says-who-report/2034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