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Rubella / Congenital Rubella Syndrome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German measles, Three-day measles, Rubella virus infection; congenital form = Congenital Rubella Syndrome (CRS)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Rubella is a contagious viral infection caused by the rubella virus (genus Rubivirus, family Matonaviridae), spread by respiratory droplets, that usually produces a mild, self-limiting illness with low-grade fever, a maculopapular rash and characteristic post-auricular/suboccipital lymphadenopathy. Its overriding public-health importance lies in Congenital Rubella Syndrome (CRS) — a constellation of severe birth defects (sensorineural deafness, cataract and congenital heart disease) that results when a non-immune woman is infected during early pregnancy and the virus crosses the placenta. Because roughly a quarter to a half of infections are subclinical, the virus can spread silently to susceptible pregnant women, making population immunity through vaccination the cornerstone of prevention.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India historically carried one of the largest CRS burdens in the WHO South-East Asia Region, where — together with the African Region — CRS rates are highest because vaccination coverage has been lowest. Following introduction of measles-rubella (MR) vaccine into the national programme from 2017, transmission has fallen sharply: in India's multi-site sentinel CRS surveillance (2016–2025), 583 of 8,953 suspected infants (6.5%) were laboratory-confirmed, the proportion of lab-confirmed CRS among suspected cases fell from 24.9% (2017) to 2.5% (2025), and no RT-PCR-confirmed rubella has been detected since 2021. Rubella nonetheless remains a risk wherever MR coverage is incomplete, and regional Indian seroprevalence studies continue to identify a substantial minority of women of reproductive age who remain susceptible (rubella IgG-negative). Globally, an estimated 100,000 infants are born with CRS each year.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Clinical diagnosis of rubella is unreliable and must be laboratory-confirmed; congenital rubella syndrome is diagnosed using standard WHO/CDC clinical-plus-laboratory criteria. Confirmation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Postnatal rubella — detection of rubella-specific IgM antibody, or a ≥ 4-fold rise in rubella IgG between acute and convalescent sera / documented IgG seroconversion;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Low rubella IgG avidity, indicating recent primary infection (helps distinguish recent infection from past infection or vaccination, especially in pregnancy);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Virus detection — rubella RNA by RT-PCR (or viral isolation) from a throat/nasopharyngeal swab, urine or oral fluid, ideally collected within 5 days of rash onset;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Clinically compatible CRS — presence of ≥ 2 “Group A” defects (cataract/congenital glaucoma, congenital heart disease, hearing impairment, pigmentary retinopathy) OR one Group A plus one “Group B” finding (purpura, splenomegaly, microcephaly, developmental delay, meningoencephalitis, radiolucent bone disease, jaundice within 24 h of birth);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Laboratory-confirmed CRS — infant rubella-specific IgM positive, or persistence/plateau of rubella IgG beyond the expected passive maternal decline, or detection of rubella virus/RNA;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Supporting maternal evidence — clinically compatible rubella or documented seroconversion during pregnancy, prompting infant screening by echocardiography, ophthalmology and audiometry (OAE/BERA).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Rubella virus infection is described along clinical and temporal lines, with risk to the fetus governed strongly by gestational age at maternal infection: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Postnatally-acquired (acquired) rubella — the typically mild childhood or adult illness with maculopapular rash, tender lymphadenopathy and low-grade fever; 25–50% of infections are subclinical yet contagious;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Congenital rubella infection (CRI) — intrauterine infection of the fetus which may be asymptomatic at birth yet still shed virus for months and later manifest defects;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Congenital Rubella Syndrome (CRS) — the symptomatic constellation of birth defects, conventionally grouped as transient signs (purpura, hepatosplenomegaly, thrombocytopenia), permanent structural defects (deafness, cataract, congenital heart disease) and developmental / late-onset manifestations;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Expanded rubella syndrome — broader multisystem involvement such as “blueberry-muffin” rash, thrombocytopenia, hepatitis, interstitial pneumonitis and radiolucent bone lesions;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Late / delayed manifestations — sensorineural deafness that becomes apparent later, insulin-dependent (type 1) diabetes mellitus, thyroid dysfunction, glaucoma, and the rare progressive rubella panencephalitis in the second decade. Risk to the fetus is up to ~90% with multiple defects when infection occurs before 12 weeks, declines to mainly deafness at 13–16 weeks, and becomes uncommon after 16–20 weeks of gestation.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Rubella virus: An enveloped, positive-sense single-stranded RNA virus (genus Rubivirus, family Matonaviridae); humans are the only natural host, so sustained vaccination can interrupt transmission.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Respiratory droplet transmission: Spread by aerosolised secretions from coughing and sneezing and by direct contact; infectivity extends from ~7 days before to ~7 days after rash onset.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Non-immunity / susceptibility: Absence of protective rubella IgG (never vaccinated or never infected) is the necessary precondition; incomplete MR vaccination coverage sustains pools of susceptibles.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Maternal infection in early pregnancy: Transplacental (vertical) spread during maternal viraemia infects the fetus — earlier gestation confers higher risk and more severe defects.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Disruption of organogenesis: The virus injures developing tissues through cellular apoptosis, mitotic arrest and angiopathy, producing the multi-organ defects of CRS.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Congregate settings and importation: Crowding, schools/colleges, travel and cross-border importation propagate outbreaks among susceptible individuals.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(school-age, unvaccinated)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unvaccinated populations rubella circulates mainly among school-age children, who form the reservoir. Their illness is usually mild, but they readily transmit the virus to susceptible pregnant contacts, driving CRS.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rash occurs in 50–80% of those infected, and 25–50% of infections are subclinical yet contagious.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rubella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#rubella  #germanmeasles  #childhoodexanthem  #reservoir  #dropletspread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(non-immune young adults)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Non-immune adults — especially women aged 15–45 — are the group in whom infection matters most because of CRS risk, and adults also experience more joint symptoms than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Arthralgia or arthritis occurs in up to 70% of adult women with rubella; it is rare in children and 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about rubella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#youngadults  #arthralgia  #nonimmune  #reproductiveage  #occupationalrisk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Neonates &amp; infants (congenital)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fetus/infant infected in utero bears the greatest harm. Cardiac, auditory and ocular organogenesis is disrupted, and infants may shed virus for a year or more, sustaining transmission.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India's laboratory-confirmed CRS cases (2016–25 sentinel surveillance), 81.3% had structural heart defects; 583 of 8,953 suspected infants were confirmed.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papers.ssrn.com — India CRS surveillance 2016–25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#CRS  #congenital  #birthdefects  #viralshedding  #sentinelsurveillance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(women of childbearing age)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of reproductive age are the pivotal target for prevention, because their susceptibility translates directly into congenital disease; post-pubertal females are also more prone to rubella arthropathy.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70% of adult women with rubella develop arthralgia/arthritis, usually lasting 3–10 days.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clinical overview (HCP)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#womenshealth  #preconception  #CRSprevention  #antenatal  #arthropathy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Underserved, migrant &amp; low-income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access to two-dose MR vaccination, antenatal screening and postpartum immunisation leaves susceptibility gaps, concentrating both acute rubella and CRS in disadvantaged communities.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Herd immunity for rubella elimination requires roughly ≥ 95% two-dose coverage; pockets below this threshold sustain transmission.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#healthequity  #coveragegap  #migrants  #accessbarriers  #underserved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&amp; WHO South-East Asia Region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and the wider South-East Asia Region historically bore high CRS burdens where MR coverage was incomplete, though endemic transmission has fallen markedly since the 2017 MR campaign.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CRS rates are highest in the WHO African and South-East Asian Regions, where vaccination coverage has been lowest.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rubella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#SEARO  #MRcampaign  #elimination  #endemicrisk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Vaccination-coverage geography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Districts with sub-optimal MR coverage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Clusters of unimmunised children and women in low-coverage or hard-to-reach districts allow droplet transmission to persist and outbreaks to seed among susceptibles.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Estimated global coverage with a rubella-containing vaccine is ~73%, below the ~95% needed to interrupt transmission.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rubella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#lowcoverage  #outbreakrisk  #herdimmunity  #hardtoreach  #surveillance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status / vaccine hesitancy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Missed-dose children &amp; vaccine-hesitant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Failure to receive two documented doses of MR/MMR is the key modifiable behaviour that leaves an individual susceptible; hesitancy and missed catch-up doses perpetuate community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single dose of rubella vaccine confers more than 95% long-lasting immunity.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rubella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#vaccinehesitancy  #MMR  #twodoses  #catchup  #preventable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Health, childcare (anganwadi) &amp; teaching staff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contact with children and patients increases exposure; non-immune female staff of reproductive age are a particular concern for onward transmission and personal CRS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Documented immunity (two doses or IgG-positive) is advised for health-care and childcare workers of childbearing age.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  #healthcareworkers  #anganwadi  #teachers  #exposure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Crowding &amp; travel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Hostels, crowded households, travellers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Close-contact settings such as college hostels and crowded homes, plus travel and importation from endemic areas, amplify droplet spread among susceptible individuals.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Rubella spreads easily when an infected person coughs or sneezes; peak infectivity is around the time of rash onset.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rubella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#crowding  #hostels  #travel  #importation  #outbreak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/ micronutrient-deficient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Under-nutrition and micronutrient deficiency (e.g., vitamin A) can blunt antiviral immunity and impair recovery, though the effect on rubella specifically is indirect and modest.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nutrition supports host antiviral defence; evidence for a direct dietary determinant of rubella is limited.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#nutrition  #vitaminA  #immunity  #recovery  #indirectrisk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 (no specific dietary risk)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Unlike metabolic disease, diet is not a direct determinant of rubella acquisition; a balanced diet supports general immunocompetence but does not substitute for vaccination.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specific food or dietary pattern is established as a risk factor for rubella or CRS.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#balanceddiet  #immunocompetence  #notdirect  #supportivecare  #nutritionmyths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/ household non-immunity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household clusters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Immunity is acquired (vaccine or infection), not inherited; unvaccinated families cluster susceptibility, so a non-immune mother often shares a home with non-immune children/siblings who can introduce the virus.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Susceptibility clusters within households and communities where two-dose MR uptake is incomplete.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#householdclustering  #acquiredimmunity  #notinherited  #familyrisk  #coverage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immune-response genes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HLA-linked rubella arthropathy susceptibility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Certain HLA types and immune-response gene variants are weakly associated with post-rubella/post-vaccine arthropathy and with variability in vaccine antibody response; there is no strong Mendelian susceptibility to infection itself.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variation influences vaccine antibody titres and arthropathy risk rather than infection susceptibility.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#HLA  #immunogenetics  #vaccineresponse  #arthropathy  #weakassociation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(first trimester)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infected &lt; 12–16 weeks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viraemia crosses the placenta; the earlier the gestation, the higher the risk and severity of fetal damage. First-trimester infection carries the greatest hazard of multiple congenital defects.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woman infected early in pregnancy has about a 90% chance of passing the virus to her fetus; pre-vaccine, up to 4 babies per 1,000 live births were born with CRS.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rubella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#firsttrimester  #verticaltransmission  #CRSrisk  #pregnancy  #organogenesis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Susceptibility (IgG-negative)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Rubella IgG-negative reproductive-age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Absence of protective IgG is the prerequisite for CRS. Indian regional seroprevalence studies among women of reproductive age continue to detect a meaningful susceptible minority, the target group for pre-conception/postpartum vaccination.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Seroprevalence surveys of Indian women of reproductive age consistently identify a susceptible (IgG-negative) subgroup, underscoring the value of screening and catch-up MR/MMR.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Obstet Gynecol — rubella seroprevalence, women of reproductive age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#susceptible  #IgGnegative  #screening  #preconception  #postpartumvaccine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Congenital cardiac &amp; multi-organ defects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CRS-affected infants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Rubella injury during organogenesis most often manifests as congenital heart disease alongside auditory and ocular defects; cardiac lesions frequently prompt the initial CRS suspicion.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AIIMS-Jodhpur CRS surveillance study, among infants with congenital heart disease VSD (35%) and PDA (10%) were commonest, and 8.4% of the CHD cohort were laboratory-confirmed CRS.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 Trop Pediatr 2022 — CHD in CRS surveillance,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#CHD  #PDA  #pulmonaryarterystenosis  #VSD  #echocardiography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Immunodeficiency / immunosuppression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cell-mediated immunity may prolong viral shedding and complicate use of the live MR/MMR vaccine; congenitally infected infants shed virus persistently.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with CRS may excrete the virus for a year or more, posing a transmission risk to susceptible contacts.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rubella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#immunocompromised  #livevaccine  #prolongedshedding  #infectioncontrol  #contactrisk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fitness supports immune function but has no established role in rubella acquisition or CRS. Rest is advised during the acute febrile phase, and low-impact movement helps rubella arthralgia, which is self-limiting over 3–10 days.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protein and micronutrients (including vitamin A) support antiviral immunity and recovery, but no specific dietary factor determines rubella risk; nutrition is supportive, not preventive.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Sufficient sleep sustains immune competence in general, yet there is no direct evidence linking sleep duration to rubella acquisition or congenital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impairs respiratory mucosal defence and is linked to more severe respiratory viral illness generally; it is not an established rubella-specific risk but is discouraged, especially peri-conceptionally.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broadly suppresses immunity and reduces engagement with vaccination and antenatal care; there is no specific rubella link, and alcohol is contraindicated in pregnancy.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 exists, but vaccine hesitancy, anxiety and psychosocial stress can lower uptake of preventive MR/MMR and antenatal screening.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Rubella is transmitted by respiratory droplets, not water; hydration is supportive during febrile illness and has no role in transmission or prevention.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relationship with rubella infection, congenital risk or vaccine response.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etiquette (covering coughs/sneezes), hand hygiene and isolating cases for 7 days after rash onset reduce droplet transmission — particularly important in antenatal clinics, paediatric wards and immunisation sites.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decisive provoking factor is exposure to a rubella case (droplets) in a susceptible person; for CRS it is maternal infection during the first 12–16 weeks of pregnancy. Crowding, outbreaks and travel/importation precipitate transmission.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Rubella-specific IgG (immune status)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of reproductive age, pre-pregnancy, HCWs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IU/mL (immune)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IU/mL (susceptible)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Pre-conception/antenatal screening identifies susceptibles for postpartum MR/MMR (live vaccine — not in pregnancy).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Documented MR/MMR doses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adults, health &amp; childcare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 documented doses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doses or unknown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single dose gives &gt; 95% immunity; two doses are the programmatic standard.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https://www.who.int/news-room/fact-sheets/detail/rubella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Gestational age at maternal rubella infection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maternal infection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Infection &lt; 12–16 weeks (highest CRS risk)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~90% fetal infection when the mother is infected early in pregnancy.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https://www.who.int/news-room/fact-sheets/detail/rubella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MR vaccination coverage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 / district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95% two-dose coverage (herd immunity)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95% coverage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Estimated global coverage is ~73%; pockets below threshold sustain transmission.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https://www.who.int/news-room/fact-sheets/detail/rubella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Isolation after rash onset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Confirmed/suspected 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 for 7 days after rash onset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isolation of an infectious case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Contagious from ~7 days before to ~7 days after the rash appears.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https://www.cdc.gov/rubella/about/index.html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during acute illness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rubella / arthropathy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during febrile phase; gentle mobilisation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Strenuous activity during active arthritis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Rubella arthralgia is usually self-limiting over 3–10 days.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/ vitamin A status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(no deficiency)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/ micronutrient deficiency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antiviral immunity and recovery (indirect effect).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Age-appropriate (adults 7–9 h)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 deprivation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general immune competence (indirect effect).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/ second-hand smoke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pregnant women, households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 exposure)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active or passive smoking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respiratory mucosal defence; discouraged especially pre-conception and in pregnancy.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Rubella-specific IgM antibody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Rubella IgM ELISA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recent postnatal infection; in a neonate indicates congenital rubella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acute rubella, CRS-suspect infants, pregnant women post-exposure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(acute diagnosis)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transiently negative very early — repeat if clinical suspicion is high; detectable in most CRS infants during the first 6 months.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Rubella-specific IgG antibody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Rubella IgG ELISA (paired sera)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10 IU/mL (immune)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 IU/mL (susceptible); ≥ 4-fold rise = recent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Determines immune vs susceptible status; paired sera confirm recent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reproductive age, HCWs, antenatal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&amp; immune status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Persistence/plateau of IgG beyond expected passive maternal decline supports CRS in infants.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Rubella IgG avidity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IgG avidity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avidity (past immunity)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avidity (recent primary infection)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Times the infection — critical when IgM is positive in pregnancy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 women with positive IgM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(timing)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recent primary infection from past immunity or reinfection.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Rubella virus RNA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RT-PCR (throat/NP swab, urine, oral fluid)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active or congenital infection; enables genotyping for surveillance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cases; CRS infants (shed virus for months)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 India's CRS surveillance ~10.4% of samples were RT-PCR positive, with none detected since 2021.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Platelet count / CBC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1.5–4.5 lakh/µL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Thrombocytopenia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Thrombocytopenic purpura occurs in acute rubella and in CRS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CRS infants, patients with purpura/petechiae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Underlies the “blueberry-muffin” appearance and petechiae.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Congenital heart defect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Echocardiography (2D-echo / colour Doppler)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Structurally normal heart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PDA, peripheral pulmonary artery stenosis, VSD/ASD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cardiac lesions of CRS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CRS-suspect infants with murmur, cyanosis or failure to thrive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(CRS)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Structural heart defects were found in 81.3% of India's laboratory-confirmed CRS cases.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Sensorineural hearing loss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OAE / BERA (auditory brainstem response)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Pass / normal thresholds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Sensorineural hearing loss (often bilateral)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the commonest CRS defect; may be delayed-onset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CRS-suspect infants (newborn hearing screen)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(CRS)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Hearing impairment was recorded in ~23.7% of India's laboratory-confirmed CRS cases.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Maternal &amp; exposure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Rash/fever/arthralgia in pregnancy; contact with a rubella case; trimester of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exposure / documented immune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Compatible illness or contact, especially first trimester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risk of congenital infection and need for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 women, post-exposure contacts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Recall is unreliable and 25–50% of infections are silent — corroborate with serology.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Immunisation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MR/MMR doses, age at receipt, documentation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 documented doses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Unvaccinated / incomplete / unknown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Estimates susceptibility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adults, HCWs, migrants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Two doses are &gt; 95% protective; verify records rather than relying on recall.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Rash morphology &amp; distribution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Maculopapular rash starting on the face, generalising within 24 h, lasting ~3 days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rash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Characteristic exanthem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acquired rubella (must be laboratory-confirmed)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Fever-rash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Clinically indistinguishable from other viral exanthems — always lab-confirm.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Lymphadenopathy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Post-auricular, suboccipital and posterior-cervical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 nodes (may precede rash), lasting 5–8 days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Highly characteristic clue to rubella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Fever-rash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Posterior-auricular/suboccipital adenopathy is a classic diagnostic pointer.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Oropharynx &amp; joints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Forchheimer spots (palatal petechiae); symmetric small-joint arthritis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Palatal petechiae; arthralgia/arthritis of hands, wrists, knees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features; arthropathy predominates in adult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especially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Arthralgia occurs in up to 70% of adult women; usually self-limiting.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CRS newborn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Cataract/leukocoria, heart murmur, microcephaly, hepatosplenomegaly, purpura, low birth weight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newborn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Group A defect ± Group B findings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Triggers full CRS workup (echocardiography, eyes, hearing, serology)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 of exposed or susceptible mothers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(CRS)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Group A defects: cataract/glaucoma, congenital heart disease, hearing loss, pigmentary retinopathy.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Ophthalmologic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Slit-lamp &amp; fundoscopy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eyes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Cataract, congenital glaucoma, “salt-and-pepper” pigmentary retinopathy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ocular CRS and guides early surgery/rehabilitation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CRS-suspect infants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(CRS)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Group A ocular signs were present in ~24.2% of India's laboratory-confirmed CRS cases.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Maculopapular rash (face → trunk)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Begins on the face and spreads to become generalised within 24 h; lasts about 3 days; occurs in 50–80% of infections.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 (&lt; 39°C)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fever accompanying or just preceding the rash; often minimal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 lymphadenopathy (post-auricular/suboccipital)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rubella; nodes may enlarge and be tender before the rash and persist 5–8 days.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Malaise, headache, mild coryza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prodrome, more noticeable in adolescents and adults.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Joint pain / arthralgia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in adult women (up to 70%); uncommon in children and men; usually self-limiting over 3–10 days.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conjunctivitis / eye redness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Transient, part of the mild catarrhal picture.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 throat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pharyngitis during the prodrome.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/ subclinical infection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25–50% of infected people have no symptoms yet remain contagious — a key driver of silent spread to pregnant contacts.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feeding, lethargy, failure to thrive (CRS infant)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presentation in congenitally infected infants, often with cardiac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Later-noticed hearing difficulty (CRS)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Sensorineural deafness may only become apparent as delayed speech/language or failed hearing screen.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Bruising / bleeding from thrombocytopenic purpura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low platelets in acute rubella or CRS.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Encephalitis (headache, drowsiness, altered sensorium)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Post-infectious encephalitis is a rare but serious complication.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Maculopapular exanthem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Pink-red discrete macules/papules spreading cephalocaudally; fainter and more fleeting than measles.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Post-auricular / suboccipital / posterior-cervical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Tender, enlarged nodes — the most characteristic examination finding, often preceding the rash.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Forchheimer spots (palatal petechiae)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Pinpoint red macules on the soft palate; supportive but non-specific.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Temperature usually below 39°C.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Small-joint arthritis (hands, wrists, knees)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(adult women)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Symmetric, self-limiting arthropathy; up to 70% of adult women.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Congenital cataract / leukocoria (CRS)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CRS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White pupillary reflex from cataract; a Group A CRS defect requiring early ophthalmology.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Congenital heart murmur — PDA, peripheral pulmonary artery stenosis, VSD (CRS)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CRS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 defects are the commonest structural lesions — present in 81.3% of India's confirmed CRS cases.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 (CRS)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CRS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single most frequent CRS defect overall; ~23.7% of India's confirmed CRS cases recorded hearing impairment; often bilateral.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“Blueberry-muffin” rash, hepatosplenomegaly, jaundice (CRS)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Blue-purple dermal erythropoiesis with hepatosplenomegaly and thrombocytopenia — transient signs of expanded rubella syndrome.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Microcephaly &amp; neurodevelopmental signs (CRS)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CNS injury; associated with developmental delay and intellectual disability.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“Salt-and-pepper” pigmentary retinopathy / congenital glaucoma (CRS)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Group A ocular signs seen in ~24.2% of India's confirmed CRS cases; retinopathy is usually non-progressive.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birth weight / intrauterine growth restriction (CRS)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CRS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intrauterine infection and impaired fetal growth.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Self-limiting acute rubella (rash, fever, lymphadenopathy)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Rubella arthralgia/arthritis (up to 70% of adult women)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Thrombocytopenic purpura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Post-infectious encephalitis (rare)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pregnancy: miscarriage and fetal death / stillbirth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acute postnatal infection or of maternal infection during pregnancy.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Sensorineural deafness (most common CRS defect)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Congenital heart disease — patent ductus arteriosus, peripheral pulmonary artery stenosis, ventricular septal defect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Ocular defects — cataract, congenital glaucoma, pigmentary (‘salt-and-pepper’) retinopathy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Microcephaly and intrauterine growth restriction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Hepatosplenomegaly, jaundice, ‘blueberry-muffin’ lesions, thrombocytopenia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Radiolucent (‘celery-stalk’) bone disease, interstitial pneumonitis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Structural and transient defects arising from disruption of organogenesis by transplacental infection (CRS / expanded rubella syndrome).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Profound hearing impairment with speech, language and educational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Visual impairment or blindness from cataract/glaucoma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Neurodevelopmental delay and intellectual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Late-onset type 1 (insulin-dependent) diabetes mellitus and thyroid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rubella panencephalitis (rare, second decade)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Lifelong cardiac sequelae and high infant mortality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long-term outcomes of CRS — in India's surveillance the cumulative probability of death by one year was 32.2%.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Congenital heart disease (PDA, peripheral pulmonary artery stenosis, VSD)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 lesions are the commonest structural CRS defect and often the presenting feature that triggers CRS suspicion.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~81.3% of confirmed CRS (India)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single most frequent CRS defect overall; may be delayed-onset, so screening and early amplification/rehabilitation are essential.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~23.7% of confirmed CRS (India)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Ocular defects (cataract, congenital glaucoma, pigmentary retinopathy)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Group A ocular signs; cataract and glaucoma require urgent ophthalmic management to preserve vision.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~24.2% group A ocular signs (India CRS)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1 (insulin-dependent)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recognised late manifestation of CRS, attributed to virus-induced pancreatic islet injury and autoimmunity emerging in childhood/adolescence.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Thyroid dysfunction (autoimmune thyroiditis)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 endocrine sequela of CRS through virus-triggered autoimmunity.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Neurodevelopmental disability / autism spectrum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CRS is one of the historically strongest environmental associations with autism and intellectual disability, reflecting intrauterine CNS injury.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Thrombocytopenic purpura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Occurs in acute rubella and as a transient CRS sign; underlies petechiae and the ‘blueberry-muffin’ appearance.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Encephalitis / progressive rubella panencephalitis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Post-infectious encephalitis complicates acute rubella rarely; progressive panencephalitis is a rare fatal late CRS complication in the second decade.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Rubella arthropathy (arthralgia/arthritis)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Immune-mediated joint involvement of acute rubella, predominating in adult women and usually self-limiting.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70% of adult women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Miscarriage, stillbirth &amp; intrauterine growth restriction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fetal consequences of maternal rubella, especially in the first trimester when ~90% of fetuses are infected.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Interstitial pneumonitis / hepatitis (expanded rubella syndrome)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Multisystem involvement beyond the classic triad, part of severe congenital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two documented doses of measles-rubella (MR)/MMR vaccine per the national immunisation schedule, with catch-up for any missed doses in children and adults.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women of reproductive age for rubella immunity (IgG); vaccinate susceptible women before conception, or immediately postpartum if susceptibility is found during antenatal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Remember MR/MMR is a live vaccine — avoid in pregnancy and for 28 days before planned conception.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rubella (mild rash plus tender post-auricular/suboccipital nodes), keep infected persons away from pregnant women, and isolate cases for 7 days after rash onset.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25–50% of infections are silent, so rely on immunisation and serology — not symptoms — for protection.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confirmed first-trimester maternal infection, seek specialist counselling on CRS risk; enrol CRS-affected infants in early hearing, vision and cardiac intervention.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women of reproductive age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/ planning pregnancy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&amp; children due for MR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Health-care &amp; childcare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adults &amp; migrants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during the acute febrile phase and resume normal activity gradually.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rubella arthralgia/arthritis use gentle range-of-motion and low-impact activity as pain allows; it typically resolves within 3–10 days.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Enrol CRS-affected infants in structured physiotherapy, early-stimulation and developmental therapy within a multidisciplinary programme.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mobility and motor development in children with cardiac or neurological CRS defects, guided by their treating team.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rubella arthropathy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CRS infants &amp;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Convalescing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balanced diet with adequate protein and micronutrients (including vitamin A-rich foods) to support antiviral immunity and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hydration during febrile illness.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maternal nutrition and antenatal care, with iron-folic acid and other supplements as advised, to support a healthy pregnancy.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CRS infants with feeding difficulty or cardiac disease, provide feeding support and adequate calories with dietitian input.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rubella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CRS infants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age-appropriate sleep to support immune competence and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rest for febrile and convalescing patients.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 settled sleep routines for CRS-affected infants, coordinating with their medical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illness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tobacco and second-hand smoke, which impair respiratory mucosal defence.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smoking cessation before conception and throughout pregnancy to protect maternal and fetal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households with infants and pregnant women smoke-free.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entirely in pregnancy and when planning conception.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alcohol generally, as heavy use impairs immunity and reduces engagement with vaccination and antenatal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planning pregnancy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counselling and psychosocial support to families of CRS-affected children facing hearing, vision, cardiac and developmental disability.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women making difficult decisions after confirmed rubella exposure or infection in pregnancy.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vaccine hesitancy with empathetic, evidence-based communication to improve MR/MMR uptake.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Link families to disability, early-intervention and community rehabilitation services.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of CRS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post-exposure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Vaccine-hesitant 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news-room/fact-sheets/detail/rubella" TargetMode="External"/><Relationship Id="rId10" Type="http://schemas.openxmlformats.org/officeDocument/2006/relationships/hyperlink" Target="https://www.cdc.gov/rubella/about/index.html" TargetMode="External"/><Relationship Id="rId11" Type="http://schemas.openxmlformats.org/officeDocument/2006/relationships/hyperlink" Target="https://papers.ssrn.com/sol3/papers.cfm?abstract_id=6567846" TargetMode="External"/><Relationship Id="rId12" Type="http://schemas.openxmlformats.org/officeDocument/2006/relationships/hyperlink" Target="https://www.cdc.gov/rubella/hcp/clinical-overview/index.html" TargetMode="External"/><Relationship Id="rId13" Type="http://schemas.openxmlformats.org/officeDocument/2006/relationships/hyperlink" Target="https://doi.org/10.21088/ijog.2321.1636.8220.5" TargetMode="External"/><Relationship Id="rId14" Type="http://schemas.openxmlformats.org/officeDocument/2006/relationships/hyperlink" Target="https://academic.oup.com/tropej/article/68/6/fmac089/67777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