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Visceral Leishmaniasis (Kala-azar)</w:t>
      </w:r>
    </w:p>
    <w:p>
      <w:pPr>
        <w:spacing w:before="0" w:after="160"/>
      </w:pPr>
      <w:r>
        <w:rPr>
          <w:rFonts w:ascii="Calibri" w:hAnsi="Calibri"/>
          <w:b/>
          <w:i w:val="0"/>
          <w:color w:val="212121"/>
          <w:sz w:val="22"/>
        </w:rPr>
        <w:t xml:space="preserve">AKA </w:t>
      </w:r>
      <w:r>
        <w:rPr>
          <w:rFonts w:ascii="Calibri" w:hAnsi="Calibri"/>
          <w:b w:val="0"/>
          <w:i w:val="0"/>
          <w:color w:val="212121"/>
          <w:sz w:val="22"/>
        </w:rPr>
        <w:t>i.e., Kala-azar, Black fever, Dumdum fever, VL, Leishmania donovani infection</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Visceral leishmaniasis, known in India as kala-azar (“black fever”), is a chronic, systemic protozoal infection caused by Leishmania donovani and transmitted by the bite of the infected female Phlebotomus argentipes sandfly. The parasite multiplies as amastigotes within macrophages of the spleen, liver and bone marrow, producing prolonged irregular fever, progressive weight loss, hepatosplenomegaly (characteristically massive splenomegaly), pancytopenia and hypergammaglobulinaemia. It is the most severe form of leishmaniasis and is fatal in more than 95% of cases if left untreated.</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Kala-azar is a poverty-linked, vector-borne disease concentrated in the eastern Gangetic plains of India. India has driven reported cases down sharply from 9,241 in 2014 to 524 in 2023 (with only 4 deaths), and 198 cases with zero deaths reported through June 2026, having crossed the elimination threshold of fewer than 1 case per 10,000 population at block level. More than 90% of the residual burden lies in Bihar and Jharkhand, with limited transmission persisting in West Bengal and eastern Uttar Pradesh.</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In an endemic setting kala-azar is suspected clinically and then confirmed serologically or parasitologically. Diagnosis rests on the following:</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Fever of more than two weeks' duration (classically irregular, often with twice-daily spikes) not responding to antimalarials and antibiotics, with splenomegaly and/or weight loss, in a person residing in or having travelled to an endemic area;</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 positive rK39 rapid immunochromatographic test — the first-line serological confirmation used at primary-care level in the Indian national programme — or a positive direct agglutination test (DAT), which has a reported sensitivity of 97–100% and specificity of 86–92%;</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parasitological confirmation by demonstration of Leishmania amastigotes (Leishman–Donovan bodies) on splenic aspirate (highest sensitivity), or bone-marrow or lymph-node aspirate smear;</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supportive laboratory findings of pancytopenia (anaemia, leucopenia, thrombocytopenia) and raised total protein with a reversed albumin:globulin ratio (polyclonal hypergammaglobulinaemia), after excluding malaria and other causes of febrile splenomegaly;</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PCR for Leishmania DNA and HIV testing in relapsing, treatment-refractory or immunosuppressed patients to identify HIV–VL coinfection.</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Visceral leishmaniasis can be classified by causative species/epidemiology and by clinical form:</w:t>
      </w:r>
    </w:p>
    <w:p>
      <w:pPr>
        <w:spacing w:before="0" w:after="80"/>
      </w:pPr>
      <w:r>
        <w:rPr>
          <w:rFonts w:ascii="Calibri" w:hAnsi="Calibri"/>
          <w:b w:val="0"/>
          <w:i w:val="0"/>
          <w:color w:val="212121"/>
          <w:sz w:val="21"/>
        </w:rPr>
        <w:t>(1) Anthroponotic VL due to Leishmania donovani — the form prevalent on the Indian subcontinent and in East Africa, in which humans are the principal reservoir and transmission is person–sandfly–person;</w:t>
      </w:r>
    </w:p>
    <w:p>
      <w:pPr>
        <w:spacing w:before="0" w:after="80"/>
      </w:pPr>
      <w:r>
        <w:rPr>
          <w:rFonts w:ascii="Calibri" w:hAnsi="Calibri"/>
          <w:b w:val="0"/>
          <w:i w:val="0"/>
          <w:color w:val="212121"/>
          <w:sz w:val="21"/>
        </w:rPr>
        <w:t>(2) Zoonotic VL due to Leishmania infantum (syn. L. chagasi), seen in the Mediterranean basin, Middle East, Central Asia and Latin America, where dogs are the main reservoir;</w:t>
      </w:r>
    </w:p>
    <w:p>
      <w:pPr>
        <w:spacing w:before="0" w:after="80"/>
      </w:pPr>
      <w:r>
        <w:rPr>
          <w:rFonts w:ascii="Calibri" w:hAnsi="Calibri"/>
          <w:b w:val="0"/>
          <w:i w:val="0"/>
          <w:color w:val="212121"/>
          <w:sz w:val="21"/>
        </w:rPr>
        <w:t>(3) Post-kala-azar dermal leishmaniasis (PKDL) — a macular, papular or nodular skin eruption appearing months to years after apparent cure of VL in about 5–10% of treated cases, which acts as an inter-epidemic human reservoir and directly threatens elimination;</w:t>
      </w:r>
    </w:p>
    <w:p>
      <w:pPr>
        <w:spacing w:before="0" w:after="80"/>
      </w:pPr>
      <w:r>
        <w:rPr>
          <w:rFonts w:ascii="Calibri" w:hAnsi="Calibri"/>
          <w:b w:val="0"/>
          <w:i w:val="0"/>
          <w:color w:val="212121"/>
          <w:sz w:val="21"/>
        </w:rPr>
        <w:t>(4) HIV–VL coinfection — an immunosuppression-driven form with atypical presentation, poor treatment response, frequent relapse and high mortality;</w:t>
      </w:r>
    </w:p>
    <w:p>
      <w:pPr>
        <w:spacing w:before="0" w:after="80"/>
      </w:pPr>
      <w:r>
        <w:rPr>
          <w:rFonts w:ascii="Calibri" w:hAnsi="Calibri"/>
          <w:b w:val="0"/>
          <w:i w:val="0"/>
          <w:color w:val="212121"/>
          <w:sz w:val="21"/>
        </w:rPr>
        <w:t>(5) Asymptomatic / subclinical infection — detected serologically in endemic communities, a proportion of which progresses to clinical disease, particularly with malnutrition or immunosuppression.</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Leishmania donovani infection: An obligate intracellular protozoan parasite that multiplies as amastigotes within macrophages of the spleen, liver and bone marrow.</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Sandfly vector: Transmission is by the bite of the infected female Phlebotomus argentipes sandfly, which breeds in warm, humid, organically rich soil around mud houses and cattle sheds.</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Human reservoir and PKDL: On the Indian subcontinent VL is anthroponotic; untreated cases and PKDL patients sustain transmission as human reservoirs.</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Poverty and housing: Mud-plastered cracked walls, damp floors, poor ventilation and cattle kept near sleeping areas favour sandfly resting and biting.</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Malnutrition: Protein-energy malnutrition and deficiencies of iron, vitamin A and zinc impair cell-mediated immunity and increase progression from infection to clinical disease.</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Immunosuppression: HIV infection and other causes of impaired T-cell immunity markedly raise the risk of clinical VL, relapse and death.</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Children &amp; young adults</w:t>
            </w:r>
          </w:p>
        </w:tc>
        <w:tc>
          <w:tcPr>
            <w:tcW w:type="dxa" w:w="4276"/>
            <w:vAlign w:val="top"/>
          </w:tcPr>
          <w:p>
            <w:pPr>
              <w:spacing w:after="60" w:line="259" w:lineRule="auto"/>
            </w:pPr>
            <w:r>
              <w:rPr>
                <w:rFonts w:ascii="Calibri" w:hAnsi="Calibri"/>
                <w:b w:val="0"/>
                <w:i w:val="0"/>
                <w:color w:val="212121"/>
                <w:sz w:val="19"/>
              </w:rPr>
              <w:t>On the Indian subcontinent VL predominantly affects children, adolescents and economically active young adults, reflecting cumulative outdoor sandfly exposure and nutritionally compromised or still-developing immunity. Works by allowing L. donovani amastigotes to disseminate unchecked through the reticuloendothelial system.</w:t>
            </w:r>
          </w:p>
          <w:p>
            <w:pPr>
              <w:spacing w:after="40" w:before="60" w:line="259" w:lineRule="auto"/>
            </w:pPr>
            <w:r>
              <w:rPr>
                <w:rFonts w:ascii="Calibri" w:hAnsi="Calibri"/>
                <w:b w:val="0"/>
                <w:i w:val="0"/>
                <w:color w:val="212121"/>
                <w:sz w:val="19"/>
              </w:rPr>
              <w:t>The great majority of India's cases occur in poor rural communities of the Gangetic plains, with children and young adults bearing most of the burden.</w:t>
            </w:r>
          </w:p>
          <w:p>
            <w:pPr>
              <w:spacing w:before="60" w:after="40"/>
            </w:pPr>
            <w:r>
              <w:rPr>
                <w:rFonts w:ascii="Calibri" w:hAnsi="Calibri"/>
                <w:b w:val="0"/>
                <w:i w:val="0"/>
                <w:color w:val="5A5A5A"/>
                <w:sz w:val="18"/>
              </w:rPr>
              <w:t>#kalaazar  #children  #youngadults  #ruralpoor</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w:t>
            </w:r>
          </w:p>
        </w:tc>
        <w:tc>
          <w:tcPr>
            <w:tcW w:type="dxa" w:w="4276"/>
            <w:vAlign w:val="top"/>
          </w:tcPr>
          <w:p>
            <w:pPr>
              <w:spacing w:after="60" w:line="259" w:lineRule="auto"/>
            </w:pPr>
            <w:r>
              <w:rPr>
                <w:rFonts w:ascii="Calibri" w:hAnsi="Calibri"/>
                <w:b w:val="0"/>
                <w:i w:val="0"/>
                <w:color w:val="212121"/>
                <w:sz w:val="19"/>
              </w:rPr>
              <w:t>Older adults are affected less often but tolerate the disease poorly; immune senescence, anaemia and comorbid illness raise the risk of severe pancytopenia, bleeding and death.</w:t>
            </w:r>
          </w:p>
          <w:p>
            <w:pPr>
              <w:spacing w:after="40" w:before="60" w:line="259" w:lineRule="auto"/>
            </w:pPr>
            <w:r>
              <w:rPr>
                <w:rFonts w:ascii="Calibri" w:hAnsi="Calibri"/>
                <w:b w:val="0"/>
                <w:i w:val="0"/>
                <w:color w:val="212121"/>
                <w:sz w:val="19"/>
              </w:rPr>
              <w:t>WHO tentatively estimates an overall VL case-fatality of about 10%, rising steeply in the frail, malnourished and coinfected.</w:t>
            </w:r>
          </w:p>
          <w:p>
            <w:pPr>
              <w:spacing w:after="40" w:line="252" w:lineRule="auto"/>
            </w:pPr>
            <w:hyperlink r:id="rId9">
              <w:r>
                <w:rPr>
                  <w:rFonts w:ascii="Calibri" w:hAnsi="Calibri" w:cs="Calibri"/>
                  <w:sz w:val="18"/>
                  <w:color w:val="1155CC"/>
                  <w:u w:val="single"/>
                </w:rPr>
                <w:t xml:space="preserve">ncbi.nlm.nih.gov — StatPearls: Leishmaniasis</w:t>
              </w:r>
            </w:hyperlink>
          </w:p>
          <w:p>
            <w:pPr>
              <w:spacing w:before="60" w:after="40"/>
            </w:pPr>
            <w:r>
              <w:rPr>
                <w:rFonts w:ascii="Calibri" w:hAnsi="Calibri"/>
                <w:b w:val="0"/>
                <w:i w:val="0"/>
                <w:color w:val="5A5A5A"/>
                <w:sz w:val="18"/>
              </w:rPr>
              <w:t>#elderly  #comorbidity  #highmortality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Male</w:t>
            </w:r>
          </w:p>
        </w:tc>
        <w:tc>
          <w:tcPr>
            <w:tcW w:type="dxa" w:w="4276"/>
            <w:vAlign w:val="top"/>
          </w:tcPr>
          <w:p>
            <w:pPr>
              <w:spacing w:after="60" w:line="259" w:lineRule="auto"/>
            </w:pPr>
            <w:r>
              <w:rPr>
                <w:rFonts w:ascii="Calibri" w:hAnsi="Calibri"/>
                <w:b w:val="0"/>
                <w:i w:val="0"/>
                <w:color w:val="212121"/>
                <w:sz w:val="19"/>
              </w:rPr>
              <w:t>Males show a higher reported incidence than females across Indian VL foci, attributed to greater outdoor and night-time exposure to sandflies through agricultural work and sleeping arrangements, and to differences in health-seeking.</w:t>
            </w:r>
          </w:p>
          <w:p>
            <w:pPr>
              <w:spacing w:after="40" w:before="60" w:line="259" w:lineRule="auto"/>
            </w:pPr>
            <w:r>
              <w:rPr>
                <w:rFonts w:ascii="Calibri" w:hAnsi="Calibri"/>
                <w:b w:val="0"/>
                <w:i w:val="0"/>
                <w:color w:val="212121"/>
                <w:sz w:val="19"/>
              </w:rPr>
              <w:t>A male preponderance of roughly 1.5–2:1 is consistently reported across South Asian VL foci.</w:t>
            </w:r>
          </w:p>
          <w:p>
            <w:pPr>
              <w:spacing w:before="60" w:after="40"/>
            </w:pPr>
            <w:r>
              <w:rPr>
                <w:rFonts w:ascii="Calibri" w:hAnsi="Calibri"/>
                <w:b w:val="0"/>
                <w:i w:val="0"/>
                <w:color w:val="5A5A5A"/>
                <w:sz w:val="18"/>
              </w:rPr>
              <w:t>#male  #outdoorexposure  #occupation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Poor, below-poverty-line rural households</w:t>
            </w:r>
          </w:p>
        </w:tc>
        <w:tc>
          <w:tcPr>
            <w:tcW w:type="dxa" w:w="4276"/>
            <w:vAlign w:val="top"/>
          </w:tcPr>
          <w:p>
            <w:pPr>
              <w:spacing w:after="60" w:line="259" w:lineRule="auto"/>
            </w:pPr>
            <w:r>
              <w:rPr>
                <w:rFonts w:ascii="Calibri" w:hAnsi="Calibri"/>
                <w:b w:val="0"/>
                <w:i w:val="0"/>
                <w:color w:val="212121"/>
                <w:sz w:val="19"/>
              </w:rPr>
              <w:t>Poverty is the single strongest determinant of VL. Low income clusters with mud housing, undernutrition, sleeping on the floor, proximity to cattle and delayed care, all of which raise exposure and progression to disease.</w:t>
            </w:r>
          </w:p>
          <w:p>
            <w:pPr>
              <w:spacing w:after="40" w:before="60" w:line="259" w:lineRule="auto"/>
            </w:pPr>
            <w:r>
              <w:rPr>
                <w:rFonts w:ascii="Calibri" w:hAnsi="Calibri"/>
                <w:b w:val="0"/>
                <w:i w:val="0"/>
                <w:color w:val="212121"/>
                <w:sz w:val="19"/>
              </w:rPr>
              <w:t>VL has affected the poorest communities of the Indian subcontinent since the early 19th century; these countries long accounted for more than 50% of the global VL burden.</w:t>
            </w:r>
          </w:p>
          <w:p>
            <w:pPr>
              <w:spacing w:after="40" w:line="252" w:lineRule="auto"/>
            </w:pPr>
            <w:hyperlink r:id="rId10">
              <w:r>
                <w:rPr>
                  <w:rFonts w:ascii="Calibri" w:hAnsi="Calibri" w:cs="Calibri"/>
                  <w:sz w:val="18"/>
                  <w:color w:val="1155CC"/>
                  <w:u w:val="single"/>
                </w:rPr>
                <w:t xml:space="preserve">bmj.com — Eliminating visceral leishmaniasis in South Asia</w:t>
              </w:r>
            </w:hyperlink>
          </w:p>
          <w:p>
            <w:pPr>
              <w:spacing w:before="60" w:after="40"/>
            </w:pPr>
            <w:r>
              <w:rPr>
                <w:rFonts w:ascii="Calibri" w:hAnsi="Calibri"/>
                <w:b w:val="0"/>
                <w:i w:val="0"/>
                <w:color w:val="5A5A5A"/>
                <w:sz w:val="18"/>
              </w:rPr>
              <w:t>#poverty  #BPL  #socialdeterminants</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Ethnicity / region</w:t>
            </w:r>
          </w:p>
        </w:tc>
        <w:tc>
          <w:tcPr>
            <w:tcW w:type="dxa" w:w="2160"/>
            <w:vAlign w:val="top"/>
          </w:tcPr>
          <w:p>
            <w:pPr>
              <w:spacing w:after="40" w:before="0" w:line="259" w:lineRule="auto"/>
            </w:pPr>
            <w:r>
              <w:rPr>
                <w:rFonts w:ascii="Calibri" w:hAnsi="Calibri"/>
                <w:b w:val="0"/>
                <w:i w:val="0"/>
                <w:color w:val="212121"/>
                <w:sz w:val="19"/>
              </w:rPr>
              <w:t>Bihar (Gangetic plain) residents</w:t>
            </w:r>
          </w:p>
        </w:tc>
        <w:tc>
          <w:tcPr>
            <w:tcW w:type="dxa" w:w="4276"/>
            <w:vAlign w:val="top"/>
          </w:tcPr>
          <w:p>
            <w:pPr>
              <w:spacing w:after="60" w:line="259" w:lineRule="auto"/>
            </w:pPr>
            <w:r>
              <w:rPr>
                <w:rFonts w:ascii="Calibri" w:hAnsi="Calibri"/>
                <w:b w:val="0"/>
                <w:i w:val="0"/>
                <w:color w:val="212121"/>
                <w:sz w:val="19"/>
              </w:rPr>
              <w:t>Bihar is the epicentre of Indian kala-azar, the alluvial Gangetic plain providing ideal sandfly habitat. The state consistently reports the largest share of national cases.</w:t>
            </w:r>
          </w:p>
          <w:p>
            <w:pPr>
              <w:spacing w:after="40" w:before="60" w:line="259" w:lineRule="auto"/>
            </w:pPr>
            <w:r>
              <w:rPr>
                <w:rFonts w:ascii="Calibri" w:hAnsi="Calibri"/>
                <w:b w:val="0"/>
                <w:i w:val="0"/>
                <w:color w:val="212121"/>
                <w:sz w:val="19"/>
              </w:rPr>
              <w:t>Bihar reported 335 of India's cases in 2023 and 249 in 2024, the highest of any state.</w:t>
            </w:r>
          </w:p>
          <w:p>
            <w:pPr>
              <w:spacing w:after="40" w:line="252" w:lineRule="auto"/>
            </w:pPr>
            <w:hyperlink r:id="rId11">
              <w:r>
                <w:rPr>
                  <w:rFonts w:ascii="Calibri" w:hAnsi="Calibri" w:cs="Calibri"/>
                  <w:sz w:val="18"/>
                  <w:color w:val="1155CC"/>
                  <w:u w:val="single"/>
                </w:rPr>
                <w:t xml:space="preserve">ncvbdc.mohfw.gov.in — Kala-azar situation in India</w:t>
              </w:r>
            </w:hyperlink>
          </w:p>
          <w:p>
            <w:pPr>
              <w:spacing w:before="60" w:after="40"/>
            </w:pPr>
            <w:r>
              <w:rPr>
                <w:rFonts w:ascii="Calibri" w:hAnsi="Calibri"/>
                <w:b w:val="0"/>
                <w:i w:val="0"/>
                <w:color w:val="5A5A5A"/>
                <w:sz w:val="18"/>
              </w:rPr>
              <w:t>#Bihar  #Gangeticplain  #epicentre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Region</w:t>
            </w:r>
          </w:p>
        </w:tc>
        <w:tc>
          <w:tcPr>
            <w:tcW w:type="dxa" w:w="2160"/>
            <w:vAlign w:val="top"/>
          </w:tcPr>
          <w:p>
            <w:pPr>
              <w:spacing w:after="40" w:before="0" w:line="259" w:lineRule="auto"/>
            </w:pPr>
            <w:r>
              <w:rPr>
                <w:rFonts w:ascii="Calibri" w:hAnsi="Calibri"/>
                <w:b w:val="0"/>
                <w:i w:val="0"/>
                <w:color w:val="212121"/>
                <w:sz w:val="19"/>
              </w:rPr>
              <w:t>Jharkhand, West Bengal &amp; eastern Uttar Pradesh</w:t>
            </w:r>
          </w:p>
        </w:tc>
        <w:tc>
          <w:tcPr>
            <w:tcW w:type="dxa" w:w="4276"/>
            <w:vAlign w:val="top"/>
          </w:tcPr>
          <w:p>
            <w:pPr>
              <w:spacing w:after="60" w:line="259" w:lineRule="auto"/>
            </w:pPr>
            <w:r>
              <w:rPr>
                <w:rFonts w:ascii="Calibri" w:hAnsi="Calibri"/>
                <w:b w:val="0"/>
                <w:i w:val="0"/>
                <w:color w:val="212121"/>
                <w:sz w:val="19"/>
              </w:rPr>
              <w:t>Transmission persists in a small number of endemic blocks in Jharkhand, West Bengal and eastern Uttar Pradesh, the other three states covered by India's kala-azar elimination programme.</w:t>
            </w:r>
          </w:p>
          <w:p>
            <w:pPr>
              <w:spacing w:after="40" w:before="60" w:line="259" w:lineRule="auto"/>
            </w:pPr>
            <w:r>
              <w:rPr>
                <w:rFonts w:ascii="Calibri" w:hAnsi="Calibri"/>
                <w:b w:val="0"/>
                <w:i w:val="0"/>
                <w:color w:val="212121"/>
                <w:sz w:val="19"/>
              </w:rPr>
              <w:t>In 2023 Jharkhand reported 154 cases, West Bengal 17 and Uttar Pradesh 14; these four states account for essentially all Indian cases.</w:t>
            </w:r>
          </w:p>
          <w:p>
            <w:pPr>
              <w:spacing w:after="40" w:line="252" w:lineRule="auto"/>
            </w:pPr>
            <w:hyperlink r:id="rId11">
              <w:r>
                <w:rPr>
                  <w:rFonts w:ascii="Calibri" w:hAnsi="Calibri" w:cs="Calibri"/>
                  <w:sz w:val="18"/>
                  <w:color w:val="1155CC"/>
                  <w:u w:val="single"/>
                </w:rPr>
                <w:t xml:space="preserve">ncvbdc.mohfw.gov.in — Kala-azar situation in India</w:t>
              </w:r>
            </w:hyperlink>
          </w:p>
          <w:p>
            <w:pPr>
              <w:spacing w:before="60" w:after="40"/>
            </w:pPr>
            <w:r>
              <w:rPr>
                <w:rFonts w:ascii="Calibri" w:hAnsi="Calibri"/>
                <w:b w:val="0"/>
                <w:i w:val="0"/>
                <w:color w:val="5A5A5A"/>
                <w:sz w:val="18"/>
              </w:rPr>
              <w:t>#Jharkhand  #WestBengal  #UttarPradesh  #endemicblocks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Housing &amp; environment</w:t>
            </w:r>
          </w:p>
        </w:tc>
        <w:tc>
          <w:tcPr>
            <w:tcW w:type="dxa" w:w="2160"/>
            <w:vAlign w:val="top"/>
          </w:tcPr>
          <w:p>
            <w:pPr>
              <w:spacing w:after="40" w:before="0" w:line="259" w:lineRule="auto"/>
            </w:pPr>
            <w:r>
              <w:rPr>
                <w:rFonts w:ascii="Calibri" w:hAnsi="Calibri"/>
                <w:b w:val="0"/>
                <w:i w:val="0"/>
                <w:color w:val="212121"/>
                <w:sz w:val="19"/>
              </w:rPr>
              <w:t>Mud-thatch houses with adjoining cattle sheds</w:t>
            </w:r>
          </w:p>
        </w:tc>
        <w:tc>
          <w:tcPr>
            <w:tcW w:type="dxa" w:w="4276"/>
            <w:vAlign w:val="top"/>
          </w:tcPr>
          <w:p>
            <w:pPr>
              <w:spacing w:after="60" w:line="259" w:lineRule="auto"/>
            </w:pPr>
            <w:r>
              <w:rPr>
                <w:rFonts w:ascii="Calibri" w:hAnsi="Calibri"/>
                <w:b w:val="0"/>
                <w:i w:val="0"/>
                <w:color w:val="212121"/>
                <w:sz w:val="19"/>
              </w:rPr>
              <w:t>Damp, cracked mud walls, poor ventilation and cattle sheds beside sleeping quarters create the warm, humid resting sites Phlebotomus argentipes needs, sustaining peri-domestic transmission.</w:t>
            </w:r>
          </w:p>
          <w:p>
            <w:pPr>
              <w:spacing w:after="40" w:before="60" w:line="259" w:lineRule="auto"/>
            </w:pPr>
            <w:r>
              <w:rPr>
                <w:rFonts w:ascii="Calibri" w:hAnsi="Calibri"/>
                <w:b w:val="0"/>
                <w:i w:val="0"/>
                <w:color w:val="212121"/>
                <w:sz w:val="19"/>
              </w:rPr>
              <w:t>WHO lists poor housing and domestic sanitary conditions (for example lack of waste management and open sewerage) among the risk factors that increase sandfly breeding and human exposure.</w:t>
            </w:r>
          </w:p>
          <w:p>
            <w:pPr>
              <w:spacing w:after="40" w:line="252" w:lineRule="auto"/>
            </w:pPr>
            <w:hyperlink r:id="rId12">
              <w:r>
                <w:rPr>
                  <w:rFonts w:ascii="Calibri" w:hAnsi="Calibri" w:cs="Calibri"/>
                  <w:sz w:val="18"/>
                  <w:color w:val="1155CC"/>
                  <w:u w:val="single"/>
                </w:rPr>
                <w:t xml:space="preserve">who.int — Leishmaniasis fact sheet</w:t>
              </w:r>
            </w:hyperlink>
          </w:p>
          <w:p>
            <w:pPr>
              <w:spacing w:before="60" w:after="40"/>
            </w:pPr>
            <w:r>
              <w:rPr>
                <w:rFonts w:ascii="Calibri" w:hAnsi="Calibri"/>
                <w:b w:val="0"/>
                <w:i w:val="0"/>
                <w:color w:val="5A5A5A"/>
                <w:sz w:val="18"/>
              </w:rPr>
              <w:t>#mudhousing  #cattleshed  #sandflyhabitat</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Sleeping arrangement</w:t>
            </w:r>
          </w:p>
        </w:tc>
        <w:tc>
          <w:tcPr>
            <w:tcW w:type="dxa" w:w="2160"/>
            <w:vAlign w:val="top"/>
          </w:tcPr>
          <w:p>
            <w:pPr>
              <w:spacing w:after="40" w:before="0" w:line="259" w:lineRule="auto"/>
            </w:pPr>
            <w:r>
              <w:rPr>
                <w:rFonts w:ascii="Calibri" w:hAnsi="Calibri"/>
                <w:b w:val="0"/>
                <w:i w:val="0"/>
                <w:color w:val="212121"/>
                <w:sz w:val="19"/>
              </w:rPr>
              <w:t>Sleeping on the floor or outdoors without a bednet</w:t>
            </w:r>
          </w:p>
        </w:tc>
        <w:tc>
          <w:tcPr>
            <w:tcW w:type="dxa" w:w="4276"/>
            <w:vAlign w:val="top"/>
          </w:tcPr>
          <w:p>
            <w:pPr>
              <w:spacing w:after="60" w:line="259" w:lineRule="auto"/>
            </w:pPr>
            <w:r>
              <w:rPr>
                <w:rFonts w:ascii="Calibri" w:hAnsi="Calibri"/>
                <w:b w:val="0"/>
                <w:i w:val="0"/>
                <w:color w:val="212121"/>
                <w:sz w:val="19"/>
              </w:rPr>
              <w:t>Sandflies bite at dusk and at night close to the ground; sleeping on the floor or outdoors without an insecticide-treated net markedly increases the number of infective bites.</w:t>
            </w:r>
          </w:p>
          <w:p>
            <w:pPr>
              <w:spacing w:after="40" w:before="60" w:line="259" w:lineRule="auto"/>
            </w:pPr>
            <w:r>
              <w:rPr>
                <w:rFonts w:ascii="Calibri" w:hAnsi="Calibri"/>
                <w:b w:val="0"/>
                <w:i w:val="0"/>
                <w:color w:val="212121"/>
                <w:sz w:val="19"/>
              </w:rPr>
              <w:t>Insecticide-treated nets and indoor residual spraying are core interventions in the national programme precisely because peri-domestic, ground-level biting drives transmission.</w:t>
            </w:r>
          </w:p>
          <w:p>
            <w:pPr>
              <w:spacing w:before="60" w:after="40"/>
            </w:pPr>
            <w:r>
              <w:rPr>
                <w:rFonts w:ascii="Calibri" w:hAnsi="Calibri"/>
                <w:b w:val="0"/>
                <w:i w:val="0"/>
                <w:color w:val="5A5A5A"/>
                <w:sz w:val="18"/>
              </w:rPr>
              <w:t>#sleepingfloor  #bednets  #nighttimebiting</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Occupation</w:t>
            </w:r>
          </w:p>
        </w:tc>
        <w:tc>
          <w:tcPr>
            <w:tcW w:type="dxa" w:w="2160"/>
            <w:vAlign w:val="top"/>
          </w:tcPr>
          <w:p>
            <w:pPr>
              <w:spacing w:after="40" w:before="0" w:line="259" w:lineRule="auto"/>
            </w:pPr>
            <w:r>
              <w:rPr>
                <w:rFonts w:ascii="Calibri" w:hAnsi="Calibri"/>
                <w:b w:val="0"/>
                <w:i w:val="0"/>
                <w:color w:val="212121"/>
                <w:sz w:val="19"/>
              </w:rPr>
              <w:t>Agricultural labourers &amp; cattle rearers</w:t>
            </w:r>
          </w:p>
        </w:tc>
        <w:tc>
          <w:tcPr>
            <w:tcW w:type="dxa" w:w="4276"/>
            <w:vAlign w:val="top"/>
          </w:tcPr>
          <w:p>
            <w:pPr>
              <w:spacing w:after="60" w:line="259" w:lineRule="auto"/>
            </w:pPr>
            <w:r>
              <w:rPr>
                <w:rFonts w:ascii="Calibri" w:hAnsi="Calibri"/>
                <w:b w:val="0"/>
                <w:i w:val="0"/>
                <w:color w:val="212121"/>
                <w:sz w:val="19"/>
              </w:rPr>
              <w:t>Farm and livestock workers spend prolonged periods near sandfly breeding and resting sites and often sleep in or beside cattle sheds, increasing exposure.</w:t>
            </w:r>
          </w:p>
          <w:p>
            <w:pPr>
              <w:spacing w:after="40" w:before="60" w:line="259" w:lineRule="auto"/>
            </w:pPr>
            <w:r>
              <w:rPr>
                <w:rFonts w:ascii="Calibri" w:hAnsi="Calibri"/>
                <w:b w:val="0"/>
                <w:i w:val="0"/>
                <w:color w:val="212121"/>
                <w:sz w:val="19"/>
              </w:rPr>
              <w:t>Occupational and peri-domestic proximity to cattle and moist vegetation is a recognised exposure driver in endemic villages.</w:t>
            </w:r>
          </w:p>
          <w:p>
            <w:pPr>
              <w:spacing w:before="60" w:after="40"/>
            </w:pPr>
            <w:r>
              <w:rPr>
                <w:rFonts w:ascii="Calibri" w:hAnsi="Calibri"/>
                <w:b w:val="0"/>
                <w:i w:val="0"/>
                <w:color w:val="5A5A5A"/>
                <w:sz w:val="18"/>
              </w:rPr>
              <w:t>#agriculture  #cattlerearing  #occupationalexposure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Migration</w:t>
            </w:r>
          </w:p>
        </w:tc>
        <w:tc>
          <w:tcPr>
            <w:tcW w:type="dxa" w:w="2160"/>
            <w:vAlign w:val="top"/>
          </w:tcPr>
          <w:p>
            <w:pPr>
              <w:spacing w:after="40" w:before="0" w:line="259" w:lineRule="auto"/>
            </w:pPr>
            <w:r>
              <w:rPr>
                <w:rFonts w:ascii="Calibri" w:hAnsi="Calibri"/>
                <w:b w:val="0"/>
                <w:i w:val="0"/>
                <w:color w:val="212121"/>
                <w:sz w:val="19"/>
              </w:rPr>
              <w:t>Migrant labourers between endemic districts</w:t>
            </w:r>
          </w:p>
        </w:tc>
        <w:tc>
          <w:tcPr>
            <w:tcW w:type="dxa" w:w="4276"/>
            <w:vAlign w:val="top"/>
          </w:tcPr>
          <w:p>
            <w:pPr>
              <w:spacing w:after="60" w:line="259" w:lineRule="auto"/>
            </w:pPr>
            <w:r>
              <w:rPr>
                <w:rFonts w:ascii="Calibri" w:hAnsi="Calibri"/>
                <w:b w:val="0"/>
                <w:i w:val="0"/>
                <w:color w:val="212121"/>
                <w:sz w:val="19"/>
              </w:rPr>
              <w:t>Seasonal and labour migration within and between endemic districts can seed new foci and complicate case tracking; migrants may present far from where they were infected.</w:t>
            </w:r>
          </w:p>
          <w:p>
            <w:pPr>
              <w:spacing w:after="40" w:before="60" w:line="259" w:lineRule="auto"/>
            </w:pPr>
            <w:r>
              <w:rPr>
                <w:rFonts w:ascii="Calibri" w:hAnsi="Calibri"/>
                <w:b w:val="0"/>
                <w:i w:val="0"/>
                <w:color w:val="212121"/>
                <w:sz w:val="19"/>
              </w:rPr>
              <w:t>Population movement is a recognised factor in maintaining and spreading transmission in the subcontinent's endemic belt.</w:t>
            </w:r>
          </w:p>
          <w:p>
            <w:pPr>
              <w:spacing w:before="60" w:after="40"/>
            </w:pPr>
            <w:r>
              <w:rPr>
                <w:rFonts w:ascii="Calibri" w:hAnsi="Calibri"/>
                <w:b w:val="0"/>
                <w:i w:val="0"/>
                <w:color w:val="5A5A5A"/>
                <w:sz w:val="18"/>
              </w:rPr>
              <w:t>#migration  #labourmigrants  #importedcases</w:t>
            </w:r>
          </w:p>
        </w:tc>
      </w:tr>
      <w:tr>
        <w:trPr>
          <w:cantSplit/>
        </w:trPr>
        <w:tc>
          <w:tcPr>
            <w:tcW w:type="dxa" w:w="1512"/>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Nutrition</w:t>
            </w:r>
          </w:p>
        </w:tc>
        <w:tc>
          <w:tcPr>
            <w:tcW w:type="dxa" w:w="2160"/>
            <w:vAlign w:val="top"/>
          </w:tcPr>
          <w:p>
            <w:pPr>
              <w:spacing w:after="40" w:before="0" w:line="259" w:lineRule="auto"/>
            </w:pPr>
            <w:r>
              <w:rPr>
                <w:rFonts w:ascii="Calibri" w:hAnsi="Calibri"/>
                <w:b w:val="0"/>
                <w:i w:val="0"/>
                <w:color w:val="212121"/>
                <w:sz w:val="19"/>
              </w:rPr>
              <w:t>Undernourished, micronutrient-deficient individuals</w:t>
            </w:r>
          </w:p>
        </w:tc>
        <w:tc>
          <w:tcPr>
            <w:tcW w:type="dxa" w:w="4276"/>
            <w:vAlign w:val="top"/>
          </w:tcPr>
          <w:p>
            <w:pPr>
              <w:spacing w:after="60" w:line="259" w:lineRule="auto"/>
            </w:pPr>
            <w:r>
              <w:rPr>
                <w:rFonts w:ascii="Calibri" w:hAnsi="Calibri"/>
                <w:b w:val="0"/>
                <w:i w:val="0"/>
                <w:color w:val="212121"/>
                <w:sz w:val="19"/>
              </w:rPr>
              <w:t>Protein-energy malnutrition and deficiencies of iron, vitamin A and zinc impair the cell-mediated immunity needed to contain L. donovani, increasing the likelihood that infection progresses to fatal visceral disease.</w:t>
            </w:r>
          </w:p>
          <w:p>
            <w:pPr>
              <w:spacing w:after="40" w:before="60" w:line="259" w:lineRule="auto"/>
            </w:pPr>
            <w:r>
              <w:rPr>
                <w:rFonts w:ascii="Calibri" w:hAnsi="Calibri"/>
                <w:b w:val="0"/>
                <w:i w:val="0"/>
                <w:color w:val="212121"/>
                <w:sz w:val="19"/>
              </w:rPr>
              <w:t>WHO identifies malnutrition — including protein-energy and iron, vitamin A and zinc deficiency — as an established risk factor that increases the chance infection progresses to full-blown kala-azar.</w:t>
            </w:r>
          </w:p>
          <w:p>
            <w:pPr>
              <w:spacing w:after="40" w:line="252" w:lineRule="auto"/>
            </w:pPr>
            <w:hyperlink r:id="rId12">
              <w:r>
                <w:rPr>
                  <w:rFonts w:ascii="Calibri" w:hAnsi="Calibri" w:cs="Calibri"/>
                  <w:sz w:val="18"/>
                  <w:color w:val="1155CC"/>
                  <w:u w:val="single"/>
                </w:rPr>
                <w:t xml:space="preserve">who.int — Leishmaniasis fact sheet</w:t>
              </w:r>
            </w:hyperlink>
          </w:p>
          <w:p>
            <w:pPr>
              <w:spacing w:before="60" w:after="40"/>
            </w:pPr>
            <w:r>
              <w:rPr>
                <w:rFonts w:ascii="Calibri" w:hAnsi="Calibri"/>
                <w:b w:val="0"/>
                <w:i w:val="0"/>
                <w:color w:val="5A5A5A"/>
                <w:sz w:val="18"/>
              </w:rPr>
              <w:t>#malnutrition  #micronutrients  #immunity</w:t>
            </w:r>
          </w:p>
        </w:tc>
      </w:tr>
      <w:tr>
        <w:trPr>
          <w:cantSplit/>
        </w:trPr>
        <w:tc>
          <w:tcPr>
            <w:tcW w:type="dxa" w:w="1512"/>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Host susceptibility &amp; family clustering</w:t>
            </w:r>
          </w:p>
        </w:tc>
        <w:tc>
          <w:tcPr>
            <w:tcW w:type="dxa" w:w="2160"/>
            <w:vAlign w:val="top"/>
          </w:tcPr>
          <w:p>
            <w:pPr>
              <w:spacing w:after="40" w:before="0" w:line="259" w:lineRule="auto"/>
            </w:pPr>
            <w:r>
              <w:rPr>
                <w:rFonts w:ascii="Calibri" w:hAnsi="Calibri"/>
                <w:b w:val="0"/>
                <w:i w:val="0"/>
                <w:color w:val="212121"/>
                <w:sz w:val="19"/>
              </w:rPr>
              <w:t>Household members of a case</w:t>
            </w:r>
          </w:p>
        </w:tc>
        <w:tc>
          <w:tcPr>
            <w:tcW w:type="dxa" w:w="4276"/>
            <w:vAlign w:val="top"/>
          </w:tcPr>
          <w:p>
            <w:pPr>
              <w:spacing w:after="60" w:line="259" w:lineRule="auto"/>
            </w:pPr>
            <w:r>
              <w:rPr>
                <w:rFonts w:ascii="Calibri" w:hAnsi="Calibri"/>
                <w:b w:val="0"/>
                <w:i w:val="0"/>
                <w:color w:val="212121"/>
                <w:sz w:val="19"/>
              </w:rPr>
              <w:t>VL clusters within households and villages, reflecting shared vector exposure and host genetic susceptibility (variants at HLA and other immune loci that influence macrophage control of the parasite).</w:t>
            </w:r>
          </w:p>
          <w:p>
            <w:pPr>
              <w:spacing w:after="40" w:before="60" w:line="259" w:lineRule="auto"/>
            </w:pPr>
            <w:r>
              <w:rPr>
                <w:rFonts w:ascii="Calibri" w:hAnsi="Calibri"/>
                <w:b w:val="0"/>
                <w:i w:val="0"/>
                <w:color w:val="212121"/>
                <w:sz w:val="19"/>
              </w:rPr>
              <w:t>Strong household and village clustering of cases is consistently described in the Indian VL belt.</w:t>
            </w:r>
          </w:p>
          <w:p>
            <w:pPr>
              <w:spacing w:before="60" w:after="40"/>
            </w:pPr>
            <w:r>
              <w:rPr>
                <w:rFonts w:ascii="Calibri" w:hAnsi="Calibri"/>
                <w:b w:val="0"/>
                <w:i w:val="0"/>
                <w:color w:val="5A5A5A"/>
                <w:sz w:val="18"/>
              </w:rPr>
              <w:t>#familyclustering  #hostgenetics  #HLA</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HIV/AIDS</w:t>
            </w:r>
          </w:p>
        </w:tc>
        <w:tc>
          <w:tcPr>
            <w:tcW w:type="dxa" w:w="2160"/>
            <w:vAlign w:val="top"/>
          </w:tcPr>
          <w:p>
            <w:pPr>
              <w:spacing w:after="40" w:before="0" w:line="259" w:lineRule="auto"/>
            </w:pPr>
            <w:r>
              <w:rPr>
                <w:rFonts w:ascii="Calibri" w:hAnsi="Calibri"/>
                <w:b w:val="0"/>
                <w:i w:val="0"/>
                <w:color w:val="212121"/>
                <w:sz w:val="19"/>
              </w:rPr>
              <w:t>People living with HIV</w:t>
            </w:r>
          </w:p>
        </w:tc>
        <w:tc>
          <w:tcPr>
            <w:tcW w:type="dxa" w:w="4276"/>
            <w:vAlign w:val="top"/>
          </w:tcPr>
          <w:p>
            <w:pPr>
              <w:spacing w:after="60" w:line="259" w:lineRule="auto"/>
            </w:pPr>
            <w:r>
              <w:rPr>
                <w:rFonts w:ascii="Calibri" w:hAnsi="Calibri"/>
                <w:b w:val="0"/>
                <w:i w:val="0"/>
                <w:color w:val="212121"/>
                <w:sz w:val="19"/>
              </w:rPr>
              <w:t>HIV and VL are mutually reinforcing: HIV increases the risk of clinical VL and relapse, while VL accelerates HIV progression. Coinfected patients present atypically, respond poorly to treatment and have high mortality.</w:t>
            </w:r>
          </w:p>
          <w:p>
            <w:pPr>
              <w:spacing w:after="40" w:before="60" w:line="259" w:lineRule="auto"/>
            </w:pPr>
            <w:r>
              <w:rPr>
                <w:rFonts w:ascii="Calibri" w:hAnsi="Calibri"/>
                <w:b w:val="0"/>
                <w:i w:val="0"/>
                <w:color w:val="212121"/>
                <w:sz w:val="19"/>
              </w:rPr>
              <w:t>Mortality is far higher in coinfection — 33.6% in HIV-positive versus 3.6% in HIV-negative patients in one cohort; India reported 59 HIV–VL coinfections in 2024, concentrated in Bihar.</w:t>
            </w:r>
          </w:p>
          <w:p>
            <w:pPr>
              <w:spacing w:after="40" w:line="252" w:lineRule="auto"/>
            </w:pPr>
            <w:hyperlink r:id="rId9">
              <w:r>
                <w:rPr>
                  <w:rFonts w:ascii="Calibri" w:hAnsi="Calibri" w:cs="Calibri"/>
                  <w:sz w:val="18"/>
                  <w:color w:val="1155CC"/>
                  <w:u w:val="single"/>
                </w:rPr>
                <w:t xml:space="preserve">ncbi.nlm.nih.gov — StatPearls: Leishmaniasis</w:t>
              </w:r>
            </w:hyperlink>
          </w:p>
          <w:p>
            <w:pPr>
              <w:spacing w:before="60" w:after="40"/>
            </w:pPr>
            <w:r>
              <w:rPr>
                <w:rFonts w:ascii="Calibri" w:hAnsi="Calibri"/>
                <w:b w:val="0"/>
                <w:i w:val="0"/>
                <w:color w:val="5A5A5A"/>
                <w:sz w:val="18"/>
              </w:rPr>
              <w:t>#HIV  #coinfection  #immunosuppression  #relapse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Malnutrition</w:t>
            </w:r>
          </w:p>
        </w:tc>
        <w:tc>
          <w:tcPr>
            <w:tcW w:type="dxa" w:w="2160"/>
            <w:vAlign w:val="top"/>
          </w:tcPr>
          <w:p>
            <w:pPr>
              <w:spacing w:after="40" w:before="0" w:line="259" w:lineRule="auto"/>
            </w:pPr>
            <w:r>
              <w:rPr>
                <w:rFonts w:ascii="Calibri" w:hAnsi="Calibri"/>
                <w:b w:val="0"/>
                <w:i w:val="0"/>
                <w:color w:val="212121"/>
                <w:sz w:val="19"/>
              </w:rPr>
              <w:t>Severely undernourished patients</w:t>
            </w:r>
          </w:p>
        </w:tc>
        <w:tc>
          <w:tcPr>
            <w:tcW w:type="dxa" w:w="4276"/>
            <w:vAlign w:val="top"/>
          </w:tcPr>
          <w:p>
            <w:pPr>
              <w:spacing w:after="60" w:line="259" w:lineRule="auto"/>
            </w:pPr>
            <w:r>
              <w:rPr>
                <w:rFonts w:ascii="Calibri" w:hAnsi="Calibri"/>
                <w:b w:val="0"/>
                <w:i w:val="0"/>
                <w:color w:val="212121"/>
                <w:sz w:val="19"/>
              </w:rPr>
              <w:t>Concurrent malnutrition worsens anaemia, delays recovery and increases the risk of secondary infection and death during and after VL treatment.</w:t>
            </w:r>
          </w:p>
          <w:p>
            <w:pPr>
              <w:spacing w:after="40" w:before="60" w:line="259" w:lineRule="auto"/>
            </w:pPr>
            <w:r>
              <w:rPr>
                <w:rFonts w:ascii="Calibri" w:hAnsi="Calibri"/>
                <w:b w:val="0"/>
                <w:i w:val="0"/>
                <w:color w:val="212121"/>
                <w:sz w:val="19"/>
              </w:rPr>
              <w:t>Malnutrition is both a risk factor for developing kala-azar and a driver of poor treatment outcomes.</w:t>
            </w:r>
          </w:p>
          <w:p>
            <w:pPr>
              <w:spacing w:after="40" w:line="252" w:lineRule="auto"/>
            </w:pPr>
            <w:hyperlink r:id="rId12">
              <w:r>
                <w:rPr>
                  <w:rFonts w:ascii="Calibri" w:hAnsi="Calibri" w:cs="Calibri"/>
                  <w:sz w:val="18"/>
                  <w:color w:val="1155CC"/>
                  <w:u w:val="single"/>
                </w:rPr>
                <w:t xml:space="preserve">who.int — Leishmaniasis fact sheet</w:t>
              </w:r>
            </w:hyperlink>
          </w:p>
          <w:p>
            <w:pPr>
              <w:spacing w:before="60" w:after="40"/>
            </w:pPr>
            <w:r>
              <w:rPr>
                <w:rFonts w:ascii="Calibri" w:hAnsi="Calibri"/>
                <w:b w:val="0"/>
                <w:i w:val="0"/>
                <w:color w:val="5A5A5A"/>
                <w:sz w:val="18"/>
              </w:rPr>
              <w:t>#malnutrition  #wasting  #pooroutcome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Tuberculosis</w:t>
            </w:r>
          </w:p>
        </w:tc>
        <w:tc>
          <w:tcPr>
            <w:tcW w:type="dxa" w:w="2160"/>
            <w:vAlign w:val="top"/>
          </w:tcPr>
          <w:p>
            <w:pPr>
              <w:spacing w:after="40" w:before="0" w:line="259" w:lineRule="auto"/>
            </w:pPr>
            <w:r>
              <w:rPr>
                <w:rFonts w:ascii="Calibri" w:hAnsi="Calibri"/>
                <w:b w:val="0"/>
                <w:i w:val="0"/>
                <w:color w:val="212121"/>
                <w:sz w:val="19"/>
              </w:rPr>
              <w:t>Patients with active or latent TB</w:t>
            </w:r>
          </w:p>
        </w:tc>
        <w:tc>
          <w:tcPr>
            <w:tcW w:type="dxa" w:w="4276"/>
            <w:vAlign w:val="top"/>
          </w:tcPr>
          <w:p>
            <w:pPr>
              <w:spacing w:after="60" w:line="259" w:lineRule="auto"/>
            </w:pPr>
            <w:r>
              <w:rPr>
                <w:rFonts w:ascii="Calibri" w:hAnsi="Calibri"/>
                <w:b w:val="0"/>
                <w:i w:val="0"/>
                <w:color w:val="212121"/>
                <w:sz w:val="19"/>
              </w:rPr>
              <w:t>VL and tuberculosis share poverty, undernutrition and impaired cell-mediated immunity; coinfection is common in endemic areas and complicates diagnosis (overlapping fever, wasting and hepatosplenomegaly) and management.</w:t>
            </w:r>
          </w:p>
          <w:p>
            <w:pPr>
              <w:spacing w:after="40" w:before="60" w:line="259" w:lineRule="auto"/>
            </w:pPr>
            <w:r>
              <w:rPr>
                <w:rFonts w:ascii="Calibri" w:hAnsi="Calibri"/>
                <w:b w:val="0"/>
                <w:i w:val="0"/>
                <w:color w:val="212121"/>
                <w:sz w:val="19"/>
              </w:rPr>
              <w:t>Overlapping constitutional features frequently lead to diagnostic confusion between VL and TB in endemic populations.</w:t>
            </w:r>
          </w:p>
          <w:p>
            <w:pPr>
              <w:spacing w:before="60" w:after="40"/>
            </w:pPr>
            <w:r>
              <w:rPr>
                <w:rFonts w:ascii="Calibri" w:hAnsi="Calibri"/>
                <w:b w:val="0"/>
                <w:i w:val="0"/>
                <w:color w:val="5A5A5A"/>
                <w:sz w:val="18"/>
              </w:rPr>
              <w:t>#tuberculosis  #coinfection  #immunecompromise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PKDL / prior kala-azar</w:t>
            </w:r>
          </w:p>
        </w:tc>
        <w:tc>
          <w:tcPr>
            <w:tcW w:type="dxa" w:w="2160"/>
            <w:vAlign w:val="top"/>
          </w:tcPr>
          <w:p>
            <w:pPr>
              <w:spacing w:after="40" w:before="0" w:line="259" w:lineRule="auto"/>
            </w:pPr>
            <w:r>
              <w:rPr>
                <w:rFonts w:ascii="Calibri" w:hAnsi="Calibri"/>
                <w:b w:val="0"/>
                <w:i w:val="0"/>
                <w:color w:val="212121"/>
                <w:sz w:val="19"/>
              </w:rPr>
              <w:t>Previously treated VL patients</w:t>
            </w:r>
          </w:p>
        </w:tc>
        <w:tc>
          <w:tcPr>
            <w:tcW w:type="dxa" w:w="4276"/>
            <w:vAlign w:val="top"/>
          </w:tcPr>
          <w:p>
            <w:pPr>
              <w:spacing w:after="60" w:line="259" w:lineRule="auto"/>
            </w:pPr>
            <w:r>
              <w:rPr>
                <w:rFonts w:ascii="Calibri" w:hAnsi="Calibri"/>
                <w:b w:val="0"/>
                <w:i w:val="0"/>
                <w:color w:val="212121"/>
                <w:sz w:val="19"/>
              </w:rPr>
              <w:t>People with previous kala-azar can develop post-kala-azar dermal leishmaniasis, whose skin lesions harbour parasites and act as a human reservoir, and they are also at risk of VL relapse.</w:t>
            </w:r>
          </w:p>
          <w:p>
            <w:pPr>
              <w:spacing w:after="40" w:before="60" w:line="259" w:lineRule="auto"/>
            </w:pPr>
            <w:r>
              <w:rPr>
                <w:rFonts w:ascii="Calibri" w:hAnsi="Calibri"/>
                <w:b w:val="0"/>
                <w:i w:val="0"/>
                <w:color w:val="212121"/>
                <w:sz w:val="19"/>
              </w:rPr>
              <w:t>About 5–10% of treated kala-azar patients develop PKDL months to years after apparent cure and are a potential source of ongoing transmission.</w:t>
            </w:r>
          </w:p>
          <w:p>
            <w:pPr>
              <w:spacing w:after="40" w:line="252" w:lineRule="auto"/>
            </w:pPr>
            <w:hyperlink r:id="rId10">
              <w:r>
                <w:rPr>
                  <w:rFonts w:ascii="Calibri" w:hAnsi="Calibri" w:cs="Calibri"/>
                  <w:sz w:val="18"/>
                  <w:color w:val="1155CC"/>
                  <w:u w:val="single"/>
                </w:rPr>
                <w:t xml:space="preserve">bmj.com — Eliminating visceral leishmaniasis in South Asia</w:t>
              </w:r>
            </w:hyperlink>
          </w:p>
          <w:p>
            <w:pPr>
              <w:spacing w:before="60" w:after="40"/>
            </w:pPr>
            <w:r>
              <w:rPr>
                <w:rFonts w:ascii="Calibri" w:hAnsi="Calibri"/>
                <w:b w:val="0"/>
                <w:i w:val="0"/>
                <w:color w:val="5A5A5A"/>
                <w:sz w:val="18"/>
              </w:rPr>
              <w:t>#PKDL  #reservoir  #relapse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Immunosuppression</w:t>
            </w:r>
          </w:p>
        </w:tc>
        <w:tc>
          <w:tcPr>
            <w:tcW w:type="dxa" w:w="2160"/>
            <w:vAlign w:val="top"/>
          </w:tcPr>
          <w:p>
            <w:pPr>
              <w:spacing w:after="40" w:before="0" w:line="259" w:lineRule="auto"/>
            </w:pPr>
            <w:r>
              <w:rPr>
                <w:rFonts w:ascii="Calibri" w:hAnsi="Calibri"/>
                <w:b w:val="0"/>
                <w:i w:val="0"/>
                <w:color w:val="212121"/>
                <w:sz w:val="19"/>
              </w:rPr>
              <w:t>Transplant, corticosteroid &amp; anti-TNF recipients</w:t>
            </w:r>
          </w:p>
        </w:tc>
        <w:tc>
          <w:tcPr>
            <w:tcW w:type="dxa" w:w="4276"/>
            <w:vAlign w:val="top"/>
          </w:tcPr>
          <w:p>
            <w:pPr>
              <w:spacing w:after="60" w:line="259" w:lineRule="auto"/>
            </w:pPr>
            <w:r>
              <w:rPr>
                <w:rFonts w:ascii="Calibri" w:hAnsi="Calibri"/>
                <w:b w:val="0"/>
                <w:i w:val="0"/>
                <w:color w:val="212121"/>
                <w:sz w:val="19"/>
              </w:rPr>
              <w:t>Corticosteroids, organ transplantation, anti-TNF agents and other immunosuppressants can reactivate latent Leishmania or unmask clinical VL, sometimes years after exposure in an endemic area.</w:t>
            </w:r>
          </w:p>
          <w:p>
            <w:pPr>
              <w:spacing w:after="40" w:before="60" w:line="259" w:lineRule="auto"/>
            </w:pPr>
            <w:r>
              <w:rPr>
                <w:rFonts w:ascii="Calibri" w:hAnsi="Calibri"/>
                <w:b w:val="0"/>
                <w:i w:val="0"/>
                <w:color w:val="212121"/>
                <w:sz w:val="19"/>
              </w:rPr>
              <w:t>People with weakened immune systems are at particular risk of developing severe visceral disease after infection.</w:t>
            </w:r>
          </w:p>
          <w:p>
            <w:pPr>
              <w:spacing w:after="40" w:line="252" w:lineRule="auto"/>
            </w:pPr>
            <w:hyperlink r:id="rId13">
              <w:r>
                <w:rPr>
                  <w:rFonts w:ascii="Calibri" w:hAnsi="Calibri" w:cs="Calibri"/>
                  <w:sz w:val="18"/>
                  <w:color w:val="1155CC"/>
                  <w:u w:val="single"/>
                </w:rPr>
                <w:t xml:space="preserve">cdc.gov — About Leishmaniasis</w:t>
              </w:r>
            </w:hyperlink>
          </w:p>
          <w:p>
            <w:pPr>
              <w:spacing w:before="60" w:after="40"/>
            </w:pPr>
            <w:r>
              <w:rPr>
                <w:rFonts w:ascii="Calibri" w:hAnsi="Calibri"/>
                <w:b w:val="0"/>
                <w:i w:val="0"/>
                <w:color w:val="5A5A5A"/>
                <w:sz w:val="18"/>
              </w:rPr>
              <w:t>#immunosuppression  #reactivation  #transplant</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Physical inactivity does not cause VL, but the disease itself produces profound fatigue, wasting and exercise intolerance; good baseline nutrition and fitness support immune recovery, and massive splenomegaly restricts activity.</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Malnutrition — protein-energy and iron, vitamin A and zinc deficiency — is a WHO-recognised risk factor that increases progression from infection to clinical kala-azar and worsens treatment outcomes.</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Sandflies bite at dusk and night near the ground; sleeping on the floor or outdoors without an insecticide-treated net greatly increases infective bites, making sleeping arrangements an important behavioural determinant.</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Tobacco is not an established risk factor for VL, though smoking impairs mucosal and cellular immunity and is best avoided during recovery.</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Alcohol is not causal, but chronic use and alcoholic liver disease worsen hepatic involvement and add to the hepatotoxicity of antileishmanial drugs.</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VL and disfiguring PKDL carry stigma and chronic-illness burden that can cause anxiety and depression and reduce treatment adherence; mental health does not cause the infection.</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VL is vector-borne, not waterborne; however, poor peri-domestic sanitation and stagnant organic matter around dwellings support sandfly breeding.</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No established relationship between caffeine intake and visceral leishmaniasis.</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Domestic and environmental hygiene, vector control (bednets, indoor residual spraying), plastering of cracked walls and removal of organic debris reduce sandfly density and transmission.</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Immunosuppression — especially HIV infection and immunosuppressive drugs — and severe malnutrition provoke progression of latent infection to clinical VL, relapse and high mortality.</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Body Mass Index (kg/m²)</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18.5–24.9 kg/m²</w:t>
            </w:r>
          </w:p>
        </w:tc>
        <w:tc>
          <w:tcPr>
            <w:tcW w:type="dxa" w:w="1512"/>
            <w:vAlign w:val="top"/>
          </w:tcPr>
          <w:p>
            <w:pPr>
              <w:spacing w:after="40" w:before="0" w:line="259" w:lineRule="auto"/>
            </w:pPr>
            <w:r>
              <w:rPr>
                <w:rFonts w:ascii="Calibri" w:hAnsi="Calibri"/>
                <w:b w:val="0"/>
                <w:i w:val="0"/>
                <w:color w:val="212121"/>
                <w:sz w:val="19"/>
              </w:rPr>
              <w:t>&lt; 18.5 (undernutrition)</w:t>
            </w:r>
          </w:p>
        </w:tc>
        <w:tc>
          <w:tcPr>
            <w:tcW w:type="dxa" w:w="1468"/>
            <w:vAlign w:val="top"/>
          </w:tcPr>
          <w:p>
            <w:pPr>
              <w:spacing w:after="60" w:line="259" w:lineRule="auto"/>
            </w:pPr>
            <w:r>
              <w:rPr>
                <w:rFonts w:ascii="Calibri" w:hAnsi="Calibri"/>
                <w:b w:val="0"/>
                <w:i w:val="0"/>
                <w:color w:val="212121"/>
                <w:sz w:val="19"/>
              </w:rPr>
              <w:t>Undernutrition raises progression to clinical VL and worsens outcomes</w:t>
            </w:r>
          </w:p>
          <w:p>
            <w:pPr>
              <w:spacing w:after="40" w:line="252" w:lineRule="auto"/>
            </w:pPr>
            <w:hyperlink r:id="rId12">
              <w:r>
                <w:rPr>
                  <w:rFonts w:ascii="Calibri" w:hAnsi="Calibri" w:cs="Calibri"/>
                  <w:sz w:val="18"/>
                  <w:color w:val="1155CC"/>
                  <w:u w:val="single"/>
                </w:rPr>
                <w:t xml:space="preserve">https://www.who.int/news-room/fact-sheets/detail/leishmaniasis</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Mid-upper arm circumference (MUAC)</w:t>
            </w:r>
          </w:p>
        </w:tc>
        <w:tc>
          <w:tcPr>
            <w:tcW w:type="dxa" w:w="1655"/>
            <w:vAlign w:val="top"/>
          </w:tcPr>
          <w:p>
            <w:pPr>
              <w:spacing w:after="40" w:before="0" w:line="259" w:lineRule="auto"/>
            </w:pPr>
            <w:r>
              <w:rPr>
                <w:rFonts w:ascii="Calibri" w:hAnsi="Calibri"/>
                <w:b w:val="0"/>
                <w:i w:val="0"/>
                <w:color w:val="212121"/>
                <w:sz w:val="19"/>
              </w:rPr>
              <w:t>Children</w:t>
            </w:r>
          </w:p>
        </w:tc>
        <w:tc>
          <w:tcPr>
            <w:tcW w:type="dxa" w:w="1512"/>
            <w:vAlign w:val="top"/>
          </w:tcPr>
          <w:p>
            <w:pPr>
              <w:spacing w:after="40" w:before="0" w:line="259" w:lineRule="auto"/>
            </w:pPr>
            <w:r>
              <w:rPr>
                <w:rFonts w:ascii="Calibri" w:hAnsi="Calibri"/>
                <w:b w:val="0"/>
                <w:i w:val="0"/>
                <w:color w:val="212121"/>
                <w:sz w:val="19"/>
              </w:rPr>
              <w:t>&gt; 13.5 cm</w:t>
            </w:r>
          </w:p>
        </w:tc>
        <w:tc>
          <w:tcPr>
            <w:tcW w:type="dxa" w:w="1512"/>
            <w:vAlign w:val="top"/>
          </w:tcPr>
          <w:p>
            <w:pPr>
              <w:spacing w:after="40" w:before="0" w:line="259" w:lineRule="auto"/>
            </w:pPr>
            <w:r>
              <w:rPr>
                <w:rFonts w:ascii="Calibri" w:hAnsi="Calibri"/>
                <w:b w:val="0"/>
                <w:i w:val="0"/>
                <w:color w:val="212121"/>
                <w:sz w:val="19"/>
              </w:rPr>
              <w:t>&lt; 11.5 cm (severe acute malnutrition)</w:t>
            </w:r>
          </w:p>
        </w:tc>
        <w:tc>
          <w:tcPr>
            <w:tcW w:type="dxa" w:w="1468"/>
            <w:vAlign w:val="top"/>
          </w:tcPr>
          <w:p>
            <w:pPr>
              <w:spacing w:after="40" w:before="0" w:line="259" w:lineRule="auto"/>
            </w:pPr>
            <w:r>
              <w:rPr>
                <w:rFonts w:ascii="Calibri" w:hAnsi="Calibri"/>
                <w:b w:val="0"/>
                <w:i w:val="0"/>
                <w:color w:val="212121"/>
                <w:sz w:val="19"/>
              </w:rPr>
              <w:t>Marker of severe undernutrition and poor prognosis</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Haemoglobin (g/dL)</w:t>
            </w:r>
          </w:p>
        </w:tc>
        <w:tc>
          <w:tcPr>
            <w:tcW w:type="dxa" w:w="1655"/>
            <w:vAlign w:val="top"/>
          </w:tcPr>
          <w:p>
            <w:pPr>
              <w:spacing w:after="40" w:before="0" w:line="259" w:lineRule="auto"/>
            </w:pPr>
            <w:r>
              <w:rPr>
                <w:rFonts w:ascii="Calibri" w:hAnsi="Calibri"/>
                <w:b w:val="0"/>
                <w:i w:val="0"/>
                <w:color w:val="212121"/>
                <w:sz w:val="19"/>
              </w:rPr>
              <w:t>Adults &amp; children</w:t>
            </w:r>
          </w:p>
        </w:tc>
        <w:tc>
          <w:tcPr>
            <w:tcW w:type="dxa" w:w="1512"/>
            <w:vAlign w:val="top"/>
          </w:tcPr>
          <w:p>
            <w:pPr>
              <w:spacing w:after="40" w:before="0" w:line="259" w:lineRule="auto"/>
            </w:pPr>
            <w:r>
              <w:rPr>
                <w:rFonts w:ascii="Calibri" w:hAnsi="Calibri"/>
                <w:b w:val="0"/>
                <w:i w:val="0"/>
                <w:color w:val="212121"/>
                <w:sz w:val="19"/>
              </w:rPr>
              <w:t>M 13–17; F 12–15</w:t>
            </w:r>
          </w:p>
        </w:tc>
        <w:tc>
          <w:tcPr>
            <w:tcW w:type="dxa" w:w="1512"/>
            <w:vAlign w:val="top"/>
          </w:tcPr>
          <w:p>
            <w:pPr>
              <w:spacing w:after="40" w:before="0" w:line="259" w:lineRule="auto"/>
            </w:pPr>
            <w:r>
              <w:rPr>
                <w:rFonts w:ascii="Calibri" w:hAnsi="Calibri"/>
                <w:b w:val="0"/>
                <w:i w:val="0"/>
                <w:color w:val="212121"/>
                <w:sz w:val="19"/>
              </w:rPr>
              <w:t>&lt; 10 (moderate–severe anaemia)</w:t>
            </w:r>
          </w:p>
        </w:tc>
        <w:tc>
          <w:tcPr>
            <w:tcW w:type="dxa" w:w="1468"/>
            <w:vAlign w:val="top"/>
          </w:tcPr>
          <w:p>
            <w:pPr>
              <w:spacing w:after="40" w:before="0" w:line="259" w:lineRule="auto"/>
            </w:pPr>
            <w:r>
              <w:rPr>
                <w:rFonts w:ascii="Calibri" w:hAnsi="Calibri"/>
                <w:b w:val="0"/>
                <w:i w:val="0"/>
                <w:color w:val="212121"/>
                <w:sz w:val="19"/>
              </w:rPr>
              <w:t>Anaemia is near-universal in VL and a severity marker</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Serum albumin (g/dL)</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3.5–5.0</w:t>
            </w:r>
          </w:p>
        </w:tc>
        <w:tc>
          <w:tcPr>
            <w:tcW w:type="dxa" w:w="1512"/>
            <w:vAlign w:val="top"/>
          </w:tcPr>
          <w:p>
            <w:pPr>
              <w:spacing w:after="40" w:before="0" w:line="259" w:lineRule="auto"/>
            </w:pPr>
            <w:r>
              <w:rPr>
                <w:rFonts w:ascii="Calibri" w:hAnsi="Calibri"/>
                <w:b w:val="0"/>
                <w:i w:val="0"/>
                <w:color w:val="212121"/>
                <w:sz w:val="19"/>
              </w:rPr>
              <w:t>&lt; 3.5 (hypoalbuminaemia)</w:t>
            </w:r>
          </w:p>
        </w:tc>
        <w:tc>
          <w:tcPr>
            <w:tcW w:type="dxa" w:w="1468"/>
            <w:vAlign w:val="top"/>
          </w:tcPr>
          <w:p>
            <w:pPr>
              <w:spacing w:after="40" w:before="0" w:line="259" w:lineRule="auto"/>
            </w:pPr>
            <w:r>
              <w:rPr>
                <w:rFonts w:ascii="Calibri" w:hAnsi="Calibri"/>
                <w:b w:val="0"/>
                <w:i w:val="0"/>
                <w:color w:val="212121"/>
                <w:sz w:val="19"/>
              </w:rPr>
              <w:t>Reflects chronic disease and malnutrition</w:t>
            </w:r>
          </w:p>
        </w:tc>
      </w:tr>
      <w:tr>
        <w:trPr>
          <w:cantSplit/>
        </w:trPr>
        <w:tc>
          <w:tcPr>
            <w:tcW w:type="dxa" w:w="1512"/>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CD4 count (cells/µL)</w:t>
            </w:r>
          </w:p>
        </w:tc>
        <w:tc>
          <w:tcPr>
            <w:tcW w:type="dxa" w:w="1655"/>
            <w:vAlign w:val="top"/>
          </w:tcPr>
          <w:p>
            <w:pPr>
              <w:spacing w:after="40" w:before="0" w:line="259" w:lineRule="auto"/>
            </w:pPr>
            <w:r>
              <w:rPr>
                <w:rFonts w:ascii="Calibri" w:hAnsi="Calibri"/>
                <w:b w:val="0"/>
                <w:i w:val="0"/>
                <w:color w:val="212121"/>
                <w:sz w:val="19"/>
              </w:rPr>
              <w:t>HIV-positive</w:t>
            </w:r>
          </w:p>
        </w:tc>
        <w:tc>
          <w:tcPr>
            <w:tcW w:type="dxa" w:w="1512"/>
            <w:vAlign w:val="top"/>
          </w:tcPr>
          <w:p>
            <w:pPr>
              <w:spacing w:after="40" w:before="0" w:line="259" w:lineRule="auto"/>
            </w:pPr>
            <w:r>
              <w:rPr>
                <w:rFonts w:ascii="Calibri" w:hAnsi="Calibri"/>
                <w:b w:val="0"/>
                <w:i w:val="0"/>
                <w:color w:val="212121"/>
                <w:sz w:val="19"/>
              </w:rPr>
              <w:t>&gt; 500</w:t>
            </w:r>
          </w:p>
        </w:tc>
        <w:tc>
          <w:tcPr>
            <w:tcW w:type="dxa" w:w="1512"/>
            <w:vAlign w:val="top"/>
          </w:tcPr>
          <w:p>
            <w:pPr>
              <w:spacing w:after="40" w:before="0" w:line="259" w:lineRule="auto"/>
            </w:pPr>
            <w:r>
              <w:rPr>
                <w:rFonts w:ascii="Calibri" w:hAnsi="Calibri"/>
                <w:b w:val="0"/>
                <w:i w:val="0"/>
                <w:color w:val="212121"/>
                <w:sz w:val="19"/>
              </w:rPr>
              <w:t>&lt; 200 (severe immunosuppression)</w:t>
            </w:r>
          </w:p>
        </w:tc>
        <w:tc>
          <w:tcPr>
            <w:tcW w:type="dxa" w:w="1468"/>
            <w:vAlign w:val="top"/>
          </w:tcPr>
          <w:p>
            <w:pPr>
              <w:spacing w:after="60" w:line="259" w:lineRule="auto"/>
            </w:pPr>
            <w:r>
              <w:rPr>
                <w:rFonts w:ascii="Calibri" w:hAnsi="Calibri"/>
                <w:b w:val="0"/>
                <w:i w:val="0"/>
                <w:color w:val="212121"/>
                <w:sz w:val="19"/>
              </w:rPr>
              <w:t>Low CD4 predicts VL, relapse and death in coinfection</w:t>
            </w:r>
          </w:p>
          <w:p>
            <w:pPr>
              <w:spacing w:after="40" w:line="252" w:lineRule="auto"/>
            </w:pPr>
            <w:hyperlink r:id="rId9">
              <w:r>
                <w:rPr>
                  <w:rFonts w:ascii="Calibri" w:hAnsi="Calibri" w:cs="Calibri"/>
                  <w:sz w:val="18"/>
                  <w:color w:val="1155CC"/>
                  <w:u w:val="single"/>
                </w:rPr>
                <w:t xml:space="preserve">https://www.ncbi.nlm.nih.gov/books/NBK531456/</w:t>
              </w:r>
            </w:hyperlink>
          </w:p>
        </w:tc>
      </w:tr>
      <w:tr>
        <w:trPr>
          <w:cantSplit/>
        </w:trPr>
        <w:tc>
          <w:tcPr>
            <w:tcW w:type="dxa" w:w="1512"/>
            <w:vMerge w:val="restart"/>
            <w:vAlign w:val="center"/>
          </w:tcPr>
          <w:p>
            <w:pPr>
              <w:spacing w:after="40"/>
            </w:pPr>
            <w:r>
              <w:rPr>
                <w:rFonts w:ascii="Calibri" w:hAnsi="Calibri"/>
                <w:b w:val="0"/>
                <w:i w:val="0"/>
                <w:color w:val="212121"/>
                <w:sz w:val="19"/>
              </w:rPr>
              <w:t>Hygiene</w:t>
            </w:r>
          </w:p>
        </w:tc>
        <w:tc>
          <w:tcPr>
            <w:tcW w:type="dxa" w:w="1944"/>
            <w:vAlign w:val="top"/>
          </w:tcPr>
          <w:p>
            <w:pPr>
              <w:spacing w:after="40" w:before="0" w:line="259" w:lineRule="auto"/>
            </w:pPr>
            <w:r>
              <w:rPr>
                <w:rFonts w:ascii="Calibri" w:hAnsi="Calibri"/>
                <w:b w:val="0"/>
                <w:i w:val="0"/>
                <w:color w:val="212121"/>
                <w:sz w:val="19"/>
              </w:rPr>
              <w:t>Insecticide-treated net use</w:t>
            </w:r>
          </w:p>
        </w:tc>
        <w:tc>
          <w:tcPr>
            <w:tcW w:type="dxa" w:w="1655"/>
            <w:vAlign w:val="top"/>
          </w:tcPr>
          <w:p>
            <w:pPr>
              <w:spacing w:after="40" w:before="0" w:line="259" w:lineRule="auto"/>
            </w:pPr>
            <w:r>
              <w:rPr>
                <w:rFonts w:ascii="Calibri" w:hAnsi="Calibri"/>
                <w:b w:val="0"/>
                <w:i w:val="0"/>
                <w:color w:val="212121"/>
                <w:sz w:val="19"/>
              </w:rPr>
              <w:t>Household members in endemic blocks</w:t>
            </w:r>
          </w:p>
        </w:tc>
        <w:tc>
          <w:tcPr>
            <w:tcW w:type="dxa" w:w="1512"/>
            <w:vAlign w:val="top"/>
          </w:tcPr>
          <w:p>
            <w:pPr>
              <w:spacing w:after="40" w:before="0" w:line="259" w:lineRule="auto"/>
            </w:pPr>
            <w:r>
              <w:rPr>
                <w:rFonts w:ascii="Calibri" w:hAnsi="Calibri"/>
                <w:b w:val="0"/>
                <w:i w:val="0"/>
                <w:color w:val="212121"/>
                <w:sz w:val="19"/>
              </w:rPr>
              <w:t>Every night</w:t>
            </w:r>
          </w:p>
        </w:tc>
        <w:tc>
          <w:tcPr>
            <w:tcW w:type="dxa" w:w="1512"/>
            <w:vAlign w:val="top"/>
          </w:tcPr>
          <w:p>
            <w:pPr>
              <w:spacing w:after="40" w:before="0" w:line="259" w:lineRule="auto"/>
            </w:pPr>
            <w:r>
              <w:rPr>
                <w:rFonts w:ascii="Calibri" w:hAnsi="Calibri"/>
                <w:b w:val="0"/>
                <w:i w:val="0"/>
                <w:color w:val="212121"/>
                <w:sz w:val="19"/>
              </w:rPr>
              <w:t>No net / sleeping outdoors</w:t>
            </w:r>
          </w:p>
        </w:tc>
        <w:tc>
          <w:tcPr>
            <w:tcW w:type="dxa" w:w="1468"/>
            <w:vAlign w:val="top"/>
          </w:tcPr>
          <w:p>
            <w:pPr>
              <w:spacing w:after="40" w:before="0" w:line="259" w:lineRule="auto"/>
            </w:pPr>
            <w:r>
              <w:rPr>
                <w:rFonts w:ascii="Calibri" w:hAnsi="Calibri"/>
                <w:b w:val="0"/>
                <w:i w:val="0"/>
                <w:color w:val="212121"/>
                <w:sz w:val="19"/>
              </w:rPr>
              <w:t>Reduces night-time sandfly bites</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Indoor residual spraying (IRS) coverage</w:t>
            </w:r>
          </w:p>
        </w:tc>
        <w:tc>
          <w:tcPr>
            <w:tcW w:type="dxa" w:w="1655"/>
            <w:vAlign w:val="top"/>
          </w:tcPr>
          <w:p>
            <w:pPr>
              <w:spacing w:after="40" w:before="0" w:line="259" w:lineRule="auto"/>
            </w:pPr>
            <w:r>
              <w:rPr>
                <w:rFonts w:ascii="Calibri" w:hAnsi="Calibri"/>
                <w:b w:val="0"/>
                <w:i w:val="0"/>
                <w:color w:val="212121"/>
                <w:sz w:val="19"/>
              </w:rPr>
              <w:t>Endemic villages</w:t>
            </w:r>
          </w:p>
        </w:tc>
        <w:tc>
          <w:tcPr>
            <w:tcW w:type="dxa" w:w="1512"/>
            <w:vAlign w:val="top"/>
          </w:tcPr>
          <w:p>
            <w:pPr>
              <w:spacing w:after="40" w:before="0" w:line="259" w:lineRule="auto"/>
            </w:pPr>
            <w:r>
              <w:rPr>
                <w:rFonts w:ascii="Calibri" w:hAnsi="Calibri"/>
                <w:b w:val="0"/>
                <w:i w:val="0"/>
                <w:color w:val="212121"/>
                <w:sz w:val="19"/>
              </w:rPr>
              <w:t>≥ 80% of houses, 2 rounds/year</w:t>
            </w:r>
          </w:p>
        </w:tc>
        <w:tc>
          <w:tcPr>
            <w:tcW w:type="dxa" w:w="1512"/>
            <w:vAlign w:val="top"/>
          </w:tcPr>
          <w:p>
            <w:pPr>
              <w:spacing w:after="40" w:before="0" w:line="259" w:lineRule="auto"/>
            </w:pPr>
            <w:r>
              <w:rPr>
                <w:rFonts w:ascii="Calibri" w:hAnsi="Calibri"/>
                <w:b w:val="0"/>
                <w:i w:val="0"/>
                <w:color w:val="212121"/>
                <w:sz w:val="19"/>
              </w:rPr>
              <w:t>&lt; 80% coverage</w:t>
            </w:r>
          </w:p>
        </w:tc>
        <w:tc>
          <w:tcPr>
            <w:tcW w:type="dxa" w:w="1468"/>
            <w:vAlign w:val="top"/>
          </w:tcPr>
          <w:p>
            <w:pPr>
              <w:spacing w:after="60" w:line="259" w:lineRule="auto"/>
            </w:pPr>
            <w:r>
              <w:rPr>
                <w:rFonts w:ascii="Calibri" w:hAnsi="Calibri"/>
                <w:b w:val="0"/>
                <w:i w:val="0"/>
                <w:color w:val="212121"/>
                <w:sz w:val="19"/>
              </w:rPr>
              <w:t>Core vector-control target of the elimination programme</w:t>
            </w:r>
          </w:p>
          <w:p>
            <w:pPr>
              <w:spacing w:after="40" w:line="252" w:lineRule="auto"/>
            </w:pPr>
            <w:hyperlink r:id="rId14">
              <w:r>
                <w:rPr>
                  <w:rFonts w:ascii="Calibri" w:hAnsi="Calibri" w:cs="Calibri"/>
                  <w:sz w:val="18"/>
                  <w:color w:val="1155CC"/>
                  <w:u w:val="single"/>
                </w:rPr>
                <w:t xml:space="preserve">https://ncvbdc.mohfw.gov.in/index4.php?lang=1&amp;level=0&amp;linkid=466&amp;lid=3751</w:t>
              </w:r>
            </w:hyperlink>
          </w:p>
        </w:tc>
      </w:tr>
      <w:tr>
        <w:trPr>
          <w:cantSplit/>
        </w:trPr>
        <w:tc>
          <w:tcPr>
            <w:tcW w:type="dxa" w:w="1512"/>
            <w:vAlign w:val="center"/>
          </w:tcPr>
          <w:p>
            <w:pPr>
              <w:spacing w:after="40"/>
            </w:pPr>
            <w:r>
              <w:rPr>
                <w:rFonts w:ascii="Calibri" w:hAnsi="Calibri"/>
                <w:b w:val="0"/>
                <w:i w:val="0"/>
                <w:color w:val="212121"/>
                <w:sz w:val="19"/>
              </w:rPr>
              <w:t>Sleep</w:t>
            </w:r>
          </w:p>
        </w:tc>
        <w:tc>
          <w:tcPr>
            <w:tcW w:type="dxa" w:w="1944"/>
            <w:vAlign w:val="top"/>
          </w:tcPr>
          <w:p>
            <w:pPr>
              <w:spacing w:after="40" w:before="0" w:line="259" w:lineRule="auto"/>
            </w:pPr>
            <w:r>
              <w:rPr>
                <w:rFonts w:ascii="Calibri" w:hAnsi="Calibri"/>
                <w:b w:val="0"/>
                <w:i w:val="0"/>
                <w:color w:val="212121"/>
                <w:sz w:val="19"/>
              </w:rPr>
              <w:t>Sleeping location</w:t>
            </w:r>
          </w:p>
        </w:tc>
        <w:tc>
          <w:tcPr>
            <w:tcW w:type="dxa" w:w="1655"/>
            <w:vAlign w:val="top"/>
          </w:tcPr>
          <w:p>
            <w:pPr>
              <w:spacing w:after="40" w:before="0" w:line="259" w:lineRule="auto"/>
            </w:pPr>
            <w:r>
              <w:rPr>
                <w:rFonts w:ascii="Calibri" w:hAnsi="Calibri"/>
                <w:b w:val="0"/>
                <w:i w:val="0"/>
                <w:color w:val="212121"/>
                <w:sz w:val="19"/>
              </w:rPr>
              <w:t>Rural endemic households</w:t>
            </w:r>
          </w:p>
        </w:tc>
        <w:tc>
          <w:tcPr>
            <w:tcW w:type="dxa" w:w="1512"/>
            <w:vAlign w:val="top"/>
          </w:tcPr>
          <w:p>
            <w:pPr>
              <w:spacing w:after="40" w:before="0" w:line="259" w:lineRule="auto"/>
            </w:pPr>
            <w:r>
              <w:rPr>
                <w:rFonts w:ascii="Calibri" w:hAnsi="Calibri"/>
                <w:b w:val="0"/>
                <w:i w:val="0"/>
                <w:color w:val="212121"/>
                <w:sz w:val="19"/>
              </w:rPr>
              <w:t>Raised cot indoors under a net</w:t>
            </w:r>
          </w:p>
        </w:tc>
        <w:tc>
          <w:tcPr>
            <w:tcW w:type="dxa" w:w="1512"/>
            <w:vAlign w:val="top"/>
          </w:tcPr>
          <w:p>
            <w:pPr>
              <w:spacing w:after="40" w:before="0" w:line="259" w:lineRule="auto"/>
            </w:pPr>
            <w:r>
              <w:rPr>
                <w:rFonts w:ascii="Calibri" w:hAnsi="Calibri"/>
                <w:b w:val="0"/>
                <w:i w:val="0"/>
                <w:color w:val="212121"/>
                <w:sz w:val="19"/>
              </w:rPr>
              <w:t>Floor or outdoors without a net</w:t>
            </w:r>
          </w:p>
        </w:tc>
        <w:tc>
          <w:tcPr>
            <w:tcW w:type="dxa" w:w="1468"/>
            <w:vAlign w:val="top"/>
          </w:tcPr>
          <w:p>
            <w:pPr>
              <w:spacing w:after="40" w:before="0" w:line="259" w:lineRule="auto"/>
            </w:pPr>
            <w:r>
              <w:rPr>
                <w:rFonts w:ascii="Calibri" w:hAnsi="Calibri"/>
                <w:b w:val="0"/>
                <w:i w:val="0"/>
                <w:color w:val="212121"/>
                <w:sz w:val="19"/>
              </w:rPr>
              <w:t>Ground-level, unprotected sleep increases exposure</w:t>
            </w:r>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Serological</w:t>
            </w:r>
          </w:p>
        </w:tc>
        <w:tc>
          <w:tcPr>
            <w:tcW w:type="dxa" w:w="1036"/>
            <w:vAlign w:val="top"/>
          </w:tcPr>
          <w:p>
            <w:pPr>
              <w:spacing w:after="40" w:before="0" w:line="259" w:lineRule="auto"/>
            </w:pPr>
            <w:r>
              <w:rPr>
                <w:rFonts w:ascii="Calibri" w:hAnsi="Calibri"/>
                <w:b w:val="0"/>
                <w:i w:val="0"/>
                <w:color w:val="212121"/>
                <w:sz w:val="16"/>
              </w:rPr>
              <w:t>rK39 antibody</w:t>
            </w:r>
          </w:p>
        </w:tc>
        <w:tc>
          <w:tcPr>
            <w:tcW w:type="dxa" w:w="892"/>
            <w:vAlign w:val="top"/>
          </w:tcPr>
          <w:p>
            <w:pPr>
              <w:spacing w:after="40" w:before="0" w:line="259" w:lineRule="auto"/>
            </w:pPr>
            <w:r>
              <w:rPr>
                <w:rFonts w:ascii="Calibri" w:hAnsi="Calibri"/>
                <w:b w:val="0"/>
                <w:i w:val="0"/>
                <w:color w:val="212121"/>
                <w:sz w:val="16"/>
              </w:rPr>
              <w:t>rK39 rapid diagnostic test</w:t>
            </w:r>
          </w:p>
        </w:tc>
        <w:tc>
          <w:tcPr>
            <w:tcW w:type="dxa" w:w="950"/>
            <w:vAlign w:val="top"/>
          </w:tcPr>
          <w:p>
            <w:pPr>
              <w:spacing w:after="40" w:before="0" w:line="259" w:lineRule="auto"/>
            </w:pPr>
            <w:r>
              <w:rPr>
                <w:rFonts w:ascii="Calibri" w:hAnsi="Calibri"/>
                <w:b w:val="0"/>
                <w:i w:val="0"/>
                <w:color w:val="212121"/>
                <w:sz w:val="16"/>
              </w:rPr>
              <w:t>Negative</w:t>
            </w:r>
          </w:p>
        </w:tc>
        <w:tc>
          <w:tcPr>
            <w:tcW w:type="dxa" w:w="950"/>
            <w:vAlign w:val="top"/>
          </w:tcPr>
          <w:p>
            <w:pPr>
              <w:spacing w:after="40" w:before="0" w:line="259" w:lineRule="auto"/>
            </w:pPr>
            <w:r>
              <w:rPr>
                <w:rFonts w:ascii="Calibri" w:hAnsi="Calibri"/>
                <w:b w:val="0"/>
                <w:i w:val="0"/>
                <w:color w:val="212121"/>
                <w:sz w:val="16"/>
              </w:rPr>
              <w:t>Positive band</w:t>
            </w:r>
          </w:p>
        </w:tc>
        <w:tc>
          <w:tcPr>
            <w:tcW w:type="dxa" w:w="1036"/>
            <w:vAlign w:val="top"/>
          </w:tcPr>
          <w:p>
            <w:pPr>
              <w:spacing w:after="40" w:before="0" w:line="259" w:lineRule="auto"/>
            </w:pPr>
            <w:r>
              <w:rPr>
                <w:rFonts w:ascii="Calibri" w:hAnsi="Calibri"/>
                <w:b w:val="0"/>
                <w:i w:val="0"/>
                <w:color w:val="212121"/>
                <w:sz w:val="16"/>
              </w:rPr>
              <w:t>First-line serological confirmation of VL in endemic settings; cannot distinguish current from past infection</w:t>
            </w:r>
          </w:p>
        </w:tc>
        <w:tc>
          <w:tcPr>
            <w:tcW w:type="dxa" w:w="1036"/>
            <w:vAlign w:val="top"/>
          </w:tcPr>
          <w:p>
            <w:pPr>
              <w:spacing w:after="40" w:before="0" w:line="259" w:lineRule="auto"/>
            </w:pPr>
            <w:r>
              <w:rPr>
                <w:rFonts w:ascii="Calibri" w:hAnsi="Calibri"/>
                <w:b w:val="0"/>
                <w:i w:val="0"/>
                <w:color w:val="212121"/>
                <w:sz w:val="16"/>
              </w:rPr>
              <w:t>Suspected VL in endemic area</w:t>
            </w:r>
          </w:p>
        </w:tc>
        <w:tc>
          <w:tcPr>
            <w:tcW w:type="dxa" w:w="720"/>
            <w:vAlign w:val="top"/>
          </w:tcPr>
          <w:p>
            <w:pPr>
              <w:spacing w:after="40" w:before="0" w:line="259" w:lineRule="auto"/>
            </w:pPr>
            <w:r>
              <w:rPr>
                <w:rFonts w:ascii="Calibri" w:hAnsi="Calibri"/>
                <w:b w:val="0"/>
                <w:i w:val="0"/>
                <w:color w:val="212121"/>
                <w:sz w:val="16"/>
              </w:rPr>
              <w:t>Provoking factors; Hygiene</w:t>
            </w:r>
          </w:p>
        </w:tc>
        <w:tc>
          <w:tcPr>
            <w:tcW w:type="dxa" w:w="720"/>
            <w:vAlign w:val="top"/>
          </w:tcPr>
          <w:p>
            <w:pPr>
              <w:spacing w:after="40" w:before="0" w:line="259" w:lineRule="auto"/>
            </w:pPr>
            <w:r>
              <w:rPr>
                <w:rFonts w:ascii="Calibri" w:hAnsi="Calibri"/>
                <w:b w:val="0"/>
                <w:i w:val="0"/>
                <w:color w:val="212121"/>
                <w:sz w:val="16"/>
              </w:rPr>
              <w:t>First-line (field)</w:t>
            </w:r>
          </w:p>
        </w:tc>
        <w:tc>
          <w:tcPr>
            <w:tcW w:type="dxa" w:w="720"/>
            <w:vAlign w:val="top"/>
          </w:tcPr>
          <w:p>
            <w:pPr>
              <w:spacing w:after="40" w:before="0" w:line="259" w:lineRule="auto"/>
            </w:pPr>
            <w:r>
              <w:rPr>
                <w:rFonts w:ascii="Calibri" w:hAnsi="Calibri"/>
                <w:b w:val="0"/>
                <w:i w:val="0"/>
                <w:color w:val="212121"/>
                <w:sz w:val="16"/>
              </w:rPr>
              <w:t>Point-of-care; used at PHC level in India</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Serological</w:t>
            </w:r>
          </w:p>
        </w:tc>
        <w:tc>
          <w:tcPr>
            <w:tcW w:type="dxa" w:w="1036"/>
            <w:vAlign w:val="top"/>
          </w:tcPr>
          <w:p>
            <w:pPr>
              <w:spacing w:after="40" w:before="0" w:line="259" w:lineRule="auto"/>
            </w:pPr>
            <w:r>
              <w:rPr>
                <w:rFonts w:ascii="Calibri" w:hAnsi="Calibri"/>
                <w:b w:val="0"/>
                <w:i w:val="0"/>
                <w:color w:val="212121"/>
                <w:sz w:val="16"/>
              </w:rPr>
              <w:t>Anti-leishmanial antibody titre</w:t>
            </w:r>
          </w:p>
        </w:tc>
        <w:tc>
          <w:tcPr>
            <w:tcW w:type="dxa" w:w="892"/>
            <w:vAlign w:val="top"/>
          </w:tcPr>
          <w:p>
            <w:pPr>
              <w:spacing w:after="40" w:before="0" w:line="259" w:lineRule="auto"/>
            </w:pPr>
            <w:r>
              <w:rPr>
                <w:rFonts w:ascii="Calibri" w:hAnsi="Calibri"/>
                <w:b w:val="0"/>
                <w:i w:val="0"/>
                <w:color w:val="212121"/>
                <w:sz w:val="16"/>
              </w:rPr>
              <w:t>Direct agglutination test (DAT)</w:t>
            </w:r>
          </w:p>
        </w:tc>
        <w:tc>
          <w:tcPr>
            <w:tcW w:type="dxa" w:w="950"/>
            <w:vAlign w:val="top"/>
          </w:tcPr>
          <w:p>
            <w:pPr>
              <w:spacing w:after="40" w:before="0" w:line="259" w:lineRule="auto"/>
            </w:pPr>
            <w:r>
              <w:rPr>
                <w:rFonts w:ascii="Calibri" w:hAnsi="Calibri"/>
                <w:b w:val="0"/>
                <w:i w:val="0"/>
                <w:color w:val="212121"/>
                <w:sz w:val="16"/>
              </w:rPr>
              <w:t>Below cut-off titre</w:t>
            </w:r>
          </w:p>
        </w:tc>
        <w:tc>
          <w:tcPr>
            <w:tcW w:type="dxa" w:w="950"/>
            <w:vAlign w:val="top"/>
          </w:tcPr>
          <w:p>
            <w:pPr>
              <w:spacing w:after="40" w:before="0" w:line="259" w:lineRule="auto"/>
            </w:pPr>
            <w:r>
              <w:rPr>
                <w:rFonts w:ascii="Calibri" w:hAnsi="Calibri"/>
                <w:b w:val="0"/>
                <w:i w:val="0"/>
                <w:color w:val="212121"/>
                <w:sz w:val="16"/>
              </w:rPr>
              <w:t>High titre</w:t>
            </w:r>
          </w:p>
        </w:tc>
        <w:tc>
          <w:tcPr>
            <w:tcW w:type="dxa" w:w="1036"/>
            <w:vAlign w:val="top"/>
          </w:tcPr>
          <w:p>
            <w:pPr>
              <w:spacing w:after="40" w:before="0" w:line="259" w:lineRule="auto"/>
            </w:pPr>
            <w:r>
              <w:rPr>
                <w:rFonts w:ascii="Calibri" w:hAnsi="Calibri"/>
                <w:b w:val="0"/>
                <w:i w:val="0"/>
                <w:color w:val="212121"/>
                <w:sz w:val="16"/>
              </w:rPr>
              <w:t>High sensitivity (97–100%) and specificity (86–92%); confirmatory where rK39 is unavailable</w:t>
            </w:r>
          </w:p>
        </w:tc>
        <w:tc>
          <w:tcPr>
            <w:tcW w:type="dxa" w:w="1036"/>
            <w:vAlign w:val="top"/>
          </w:tcPr>
          <w:p>
            <w:pPr>
              <w:spacing w:after="40" w:before="0" w:line="259" w:lineRule="auto"/>
            </w:pPr>
            <w:r>
              <w:rPr>
                <w:rFonts w:ascii="Calibri" w:hAnsi="Calibri"/>
                <w:b w:val="0"/>
                <w:i w:val="0"/>
                <w:color w:val="212121"/>
                <w:sz w:val="16"/>
              </w:rPr>
              <w:t>Suspected VL</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Confirmatory</w:t>
            </w:r>
          </w:p>
        </w:tc>
        <w:tc>
          <w:tcPr>
            <w:tcW w:type="dxa" w:w="720"/>
            <w:vAlign w:val="top"/>
          </w:tcPr>
          <w:p>
            <w:pPr>
              <w:spacing w:after="40" w:before="0" w:line="259" w:lineRule="auto"/>
            </w:pPr>
            <w:r>
              <w:rPr>
                <w:rFonts w:ascii="Calibri" w:hAnsi="Calibri"/>
                <w:b w:val="0"/>
                <w:i w:val="0"/>
                <w:color w:val="212121"/>
                <w:sz w:val="16"/>
              </w:rPr>
              <w:t>Semi-quantitative serology</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Parasitological</w:t>
            </w:r>
          </w:p>
        </w:tc>
        <w:tc>
          <w:tcPr>
            <w:tcW w:type="dxa" w:w="1036"/>
            <w:vAlign w:val="top"/>
          </w:tcPr>
          <w:p>
            <w:pPr>
              <w:spacing w:after="40" w:before="0" w:line="259" w:lineRule="auto"/>
            </w:pPr>
            <w:r>
              <w:rPr>
                <w:rFonts w:ascii="Calibri" w:hAnsi="Calibri"/>
                <w:b w:val="0"/>
                <w:i w:val="0"/>
                <w:color w:val="212121"/>
                <w:sz w:val="16"/>
              </w:rPr>
              <w:t>Leishman–Donovan bodies (amastigotes)</w:t>
            </w:r>
          </w:p>
        </w:tc>
        <w:tc>
          <w:tcPr>
            <w:tcW w:type="dxa" w:w="892"/>
            <w:vAlign w:val="top"/>
          </w:tcPr>
          <w:p>
            <w:pPr>
              <w:spacing w:after="40" w:before="0" w:line="259" w:lineRule="auto"/>
            </w:pPr>
            <w:r>
              <w:rPr>
                <w:rFonts w:ascii="Calibri" w:hAnsi="Calibri"/>
                <w:b w:val="0"/>
                <w:i w:val="0"/>
                <w:color w:val="212121"/>
                <w:sz w:val="16"/>
              </w:rPr>
              <w:t>Splenic aspirate microscopy</w:t>
            </w:r>
          </w:p>
        </w:tc>
        <w:tc>
          <w:tcPr>
            <w:tcW w:type="dxa" w:w="950"/>
            <w:vAlign w:val="top"/>
          </w:tcPr>
          <w:p>
            <w:pPr>
              <w:spacing w:after="40" w:before="0" w:line="259" w:lineRule="auto"/>
            </w:pPr>
            <w:r>
              <w:rPr>
                <w:rFonts w:ascii="Calibri" w:hAnsi="Calibri"/>
                <w:b w:val="0"/>
                <w:i w:val="0"/>
                <w:color w:val="212121"/>
                <w:sz w:val="16"/>
              </w:rPr>
              <w:t>No amastigotes</w:t>
            </w:r>
          </w:p>
        </w:tc>
        <w:tc>
          <w:tcPr>
            <w:tcW w:type="dxa" w:w="950"/>
            <w:vAlign w:val="top"/>
          </w:tcPr>
          <w:p>
            <w:pPr>
              <w:spacing w:after="40" w:before="0" w:line="259" w:lineRule="auto"/>
            </w:pPr>
            <w:r>
              <w:rPr>
                <w:rFonts w:ascii="Calibri" w:hAnsi="Calibri"/>
                <w:b w:val="0"/>
                <w:i w:val="0"/>
                <w:color w:val="212121"/>
                <w:sz w:val="16"/>
              </w:rPr>
              <w:t>Amastigotes seen</w:t>
            </w:r>
          </w:p>
        </w:tc>
        <w:tc>
          <w:tcPr>
            <w:tcW w:type="dxa" w:w="1036"/>
            <w:vAlign w:val="top"/>
          </w:tcPr>
          <w:p>
            <w:pPr>
              <w:spacing w:after="40" w:before="0" w:line="259" w:lineRule="auto"/>
            </w:pPr>
            <w:r>
              <w:rPr>
                <w:rFonts w:ascii="Calibri" w:hAnsi="Calibri"/>
                <w:b w:val="0"/>
                <w:i w:val="0"/>
                <w:color w:val="212121"/>
                <w:sz w:val="16"/>
              </w:rPr>
              <w:t>Highest parasitological sensitivity (~95%); definitive but carries bleeding risk</w:t>
            </w:r>
          </w:p>
        </w:tc>
        <w:tc>
          <w:tcPr>
            <w:tcW w:type="dxa" w:w="1036"/>
            <w:vAlign w:val="top"/>
          </w:tcPr>
          <w:p>
            <w:pPr>
              <w:spacing w:after="40" w:before="0" w:line="259" w:lineRule="auto"/>
            </w:pPr>
            <w:r>
              <w:rPr>
                <w:rFonts w:ascii="Calibri" w:hAnsi="Calibri"/>
                <w:b w:val="0"/>
                <w:i w:val="0"/>
                <w:color w:val="212121"/>
                <w:sz w:val="16"/>
              </w:rPr>
              <w:t>Serology-negative or relapsing VL</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Gold standard (parasitological)</w:t>
            </w:r>
          </w:p>
        </w:tc>
        <w:tc>
          <w:tcPr>
            <w:tcW w:type="dxa" w:w="720"/>
            <w:vAlign w:val="top"/>
          </w:tcPr>
          <w:p>
            <w:pPr>
              <w:spacing w:after="40" w:before="0" w:line="259" w:lineRule="auto"/>
            </w:pPr>
            <w:r>
              <w:rPr>
                <w:rFonts w:ascii="Calibri" w:hAnsi="Calibri"/>
                <w:b w:val="0"/>
                <w:i w:val="0"/>
                <w:color w:val="212121"/>
                <w:sz w:val="16"/>
              </w:rPr>
              <w:t>Requires normal coagulation and platelet count</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Parasitological</w:t>
            </w:r>
          </w:p>
        </w:tc>
        <w:tc>
          <w:tcPr>
            <w:tcW w:type="dxa" w:w="1036"/>
            <w:vAlign w:val="top"/>
          </w:tcPr>
          <w:p>
            <w:pPr>
              <w:spacing w:after="40" w:before="0" w:line="259" w:lineRule="auto"/>
            </w:pPr>
            <w:r>
              <w:rPr>
                <w:rFonts w:ascii="Calibri" w:hAnsi="Calibri"/>
                <w:b w:val="0"/>
                <w:i w:val="0"/>
                <w:color w:val="212121"/>
                <w:sz w:val="16"/>
              </w:rPr>
              <w:t>Amastigotes / culture</w:t>
            </w:r>
          </w:p>
        </w:tc>
        <w:tc>
          <w:tcPr>
            <w:tcW w:type="dxa" w:w="892"/>
            <w:vAlign w:val="top"/>
          </w:tcPr>
          <w:p>
            <w:pPr>
              <w:spacing w:after="40" w:before="0" w:line="259" w:lineRule="auto"/>
            </w:pPr>
            <w:r>
              <w:rPr>
                <w:rFonts w:ascii="Calibri" w:hAnsi="Calibri"/>
                <w:b w:val="0"/>
                <w:i w:val="0"/>
                <w:color w:val="212121"/>
                <w:sz w:val="16"/>
              </w:rPr>
              <w:t>Bone-marrow aspirate</w:t>
            </w:r>
          </w:p>
        </w:tc>
        <w:tc>
          <w:tcPr>
            <w:tcW w:type="dxa" w:w="950"/>
            <w:vAlign w:val="top"/>
          </w:tcPr>
          <w:p>
            <w:pPr>
              <w:spacing w:after="40" w:before="0" w:line="259" w:lineRule="auto"/>
            </w:pPr>
            <w:r>
              <w:rPr>
                <w:rFonts w:ascii="Calibri" w:hAnsi="Calibri"/>
                <w:b w:val="0"/>
                <w:i w:val="0"/>
                <w:color w:val="212121"/>
                <w:sz w:val="16"/>
              </w:rPr>
              <w:t>No amastigotes</w:t>
            </w:r>
          </w:p>
        </w:tc>
        <w:tc>
          <w:tcPr>
            <w:tcW w:type="dxa" w:w="950"/>
            <w:vAlign w:val="top"/>
          </w:tcPr>
          <w:p>
            <w:pPr>
              <w:spacing w:after="40" w:before="0" w:line="259" w:lineRule="auto"/>
            </w:pPr>
            <w:r>
              <w:rPr>
                <w:rFonts w:ascii="Calibri" w:hAnsi="Calibri"/>
                <w:b w:val="0"/>
                <w:i w:val="0"/>
                <w:color w:val="212121"/>
                <w:sz w:val="16"/>
              </w:rPr>
              <w:t>Amastigotes / positive culture</w:t>
            </w:r>
          </w:p>
        </w:tc>
        <w:tc>
          <w:tcPr>
            <w:tcW w:type="dxa" w:w="1036"/>
            <w:vAlign w:val="top"/>
          </w:tcPr>
          <w:p>
            <w:pPr>
              <w:spacing w:after="40" w:before="0" w:line="259" w:lineRule="auto"/>
            </w:pPr>
            <w:r>
              <w:rPr>
                <w:rFonts w:ascii="Calibri" w:hAnsi="Calibri"/>
                <w:b w:val="0"/>
                <w:i w:val="0"/>
                <w:color w:val="212121"/>
                <w:sz w:val="16"/>
              </w:rPr>
              <w:t>Safer alternative to splenic aspirate; slightly lower sensitivity</w:t>
            </w:r>
          </w:p>
        </w:tc>
        <w:tc>
          <w:tcPr>
            <w:tcW w:type="dxa" w:w="1036"/>
            <w:vAlign w:val="top"/>
          </w:tcPr>
          <w:p>
            <w:pPr>
              <w:spacing w:after="40" w:before="0" w:line="259" w:lineRule="auto"/>
            </w:pPr>
            <w:r>
              <w:rPr>
                <w:rFonts w:ascii="Calibri" w:hAnsi="Calibri"/>
                <w:b w:val="0"/>
                <w:i w:val="0"/>
                <w:color w:val="212121"/>
                <w:sz w:val="16"/>
              </w:rPr>
              <w:t>Suspected VL, HIV–VL</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Confirmatory</w:t>
            </w:r>
          </w:p>
        </w:tc>
        <w:tc>
          <w:tcPr>
            <w:tcW w:type="dxa" w:w="720"/>
            <w:vAlign w:val="top"/>
          </w:tcPr>
          <w:p>
            <w:pPr>
              <w:spacing w:after="40" w:before="0" w:line="259" w:lineRule="auto"/>
            </w:pPr>
            <w:r>
              <w:rPr>
                <w:rFonts w:ascii="Calibri" w:hAnsi="Calibri"/>
                <w:b w:val="0"/>
                <w:i w:val="0"/>
                <w:color w:val="212121"/>
                <w:sz w:val="16"/>
              </w:rPr>
              <w:t>Also assesses marrow suppression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Haematological</w:t>
            </w:r>
          </w:p>
        </w:tc>
        <w:tc>
          <w:tcPr>
            <w:tcW w:type="dxa" w:w="1036"/>
            <w:vAlign w:val="top"/>
          </w:tcPr>
          <w:p>
            <w:pPr>
              <w:spacing w:after="40" w:before="0" w:line="259" w:lineRule="auto"/>
            </w:pPr>
            <w:r>
              <w:rPr>
                <w:rFonts w:ascii="Calibri" w:hAnsi="Calibri"/>
                <w:b w:val="0"/>
                <w:i w:val="0"/>
                <w:color w:val="212121"/>
                <w:sz w:val="16"/>
              </w:rPr>
              <w:t>Hb, WBC, platelets</w:t>
            </w:r>
          </w:p>
        </w:tc>
        <w:tc>
          <w:tcPr>
            <w:tcW w:type="dxa" w:w="892"/>
            <w:vAlign w:val="top"/>
          </w:tcPr>
          <w:p>
            <w:pPr>
              <w:spacing w:after="40" w:before="0" w:line="259" w:lineRule="auto"/>
            </w:pPr>
            <w:r>
              <w:rPr>
                <w:rFonts w:ascii="Calibri" w:hAnsi="Calibri"/>
                <w:b w:val="0"/>
                <w:i w:val="0"/>
                <w:color w:val="212121"/>
                <w:sz w:val="16"/>
              </w:rPr>
              <w:t>Complete blood count</w:t>
            </w:r>
          </w:p>
        </w:tc>
        <w:tc>
          <w:tcPr>
            <w:tcW w:type="dxa" w:w="950"/>
            <w:vAlign w:val="top"/>
          </w:tcPr>
          <w:p>
            <w:pPr>
              <w:spacing w:after="40" w:before="0" w:line="259" w:lineRule="auto"/>
            </w:pPr>
            <w:r>
              <w:rPr>
                <w:rFonts w:ascii="Calibri" w:hAnsi="Calibri"/>
                <w:b w:val="0"/>
                <w:i w:val="0"/>
                <w:color w:val="212121"/>
                <w:sz w:val="16"/>
              </w:rPr>
              <w:t>Hb 12–17; WBC 4–11k; Plt 150–450k</w:t>
            </w:r>
          </w:p>
        </w:tc>
        <w:tc>
          <w:tcPr>
            <w:tcW w:type="dxa" w:w="950"/>
            <w:vAlign w:val="top"/>
          </w:tcPr>
          <w:p>
            <w:pPr>
              <w:spacing w:after="40" w:before="0" w:line="259" w:lineRule="auto"/>
            </w:pPr>
            <w:r>
              <w:rPr>
                <w:rFonts w:ascii="Calibri" w:hAnsi="Calibri"/>
                <w:b w:val="0"/>
                <w:i w:val="0"/>
                <w:color w:val="212121"/>
                <w:sz w:val="16"/>
              </w:rPr>
              <w:t>Pancytopenia (anaemia, leucopenia, thrombocytopenia)</w:t>
            </w:r>
          </w:p>
        </w:tc>
        <w:tc>
          <w:tcPr>
            <w:tcW w:type="dxa" w:w="1036"/>
            <w:vAlign w:val="top"/>
          </w:tcPr>
          <w:p>
            <w:pPr>
              <w:spacing w:after="40" w:before="0" w:line="259" w:lineRule="auto"/>
            </w:pPr>
            <w:r>
              <w:rPr>
                <w:rFonts w:ascii="Calibri" w:hAnsi="Calibri"/>
                <w:b w:val="0"/>
                <w:i w:val="0"/>
                <w:color w:val="212121"/>
                <w:sz w:val="16"/>
              </w:rPr>
              <w:t>Reflects marrow infiltration and hypersplenism; severity and bleeding risk</w:t>
            </w:r>
          </w:p>
        </w:tc>
        <w:tc>
          <w:tcPr>
            <w:tcW w:type="dxa" w:w="1036"/>
            <w:vAlign w:val="top"/>
          </w:tcPr>
          <w:p>
            <w:pPr>
              <w:spacing w:after="40" w:before="0" w:line="259" w:lineRule="auto"/>
            </w:pPr>
            <w:r>
              <w:rPr>
                <w:rFonts w:ascii="Calibri" w:hAnsi="Calibri"/>
                <w:b w:val="0"/>
                <w:i w:val="0"/>
                <w:color w:val="212121"/>
                <w:sz w:val="16"/>
              </w:rPr>
              <w:t>All VL patients</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Baseline / monitoring</w:t>
            </w:r>
          </w:p>
        </w:tc>
        <w:tc>
          <w:tcPr>
            <w:tcW w:type="dxa" w:w="720"/>
            <w:vAlign w:val="top"/>
          </w:tcPr>
          <w:p>
            <w:pPr>
              <w:spacing w:after="40" w:before="0" w:line="259" w:lineRule="auto"/>
            </w:pPr>
            <w:r>
              <w:rPr>
                <w:rFonts w:ascii="Calibri" w:hAnsi="Calibri"/>
                <w:b w:val="0"/>
                <w:i w:val="0"/>
                <w:color w:val="212121"/>
                <w:sz w:val="16"/>
              </w:rPr>
              <w:t>Guides transfusion needs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Total protein &amp; A:G ratio</w:t>
            </w:r>
          </w:p>
        </w:tc>
        <w:tc>
          <w:tcPr>
            <w:tcW w:type="dxa" w:w="892"/>
            <w:vAlign w:val="top"/>
          </w:tcPr>
          <w:p>
            <w:pPr>
              <w:spacing w:after="40" w:before="0" w:line="259" w:lineRule="auto"/>
            </w:pPr>
            <w:r>
              <w:rPr>
                <w:rFonts w:ascii="Calibri" w:hAnsi="Calibri"/>
                <w:b w:val="0"/>
                <w:i w:val="0"/>
                <w:color w:val="212121"/>
                <w:sz w:val="16"/>
              </w:rPr>
              <w:t>Serum protein electrophoresis</w:t>
            </w:r>
          </w:p>
        </w:tc>
        <w:tc>
          <w:tcPr>
            <w:tcW w:type="dxa" w:w="950"/>
            <w:vAlign w:val="top"/>
          </w:tcPr>
          <w:p>
            <w:pPr>
              <w:spacing w:after="40" w:before="0" w:line="259" w:lineRule="auto"/>
            </w:pPr>
            <w:r>
              <w:rPr>
                <w:rFonts w:ascii="Calibri" w:hAnsi="Calibri"/>
                <w:b w:val="0"/>
                <w:i w:val="0"/>
                <w:color w:val="212121"/>
                <w:sz w:val="16"/>
              </w:rPr>
              <w:t>A:G ~1.1–2.5</w:t>
            </w:r>
          </w:p>
        </w:tc>
        <w:tc>
          <w:tcPr>
            <w:tcW w:type="dxa" w:w="950"/>
            <w:vAlign w:val="top"/>
          </w:tcPr>
          <w:p>
            <w:pPr>
              <w:spacing w:after="40" w:before="0" w:line="259" w:lineRule="auto"/>
            </w:pPr>
            <w:r>
              <w:rPr>
                <w:rFonts w:ascii="Calibri" w:hAnsi="Calibri"/>
                <w:b w:val="0"/>
                <w:i w:val="0"/>
                <w:color w:val="212121"/>
                <w:sz w:val="16"/>
              </w:rPr>
              <w:t>Reversed A:G, hypergammaglobulinaemia</w:t>
            </w:r>
          </w:p>
        </w:tc>
        <w:tc>
          <w:tcPr>
            <w:tcW w:type="dxa" w:w="1036"/>
            <w:vAlign w:val="top"/>
          </w:tcPr>
          <w:p>
            <w:pPr>
              <w:spacing w:after="40" w:before="0" w:line="259" w:lineRule="auto"/>
            </w:pPr>
            <w:r>
              <w:rPr>
                <w:rFonts w:ascii="Calibri" w:hAnsi="Calibri"/>
                <w:b w:val="0"/>
                <w:i w:val="0"/>
                <w:color w:val="212121"/>
                <w:sz w:val="16"/>
              </w:rPr>
              <w:t>Polyclonal gammopathy typical of chronic VL</w:t>
            </w:r>
          </w:p>
        </w:tc>
        <w:tc>
          <w:tcPr>
            <w:tcW w:type="dxa" w:w="1036"/>
            <w:vAlign w:val="top"/>
          </w:tcPr>
          <w:p>
            <w:pPr>
              <w:spacing w:after="40" w:before="0" w:line="259" w:lineRule="auto"/>
            </w:pPr>
            <w:r>
              <w:rPr>
                <w:rFonts w:ascii="Calibri" w:hAnsi="Calibri"/>
                <w:b w:val="0"/>
                <w:i w:val="0"/>
                <w:color w:val="212121"/>
                <w:sz w:val="16"/>
              </w:rPr>
              <w:t>Chronic VL</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Characteristic though nonspecific</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Molecular</w:t>
            </w:r>
          </w:p>
        </w:tc>
        <w:tc>
          <w:tcPr>
            <w:tcW w:type="dxa" w:w="1036"/>
            <w:vAlign w:val="top"/>
          </w:tcPr>
          <w:p>
            <w:pPr>
              <w:spacing w:after="40" w:before="0" w:line="259" w:lineRule="auto"/>
            </w:pPr>
            <w:r>
              <w:rPr>
                <w:rFonts w:ascii="Calibri" w:hAnsi="Calibri"/>
                <w:b w:val="0"/>
                <w:i w:val="0"/>
                <w:color w:val="212121"/>
                <w:sz w:val="16"/>
              </w:rPr>
              <w:t>Leishmania kDNA</w:t>
            </w:r>
          </w:p>
        </w:tc>
        <w:tc>
          <w:tcPr>
            <w:tcW w:type="dxa" w:w="892"/>
            <w:vAlign w:val="top"/>
          </w:tcPr>
          <w:p>
            <w:pPr>
              <w:spacing w:after="40" w:before="0" w:line="259" w:lineRule="auto"/>
            </w:pPr>
            <w:r>
              <w:rPr>
                <w:rFonts w:ascii="Calibri" w:hAnsi="Calibri"/>
                <w:b w:val="0"/>
                <w:i w:val="0"/>
                <w:color w:val="212121"/>
                <w:sz w:val="16"/>
              </w:rPr>
              <w:t>PCR</w:t>
            </w:r>
          </w:p>
        </w:tc>
        <w:tc>
          <w:tcPr>
            <w:tcW w:type="dxa" w:w="950"/>
            <w:vAlign w:val="top"/>
          </w:tcPr>
          <w:p>
            <w:pPr>
              <w:spacing w:after="40" w:before="0" w:line="259" w:lineRule="auto"/>
            </w:pPr>
            <w:r>
              <w:rPr>
                <w:rFonts w:ascii="Calibri" w:hAnsi="Calibri"/>
                <w:b w:val="0"/>
                <w:i w:val="0"/>
                <w:color w:val="212121"/>
                <w:sz w:val="16"/>
              </w:rPr>
              <w:t>Not detected</w:t>
            </w:r>
          </w:p>
        </w:tc>
        <w:tc>
          <w:tcPr>
            <w:tcW w:type="dxa" w:w="950"/>
            <w:vAlign w:val="top"/>
          </w:tcPr>
          <w:p>
            <w:pPr>
              <w:spacing w:after="40" w:before="0" w:line="259" w:lineRule="auto"/>
            </w:pPr>
            <w:r>
              <w:rPr>
                <w:rFonts w:ascii="Calibri" w:hAnsi="Calibri"/>
                <w:b w:val="0"/>
                <w:i w:val="0"/>
                <w:color w:val="212121"/>
                <w:sz w:val="16"/>
              </w:rPr>
              <w:t>Detected / high parasite load</w:t>
            </w:r>
          </w:p>
        </w:tc>
        <w:tc>
          <w:tcPr>
            <w:tcW w:type="dxa" w:w="1036"/>
            <w:vAlign w:val="top"/>
          </w:tcPr>
          <w:p>
            <w:pPr>
              <w:spacing w:after="40" w:before="0" w:line="259" w:lineRule="auto"/>
            </w:pPr>
            <w:r>
              <w:rPr>
                <w:rFonts w:ascii="Calibri" w:hAnsi="Calibri"/>
                <w:b w:val="0"/>
                <w:i w:val="0"/>
                <w:color w:val="212121"/>
                <w:sz w:val="16"/>
              </w:rPr>
              <w:t>Sensitive; useful in HIV–VL, relapse and test-of-cure monitoring</w:t>
            </w:r>
          </w:p>
        </w:tc>
        <w:tc>
          <w:tcPr>
            <w:tcW w:type="dxa" w:w="1036"/>
            <w:vAlign w:val="top"/>
          </w:tcPr>
          <w:p>
            <w:pPr>
              <w:spacing w:after="40" w:before="0" w:line="259" w:lineRule="auto"/>
            </w:pPr>
            <w:r>
              <w:rPr>
                <w:rFonts w:ascii="Calibri" w:hAnsi="Calibri"/>
                <w:b w:val="0"/>
                <w:i w:val="0"/>
                <w:color w:val="212121"/>
                <w:sz w:val="16"/>
              </w:rPr>
              <w:t>HIV–VL, relapsing / refractory</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Advanced</w:t>
            </w:r>
          </w:p>
        </w:tc>
        <w:tc>
          <w:tcPr>
            <w:tcW w:type="dxa" w:w="720"/>
            <w:vAlign w:val="top"/>
          </w:tcPr>
          <w:p>
            <w:pPr>
              <w:spacing w:after="40" w:before="0" w:line="259" w:lineRule="auto"/>
            </w:pPr>
            <w:r>
              <w:rPr>
                <w:rFonts w:ascii="Calibri" w:hAnsi="Calibri"/>
                <w:b w:val="0"/>
                <w:i w:val="0"/>
                <w:color w:val="212121"/>
                <w:sz w:val="16"/>
              </w:rPr>
              <w:t>Quantitative PCR tracks treatment response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Serological</w:t>
            </w:r>
          </w:p>
        </w:tc>
        <w:tc>
          <w:tcPr>
            <w:tcW w:type="dxa" w:w="1036"/>
            <w:vAlign w:val="top"/>
          </w:tcPr>
          <w:p>
            <w:pPr>
              <w:spacing w:after="40" w:before="0" w:line="259" w:lineRule="auto"/>
            </w:pPr>
            <w:r>
              <w:rPr>
                <w:rFonts w:ascii="Calibri" w:hAnsi="Calibri"/>
                <w:b w:val="0"/>
                <w:i w:val="0"/>
                <w:color w:val="212121"/>
                <w:sz w:val="16"/>
              </w:rPr>
              <w:t>HIV antibody / antigen</w:t>
            </w:r>
          </w:p>
        </w:tc>
        <w:tc>
          <w:tcPr>
            <w:tcW w:type="dxa" w:w="892"/>
            <w:vAlign w:val="top"/>
          </w:tcPr>
          <w:p>
            <w:pPr>
              <w:spacing w:after="40" w:before="0" w:line="259" w:lineRule="auto"/>
            </w:pPr>
            <w:r>
              <w:rPr>
                <w:rFonts w:ascii="Calibri" w:hAnsi="Calibri"/>
                <w:b w:val="0"/>
                <w:i w:val="0"/>
                <w:color w:val="212121"/>
                <w:sz w:val="16"/>
              </w:rPr>
              <w:t>HIV screening</w:t>
            </w:r>
          </w:p>
        </w:tc>
        <w:tc>
          <w:tcPr>
            <w:tcW w:type="dxa" w:w="950"/>
            <w:vAlign w:val="top"/>
          </w:tcPr>
          <w:p>
            <w:pPr>
              <w:spacing w:after="40" w:before="0" w:line="259" w:lineRule="auto"/>
            </w:pPr>
            <w:r>
              <w:rPr>
                <w:rFonts w:ascii="Calibri" w:hAnsi="Calibri"/>
                <w:b w:val="0"/>
                <w:i w:val="0"/>
                <w:color w:val="212121"/>
                <w:sz w:val="16"/>
              </w:rPr>
              <w:t>Non-reactive</w:t>
            </w:r>
          </w:p>
        </w:tc>
        <w:tc>
          <w:tcPr>
            <w:tcW w:type="dxa" w:w="950"/>
            <w:vAlign w:val="top"/>
          </w:tcPr>
          <w:p>
            <w:pPr>
              <w:spacing w:after="40" w:before="0" w:line="259" w:lineRule="auto"/>
            </w:pPr>
            <w:r>
              <w:rPr>
                <w:rFonts w:ascii="Calibri" w:hAnsi="Calibri"/>
                <w:b w:val="0"/>
                <w:i w:val="0"/>
                <w:color w:val="212121"/>
                <w:sz w:val="16"/>
              </w:rPr>
              <w:t>Reactive</w:t>
            </w:r>
          </w:p>
        </w:tc>
        <w:tc>
          <w:tcPr>
            <w:tcW w:type="dxa" w:w="1036"/>
            <w:vAlign w:val="top"/>
          </w:tcPr>
          <w:p>
            <w:pPr>
              <w:spacing w:after="40" w:before="0" w:line="259" w:lineRule="auto"/>
            </w:pPr>
            <w:r>
              <w:rPr>
                <w:rFonts w:ascii="Calibri" w:hAnsi="Calibri"/>
                <w:b w:val="0"/>
                <w:i w:val="0"/>
                <w:color w:val="212121"/>
                <w:sz w:val="16"/>
              </w:rPr>
              <w:t>Identifies HIV–VL coinfection, which alters therapy and prognosis</w:t>
            </w:r>
          </w:p>
        </w:tc>
        <w:tc>
          <w:tcPr>
            <w:tcW w:type="dxa" w:w="1036"/>
            <w:vAlign w:val="top"/>
          </w:tcPr>
          <w:p>
            <w:pPr>
              <w:spacing w:after="40" w:before="0" w:line="259" w:lineRule="auto"/>
            </w:pPr>
            <w:r>
              <w:rPr>
                <w:rFonts w:ascii="Calibri" w:hAnsi="Calibri"/>
                <w:b w:val="0"/>
                <w:i w:val="0"/>
                <w:color w:val="212121"/>
                <w:sz w:val="16"/>
              </w:rPr>
              <w:t>All VL, especially adults and relapses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Essential</w:t>
            </w:r>
          </w:p>
        </w:tc>
        <w:tc>
          <w:tcPr>
            <w:tcW w:type="dxa" w:w="720"/>
            <w:vAlign w:val="top"/>
          </w:tcPr>
          <w:p>
            <w:pPr>
              <w:spacing w:after="40" w:before="0" w:line="259" w:lineRule="auto"/>
            </w:pPr>
            <w:r>
              <w:rPr>
                <w:rFonts w:ascii="Calibri" w:hAnsi="Calibri"/>
                <w:b w:val="0"/>
                <w:i w:val="0"/>
                <w:color w:val="212121"/>
                <w:sz w:val="16"/>
              </w:rPr>
              <w:t>Coinfection needs secondary prophylaxis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Creatinine, K⁺, LFTs</w:t>
            </w:r>
          </w:p>
        </w:tc>
        <w:tc>
          <w:tcPr>
            <w:tcW w:type="dxa" w:w="892"/>
            <w:vAlign w:val="top"/>
          </w:tcPr>
          <w:p>
            <w:pPr>
              <w:spacing w:after="40" w:before="0" w:line="259" w:lineRule="auto"/>
            </w:pPr>
            <w:r>
              <w:rPr>
                <w:rFonts w:ascii="Calibri" w:hAnsi="Calibri"/>
                <w:b w:val="0"/>
                <w:i w:val="0"/>
                <w:color w:val="212121"/>
                <w:sz w:val="16"/>
              </w:rPr>
              <w:t>Renal &amp; liver function</w:t>
            </w:r>
          </w:p>
        </w:tc>
        <w:tc>
          <w:tcPr>
            <w:tcW w:type="dxa" w:w="950"/>
            <w:vAlign w:val="top"/>
          </w:tcPr>
          <w:p>
            <w:pPr>
              <w:spacing w:after="40" w:before="0" w:line="259" w:lineRule="auto"/>
            </w:pPr>
            <w:r>
              <w:rPr>
                <w:rFonts w:ascii="Calibri" w:hAnsi="Calibri"/>
                <w:b w:val="0"/>
                <w:i w:val="0"/>
                <w:color w:val="212121"/>
                <w:sz w:val="16"/>
              </w:rPr>
              <w:t>Within reference range</w:t>
            </w:r>
          </w:p>
        </w:tc>
        <w:tc>
          <w:tcPr>
            <w:tcW w:type="dxa" w:w="950"/>
            <w:vAlign w:val="top"/>
          </w:tcPr>
          <w:p>
            <w:pPr>
              <w:spacing w:after="40" w:before="0" w:line="259" w:lineRule="auto"/>
            </w:pPr>
            <w:r>
              <w:rPr>
                <w:rFonts w:ascii="Calibri" w:hAnsi="Calibri"/>
                <w:b w:val="0"/>
                <w:i w:val="0"/>
                <w:color w:val="212121"/>
                <w:sz w:val="16"/>
              </w:rPr>
              <w:t>Deranged</w:t>
            </w:r>
          </w:p>
        </w:tc>
        <w:tc>
          <w:tcPr>
            <w:tcW w:type="dxa" w:w="1036"/>
            <w:vAlign w:val="top"/>
          </w:tcPr>
          <w:p>
            <w:pPr>
              <w:spacing w:after="40" w:before="0" w:line="259" w:lineRule="auto"/>
            </w:pPr>
            <w:r>
              <w:rPr>
                <w:rFonts w:ascii="Calibri" w:hAnsi="Calibri"/>
                <w:b w:val="0"/>
                <w:i w:val="0"/>
                <w:color w:val="212121"/>
                <w:sz w:val="16"/>
              </w:rPr>
              <w:t>Baseline and monitoring for amphotericin B nephrotoxicity and drug safety</w:t>
            </w:r>
          </w:p>
        </w:tc>
        <w:tc>
          <w:tcPr>
            <w:tcW w:type="dxa" w:w="1036"/>
            <w:vAlign w:val="top"/>
          </w:tcPr>
          <w:p>
            <w:pPr>
              <w:spacing w:after="40" w:before="0" w:line="259" w:lineRule="auto"/>
            </w:pPr>
            <w:r>
              <w:rPr>
                <w:rFonts w:ascii="Calibri" w:hAnsi="Calibri"/>
                <w:b w:val="0"/>
                <w:i w:val="0"/>
                <w:color w:val="212121"/>
                <w:sz w:val="16"/>
              </w:rPr>
              <w:t>Patients starting antileishmanial therapy</w:t>
            </w:r>
          </w:p>
        </w:tc>
        <w:tc>
          <w:tcPr>
            <w:tcW w:type="dxa" w:w="720"/>
            <w:vAlign w:val="top"/>
          </w:tcPr>
          <w:p>
            <w:pPr>
              <w:spacing w:after="40" w:before="0" w:line="259" w:lineRule="auto"/>
            </w:pPr>
            <w:r>
              <w:rPr>
                <w:rFonts w:ascii="Calibri" w:hAnsi="Calibri"/>
                <w:b w:val="0"/>
                <w:i w:val="0"/>
                <w:color w:val="212121"/>
                <w:sz w:val="16"/>
              </w:rPr>
              <w:t>Alcohol</w:t>
            </w:r>
          </w:p>
        </w:tc>
        <w:tc>
          <w:tcPr>
            <w:tcW w:type="dxa" w:w="720"/>
            <w:vAlign w:val="top"/>
          </w:tcPr>
          <w:p>
            <w:pPr>
              <w:spacing w:after="40" w:before="0" w:line="259" w:lineRule="auto"/>
            </w:pPr>
            <w:r>
              <w:rPr>
                <w:rFonts w:ascii="Calibri" w:hAnsi="Calibri"/>
                <w:b w:val="0"/>
                <w:i w:val="0"/>
                <w:color w:val="212121"/>
                <w:sz w:val="16"/>
              </w:rPr>
              <w:t>Safety monitoring</w:t>
            </w:r>
          </w:p>
        </w:tc>
        <w:tc>
          <w:tcPr>
            <w:tcW w:type="dxa" w:w="720"/>
            <w:vAlign w:val="top"/>
          </w:tcPr>
          <w:p>
            <w:pPr>
              <w:spacing w:after="40" w:before="0" w:line="259" w:lineRule="auto"/>
            </w:pPr>
            <w:r>
              <w:rPr>
                <w:rFonts w:ascii="Calibri" w:hAnsi="Calibri"/>
                <w:b w:val="0"/>
                <w:i w:val="0"/>
                <w:color w:val="212121"/>
                <w:sz w:val="16"/>
              </w:rPr>
              <w:t>Especially with amphotericin B formulations</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Fever history</w:t>
            </w:r>
          </w:p>
        </w:tc>
        <w:tc>
          <w:tcPr>
            <w:tcW w:type="dxa" w:w="979"/>
            <w:vAlign w:val="top"/>
          </w:tcPr>
          <w:p>
            <w:pPr>
              <w:spacing w:after="40" w:before="0" w:line="259" w:lineRule="auto"/>
            </w:pPr>
            <w:r>
              <w:rPr>
                <w:rFonts w:ascii="Calibri" w:hAnsi="Calibri"/>
                <w:b w:val="0"/>
                <w:i w:val="0"/>
                <w:color w:val="212121"/>
                <w:sz w:val="16"/>
              </w:rPr>
              <w:t>Prolonged fever &gt; 2 weeks</w:t>
            </w:r>
          </w:p>
        </w:tc>
        <w:tc>
          <w:tcPr>
            <w:tcW w:type="dxa" w:w="950"/>
            <w:vAlign w:val="top"/>
          </w:tcPr>
          <w:p>
            <w:pPr>
              <w:spacing w:after="40" w:before="0" w:line="259" w:lineRule="auto"/>
            </w:pPr>
            <w:r>
              <w:rPr>
                <w:rFonts w:ascii="Calibri" w:hAnsi="Calibri"/>
                <w:b w:val="0"/>
                <w:i w:val="0"/>
                <w:color w:val="212121"/>
                <w:sz w:val="16"/>
              </w:rPr>
              <w:t>Absent</w:t>
            </w:r>
          </w:p>
        </w:tc>
        <w:tc>
          <w:tcPr>
            <w:tcW w:type="dxa" w:w="950"/>
            <w:vAlign w:val="top"/>
          </w:tcPr>
          <w:p>
            <w:pPr>
              <w:spacing w:after="40" w:before="0" w:line="259" w:lineRule="auto"/>
            </w:pPr>
            <w:r>
              <w:rPr>
                <w:rFonts w:ascii="Calibri" w:hAnsi="Calibri"/>
                <w:b w:val="0"/>
                <w:i w:val="0"/>
                <w:color w:val="212121"/>
                <w:sz w:val="16"/>
              </w:rPr>
              <w:t>Irregular fever, often with twice-daily peaks</w:t>
            </w:r>
          </w:p>
        </w:tc>
        <w:tc>
          <w:tcPr>
            <w:tcW w:type="dxa" w:w="1036"/>
            <w:vAlign w:val="top"/>
          </w:tcPr>
          <w:p>
            <w:pPr>
              <w:spacing w:after="40" w:before="0" w:line="259" w:lineRule="auto"/>
            </w:pPr>
            <w:r>
              <w:rPr>
                <w:rFonts w:ascii="Calibri" w:hAnsi="Calibri"/>
                <w:b w:val="0"/>
                <w:i w:val="0"/>
                <w:color w:val="212121"/>
                <w:sz w:val="16"/>
              </w:rPr>
              <w:t>Cardinal symptom; unresponsive to antimalarials and antibiotics</w:t>
            </w:r>
          </w:p>
        </w:tc>
        <w:tc>
          <w:tcPr>
            <w:tcW w:type="dxa" w:w="1036"/>
            <w:vAlign w:val="top"/>
          </w:tcPr>
          <w:p>
            <w:pPr>
              <w:spacing w:after="40" w:before="0" w:line="259" w:lineRule="auto"/>
            </w:pPr>
            <w:r>
              <w:rPr>
                <w:rFonts w:ascii="Calibri" w:hAnsi="Calibri"/>
                <w:b w:val="0"/>
                <w:i w:val="0"/>
                <w:color w:val="212121"/>
                <w:sz w:val="16"/>
              </w:rPr>
              <w:t>Endemic-area residents</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Central to the clinical case definition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Residence / travel</w:t>
            </w:r>
          </w:p>
        </w:tc>
        <w:tc>
          <w:tcPr>
            <w:tcW w:type="dxa" w:w="979"/>
            <w:vAlign w:val="top"/>
          </w:tcPr>
          <w:p>
            <w:pPr>
              <w:spacing w:after="40" w:before="0" w:line="259" w:lineRule="auto"/>
            </w:pPr>
            <w:r>
              <w:rPr>
                <w:rFonts w:ascii="Calibri" w:hAnsi="Calibri"/>
                <w:b w:val="0"/>
                <w:i w:val="0"/>
                <w:color w:val="212121"/>
                <w:sz w:val="16"/>
              </w:rPr>
              <w:t>Stay in endemic district (Bihar/Jharkhand/WB/UP)</w:t>
            </w:r>
          </w:p>
        </w:tc>
        <w:tc>
          <w:tcPr>
            <w:tcW w:type="dxa" w:w="950"/>
            <w:vAlign w:val="top"/>
          </w:tcPr>
          <w:p>
            <w:pPr>
              <w:spacing w:after="40" w:before="0" w:line="259" w:lineRule="auto"/>
            </w:pPr>
            <w:r>
              <w:rPr>
                <w:rFonts w:ascii="Calibri" w:hAnsi="Calibri"/>
                <w:b w:val="0"/>
                <w:i w:val="0"/>
                <w:color w:val="212121"/>
                <w:sz w:val="16"/>
              </w:rPr>
              <w:t>No exposure</w:t>
            </w:r>
          </w:p>
        </w:tc>
        <w:tc>
          <w:tcPr>
            <w:tcW w:type="dxa" w:w="950"/>
            <w:vAlign w:val="top"/>
          </w:tcPr>
          <w:p>
            <w:pPr>
              <w:spacing w:after="40" w:before="0" w:line="259" w:lineRule="auto"/>
            </w:pPr>
            <w:r>
              <w:rPr>
                <w:rFonts w:ascii="Calibri" w:hAnsi="Calibri"/>
                <w:b w:val="0"/>
                <w:i w:val="0"/>
                <w:color w:val="212121"/>
                <w:sz w:val="16"/>
              </w:rPr>
              <w:t>Residence or travel in an endemic block</w:t>
            </w:r>
          </w:p>
        </w:tc>
        <w:tc>
          <w:tcPr>
            <w:tcW w:type="dxa" w:w="1036"/>
            <w:vAlign w:val="top"/>
          </w:tcPr>
          <w:p>
            <w:pPr>
              <w:spacing w:after="40" w:before="0" w:line="259" w:lineRule="auto"/>
            </w:pPr>
            <w:r>
              <w:rPr>
                <w:rFonts w:ascii="Calibri" w:hAnsi="Calibri"/>
                <w:b w:val="0"/>
                <w:i w:val="0"/>
                <w:color w:val="212121"/>
                <w:sz w:val="16"/>
              </w:rPr>
              <w:t>Establishes epidemiological risk</w:t>
            </w:r>
          </w:p>
        </w:tc>
        <w:tc>
          <w:tcPr>
            <w:tcW w:type="dxa" w:w="1036"/>
            <w:vAlign w:val="top"/>
          </w:tcPr>
          <w:p>
            <w:pPr>
              <w:spacing w:after="40" w:before="0" w:line="259" w:lineRule="auto"/>
            </w:pPr>
            <w:r>
              <w:rPr>
                <w:rFonts w:ascii="Calibri" w:hAnsi="Calibri"/>
                <w:b w:val="0"/>
                <w:i w:val="0"/>
                <w:color w:val="212121"/>
                <w:sz w:val="16"/>
              </w:rPr>
              <w:t>Migrants, travellers</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Ask about the preceding 6–24 months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Constitutional symptoms</w:t>
            </w:r>
          </w:p>
        </w:tc>
        <w:tc>
          <w:tcPr>
            <w:tcW w:type="dxa" w:w="979"/>
            <w:vAlign w:val="top"/>
          </w:tcPr>
          <w:p>
            <w:pPr>
              <w:spacing w:after="40" w:before="0" w:line="259" w:lineRule="auto"/>
            </w:pPr>
            <w:r>
              <w:rPr>
                <w:rFonts w:ascii="Calibri" w:hAnsi="Calibri"/>
                <w:b w:val="0"/>
                <w:i w:val="0"/>
                <w:color w:val="212121"/>
                <w:sz w:val="16"/>
              </w:rPr>
              <w:t>Weight loss, anorexia, weakness</w:t>
            </w:r>
          </w:p>
        </w:tc>
        <w:tc>
          <w:tcPr>
            <w:tcW w:type="dxa" w:w="950"/>
            <w:vAlign w:val="top"/>
          </w:tcPr>
          <w:p>
            <w:pPr>
              <w:spacing w:after="40" w:before="0" w:line="259" w:lineRule="auto"/>
            </w:pPr>
            <w:r>
              <w:rPr>
                <w:rFonts w:ascii="Calibri" w:hAnsi="Calibri"/>
                <w:b w:val="0"/>
                <w:i w:val="0"/>
                <w:color w:val="212121"/>
                <w:sz w:val="16"/>
              </w:rPr>
              <w:t>Absent</w:t>
            </w:r>
          </w:p>
        </w:tc>
        <w:tc>
          <w:tcPr>
            <w:tcW w:type="dxa" w:w="950"/>
            <w:vAlign w:val="top"/>
          </w:tcPr>
          <w:p>
            <w:pPr>
              <w:spacing w:after="40" w:before="0" w:line="259" w:lineRule="auto"/>
            </w:pPr>
            <w:r>
              <w:rPr>
                <w:rFonts w:ascii="Calibri" w:hAnsi="Calibri"/>
                <w:b w:val="0"/>
                <w:i w:val="0"/>
                <w:color w:val="212121"/>
                <w:sz w:val="16"/>
              </w:rPr>
              <w:t>Progressive over weeks</w:t>
            </w:r>
          </w:p>
        </w:tc>
        <w:tc>
          <w:tcPr>
            <w:tcW w:type="dxa" w:w="1036"/>
            <w:vAlign w:val="top"/>
          </w:tcPr>
          <w:p>
            <w:pPr>
              <w:spacing w:after="40" w:before="0" w:line="259" w:lineRule="auto"/>
            </w:pPr>
            <w:r>
              <w:rPr>
                <w:rFonts w:ascii="Calibri" w:hAnsi="Calibri"/>
                <w:b w:val="0"/>
                <w:i w:val="0"/>
                <w:color w:val="212121"/>
                <w:sz w:val="16"/>
              </w:rPr>
              <w:t>Reflects chronic systemic infection</w:t>
            </w:r>
          </w:p>
        </w:tc>
        <w:tc>
          <w:tcPr>
            <w:tcW w:type="dxa" w:w="1036"/>
            <w:vAlign w:val="top"/>
          </w:tcPr>
          <w:p>
            <w:pPr>
              <w:spacing w:after="40" w:before="0" w:line="259" w:lineRule="auto"/>
            </w:pPr>
            <w:r>
              <w:rPr>
                <w:rFonts w:ascii="Calibri" w:hAnsi="Calibri"/>
                <w:b w:val="0"/>
                <w:i w:val="0"/>
                <w:color w:val="212121"/>
                <w:sz w:val="16"/>
              </w:rPr>
              <w:t>All suspected VL</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Assess nutrition (BMI / MUAC)</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examination</w:t>
            </w:r>
          </w:p>
        </w:tc>
        <w:tc>
          <w:tcPr>
            <w:tcW w:type="dxa" w:w="950"/>
            <w:vAlign w:val="top"/>
          </w:tcPr>
          <w:p>
            <w:pPr>
              <w:spacing w:after="40" w:before="0" w:line="259" w:lineRule="auto"/>
            </w:pPr>
            <w:r>
              <w:rPr>
                <w:rFonts w:ascii="Calibri" w:hAnsi="Calibri"/>
                <w:b w:val="0"/>
                <w:i w:val="0"/>
                <w:color w:val="212121"/>
                <w:sz w:val="16"/>
              </w:rPr>
              <w:t>Abdominal examination</w:t>
            </w:r>
          </w:p>
        </w:tc>
        <w:tc>
          <w:tcPr>
            <w:tcW w:type="dxa" w:w="979"/>
            <w:vAlign w:val="top"/>
          </w:tcPr>
          <w:p>
            <w:pPr>
              <w:spacing w:after="40" w:before="0" w:line="259" w:lineRule="auto"/>
            </w:pPr>
            <w:r>
              <w:rPr>
                <w:rFonts w:ascii="Calibri" w:hAnsi="Calibri"/>
                <w:b w:val="0"/>
                <w:i w:val="0"/>
                <w:color w:val="212121"/>
                <w:sz w:val="16"/>
              </w:rPr>
              <w:t>Splenomegaly</w:t>
            </w:r>
          </w:p>
        </w:tc>
        <w:tc>
          <w:tcPr>
            <w:tcW w:type="dxa" w:w="950"/>
            <w:vAlign w:val="top"/>
          </w:tcPr>
          <w:p>
            <w:pPr>
              <w:spacing w:after="40" w:before="0" w:line="259" w:lineRule="auto"/>
            </w:pPr>
            <w:r>
              <w:rPr>
                <w:rFonts w:ascii="Calibri" w:hAnsi="Calibri"/>
                <w:b w:val="0"/>
                <w:i w:val="0"/>
                <w:color w:val="212121"/>
                <w:sz w:val="16"/>
              </w:rPr>
              <w:t>Not palpable</w:t>
            </w:r>
          </w:p>
        </w:tc>
        <w:tc>
          <w:tcPr>
            <w:tcW w:type="dxa" w:w="950"/>
            <w:vAlign w:val="top"/>
          </w:tcPr>
          <w:p>
            <w:pPr>
              <w:spacing w:after="40" w:before="0" w:line="259" w:lineRule="auto"/>
            </w:pPr>
            <w:r>
              <w:rPr>
                <w:rFonts w:ascii="Calibri" w:hAnsi="Calibri"/>
                <w:b w:val="0"/>
                <w:i w:val="0"/>
                <w:color w:val="212121"/>
                <w:sz w:val="16"/>
              </w:rPr>
              <w:t>Massive, firm, non-tender spleen</w:t>
            </w:r>
          </w:p>
        </w:tc>
        <w:tc>
          <w:tcPr>
            <w:tcW w:type="dxa" w:w="1036"/>
            <w:vAlign w:val="top"/>
          </w:tcPr>
          <w:p>
            <w:pPr>
              <w:spacing w:after="40" w:before="0" w:line="259" w:lineRule="auto"/>
            </w:pPr>
            <w:r>
              <w:rPr>
                <w:rFonts w:ascii="Calibri" w:hAnsi="Calibri"/>
                <w:b w:val="0"/>
                <w:i w:val="0"/>
                <w:color w:val="212121"/>
                <w:sz w:val="16"/>
              </w:rPr>
              <w:t>Hallmark sign of VL</w:t>
            </w:r>
          </w:p>
        </w:tc>
        <w:tc>
          <w:tcPr>
            <w:tcW w:type="dxa" w:w="1036"/>
            <w:vAlign w:val="top"/>
          </w:tcPr>
          <w:p>
            <w:pPr>
              <w:spacing w:after="40" w:before="0" w:line="259" w:lineRule="auto"/>
            </w:pPr>
            <w:r>
              <w:rPr>
                <w:rFonts w:ascii="Calibri" w:hAnsi="Calibri"/>
                <w:b w:val="0"/>
                <w:i w:val="0"/>
                <w:color w:val="212121"/>
                <w:sz w:val="16"/>
              </w:rPr>
              <w:t>All suspected VL</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Key sign</w:t>
            </w:r>
          </w:p>
        </w:tc>
        <w:tc>
          <w:tcPr>
            <w:tcW w:type="dxa" w:w="720"/>
            <w:vAlign w:val="top"/>
          </w:tcPr>
          <w:p>
            <w:pPr>
              <w:spacing w:after="40" w:before="0" w:line="259" w:lineRule="auto"/>
            </w:pPr>
            <w:r>
              <w:rPr>
                <w:rFonts w:ascii="Calibri" w:hAnsi="Calibri"/>
                <w:b w:val="0"/>
                <w:i w:val="0"/>
                <w:color w:val="212121"/>
                <w:sz w:val="16"/>
              </w:rPr>
              <w:t>Measure spleen size below the costal margin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examination</w:t>
            </w:r>
          </w:p>
        </w:tc>
        <w:tc>
          <w:tcPr>
            <w:tcW w:type="dxa" w:w="950"/>
            <w:vAlign w:val="top"/>
          </w:tcPr>
          <w:p>
            <w:pPr>
              <w:spacing w:after="40" w:before="0" w:line="259" w:lineRule="auto"/>
            </w:pPr>
            <w:r>
              <w:rPr>
                <w:rFonts w:ascii="Calibri" w:hAnsi="Calibri"/>
                <w:b w:val="0"/>
                <w:i w:val="0"/>
                <w:color w:val="212121"/>
                <w:sz w:val="16"/>
              </w:rPr>
              <w:t>Abdominal examination</w:t>
            </w:r>
          </w:p>
        </w:tc>
        <w:tc>
          <w:tcPr>
            <w:tcW w:type="dxa" w:w="979"/>
            <w:vAlign w:val="top"/>
          </w:tcPr>
          <w:p>
            <w:pPr>
              <w:spacing w:after="40" w:before="0" w:line="259" w:lineRule="auto"/>
            </w:pPr>
            <w:r>
              <w:rPr>
                <w:rFonts w:ascii="Calibri" w:hAnsi="Calibri"/>
                <w:b w:val="0"/>
                <w:i w:val="0"/>
                <w:color w:val="212121"/>
                <w:sz w:val="16"/>
              </w:rPr>
              <w:t>Hepatomegaly</w:t>
            </w:r>
          </w:p>
        </w:tc>
        <w:tc>
          <w:tcPr>
            <w:tcW w:type="dxa" w:w="950"/>
            <w:vAlign w:val="top"/>
          </w:tcPr>
          <w:p>
            <w:pPr>
              <w:spacing w:after="40" w:before="0" w:line="259" w:lineRule="auto"/>
            </w:pPr>
            <w:r>
              <w:rPr>
                <w:rFonts w:ascii="Calibri" w:hAnsi="Calibri"/>
                <w:b w:val="0"/>
                <w:i w:val="0"/>
                <w:color w:val="212121"/>
                <w:sz w:val="16"/>
              </w:rPr>
              <w:t>Not palpable</w:t>
            </w:r>
          </w:p>
        </w:tc>
        <w:tc>
          <w:tcPr>
            <w:tcW w:type="dxa" w:w="950"/>
            <w:vAlign w:val="top"/>
          </w:tcPr>
          <w:p>
            <w:pPr>
              <w:spacing w:after="40" w:before="0" w:line="259" w:lineRule="auto"/>
            </w:pPr>
            <w:r>
              <w:rPr>
                <w:rFonts w:ascii="Calibri" w:hAnsi="Calibri"/>
                <w:b w:val="0"/>
                <w:i w:val="0"/>
                <w:color w:val="212121"/>
                <w:sz w:val="16"/>
              </w:rPr>
              <w:t>Enlarged liver</w:t>
            </w:r>
          </w:p>
        </w:tc>
        <w:tc>
          <w:tcPr>
            <w:tcW w:type="dxa" w:w="1036"/>
            <w:vAlign w:val="top"/>
          </w:tcPr>
          <w:p>
            <w:pPr>
              <w:spacing w:after="40" w:before="0" w:line="259" w:lineRule="auto"/>
            </w:pPr>
            <w:r>
              <w:rPr>
                <w:rFonts w:ascii="Calibri" w:hAnsi="Calibri"/>
                <w:b w:val="0"/>
                <w:i w:val="0"/>
                <w:color w:val="212121"/>
                <w:sz w:val="16"/>
              </w:rPr>
              <w:t>Common; usually less marked than splenomegaly</w:t>
            </w:r>
          </w:p>
        </w:tc>
        <w:tc>
          <w:tcPr>
            <w:tcW w:type="dxa" w:w="1036"/>
            <w:vAlign w:val="top"/>
          </w:tcPr>
          <w:p>
            <w:pPr>
              <w:spacing w:after="40" w:before="0" w:line="259" w:lineRule="auto"/>
            </w:pPr>
            <w:r>
              <w:rPr>
                <w:rFonts w:ascii="Calibri" w:hAnsi="Calibri"/>
                <w:b w:val="0"/>
                <w:i w:val="0"/>
                <w:color w:val="212121"/>
                <w:sz w:val="16"/>
              </w:rPr>
              <w:t>All suspected VL</w:t>
            </w:r>
          </w:p>
        </w:tc>
        <w:tc>
          <w:tcPr>
            <w:tcW w:type="dxa" w:w="720"/>
            <w:vAlign w:val="top"/>
          </w:tcPr>
          <w:p>
            <w:pPr>
              <w:spacing w:after="40" w:before="0" w:line="259" w:lineRule="auto"/>
            </w:pPr>
            <w:r>
              <w:rPr>
                <w:rFonts w:ascii="Calibri" w:hAnsi="Calibri"/>
                <w:b w:val="0"/>
                <w:i w:val="0"/>
                <w:color w:val="212121"/>
                <w:sz w:val="16"/>
              </w:rPr>
              <w:t>Alcohol</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Assess for features of portal hypertension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examination</w:t>
            </w:r>
          </w:p>
        </w:tc>
        <w:tc>
          <w:tcPr>
            <w:tcW w:type="dxa" w:w="950"/>
            <w:vAlign w:val="top"/>
          </w:tcPr>
          <w:p>
            <w:pPr>
              <w:spacing w:after="40" w:before="0" w:line="259" w:lineRule="auto"/>
            </w:pPr>
            <w:r>
              <w:rPr>
                <w:rFonts w:ascii="Calibri" w:hAnsi="Calibri"/>
                <w:b w:val="0"/>
                <w:i w:val="0"/>
                <w:color w:val="212121"/>
                <w:sz w:val="16"/>
              </w:rPr>
              <w:t>General examination</w:t>
            </w:r>
          </w:p>
        </w:tc>
        <w:tc>
          <w:tcPr>
            <w:tcW w:type="dxa" w:w="979"/>
            <w:vAlign w:val="top"/>
          </w:tcPr>
          <w:p>
            <w:pPr>
              <w:spacing w:after="40" w:before="0" w:line="259" w:lineRule="auto"/>
            </w:pPr>
            <w:r>
              <w:rPr>
                <w:rFonts w:ascii="Calibri" w:hAnsi="Calibri"/>
                <w:b w:val="0"/>
                <w:i w:val="0"/>
                <w:color w:val="212121"/>
                <w:sz w:val="16"/>
              </w:rPr>
              <w:t>Pallor / anaemia</w:t>
            </w:r>
          </w:p>
        </w:tc>
        <w:tc>
          <w:tcPr>
            <w:tcW w:type="dxa" w:w="950"/>
            <w:vAlign w:val="top"/>
          </w:tcPr>
          <w:p>
            <w:pPr>
              <w:spacing w:after="40" w:before="0" w:line="259" w:lineRule="auto"/>
            </w:pPr>
            <w:r>
              <w:rPr>
                <w:rFonts w:ascii="Calibri" w:hAnsi="Calibri"/>
                <w:b w:val="0"/>
                <w:i w:val="0"/>
                <w:color w:val="212121"/>
                <w:sz w:val="16"/>
              </w:rPr>
              <w:t>Absent</w:t>
            </w:r>
          </w:p>
        </w:tc>
        <w:tc>
          <w:tcPr>
            <w:tcW w:type="dxa" w:w="950"/>
            <w:vAlign w:val="top"/>
          </w:tcPr>
          <w:p>
            <w:pPr>
              <w:spacing w:after="40" w:before="0" w:line="259" w:lineRule="auto"/>
            </w:pPr>
            <w:r>
              <w:rPr>
                <w:rFonts w:ascii="Calibri" w:hAnsi="Calibri"/>
                <w:b w:val="0"/>
                <w:i w:val="0"/>
                <w:color w:val="212121"/>
                <w:sz w:val="16"/>
              </w:rPr>
              <w:t>Marked pallor</w:t>
            </w:r>
          </w:p>
        </w:tc>
        <w:tc>
          <w:tcPr>
            <w:tcW w:type="dxa" w:w="1036"/>
            <w:vAlign w:val="top"/>
          </w:tcPr>
          <w:p>
            <w:pPr>
              <w:spacing w:after="40" w:before="0" w:line="259" w:lineRule="auto"/>
            </w:pPr>
            <w:r>
              <w:rPr>
                <w:rFonts w:ascii="Calibri" w:hAnsi="Calibri"/>
                <w:b w:val="0"/>
                <w:i w:val="0"/>
                <w:color w:val="212121"/>
                <w:sz w:val="16"/>
              </w:rPr>
              <w:t>Reflects anaemia of chronic disease and hypersplenism</w:t>
            </w:r>
          </w:p>
        </w:tc>
        <w:tc>
          <w:tcPr>
            <w:tcW w:type="dxa" w:w="1036"/>
            <w:vAlign w:val="top"/>
          </w:tcPr>
          <w:p>
            <w:pPr>
              <w:spacing w:after="40" w:before="0" w:line="259" w:lineRule="auto"/>
            </w:pPr>
            <w:r>
              <w:rPr>
                <w:rFonts w:ascii="Calibri" w:hAnsi="Calibri"/>
                <w:b w:val="0"/>
                <w:i w:val="0"/>
                <w:color w:val="212121"/>
                <w:sz w:val="16"/>
              </w:rPr>
              <w:t>All VL</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Correlate with haemoglobin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examination</w:t>
            </w:r>
          </w:p>
        </w:tc>
        <w:tc>
          <w:tcPr>
            <w:tcW w:type="dxa" w:w="950"/>
            <w:vAlign w:val="top"/>
          </w:tcPr>
          <w:p>
            <w:pPr>
              <w:spacing w:after="40" w:before="0" w:line="259" w:lineRule="auto"/>
            </w:pPr>
            <w:r>
              <w:rPr>
                <w:rFonts w:ascii="Calibri" w:hAnsi="Calibri"/>
                <w:b w:val="0"/>
                <w:i w:val="0"/>
                <w:color w:val="212121"/>
                <w:sz w:val="16"/>
              </w:rPr>
              <w:t>Skin examination</w:t>
            </w:r>
          </w:p>
        </w:tc>
        <w:tc>
          <w:tcPr>
            <w:tcW w:type="dxa" w:w="979"/>
            <w:vAlign w:val="top"/>
          </w:tcPr>
          <w:p>
            <w:pPr>
              <w:spacing w:after="40" w:before="0" w:line="259" w:lineRule="auto"/>
            </w:pPr>
            <w:r>
              <w:rPr>
                <w:rFonts w:ascii="Calibri" w:hAnsi="Calibri"/>
                <w:b w:val="0"/>
                <w:i w:val="0"/>
                <w:color w:val="212121"/>
                <w:sz w:val="16"/>
              </w:rPr>
              <w:t>Hyperpigmentation (‘kala-azar’)</w:t>
            </w:r>
          </w:p>
        </w:tc>
        <w:tc>
          <w:tcPr>
            <w:tcW w:type="dxa" w:w="950"/>
            <w:vAlign w:val="top"/>
          </w:tcPr>
          <w:p>
            <w:pPr>
              <w:spacing w:after="40" w:before="0" w:line="259" w:lineRule="auto"/>
            </w:pPr>
            <w:r>
              <w:rPr>
                <w:rFonts w:ascii="Calibri" w:hAnsi="Calibri"/>
                <w:b w:val="0"/>
                <w:i w:val="0"/>
                <w:color w:val="212121"/>
                <w:sz w:val="16"/>
              </w:rPr>
              <w:t>Absent</w:t>
            </w:r>
          </w:p>
        </w:tc>
        <w:tc>
          <w:tcPr>
            <w:tcW w:type="dxa" w:w="950"/>
            <w:vAlign w:val="top"/>
          </w:tcPr>
          <w:p>
            <w:pPr>
              <w:spacing w:after="40" w:before="0" w:line="259" w:lineRule="auto"/>
            </w:pPr>
            <w:r>
              <w:rPr>
                <w:rFonts w:ascii="Calibri" w:hAnsi="Calibri"/>
                <w:b w:val="0"/>
                <w:i w:val="0"/>
                <w:color w:val="212121"/>
                <w:sz w:val="16"/>
              </w:rPr>
              <w:t>Grey–black darkening of skin (face, hands, abdomen); PKDL macules/nodules</w:t>
            </w:r>
          </w:p>
        </w:tc>
        <w:tc>
          <w:tcPr>
            <w:tcW w:type="dxa" w:w="1036"/>
            <w:vAlign w:val="top"/>
          </w:tcPr>
          <w:p>
            <w:pPr>
              <w:spacing w:after="40" w:before="0" w:line="259" w:lineRule="auto"/>
            </w:pPr>
            <w:r>
              <w:rPr>
                <w:rFonts w:ascii="Calibri" w:hAnsi="Calibri"/>
                <w:b w:val="0"/>
                <w:i w:val="0"/>
                <w:color w:val="212121"/>
                <w:sz w:val="16"/>
              </w:rPr>
              <w:t>Classic sign that gives the disease its name; also screen for PKDL</w:t>
            </w:r>
          </w:p>
        </w:tc>
        <w:tc>
          <w:tcPr>
            <w:tcW w:type="dxa" w:w="1036"/>
            <w:vAlign w:val="top"/>
          </w:tcPr>
          <w:p>
            <w:pPr>
              <w:spacing w:after="40" w:before="0" w:line="259" w:lineRule="auto"/>
            </w:pPr>
            <w:r>
              <w:rPr>
                <w:rFonts w:ascii="Calibri" w:hAnsi="Calibri"/>
                <w:b w:val="0"/>
                <w:i w:val="0"/>
                <w:color w:val="212121"/>
                <w:sz w:val="16"/>
              </w:rPr>
              <w:t>Chronic and treated VL</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Characteristic</w:t>
            </w:r>
          </w:p>
        </w:tc>
        <w:tc>
          <w:tcPr>
            <w:tcW w:type="dxa" w:w="720"/>
            <w:vAlign w:val="top"/>
          </w:tcPr>
          <w:p>
            <w:pPr>
              <w:spacing w:after="40" w:before="0" w:line="259" w:lineRule="auto"/>
            </w:pPr>
            <w:r>
              <w:rPr>
                <w:rFonts w:ascii="Calibri" w:hAnsi="Calibri"/>
                <w:b w:val="0"/>
                <w:i w:val="0"/>
                <w:color w:val="212121"/>
                <w:sz w:val="16"/>
              </w:rPr>
              <w:t>PKDL lesions signal a human reservoir</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Immune status</w:t>
            </w:r>
          </w:p>
        </w:tc>
        <w:tc>
          <w:tcPr>
            <w:tcW w:type="dxa" w:w="979"/>
            <w:vAlign w:val="top"/>
          </w:tcPr>
          <w:p>
            <w:pPr>
              <w:spacing w:after="40" w:before="0" w:line="259" w:lineRule="auto"/>
            </w:pPr>
            <w:r>
              <w:rPr>
                <w:rFonts w:ascii="Calibri" w:hAnsi="Calibri"/>
                <w:b w:val="0"/>
                <w:i w:val="0"/>
                <w:color w:val="212121"/>
                <w:sz w:val="16"/>
              </w:rPr>
              <w:t>HIV / immunosuppression</w:t>
            </w:r>
          </w:p>
        </w:tc>
        <w:tc>
          <w:tcPr>
            <w:tcW w:type="dxa" w:w="950"/>
            <w:vAlign w:val="top"/>
          </w:tcPr>
          <w:p>
            <w:pPr>
              <w:spacing w:after="40" w:before="0" w:line="259" w:lineRule="auto"/>
            </w:pPr>
            <w:r>
              <w:rPr>
                <w:rFonts w:ascii="Calibri" w:hAnsi="Calibri"/>
                <w:b w:val="0"/>
                <w:i w:val="0"/>
                <w:color w:val="212121"/>
                <w:sz w:val="16"/>
              </w:rPr>
              <w:t>Immunocompetent</w:t>
            </w:r>
          </w:p>
        </w:tc>
        <w:tc>
          <w:tcPr>
            <w:tcW w:type="dxa" w:w="950"/>
            <w:vAlign w:val="top"/>
          </w:tcPr>
          <w:p>
            <w:pPr>
              <w:spacing w:after="40" w:before="0" w:line="259" w:lineRule="auto"/>
            </w:pPr>
            <w:r>
              <w:rPr>
                <w:rFonts w:ascii="Calibri" w:hAnsi="Calibri"/>
                <w:b w:val="0"/>
                <w:i w:val="0"/>
                <w:color w:val="212121"/>
                <w:sz w:val="16"/>
              </w:rPr>
              <w:t>HIV-positive or on immunosuppressants</w:t>
            </w:r>
          </w:p>
        </w:tc>
        <w:tc>
          <w:tcPr>
            <w:tcW w:type="dxa" w:w="1036"/>
            <w:vAlign w:val="top"/>
          </w:tcPr>
          <w:p>
            <w:pPr>
              <w:spacing w:after="40" w:before="0" w:line="259" w:lineRule="auto"/>
            </w:pPr>
            <w:r>
              <w:rPr>
                <w:rFonts w:ascii="Calibri" w:hAnsi="Calibri"/>
                <w:b w:val="0"/>
                <w:i w:val="0"/>
                <w:color w:val="212121"/>
                <w:sz w:val="16"/>
              </w:rPr>
              <w:t>Predicts atypical disease, relapse and poor outcome</w:t>
            </w:r>
          </w:p>
        </w:tc>
        <w:tc>
          <w:tcPr>
            <w:tcW w:type="dxa" w:w="1036"/>
            <w:vAlign w:val="top"/>
          </w:tcPr>
          <w:p>
            <w:pPr>
              <w:spacing w:after="40" w:before="0" w:line="259" w:lineRule="auto"/>
            </w:pPr>
            <w:r>
              <w:rPr>
                <w:rFonts w:ascii="Calibri" w:hAnsi="Calibri"/>
                <w:b w:val="0"/>
                <w:i w:val="0"/>
                <w:color w:val="212121"/>
                <w:sz w:val="16"/>
              </w:rPr>
              <w:t>Adults, relapse, refractory disease</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Guides HIV testing and secondary prophylaxis</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Prolonged fever</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Fever lasting more than two weeks, classically irregular with twice-daily spikes; often the presenting complaint.</w:t>
            </w:r>
          </w:p>
        </w:tc>
      </w:tr>
      <w:tr>
        <w:trPr>
          <w:cantSplit/>
        </w:trPr>
        <w:tc>
          <w:tcPr>
            <w:tcW w:type="dxa" w:w="2304"/>
            <w:vAlign w:val="top"/>
          </w:tcPr>
          <w:p>
            <w:pPr>
              <w:spacing w:after="40" w:before="0" w:line="259" w:lineRule="auto"/>
            </w:pPr>
            <w:r>
              <w:rPr>
                <w:rFonts w:ascii="Calibri" w:hAnsi="Calibri"/>
                <w:b/>
                <w:i w:val="0"/>
                <w:color w:val="212121"/>
                <w:sz w:val="19"/>
              </w:rPr>
              <w:t>Weight loss / wasting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Progressive loss of weight and muscle bulk over weeks to months.</w:t>
            </w:r>
          </w:p>
        </w:tc>
      </w:tr>
      <w:tr>
        <w:trPr>
          <w:cantSplit/>
        </w:trPr>
        <w:tc>
          <w:tcPr>
            <w:tcW w:type="dxa" w:w="2304"/>
            <w:vAlign w:val="top"/>
          </w:tcPr>
          <w:p>
            <w:pPr>
              <w:spacing w:after="40" w:before="0" w:line="259" w:lineRule="auto"/>
            </w:pPr>
            <w:r>
              <w:rPr>
                <w:rFonts w:ascii="Calibri" w:hAnsi="Calibri"/>
                <w:b/>
                <w:i w:val="0"/>
                <w:color w:val="212121"/>
                <w:sz w:val="19"/>
              </w:rPr>
              <w:t>Loss of appetite (anorexia)</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Reduced intake compounds wasting and anaemia.</w:t>
            </w:r>
          </w:p>
        </w:tc>
      </w:tr>
      <w:tr>
        <w:trPr>
          <w:cantSplit/>
        </w:trPr>
        <w:tc>
          <w:tcPr>
            <w:tcW w:type="dxa" w:w="2304"/>
            <w:vAlign w:val="top"/>
          </w:tcPr>
          <w:p>
            <w:pPr>
              <w:spacing w:after="40" w:before="0" w:line="259" w:lineRule="auto"/>
            </w:pPr>
            <w:r>
              <w:rPr>
                <w:rFonts w:ascii="Calibri" w:hAnsi="Calibri"/>
                <w:b/>
                <w:i w:val="0"/>
                <w:color w:val="212121"/>
                <w:sz w:val="19"/>
              </w:rPr>
              <w:t>Weakness &amp; fatigue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Due to anaemia and chronic systemic infection.</w:t>
            </w:r>
          </w:p>
        </w:tc>
      </w:tr>
      <w:tr>
        <w:trPr>
          <w:cantSplit/>
        </w:trPr>
        <w:tc>
          <w:tcPr>
            <w:tcW w:type="dxa" w:w="2304"/>
            <w:vAlign w:val="top"/>
          </w:tcPr>
          <w:p>
            <w:pPr>
              <w:spacing w:after="40" w:before="0" w:line="259" w:lineRule="auto"/>
            </w:pPr>
            <w:r>
              <w:rPr>
                <w:rFonts w:ascii="Calibri" w:hAnsi="Calibri"/>
                <w:b/>
                <w:i w:val="0"/>
                <w:color w:val="212121"/>
                <w:sz w:val="19"/>
              </w:rPr>
              <w:t>Abdominal distension / discomfort</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From progressive splenomegaly and hepatomegaly.</w:t>
            </w:r>
          </w:p>
        </w:tc>
      </w:tr>
      <w:tr>
        <w:trPr>
          <w:cantSplit/>
        </w:trPr>
        <w:tc>
          <w:tcPr>
            <w:tcW w:type="dxa" w:w="2304"/>
            <w:vAlign w:val="top"/>
          </w:tcPr>
          <w:p>
            <w:pPr>
              <w:spacing w:after="40" w:before="0" w:line="259" w:lineRule="auto"/>
            </w:pPr>
            <w:r>
              <w:rPr>
                <w:rFonts w:ascii="Calibri" w:hAnsi="Calibri"/>
                <w:b/>
                <w:i w:val="0"/>
                <w:color w:val="212121"/>
                <w:sz w:val="19"/>
              </w:rPr>
              <w:t>Darkening of the skin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Grey-black hyperpigmentation, especially of the face and hands, giving kala-azar (‘black fever’) its name; less common with earlier treatment today.</w:t>
            </w:r>
          </w:p>
        </w:tc>
      </w:tr>
      <w:tr>
        <w:trPr>
          <w:cantSplit/>
        </w:trPr>
        <w:tc>
          <w:tcPr>
            <w:tcW w:type="dxa" w:w="2304"/>
            <w:vAlign w:val="top"/>
          </w:tcPr>
          <w:p>
            <w:pPr>
              <w:spacing w:after="40" w:before="0" w:line="259" w:lineRule="auto"/>
            </w:pPr>
            <w:r>
              <w:rPr>
                <w:rFonts w:ascii="Calibri" w:hAnsi="Calibri"/>
                <w:b/>
                <w:i w:val="0"/>
                <w:color w:val="212121"/>
                <w:sz w:val="19"/>
              </w:rPr>
              <w:t>Cough</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May reflect intercurrent respiratory infection.</w:t>
            </w:r>
          </w:p>
        </w:tc>
      </w:tr>
      <w:tr>
        <w:trPr>
          <w:cantSplit/>
        </w:trPr>
        <w:tc>
          <w:tcPr>
            <w:tcW w:type="dxa" w:w="2304"/>
            <w:vAlign w:val="top"/>
          </w:tcPr>
          <w:p>
            <w:pPr>
              <w:spacing w:after="40" w:before="0" w:line="259" w:lineRule="auto"/>
            </w:pPr>
            <w:r>
              <w:rPr>
                <w:rFonts w:ascii="Calibri" w:hAnsi="Calibri"/>
                <w:b/>
                <w:i w:val="0"/>
                <w:color w:val="212121"/>
                <w:sz w:val="19"/>
              </w:rPr>
              <w:t>Diarrhoea</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Non-specific; may indicate secondary gut infection.</w:t>
            </w:r>
          </w:p>
        </w:tc>
      </w:tr>
      <w:tr>
        <w:trPr>
          <w:cantSplit/>
        </w:trPr>
        <w:tc>
          <w:tcPr>
            <w:tcW w:type="dxa" w:w="2304"/>
            <w:vAlign w:val="top"/>
          </w:tcPr>
          <w:p>
            <w:pPr>
              <w:spacing w:after="40" w:before="0" w:line="259" w:lineRule="auto"/>
            </w:pPr>
            <w:r>
              <w:rPr>
                <w:rFonts w:ascii="Calibri" w:hAnsi="Calibri"/>
                <w:b/>
                <w:i w:val="0"/>
                <w:color w:val="212121"/>
                <w:sz w:val="19"/>
              </w:rPr>
              <w:t>Epistaxis / bleeding gums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Result of thrombocytopenia; a warning sign of severe disease.</w:t>
            </w:r>
          </w:p>
        </w:tc>
      </w:tr>
      <w:tr>
        <w:trPr>
          <w:cantSplit/>
        </w:trPr>
        <w:tc>
          <w:tcPr>
            <w:tcW w:type="dxa" w:w="2304"/>
            <w:vAlign w:val="top"/>
          </w:tcPr>
          <w:p>
            <w:pPr>
              <w:spacing w:after="40" w:before="0" w:line="259" w:lineRule="auto"/>
            </w:pPr>
            <w:r>
              <w:rPr>
                <w:rFonts w:ascii="Calibri" w:hAnsi="Calibri"/>
                <w:b/>
                <w:i w:val="0"/>
                <w:color w:val="212121"/>
                <w:sz w:val="19"/>
              </w:rPr>
              <w:t>Night sweats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Accompany the febrile illness.</w:t>
            </w:r>
          </w:p>
        </w:tc>
      </w:tr>
      <w:tr>
        <w:trPr>
          <w:cantSplit/>
        </w:trPr>
        <w:tc>
          <w:tcPr>
            <w:tcW w:type="dxa" w:w="2304"/>
            <w:vAlign w:val="top"/>
          </w:tcPr>
          <w:p>
            <w:pPr>
              <w:spacing w:after="40" w:before="0" w:line="259" w:lineRule="auto"/>
            </w:pPr>
            <w:r>
              <w:rPr>
                <w:rFonts w:ascii="Calibri" w:hAnsi="Calibri"/>
                <w:b/>
                <w:i w:val="0"/>
                <w:color w:val="212121"/>
                <w:sz w:val="19"/>
              </w:rPr>
              <w:t>Swelling of the legs (oedema)</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From hypoalbuminaemia in advanced disease.</w:t>
            </w:r>
          </w:p>
        </w:tc>
      </w:tr>
      <w:tr>
        <w:trPr>
          <w:cantSplit/>
        </w:trPr>
        <w:tc>
          <w:tcPr>
            <w:tcW w:type="dxa" w:w="2304"/>
            <w:vAlign w:val="top"/>
          </w:tcPr>
          <w:p>
            <w:pPr>
              <w:spacing w:after="40" w:before="0" w:line="259" w:lineRule="auto"/>
            </w:pPr>
            <w:r>
              <w:rPr>
                <w:rFonts w:ascii="Calibri" w:hAnsi="Calibri"/>
                <w:b/>
                <w:i w:val="0"/>
                <w:color w:val="212121"/>
                <w:sz w:val="19"/>
              </w:rPr>
              <w:t>Jaundice</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Indicates advanced hepatic involvement and carries a poor prognosis.</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Massive splenomegaly</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Firm, non-tender spleen enlarging progressively — the hallmark sign of VL.</w:t>
            </w:r>
          </w:p>
        </w:tc>
      </w:tr>
      <w:tr>
        <w:trPr>
          <w:cantSplit/>
        </w:trPr>
        <w:tc>
          <w:tcPr>
            <w:tcW w:type="dxa" w:w="3456"/>
            <w:vAlign w:val="top"/>
          </w:tcPr>
          <w:p>
            <w:pPr>
              <w:spacing w:after="40" w:before="0" w:line="259" w:lineRule="auto"/>
            </w:pPr>
            <w:r>
              <w:rPr>
                <w:rFonts w:ascii="Calibri" w:hAnsi="Calibri"/>
                <w:b/>
                <w:i w:val="0"/>
                <w:color w:val="212121"/>
                <w:sz w:val="19"/>
              </w:rPr>
              <w:t>Hepatomegaly</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Enlarged, usually non-tender liver; generally less marked than the spleen.</w:t>
            </w:r>
          </w:p>
        </w:tc>
      </w:tr>
      <w:tr>
        <w:trPr>
          <w:cantSplit/>
        </w:trPr>
        <w:tc>
          <w:tcPr>
            <w:tcW w:type="dxa" w:w="3456"/>
            <w:vAlign w:val="top"/>
          </w:tcPr>
          <w:p>
            <w:pPr>
              <w:spacing w:after="40" w:before="0" w:line="259" w:lineRule="auto"/>
            </w:pPr>
            <w:r>
              <w:rPr>
                <w:rFonts w:ascii="Calibri" w:hAnsi="Calibri"/>
                <w:b/>
                <w:i w:val="0"/>
                <w:color w:val="212121"/>
                <w:sz w:val="19"/>
              </w:rPr>
              <w:t>Pallor</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Reflects anaemia from marrow infiltration and hypersplenism.</w:t>
            </w:r>
          </w:p>
        </w:tc>
      </w:tr>
      <w:tr>
        <w:trPr>
          <w:cantSplit/>
        </w:trPr>
        <w:tc>
          <w:tcPr>
            <w:tcW w:type="dxa" w:w="3456"/>
            <w:vAlign w:val="top"/>
          </w:tcPr>
          <w:p>
            <w:pPr>
              <w:spacing w:after="40" w:before="0" w:line="259" w:lineRule="auto"/>
            </w:pPr>
            <w:r>
              <w:rPr>
                <w:rFonts w:ascii="Calibri" w:hAnsi="Calibri"/>
                <w:b/>
                <w:i w:val="0"/>
                <w:color w:val="212121"/>
                <w:sz w:val="19"/>
              </w:rPr>
              <w:t>Cachexia / muscle wasting</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Visible loss of subcutaneous fat and muscle in advanced disease.</w:t>
            </w:r>
          </w:p>
        </w:tc>
      </w:tr>
      <w:tr>
        <w:trPr>
          <w:cantSplit/>
        </w:trPr>
        <w:tc>
          <w:tcPr>
            <w:tcW w:type="dxa" w:w="3456"/>
            <w:vAlign w:val="top"/>
          </w:tcPr>
          <w:p>
            <w:pPr>
              <w:spacing w:after="40" w:before="0" w:line="259" w:lineRule="auto"/>
            </w:pPr>
            <w:r>
              <w:rPr>
                <w:rFonts w:ascii="Calibri" w:hAnsi="Calibri"/>
                <w:b/>
                <w:i w:val="0"/>
                <w:color w:val="212121"/>
                <w:sz w:val="19"/>
              </w:rPr>
              <w:t>Skin hyperpigmentation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Grey-black discolouration of skin; the classic sign of kala-azar.</w:t>
            </w:r>
          </w:p>
        </w:tc>
      </w:tr>
      <w:tr>
        <w:trPr>
          <w:cantSplit/>
        </w:trPr>
        <w:tc>
          <w:tcPr>
            <w:tcW w:type="dxa" w:w="3456"/>
            <w:vAlign w:val="top"/>
          </w:tcPr>
          <w:p>
            <w:pPr>
              <w:spacing w:after="40" w:before="0" w:line="259" w:lineRule="auto"/>
            </w:pPr>
            <w:r>
              <w:rPr>
                <w:rFonts w:ascii="Calibri" w:hAnsi="Calibri"/>
                <w:b/>
                <w:i w:val="0"/>
                <w:color w:val="212121"/>
                <w:sz w:val="19"/>
              </w:rPr>
              <w:t>Fever on examination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Documented pyrexia, often with a double daily peak.</w:t>
            </w:r>
          </w:p>
        </w:tc>
      </w:tr>
      <w:tr>
        <w:trPr>
          <w:cantSplit/>
        </w:trPr>
        <w:tc>
          <w:tcPr>
            <w:tcW w:type="dxa" w:w="3456"/>
            <w:vAlign w:val="top"/>
          </w:tcPr>
          <w:p>
            <w:pPr>
              <w:spacing w:after="40" w:before="0" w:line="259" w:lineRule="auto"/>
            </w:pPr>
            <w:r>
              <w:rPr>
                <w:rFonts w:ascii="Calibri" w:hAnsi="Calibri"/>
                <w:b/>
                <w:i w:val="0"/>
                <w:color w:val="212121"/>
                <w:sz w:val="19"/>
              </w:rPr>
              <w:t>Lymphadenopathy</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Generalised nodes seen more in African than Indian VL.</w:t>
            </w:r>
          </w:p>
        </w:tc>
      </w:tr>
      <w:tr>
        <w:trPr>
          <w:cantSplit/>
        </w:trPr>
        <w:tc>
          <w:tcPr>
            <w:tcW w:type="dxa" w:w="3456"/>
            <w:vAlign w:val="top"/>
          </w:tcPr>
          <w:p>
            <w:pPr>
              <w:spacing w:after="40" w:before="0" w:line="259" w:lineRule="auto"/>
            </w:pPr>
            <w:r>
              <w:rPr>
                <w:rFonts w:ascii="Calibri" w:hAnsi="Calibri"/>
                <w:b/>
                <w:i w:val="0"/>
                <w:color w:val="212121"/>
                <w:sz w:val="19"/>
              </w:rPr>
              <w:t>Pedal / dependent oedema</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Secondary to hypoalbuminaemia.</w:t>
            </w:r>
          </w:p>
        </w:tc>
      </w:tr>
      <w:tr>
        <w:trPr>
          <w:cantSplit/>
        </w:trPr>
        <w:tc>
          <w:tcPr>
            <w:tcW w:type="dxa" w:w="3456"/>
            <w:vAlign w:val="top"/>
          </w:tcPr>
          <w:p>
            <w:pPr>
              <w:spacing w:after="40" w:before="0" w:line="259" w:lineRule="auto"/>
            </w:pPr>
            <w:r>
              <w:rPr>
                <w:rFonts w:ascii="Calibri" w:hAnsi="Calibri"/>
                <w:b/>
                <w:i w:val="0"/>
                <w:color w:val="212121"/>
                <w:sz w:val="19"/>
              </w:rPr>
              <w:t>Petechiae &amp; ecchymoses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Bleeding into skin from thrombocytopenia.</w:t>
            </w:r>
          </w:p>
        </w:tc>
      </w:tr>
      <w:tr>
        <w:trPr>
          <w:cantSplit/>
        </w:trPr>
        <w:tc>
          <w:tcPr>
            <w:tcW w:type="dxa" w:w="3456"/>
            <w:vAlign w:val="top"/>
          </w:tcPr>
          <w:p>
            <w:pPr>
              <w:spacing w:after="40" w:before="0" w:line="259" w:lineRule="auto"/>
            </w:pPr>
            <w:r>
              <w:rPr>
                <w:rFonts w:ascii="Calibri" w:hAnsi="Calibri"/>
                <w:b/>
                <w:i w:val="0"/>
                <w:color w:val="212121"/>
                <w:sz w:val="19"/>
              </w:rPr>
              <w:t>Jaundice</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Marker of advanced hepatic dysfunction and severe disease.</w:t>
            </w:r>
          </w:p>
        </w:tc>
      </w:tr>
      <w:tr>
        <w:trPr>
          <w:cantSplit/>
        </w:trPr>
        <w:tc>
          <w:tcPr>
            <w:tcW w:type="dxa" w:w="3456"/>
            <w:vAlign w:val="top"/>
          </w:tcPr>
          <w:p>
            <w:pPr>
              <w:spacing w:after="40" w:before="0" w:line="259" w:lineRule="auto"/>
            </w:pPr>
            <w:r>
              <w:rPr>
                <w:rFonts w:ascii="Calibri" w:hAnsi="Calibri"/>
                <w:b/>
                <w:i w:val="0"/>
                <w:color w:val="212121"/>
                <w:sz w:val="19"/>
              </w:rPr>
              <w:t>Ascites</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From hypoalbuminaemia and/or portal hypertension in advanced VL.</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Severe anaemia and pancytopenia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Massive splenomegaly (risk of splenic rupture)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Haemorrhage from thrombocytopenia (epistaxis, gum, gastrointestinal bleeding)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Profound wasting and cachexia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Hypoalbuminaemia with oedema</w:t>
            </w:r>
          </w:p>
        </w:tc>
        <w:tc>
          <w:tcPr>
            <w:tcW w:type="dxa" w:w="2980"/>
            <w:vAlign w:val="top"/>
          </w:tcPr>
          <w:p>
            <w:pPr>
              <w:spacing w:after="40" w:before="0" w:line="259" w:lineRule="auto"/>
            </w:pPr>
            <w:r>
              <w:rPr>
                <w:rFonts w:ascii="Calibri" w:hAnsi="Calibri"/>
                <w:b w:val="0"/>
                <w:i w:val="0"/>
                <w:color w:val="212121"/>
                <w:sz w:val="19"/>
              </w:rPr>
              <w:t>Direct consequences of parasite infiltration of the spleen, liver and bone marrow</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Secondary bacterial infections — pneumonia, tuberculosis, dysentery, sepsis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HIV–VL coinfection with poor response and relapse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Post-kala-azar dermal leishmaniasis (PKDL)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Malnutrition-related immune failure</w:t>
            </w:r>
          </w:p>
        </w:tc>
        <w:tc>
          <w:tcPr>
            <w:tcW w:type="dxa" w:w="2980"/>
            <w:vAlign w:val="top"/>
          </w:tcPr>
          <w:p>
            <w:pPr>
              <w:spacing w:after="40" w:before="0" w:line="259" w:lineRule="auto"/>
            </w:pPr>
            <w:r>
              <w:rPr>
                <w:rFonts w:ascii="Calibri" w:hAnsi="Calibri"/>
                <w:b w:val="0"/>
                <w:i w:val="0"/>
                <w:color w:val="212121"/>
                <w:sz w:val="19"/>
              </w:rPr>
              <w:t>Result from immune dysfunction, neutropenia and coexisting infection; secondary infections are leading causes of death</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Death — fatal in over 95% of untreated cases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Relapse and antileishmanial drug resistance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disability and stunting in 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Treatment-related toxicity (e.g. amphotericin B nephrotoxicity)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PKDL acting as a reservoir that perpetuates transmission and threatens elimination</w:t>
            </w:r>
          </w:p>
        </w:tc>
        <w:tc>
          <w:tcPr>
            <w:tcW w:type="dxa" w:w="2980"/>
            <w:vAlign w:val="top"/>
          </w:tcPr>
          <w:p>
            <w:pPr>
              <w:spacing w:after="40" w:before="0" w:line="259" w:lineRule="auto"/>
            </w:pPr>
            <w:r>
              <w:rPr>
                <w:rFonts w:ascii="Calibri" w:hAnsi="Calibri"/>
                <w:b w:val="0"/>
                <w:i w:val="0"/>
                <w:color w:val="212121"/>
                <w:sz w:val="19"/>
              </w:rPr>
              <w:t>Irreversible or programme-level outcomes of untreated, relapsing or coinfected disease</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HIV/AIDS</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Mutually reinforcing: HIV raises the risk of clinical VL and relapse while VL accelerates HIV progression; coinfection mortality is far higher (33.6% vs 3.6% in one cohort), and India reported 59 HIV–VL coinfections in 2024.</w:t>
            </w:r>
          </w:p>
        </w:tc>
      </w:tr>
      <w:tr>
        <w:trPr>
          <w:cantSplit/>
        </w:trPr>
        <w:tc>
          <w:tcPr>
            <w:tcW w:type="dxa" w:w="2232"/>
            <w:vAlign w:val="top"/>
          </w:tcPr>
          <w:p>
            <w:pPr>
              <w:spacing w:after="40" w:before="0" w:line="259" w:lineRule="auto"/>
            </w:pPr>
            <w:r>
              <w:rPr>
                <w:rFonts w:ascii="Calibri" w:hAnsi="Calibri"/>
                <w:b/>
                <w:i w:val="0"/>
                <w:color w:val="212121"/>
                <w:sz w:val="19"/>
              </w:rPr>
              <w:t>Post-kala-azar dermal leishmaniasis (PKDL)</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Skin sequel appearing months to years after treated VL that acts as a human reservoir threatening elimination.</w:t>
            </w:r>
          </w:p>
          <w:p>
            <w:pPr>
              <w:spacing w:after="40" w:before="0" w:line="259" w:lineRule="auto"/>
            </w:pPr>
            <w:r>
              <w:rPr>
                <w:rFonts w:ascii="Calibri" w:hAnsi="Calibri"/>
                <w:b/>
                <w:i w:val="0"/>
                <w:color w:val="212121"/>
                <w:sz w:val="19"/>
              </w:rPr>
              <w:t>5–10%</w:t>
            </w:r>
          </w:p>
        </w:tc>
      </w:tr>
      <w:tr>
        <w:trPr>
          <w:cantSplit/>
        </w:trPr>
        <w:tc>
          <w:tcPr>
            <w:tcW w:type="dxa" w:w="2232"/>
            <w:vAlign w:val="top"/>
          </w:tcPr>
          <w:p>
            <w:pPr>
              <w:spacing w:after="40" w:before="0" w:line="259" w:lineRule="auto"/>
            </w:pPr>
            <w:r>
              <w:rPr>
                <w:rFonts w:ascii="Calibri" w:hAnsi="Calibri"/>
                <w:b/>
                <w:i w:val="0"/>
                <w:color w:val="212121"/>
                <w:sz w:val="19"/>
              </w:rPr>
              <w:t>Protein-energy malnutrition</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Increases progression from infection to clinical disease and worsens recovery; VL in turn deepens wasting.</w:t>
            </w:r>
          </w:p>
        </w:tc>
      </w:tr>
      <w:tr>
        <w:trPr>
          <w:cantSplit/>
        </w:trPr>
        <w:tc>
          <w:tcPr>
            <w:tcW w:type="dxa" w:w="2232"/>
            <w:vAlign w:val="top"/>
          </w:tcPr>
          <w:p>
            <w:pPr>
              <w:spacing w:after="40" w:before="0" w:line="259" w:lineRule="auto"/>
            </w:pPr>
            <w:r>
              <w:rPr>
                <w:rFonts w:ascii="Calibri" w:hAnsi="Calibri"/>
                <w:b/>
                <w:i w:val="0"/>
                <w:color w:val="212121"/>
                <w:sz w:val="19"/>
              </w:rPr>
              <w:t>Anaemia</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Near-universal, from marrow infiltration and hypersplenism; a key severity marker.</w:t>
            </w:r>
          </w:p>
        </w:tc>
      </w:tr>
      <w:tr>
        <w:trPr>
          <w:cantSplit/>
        </w:trPr>
        <w:tc>
          <w:tcPr>
            <w:tcW w:type="dxa" w:w="2232"/>
            <w:vAlign w:val="top"/>
          </w:tcPr>
          <w:p>
            <w:pPr>
              <w:spacing w:after="40" w:before="0" w:line="259" w:lineRule="auto"/>
            </w:pPr>
            <w:r>
              <w:rPr>
                <w:rFonts w:ascii="Calibri" w:hAnsi="Calibri"/>
                <w:b/>
                <w:i w:val="0"/>
                <w:color w:val="212121"/>
                <w:sz w:val="19"/>
              </w:rPr>
              <w:t>Tuberculosis</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Shares poverty and impaired cell-mediated immunity; coinfection complicates diagnosis and management.</w:t>
            </w:r>
          </w:p>
        </w:tc>
      </w:tr>
      <w:tr>
        <w:trPr>
          <w:cantSplit/>
        </w:trPr>
        <w:tc>
          <w:tcPr>
            <w:tcW w:type="dxa" w:w="2232"/>
            <w:vAlign w:val="top"/>
          </w:tcPr>
          <w:p>
            <w:pPr>
              <w:spacing w:after="40" w:before="0" w:line="259" w:lineRule="auto"/>
            </w:pPr>
            <w:r>
              <w:rPr>
                <w:rFonts w:ascii="Calibri" w:hAnsi="Calibri"/>
                <w:b/>
                <w:i w:val="0"/>
                <w:color w:val="212121"/>
                <w:sz w:val="19"/>
              </w:rPr>
              <w:t>Secondary bacterial infections (pneumonia, sepsis, dysentery)</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Immune dysfunction and neutropenia predispose to infections that are leading causes of VL death.</w:t>
            </w:r>
          </w:p>
        </w:tc>
      </w:tr>
      <w:tr>
        <w:trPr>
          <w:cantSplit/>
        </w:trPr>
        <w:tc>
          <w:tcPr>
            <w:tcW w:type="dxa" w:w="2232"/>
            <w:vAlign w:val="top"/>
          </w:tcPr>
          <w:p>
            <w:pPr>
              <w:spacing w:after="40" w:before="0" w:line="259" w:lineRule="auto"/>
            </w:pPr>
            <w:r>
              <w:rPr>
                <w:rFonts w:ascii="Calibri" w:hAnsi="Calibri"/>
                <w:b/>
                <w:i w:val="0"/>
                <w:color w:val="212121"/>
                <w:sz w:val="19"/>
              </w:rPr>
              <w:t>Thrombocytopenia with haemorrhage</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Marrow suppression and hypersplenism cause bleeding (epistaxis, gum and gastrointestinal), a major cause of mortality.</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the warning triad — fever lasting more than two weeks, progressive weight loss and abdominal swelling from an enlarged spleen — and seek testing early.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the free rK39 testing and treatment available at CHC/PHCs in endemic blocks; kala-azar and PKDL diagnosis and drugs are provided free under the national programme.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Report suspected cases to the local ASHA, who receive an incentive for identifying and following up kala-azar and PKDL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Complete the full course of treatment and attend follow-up to prevent relapse and detect PKDL early.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Support indoor residual spraying, sleep under insecticide-treated nets, and plaster cracked mud walls to reduce sandfly breeding.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prompt screening for PKDL skin lesions after cure, as these sustain transmission.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Residents of endemic blocks (Bihar, Jharkhand, West Bengal, eastern UP)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ASHAs and frontline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Migrant labourers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Households of a case</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During acute illness prioritise rest; massive splenomegaly warrants avoidance of contact sports and strenuous exertion because of splenic rupture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After treatment, rebuild strength gradually with light activity as anaemia and wasting recover.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Combine graded activity with nutritional rehabilitation to restore muscle mass and immunity.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heavy lifting and abdominal trauma until spleen size normalises.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active VL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Convalescent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massive splenomegaly</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Provide an energy- and protein-dense diet to reverse wasting and support immune recovery during and after treatment.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Correct anaemia with iron- and folate-rich foods, adding supplements or transfusion when severe.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adequate vitamin A, zinc and other micronutrients, deficiencies of which promote progression to clinical VL.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programme nutritional support (for example the six-month nutritional assistance provided in West Bengal) where available.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Encourage small, frequent meals in patients with poor appetite and hepatosplenomegaly.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Undernourished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on antileishmanial therapy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BPL households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Sleep on a raised cot indoors under an insecticide-treated net rather than on the floor or outdoors.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sleeping areas away from cattle sheds and damp, cracked walls where sandflies rest.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household participation in indoor residual spraying rounds before peak transmission.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Improve ventilation and light in bedrooms to discourage resting sandflies.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Rural endemic households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Agricultural and livestock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Children</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Stop smoking and avoid tobacco, which impairs immune defences and slows recovery.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smoky, poorly ventilated indoor environments during convalescence.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Household contacts</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alcohol, which aggravates liver involvement and adds to the hepatotoxicity of antileishmanial drugs.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Abstain during and after treatment to protect recovering liver and bone-marrow function.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hepatomegaly or deranged liver function</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Address the stigma attached to kala-azar and disfiguring PKDL lesions through counselling and community awareness.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and treat depression and anxiety arising from chronic illness, poverty and lost wages.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wage-loss compensation and social support available under the programme to reduce financial stress and improve adherence.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Provide adherence support and follow-up reminders to complete treatment and attend PKDL surveillance.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VL or PKDL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HIV–VL coinfected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Poor households facing wage loss</w:t>
            </w:r>
          </w:p>
        </w:tc>
        <w:tc>
          <w:tcPr>
            <w:tcW w:type="dxa" w:w="1036"/>
            <w:vAlign w:val="top"/>
          </w:tcPr>
          <w:p>
            <w:pPr>
              <w:spacing w:after="40" w:before="0" w:line="259" w:lineRule="auto"/>
            </w:pPr>
            <w:r>
              <w:rPr>
                <w:rFonts w:ascii="Calibri" w:hAnsi="Calibri"/>
                <w:b w:val="0"/>
                <w:i w:val="0"/>
                <w:color w:val="212121"/>
                <w:sz w:val="19"/>
              </w:rPr>
              <w:t>Medium</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ncbi.nlm.nih.gov/books/NBK531456/" TargetMode="External"/><Relationship Id="rId10" Type="http://schemas.openxmlformats.org/officeDocument/2006/relationships/hyperlink" Target="https://www.bmj.com/content/364/bmj.k5224" TargetMode="External"/><Relationship Id="rId11" Type="http://schemas.openxmlformats.org/officeDocument/2006/relationships/hyperlink" Target="https://ncvbdc.mohfw.gov.in/index4.php?lang=1&amp;level=0&amp;linkid=467&amp;lid=3750" TargetMode="External"/><Relationship Id="rId12" Type="http://schemas.openxmlformats.org/officeDocument/2006/relationships/hyperlink" Target="https://www.who.int/news-room/fact-sheets/detail/leishmaniasis" TargetMode="External"/><Relationship Id="rId13" Type="http://schemas.openxmlformats.org/officeDocument/2006/relationships/hyperlink" Target="https://www.cdc.gov/leishmaniasis/about/index.html" TargetMode="External"/><Relationship Id="rId14" Type="http://schemas.openxmlformats.org/officeDocument/2006/relationships/hyperlink" Target="https://ncvbdc.mohfw.gov.in/index4.php?lang=1&amp;level=0&amp;linkid=466&amp;lid=375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