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i w:val="0"/>
          <w:color w:val="2B2B33"/>
          <w:sz w:val="44"/>
        </w:rPr>
        <w:t>Brucellosis</w:t>
      </w:r>
    </w:p>
    <w:p>
      <w:pPr>
        <w:spacing w:before="0" w:after="160"/>
      </w:pPr>
      <w:r>
        <w:rPr>
          <w:rFonts w:ascii="Calibri" w:hAnsi="Calibri"/>
          <w:b/>
          <w:i w:val="0"/>
          <w:color w:val="212121"/>
          <w:sz w:val="22"/>
        </w:rPr>
        <w:t xml:space="preserve">AKA </w:t>
      </w:r>
      <w:r>
        <w:rPr>
          <w:rFonts w:ascii="Calibri" w:hAnsi="Calibri"/>
          <w:b w:val="0"/>
          <w:i w:val="0"/>
          <w:color w:val="212121"/>
          <w:sz w:val="22"/>
        </w:rPr>
        <w:t>i.e., Malta fever, Mediterranean fever, Undulant fever, Bang's disease (in cattle), Rock fever, Gibraltar fever, Crimean fever</w:t>
      </w:r>
    </w:p>
    <w:p>
      <w:pPr>
        <w:spacing w:before="280" w:after="120"/>
      </w:pPr>
      <w:r>
        <w:rPr>
          <w:rFonts w:ascii="Calibri" w:hAnsi="Calibri"/>
          <w:b/>
          <w:i w:val="0"/>
          <w:color w:val="212121"/>
          <w:sz w:val="31"/>
        </w:rPr>
        <w:t>Introduction to MCP</w:t>
      </w:r>
    </w:p>
    <w:p>
      <w:pPr>
        <w:spacing w:before="200" w:after="120"/>
      </w:pPr>
      <w:r>
        <w:rPr>
          <w:rFonts w:ascii="Calibri" w:hAnsi="Calibri"/>
          <w:b/>
          <w:i w:val="0"/>
          <w:color w:val="212121"/>
          <w:sz w:val="25"/>
        </w:rPr>
        <w:t>Definition</w:t>
      </w:r>
    </w:p>
    <w:p>
      <w:pPr>
        <w:spacing w:before="0" w:after="120"/>
      </w:pPr>
      <w:r>
        <w:rPr>
          <w:rFonts w:ascii="Calibri" w:hAnsi="Calibri"/>
          <w:b w:val="0"/>
          <w:i w:val="0"/>
          <w:color w:val="212121"/>
          <w:sz w:val="21"/>
        </w:rPr>
        <w:t>Brucellosis is a zoonotic bacterial infection caused by small Gram-negative, facultative intracellular coccobacilli of the genus Brucella (chiefly B. melitensis, B. abortus, B. suis and B. canis). Humans acquire it from infected animals — most often by consuming unpasteurized milk and dairy products, or through direct occupational contact with livestock, their birth products or carcasses. It presents as a systemic febrile illness (“undulant fever”) that, if untreated, can localize to bone and joints, liver, spleen, heart, genitourinary tract or nervous system and become chronic and relapsing. Human-to-human transmission is very rare.</w:t>
      </w:r>
    </w:p>
    <w:p>
      <w:pPr>
        <w:spacing w:before="200" w:after="120"/>
      </w:pPr>
      <w:r>
        <w:rPr>
          <w:rFonts w:ascii="Calibri" w:hAnsi="Calibri"/>
          <w:b/>
          <w:i w:val="0"/>
          <w:color w:val="212121"/>
          <w:sz w:val="25"/>
        </w:rPr>
        <w:t>Prevalence</w:t>
      </w:r>
    </w:p>
    <w:p>
      <w:pPr>
        <w:spacing w:before="0" w:after="120"/>
      </w:pPr>
      <w:r>
        <w:rPr>
          <w:rFonts w:ascii="Calibri" w:hAnsi="Calibri"/>
          <w:b w:val="0"/>
          <w:i w:val="0"/>
          <w:color w:val="212121"/>
          <w:sz w:val="21"/>
        </w:rPr>
        <w:t>Brucellosis is endemic across almost all Indian states and is heavily under-diagnosed, being frequently mistaken for tuberculosis, typhoid or malaria. Seroprevalence in occupationally exposed groups is high — around 8.5% among dairy personnel in contact with infected animals and about 4.97% among persons exposed to livestock — with documented foci in Karnataka (Bijapur, Belgaum), Gujarat, Haryana, Rajasthan (Bikaner), Tamil Nadu (Vellore) and Jammu &amp; Kashmir. In a large series, up to 84.8% of culture-confirmed cases would have been missed without routine serological surveillance, underscoring its silent burden in rural and occupational India.</w:t>
      </w:r>
    </w:p>
    <w:p>
      <w:pPr>
        <w:spacing w:before="200" w:after="120"/>
      </w:pPr>
      <w:r>
        <w:rPr>
          <w:rFonts w:ascii="Calibri" w:hAnsi="Calibri"/>
          <w:b/>
          <w:i w:val="0"/>
          <w:color w:val="212121"/>
          <w:sz w:val="25"/>
        </w:rPr>
        <w:t>Diagnosis</w:t>
      </w:r>
    </w:p>
    <w:p>
      <w:pPr>
        <w:spacing w:before="0" w:after="120"/>
      </w:pPr>
      <w:r>
        <w:rPr>
          <w:rFonts w:ascii="Calibri" w:hAnsi="Calibri"/>
          <w:b w:val="0"/>
          <w:i w:val="0"/>
          <w:color w:val="212121"/>
          <w:sz w:val="21"/>
        </w:rPr>
        <w:t>Brucellosis is confirmed by isolating the organism, or by supportive serology/PCR in a person with a compatible illness and epidemiological exposure (raw dairy or animal contact). Diagnostic criteria include:</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Definitive — isolation of Brucella species from blood, bone marrow or other tissue by culture (Castaneda biphasic bottle or automated blood-culture systems, which may need &gt;7 days incubation); bone-marrow culture has the highest yield, especially in chronic or previously treated cases;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Standard tube (serum) agglutination test (SAT) titre ≥ 1:160 with a compatible clinical picture; a titre ≥ 1:320, or a four-fold rise in paired sera, is more specific in endemic areas;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positive Rose Bengal plate test as a rapid, sensitive field/OPD screening tool (requires confirmation by SAT/ELISA);</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Brucella-specific IgM/IgG on ELISA, with 2-mercaptoethanol–resistant IgG suggesting chronic or persistent infection;</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positive Brucella PCR (can be positive as early as ~10 days after exposure), useful in focal, chronic or culture-negative disease. An infective dose of only 10–100 organisms can cause human disease.</w:t>
      </w:r>
    </w:p>
    <w:p>
      <w:pPr>
        <w:spacing w:before="200" w:after="120"/>
      </w:pPr>
      <w:r>
        <w:rPr>
          <w:rFonts w:ascii="Calibri" w:hAnsi="Calibri"/>
          <w:b/>
          <w:i w:val="0"/>
          <w:color w:val="212121"/>
          <w:sz w:val="25"/>
        </w:rPr>
        <w:t>Classification</w:t>
      </w:r>
    </w:p>
    <w:p>
      <w:pPr>
        <w:spacing w:before="0" w:after="120"/>
      </w:pPr>
      <w:r>
        <w:rPr>
          <w:rFonts w:ascii="Calibri" w:hAnsi="Calibri"/>
          <w:b w:val="0"/>
          <w:i w:val="0"/>
          <w:color w:val="212121"/>
          <w:sz w:val="21"/>
        </w:rPr>
        <w:t>Brucellosis is classified by the infecting species and by the clinical course:</w:t>
      </w:r>
    </w:p>
    <w:p>
      <w:pPr>
        <w:spacing w:before="0" w:after="80"/>
      </w:pPr>
      <w:r>
        <w:rPr>
          <w:rFonts w:ascii="Calibri" w:hAnsi="Calibri"/>
          <w:b w:val="0"/>
          <w:i w:val="0"/>
          <w:color w:val="212121"/>
          <w:sz w:val="21"/>
        </w:rPr>
        <w:t>(1) By species — B. melitensis (goats/sheep; the most virulent and the commonest cause of human infection worldwide), B. abortus (cattle; “Bang’s disease”), B. suis (pigs) and B. canis (dogs); the infective dose is as low as 10–100 organisms;</w:t>
      </w:r>
    </w:p>
    <w:p>
      <w:pPr>
        <w:spacing w:before="0" w:after="80"/>
      </w:pPr>
      <w:r>
        <w:rPr>
          <w:rFonts w:ascii="Calibri" w:hAnsi="Calibri"/>
          <w:b w:val="0"/>
          <w:i w:val="0"/>
          <w:color w:val="212121"/>
          <w:sz w:val="21"/>
        </w:rPr>
        <w:t>(2) Acute brucellosis — symptom onset within about 2–3 months of exposure, with abrupt or insidious fever, drenching sweats, myalgia and constitutional symptoms;</w:t>
      </w:r>
    </w:p>
    <w:p>
      <w:pPr>
        <w:spacing w:before="0" w:after="80"/>
      </w:pPr>
      <w:r>
        <w:rPr>
          <w:rFonts w:ascii="Calibri" w:hAnsi="Calibri"/>
          <w:b w:val="0"/>
          <w:i w:val="0"/>
          <w:color w:val="212121"/>
          <w:sz w:val="21"/>
        </w:rPr>
        <w:t>(3) Subacute / undulant form — relapsing waves of fever separated by afebrile periods over weeks to months;</w:t>
      </w:r>
    </w:p>
    <w:p>
      <w:pPr>
        <w:spacing w:before="0" w:after="80"/>
      </w:pPr>
      <w:r>
        <w:rPr>
          <w:rFonts w:ascii="Calibri" w:hAnsi="Calibri"/>
          <w:b w:val="0"/>
          <w:i w:val="0"/>
          <w:color w:val="212121"/>
          <w:sz w:val="21"/>
        </w:rPr>
        <w:t>(4) Chronic brucellosis — illness persisting beyond one year, often dominated by focal disease, profound fatigue and neuropsychiatric symptoms (depression, insomnia, irritability);</w:t>
      </w:r>
    </w:p>
    <w:p>
      <w:pPr>
        <w:spacing w:before="0" w:after="80"/>
      </w:pPr>
      <w:r>
        <w:rPr>
          <w:rFonts w:ascii="Calibri" w:hAnsi="Calibri"/>
          <w:b w:val="0"/>
          <w:i w:val="0"/>
          <w:color w:val="212121"/>
          <w:sz w:val="21"/>
        </w:rPr>
        <w:t>(5) Localized / focal (complicated) brucellosis — osteoarticular (sacroiliitis, spondylodiscitis, peripheral arthritis), hepatosplenic, genitourinary (epididymo-orchitis), neurobrucellosis or endocarditis; plus subclinical (asymptomatic seropositive) infection seen in heavily exposed workers.</w:t>
      </w:r>
    </w:p>
    <w:p>
      <w:pPr>
        <w:spacing w:before="200" w:after="120"/>
      </w:pPr>
      <w:r>
        <w:rPr>
          <w:rFonts w:ascii="Calibri" w:hAnsi="Calibri"/>
          <w:b/>
          <w:i w:val="0"/>
          <w:color w:val="212121"/>
          <w:sz w:val="25"/>
        </w:rPr>
        <w:t>Etiology</w:t>
      </w:r>
    </w:p>
    <w:p>
      <w:pPr>
        <w:spacing w:after="60"/>
        <w:ind w:left="432" w:hanging="288"/>
      </w:pPr>
      <w:r>
        <w:rPr>
          <w:rFonts w:ascii="Calibri" w:hAnsi="Calibri"/>
          <w:b/>
          <w:i w:val="0"/>
          <w:color w:val="212121"/>
          <w:sz w:val="21"/>
        </w:rPr>
        <w:t xml:space="preserve">1. </w:t>
      </w:r>
      <w:r>
        <w:rPr>
          <w:rFonts w:ascii="Calibri" w:hAnsi="Calibri"/>
          <w:b w:val="0"/>
          <w:i w:val="0"/>
          <w:color w:val="212121"/>
          <w:sz w:val="21"/>
        </w:rPr>
        <w:t>Brucella infection: Small Gram-negative, facultative intracellular coccobacilli (B. melitensis, B. abortus, B. suis, B. canis) that survive and replicate within macrophages, explaining granuloma formation, chronicity and relapse.</w:t>
      </w:r>
    </w:p>
    <w:p>
      <w:pPr>
        <w:spacing w:after="60"/>
        <w:ind w:left="432" w:hanging="288"/>
      </w:pPr>
      <w:r>
        <w:rPr>
          <w:rFonts w:ascii="Calibri" w:hAnsi="Calibri"/>
          <w:b/>
          <w:i w:val="0"/>
          <w:color w:val="212121"/>
          <w:sz w:val="21"/>
        </w:rPr>
        <w:t xml:space="preserve">2. </w:t>
      </w:r>
      <w:r>
        <w:rPr>
          <w:rFonts w:ascii="Calibri" w:hAnsi="Calibri"/>
          <w:b w:val="0"/>
          <w:i w:val="0"/>
          <w:color w:val="212121"/>
          <w:sz w:val="21"/>
        </w:rPr>
        <w:t>Unpasteurized dairy consumption: Raw milk, soft cheese, curd/yoghurt and ice-cream from infected goats, sheep, buffalo or cattle are the principal foodborne source in India.</w:t>
      </w:r>
    </w:p>
    <w:p>
      <w:pPr>
        <w:spacing w:after="60"/>
        <w:ind w:left="432" w:hanging="288"/>
      </w:pPr>
      <w:r>
        <w:rPr>
          <w:rFonts w:ascii="Calibri" w:hAnsi="Calibri"/>
          <w:b/>
          <w:i w:val="0"/>
          <w:color w:val="212121"/>
          <w:sz w:val="21"/>
        </w:rPr>
        <w:t xml:space="preserve">3. </w:t>
      </w:r>
      <w:r>
        <w:rPr>
          <w:rFonts w:ascii="Calibri" w:hAnsi="Calibri"/>
          <w:b w:val="0"/>
          <w:i w:val="0"/>
          <w:color w:val="212121"/>
          <w:sz w:val="21"/>
        </w:rPr>
        <w:t>Occupational animal contact: Shepherds, farmers, abattoir workers, butchers, veterinarians and artificial-insemination technicians are exposed to blood, placenta, uterine fluids and aborted fetuses through skin cuts and mucous membranes.</w:t>
      </w:r>
    </w:p>
    <w:p>
      <w:pPr>
        <w:spacing w:after="60"/>
        <w:ind w:left="432" w:hanging="288"/>
      </w:pPr>
      <w:r>
        <w:rPr>
          <w:rFonts w:ascii="Calibri" w:hAnsi="Calibri"/>
          <w:b/>
          <w:i w:val="0"/>
          <w:color w:val="212121"/>
          <w:sz w:val="21"/>
        </w:rPr>
        <w:t xml:space="preserve">4. </w:t>
      </w:r>
      <w:r>
        <w:rPr>
          <w:rFonts w:ascii="Calibri" w:hAnsi="Calibri"/>
          <w:b w:val="0"/>
          <w:i w:val="0"/>
          <w:color w:val="212121"/>
          <w:sz w:val="21"/>
        </w:rPr>
        <w:t>Inhalation of aerosols: Bacteria aerosolized in barns, animal pens, slaughterhouses and laboratories are inhaled — brucellosis is the most commonly reported laboratory-acquired bacterial infection.</w:t>
      </w:r>
    </w:p>
    <w:p>
      <w:pPr>
        <w:spacing w:after="60"/>
        <w:ind w:left="432" w:hanging="288"/>
      </w:pPr>
      <w:r>
        <w:rPr>
          <w:rFonts w:ascii="Calibri" w:hAnsi="Calibri"/>
          <w:b/>
          <w:i w:val="0"/>
          <w:color w:val="212121"/>
          <w:sz w:val="21"/>
        </w:rPr>
        <w:t xml:space="preserve">5. </w:t>
      </w:r>
      <w:r>
        <w:rPr>
          <w:rFonts w:ascii="Calibri" w:hAnsi="Calibri"/>
          <w:b w:val="0"/>
          <w:i w:val="0"/>
          <w:color w:val="212121"/>
          <w:sz w:val="21"/>
        </w:rPr>
        <w:t>Direct mucocutaneous inoculation: Conjunctival splash or entry through abraded skin while assisting parturition/abortion, or accidental exposure to live animal vaccine strains (S19, Rev-1, RB51).</w:t>
      </w:r>
    </w:p>
    <w:p>
      <w:pPr>
        <w:spacing w:after="60"/>
        <w:ind w:left="432" w:hanging="288"/>
      </w:pPr>
      <w:r>
        <w:rPr>
          <w:rFonts w:ascii="Calibri" w:hAnsi="Calibri"/>
          <w:b/>
          <w:i w:val="0"/>
          <w:color w:val="212121"/>
          <w:sz w:val="21"/>
        </w:rPr>
        <w:t xml:space="preserve">6. </w:t>
      </w:r>
      <w:r>
        <w:rPr>
          <w:rFonts w:ascii="Calibri" w:hAnsi="Calibri"/>
          <w:b w:val="0"/>
          <w:i w:val="0"/>
          <w:color w:val="212121"/>
          <w:sz w:val="21"/>
        </w:rPr>
        <w:t>Weak animal control and under-diagnosis: Incomplete livestock vaccination/testing and frequent misdiagnosis as tuberculosis, typhoid or malaria sustain ongoing human transmission.</w:t>
      </w:r>
    </w:p>
    <w:p>
      <w:pPr>
        <w:spacing w:before="280" w:after="120"/>
      </w:pPr>
      <w:r>
        <w:rPr>
          <w:rFonts w:ascii="Calibri" w:hAnsi="Calibri"/>
          <w:b/>
          <w:i w:val="0"/>
          <w:color w:val="212121"/>
          <w:sz w:val="31"/>
        </w:rPr>
        <w:t>Research Draft of MCP</w:t>
      </w:r>
    </w:p>
    <w:p>
      <w:pPr>
        <w:spacing w:before="200" w:after="120"/>
      </w:pPr>
      <w:r>
        <w:rPr>
          <w:rFonts w:ascii="Calibri" w:hAnsi="Calibri"/>
          <w:b/>
          <w:i w:val="0"/>
          <w:color w:val="212121"/>
          <w:sz w:val="25"/>
        </w:rPr>
        <w:t>Profiles Prone To</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01"/>
        <w:gridCol w:w="2401"/>
        <w:gridCol w:w="2401"/>
        <w:gridCol w:w="24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Category</w:t>
            </w:r>
          </w:p>
        </w:tc>
        <w:tc>
          <w:tcPr>
            <w:tcW w:type="dxa" w:w="1655"/>
            <w:shd w:val="clear" w:color="auto" w:fill="F2F2F2"/>
            <w:vAlign w:val="center"/>
          </w:tcPr>
          <w:p>
            <w:pPr>
              <w:spacing w:after="40" w:before="0" w:line="259" w:lineRule="auto"/>
            </w:pPr>
            <w:r>
              <w:rPr>
                <w:rFonts w:ascii="Calibri" w:hAnsi="Calibri"/>
                <w:b/>
                <w:i w:val="0"/>
                <w:color w:val="212121"/>
                <w:sz w:val="19"/>
              </w:rPr>
              <w:t>Disposition</w:t>
            </w:r>
          </w:p>
        </w:tc>
        <w:tc>
          <w:tcPr>
            <w:tcW w:type="dxa" w:w="2160"/>
            <w:shd w:val="clear" w:color="auto" w:fill="F2F2F2"/>
            <w:vAlign w:val="center"/>
          </w:tcPr>
          <w:p>
            <w:pPr>
              <w:spacing w:after="40" w:before="0" w:line="259" w:lineRule="auto"/>
            </w:pPr>
            <w:r>
              <w:rPr>
                <w:rFonts w:ascii="Calibri" w:hAnsi="Calibri"/>
                <w:b/>
                <w:i w:val="0"/>
                <w:color w:val="212121"/>
                <w:sz w:val="19"/>
              </w:rPr>
              <w:t>Profiles</w:t>
            </w:r>
          </w:p>
        </w:tc>
        <w:tc>
          <w:tcPr>
            <w:tcW w:type="dxa" w:w="4276"/>
            <w:shd w:val="clear" w:color="auto" w:fill="F2F2F2"/>
            <w:vAlign w:val="center"/>
          </w:tcPr>
          <w:p>
            <w:pPr>
              <w:spacing w:after="40" w:before="0" w:line="259" w:lineRule="auto"/>
            </w:pPr>
            <w:r>
              <w:rPr>
                <w:rFonts w:ascii="Calibri" w:hAnsi="Calibri"/>
                <w:b/>
                <w:i w:val="0"/>
                <w:color w:val="212121"/>
                <w:sz w:val="19"/>
              </w:rPr>
              <w:t>Explanation</w:t>
            </w:r>
          </w:p>
        </w:tc>
      </w:tr>
      <w:tr>
        <w:trPr>
          <w:cantSplit/>
        </w:trPr>
        <w:tc>
          <w:tcPr>
            <w:tcW w:type="dxa" w:w="1512"/>
            <w:vMerge w:val="restart"/>
            <w:vAlign w:val="center"/>
          </w:tcPr>
          <w:p>
            <w:pPr>
              <w:spacing w:after="40"/>
            </w:pPr>
            <w:r>
              <w:rPr>
                <w:rFonts w:ascii="Calibri" w:hAnsi="Calibri"/>
                <w:b/>
                <w:i w:val="0"/>
                <w:color w:val="212121"/>
                <w:sz w:val="19"/>
              </w:rPr>
              <w:t>Demographic factors</w:t>
            </w:r>
          </w:p>
        </w:tc>
        <w:tc>
          <w:tcPr>
            <w:tcW w:type="dxa" w:w="1655"/>
            <w:vMerge w:val="restart"/>
            <w:vAlign w:val="center"/>
          </w:tcPr>
          <w:p>
            <w:pPr>
              <w:spacing w:after="40"/>
            </w:pPr>
            <w:r>
              <w:rPr>
                <w:rFonts w:ascii="Calibri" w:hAnsi="Calibri"/>
                <w:b w:val="0"/>
                <w:i w:val="0"/>
                <w:color w:val="212121"/>
                <w:sz w:val="19"/>
              </w:rPr>
              <w:t>Age</w:t>
            </w:r>
          </w:p>
        </w:tc>
        <w:tc>
          <w:tcPr>
            <w:tcW w:type="dxa" w:w="2160"/>
            <w:vAlign w:val="top"/>
          </w:tcPr>
          <w:p>
            <w:pPr>
              <w:spacing w:after="40" w:before="0" w:line="259" w:lineRule="auto"/>
            </w:pPr>
            <w:r>
              <w:rPr>
                <w:rFonts w:ascii="Calibri" w:hAnsi="Calibri"/>
                <w:b w:val="0"/>
                <w:i w:val="0"/>
                <w:color w:val="212121"/>
                <w:sz w:val="19"/>
              </w:rPr>
              <w:t>Working-age adults (13–40 y)</w:t>
            </w:r>
          </w:p>
        </w:tc>
        <w:tc>
          <w:tcPr>
            <w:tcW w:type="dxa" w:w="4276"/>
            <w:vAlign w:val="top"/>
          </w:tcPr>
          <w:p>
            <w:pPr>
              <w:spacing w:after="60" w:line="259" w:lineRule="auto"/>
            </w:pPr>
            <w:r>
              <w:rPr>
                <w:rFonts w:ascii="Calibri" w:hAnsi="Calibri"/>
                <w:b w:val="0"/>
                <w:i w:val="0"/>
                <w:color w:val="212121"/>
                <w:sz w:val="19"/>
              </w:rPr>
              <w:t>Peak incidence falls in economically active adults because occupational and dietary exposure to livestock and raw dairy is greatest in this group. Brucella is inhaled, ingested or inoculated and then spreads via macrophages to the reticuloendothelial system.</w:t>
            </w:r>
          </w:p>
          <w:p>
            <w:pPr>
              <w:spacing w:after="40" w:before="60" w:line="259" w:lineRule="auto"/>
            </w:pPr>
            <w:r>
              <w:rPr>
                <w:rFonts w:ascii="Calibri" w:hAnsi="Calibri"/>
                <w:b w:val="0"/>
                <w:i w:val="0"/>
                <w:color w:val="212121"/>
                <w:sz w:val="19"/>
              </w:rPr>
              <w:t>About 60% of cases occur in those aged 13–40 years, ~16% at 40–60 years and only ~2.5% above 60 years.</w:t>
            </w:r>
          </w:p>
          <w:p>
            <w:pPr>
              <w:spacing w:after="40" w:line="252" w:lineRule="auto"/>
            </w:pPr>
            <w:hyperlink r:id="rId9">
              <w:r>
                <w:rPr>
                  <w:rFonts w:ascii="Calibri" w:hAnsi="Calibri" w:cs="Calibri"/>
                  <w:sz w:val="18"/>
                  <w:color w:val="1155CC"/>
                  <w:u w:val="single"/>
                </w:rPr>
                <w:t xml:space="preserve">ncbi.nlm.nih.gov — StatPearls: Brucellosis</w:t>
              </w:r>
            </w:hyperlink>
          </w:p>
          <w:p>
            <w:pPr>
              <w:spacing w:before="60" w:after="40"/>
            </w:pPr>
            <w:r>
              <w:rPr>
                <w:rFonts w:ascii="Calibri" w:hAnsi="Calibri"/>
                <w:b w:val="0"/>
                <w:i w:val="0"/>
                <w:color w:val="5A5A5A"/>
                <w:sz w:val="18"/>
              </w:rPr>
              <w:t>#zoonosis  #occupational  #undulantfever  #workingage</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Elderly</w:t>
            </w:r>
          </w:p>
        </w:tc>
        <w:tc>
          <w:tcPr>
            <w:tcW w:type="dxa" w:w="4276"/>
            <w:vAlign w:val="top"/>
          </w:tcPr>
          <w:p>
            <w:pPr>
              <w:spacing w:after="60" w:line="259" w:lineRule="auto"/>
            </w:pPr>
            <w:r>
              <w:rPr>
                <w:rFonts w:ascii="Calibri" w:hAnsi="Calibri"/>
                <w:b w:val="0"/>
                <w:i w:val="0"/>
                <w:color w:val="212121"/>
                <w:sz w:val="19"/>
              </w:rPr>
              <w:t>Older adults present less often but are more prone to chronic, focal and treatment-refractory disease — spondylitis, endocarditis and relapse — due to immunosenescence and pre-existing cardiac/spinal disease.</w:t>
            </w:r>
          </w:p>
          <w:p>
            <w:pPr>
              <w:spacing w:after="40" w:before="60" w:line="259" w:lineRule="auto"/>
            </w:pPr>
            <w:r>
              <w:rPr>
                <w:rFonts w:ascii="Calibri" w:hAnsi="Calibri"/>
                <w:b w:val="0"/>
                <w:i w:val="0"/>
                <w:color w:val="212121"/>
                <w:sz w:val="19"/>
              </w:rPr>
              <w:t>Only ~2.5% of cases occur above 60 years, but focal complications such as spondylodiscitis and endocarditis are commoner in this group.</w:t>
            </w:r>
          </w:p>
          <w:p>
            <w:pPr>
              <w:spacing w:after="40" w:line="252" w:lineRule="auto"/>
            </w:pPr>
            <w:hyperlink r:id="rId9">
              <w:r>
                <w:rPr>
                  <w:rFonts w:ascii="Calibri" w:hAnsi="Calibri" w:cs="Calibri"/>
                  <w:sz w:val="18"/>
                  <w:color w:val="1155CC"/>
                  <w:u w:val="single"/>
                </w:rPr>
                <w:t xml:space="preserve">ncbi.nlm.nih.gov — StatPearls: Brucellosis</w:t>
              </w:r>
            </w:hyperlink>
          </w:p>
          <w:p>
            <w:pPr>
              <w:spacing w:before="60" w:after="40"/>
            </w:pPr>
            <w:r>
              <w:rPr>
                <w:rFonts w:ascii="Calibri" w:hAnsi="Calibri"/>
                <w:b w:val="0"/>
                <w:i w:val="0"/>
                <w:color w:val="5A5A5A"/>
                <w:sz w:val="18"/>
              </w:rPr>
              <w:t>#elderly  #spondylitis  #endocarditis  #relapse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Sex</w:t>
            </w:r>
          </w:p>
        </w:tc>
        <w:tc>
          <w:tcPr>
            <w:tcW w:type="dxa" w:w="2160"/>
            <w:vAlign w:val="top"/>
          </w:tcPr>
          <w:p>
            <w:pPr>
              <w:spacing w:after="40" w:before="0" w:line="259" w:lineRule="auto"/>
            </w:pPr>
            <w:r>
              <w:rPr>
                <w:rFonts w:ascii="Calibri" w:hAnsi="Calibri"/>
                <w:b w:val="0"/>
                <w:i w:val="0"/>
                <w:color w:val="212121"/>
                <w:sz w:val="19"/>
              </w:rPr>
              <w:t>Male</w:t>
            </w:r>
          </w:p>
        </w:tc>
        <w:tc>
          <w:tcPr>
            <w:tcW w:type="dxa" w:w="4276"/>
            <w:vAlign w:val="top"/>
          </w:tcPr>
          <w:p>
            <w:pPr>
              <w:spacing w:after="60" w:line="259" w:lineRule="auto"/>
            </w:pPr>
            <w:r>
              <w:rPr>
                <w:rFonts w:ascii="Calibri" w:hAnsi="Calibri"/>
                <w:b w:val="0"/>
                <w:i w:val="0"/>
                <w:color w:val="212121"/>
                <w:sz w:val="19"/>
              </w:rPr>
              <w:t>Males predominate largely because of occupational exposure — herding, slaughtering and veterinary work are male-dominated in India — and are subject to brucellar epididymo-orchitis.</w:t>
            </w:r>
          </w:p>
          <w:p>
            <w:pPr>
              <w:spacing w:after="40" w:before="60" w:line="259" w:lineRule="auto"/>
            </w:pPr>
            <w:r>
              <w:rPr>
                <w:rFonts w:ascii="Calibri" w:hAnsi="Calibri"/>
                <w:b w:val="0"/>
                <w:i w:val="0"/>
                <w:color w:val="212121"/>
                <w:sz w:val="19"/>
              </w:rPr>
              <w:t>Males are more commonly affected than females, attributed to greater occupational contact with livestock.</w:t>
            </w:r>
          </w:p>
          <w:p>
            <w:pPr>
              <w:spacing w:after="40" w:line="252" w:lineRule="auto"/>
            </w:pPr>
            <w:hyperlink r:id="rId9">
              <w:r>
                <w:rPr>
                  <w:rFonts w:ascii="Calibri" w:hAnsi="Calibri" w:cs="Calibri"/>
                  <w:sz w:val="18"/>
                  <w:color w:val="1155CC"/>
                  <w:u w:val="single"/>
                </w:rPr>
                <w:t xml:space="preserve">ncbi.nlm.nih.gov — StatPearls: Brucellosis</w:t>
              </w:r>
            </w:hyperlink>
          </w:p>
          <w:p>
            <w:pPr>
              <w:spacing w:before="60" w:after="40"/>
            </w:pPr>
            <w:r>
              <w:rPr>
                <w:rFonts w:ascii="Calibri" w:hAnsi="Calibri"/>
                <w:b w:val="0"/>
                <w:i w:val="0"/>
                <w:color w:val="5A5A5A"/>
                <w:sz w:val="18"/>
              </w:rPr>
              <w:t>#male  #occupational  #orchitis</w:t>
            </w:r>
          </w:p>
        </w:tc>
      </w:tr>
      <w:tr>
        <w:trPr>
          <w:cantSplit/>
        </w:trPr>
        <w:tc>
          <w:tcPr>
            <w:tcW w:type="dxa" w:w="1512"/>
            <w:vMerge w:val="restart"/>
            <w:vAlign w:val="center"/>
          </w:tcPr>
          <w:p>
            <w:pPr>
              <w:spacing w:after="40"/>
            </w:pPr>
            <w:r>
              <w:rPr>
                <w:rFonts w:ascii="Calibri" w:hAnsi="Calibri"/>
                <w:b/>
                <w:i w:val="0"/>
                <w:color w:val="212121"/>
                <w:sz w:val="19"/>
              </w:rPr>
              <w:t>Geographic factors</w:t>
            </w:r>
          </w:p>
        </w:tc>
        <w:tc>
          <w:tcPr>
            <w:tcW w:type="dxa" w:w="1655"/>
            <w:vAlign w:val="center"/>
          </w:tcPr>
          <w:p>
            <w:pPr>
              <w:spacing w:after="40"/>
            </w:pPr>
            <w:r>
              <w:rPr>
                <w:rFonts w:ascii="Calibri" w:hAnsi="Calibri"/>
                <w:b w:val="0"/>
                <w:i w:val="0"/>
                <w:color w:val="212121"/>
                <w:sz w:val="19"/>
              </w:rPr>
              <w:t>Region</w:t>
            </w:r>
          </w:p>
        </w:tc>
        <w:tc>
          <w:tcPr>
            <w:tcW w:type="dxa" w:w="2160"/>
            <w:vAlign w:val="top"/>
          </w:tcPr>
          <w:p>
            <w:pPr>
              <w:spacing w:after="40" w:before="0" w:line="259" w:lineRule="auto"/>
            </w:pPr>
            <w:r>
              <w:rPr>
                <w:rFonts w:ascii="Calibri" w:hAnsi="Calibri"/>
                <w:b w:val="0"/>
                <w:i w:val="0"/>
                <w:color w:val="212121"/>
                <w:sz w:val="19"/>
              </w:rPr>
              <w:t>Endemic Indian states (Karnataka, Gujarat, Rajasthan, Haryana, Tamil Nadu, J&amp;K)</w:t>
            </w:r>
          </w:p>
        </w:tc>
        <w:tc>
          <w:tcPr>
            <w:tcW w:type="dxa" w:w="4276"/>
            <w:vAlign w:val="top"/>
          </w:tcPr>
          <w:p>
            <w:pPr>
              <w:spacing w:after="60" w:line="259" w:lineRule="auto"/>
            </w:pPr>
            <w:r>
              <w:rPr>
                <w:rFonts w:ascii="Calibri" w:hAnsi="Calibri"/>
                <w:b w:val="0"/>
                <w:i w:val="0"/>
                <w:color w:val="212121"/>
                <w:sz w:val="19"/>
              </w:rPr>
              <w:t>High livestock density, extensive small-ruminant rearing and widespread raw-milk consumption make these states hyperendemic foci for human and animal brucellosis.</w:t>
            </w:r>
          </w:p>
          <w:p>
            <w:pPr>
              <w:spacing w:after="40" w:before="60" w:line="259" w:lineRule="auto"/>
            </w:pPr>
            <w:r>
              <w:rPr>
                <w:rFonts w:ascii="Calibri" w:hAnsi="Calibri"/>
                <w:b w:val="0"/>
                <w:i w:val="0"/>
                <w:color w:val="212121"/>
                <w:sz w:val="19"/>
              </w:rPr>
              <w:t>Case clusters and seropositive series are documented from Bijapur/Belgaum (Karnataka), Gujarat, Haryana, Bikaner (Rajasthan), Vellore (Tamil Nadu) and Jammu &amp; Kashmir.</w:t>
            </w:r>
          </w:p>
          <w:p>
            <w:pPr>
              <w:spacing w:after="40" w:line="252" w:lineRule="auto"/>
            </w:pPr>
            <w:hyperlink r:id="rId10">
              <w:r>
                <w:rPr>
                  <w:rFonts w:ascii="Calibri" w:hAnsi="Calibri" w:cs="Calibri"/>
                  <w:sz w:val="18"/>
                  <w:color w:val="1155CC"/>
                  <w:u w:val="single"/>
                </w:rPr>
                <w:t xml:space="preserve">ias.ac.in — Brucellosis in India: a review (Mantur 2008)</w:t>
              </w:r>
            </w:hyperlink>
          </w:p>
          <w:p>
            <w:pPr>
              <w:spacing w:before="60" w:after="40"/>
            </w:pPr>
            <w:r>
              <w:rPr>
                <w:rFonts w:ascii="Calibri" w:hAnsi="Calibri"/>
                <w:b w:val="0"/>
                <w:i w:val="0"/>
                <w:color w:val="5A5A5A"/>
                <w:sz w:val="18"/>
              </w:rPr>
              <w:t>#endemic  #Karnataka  #Gujarat  #Rajasthan</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Residence</w:t>
            </w:r>
          </w:p>
        </w:tc>
        <w:tc>
          <w:tcPr>
            <w:tcW w:type="dxa" w:w="2160"/>
            <w:vAlign w:val="top"/>
          </w:tcPr>
          <w:p>
            <w:pPr>
              <w:spacing w:after="40" w:before="0" w:line="259" w:lineRule="auto"/>
            </w:pPr>
            <w:r>
              <w:rPr>
                <w:rFonts w:ascii="Calibri" w:hAnsi="Calibri"/>
                <w:b w:val="0"/>
                <w:i w:val="0"/>
                <w:color w:val="212121"/>
                <w:sz w:val="19"/>
              </w:rPr>
              <w:t>Rural &amp; pastoral communities</w:t>
            </w:r>
          </w:p>
        </w:tc>
        <w:tc>
          <w:tcPr>
            <w:tcW w:type="dxa" w:w="4276"/>
            <w:vAlign w:val="top"/>
          </w:tcPr>
          <w:p>
            <w:pPr>
              <w:spacing w:after="60" w:line="259" w:lineRule="auto"/>
            </w:pPr>
            <w:r>
              <w:rPr>
                <w:rFonts w:ascii="Calibri" w:hAnsi="Calibri"/>
                <w:b w:val="0"/>
                <w:i w:val="0"/>
                <w:color w:val="212121"/>
                <w:sz w:val="19"/>
              </w:rPr>
              <w:t>Close household proximity to goats, sheep, buffalo and cattle, home milking and consumption of unboiled milk expose entire rural families — producing household clustering of cases.</w:t>
            </w:r>
          </w:p>
          <w:p>
            <w:pPr>
              <w:spacing w:after="40" w:before="60" w:line="259" w:lineRule="auto"/>
            </w:pPr>
            <w:r>
              <w:rPr>
                <w:rFonts w:ascii="Calibri" w:hAnsi="Calibri"/>
                <w:b w:val="0"/>
                <w:i w:val="0"/>
                <w:color w:val="212121"/>
                <w:sz w:val="19"/>
              </w:rPr>
              <w:t>Seroprevalence of ~4.97% was recorded among persons exposed to animals in India.</w:t>
            </w:r>
          </w:p>
          <w:p>
            <w:pPr>
              <w:spacing w:after="40" w:line="252" w:lineRule="auto"/>
            </w:pPr>
            <w:hyperlink r:id="rId10">
              <w:r>
                <w:rPr>
                  <w:rFonts w:ascii="Calibri" w:hAnsi="Calibri" w:cs="Calibri"/>
                  <w:sz w:val="18"/>
                  <w:color w:val="1155CC"/>
                  <w:u w:val="single"/>
                </w:rPr>
                <w:t xml:space="preserve">ias.ac.in — Brucellosis in India: a review (Mantur 2008)</w:t>
              </w:r>
            </w:hyperlink>
          </w:p>
          <w:p>
            <w:pPr>
              <w:spacing w:before="60" w:after="40"/>
            </w:pPr>
            <w:r>
              <w:rPr>
                <w:rFonts w:ascii="Calibri" w:hAnsi="Calibri"/>
                <w:b w:val="0"/>
                <w:i w:val="0"/>
                <w:color w:val="5A5A5A"/>
                <w:sz w:val="18"/>
              </w:rPr>
              <w:t>#rural  #pastoralist  #rawmilk  #householdcluster</w:t>
            </w:r>
          </w:p>
        </w:tc>
      </w:tr>
      <w:tr>
        <w:trPr>
          <w:cantSplit/>
        </w:trPr>
        <w:tc>
          <w:tcPr>
            <w:tcW w:type="dxa" w:w="1512"/>
            <w:vMerge w:val="restart"/>
            <w:vAlign w:val="center"/>
          </w:tcPr>
          <w:p>
            <w:pPr>
              <w:spacing w:after="40"/>
            </w:pPr>
            <w:r>
              <w:rPr>
                <w:rFonts w:ascii="Calibri" w:hAnsi="Calibri"/>
                <w:b/>
                <w:i w:val="0"/>
                <w:color w:val="212121"/>
                <w:sz w:val="19"/>
              </w:rPr>
              <w:t>Lifestyle factors</w:t>
            </w:r>
          </w:p>
        </w:tc>
        <w:tc>
          <w:tcPr>
            <w:tcW w:type="dxa" w:w="1655"/>
            <w:vMerge w:val="restart"/>
            <w:vAlign w:val="center"/>
          </w:tcPr>
          <w:p>
            <w:pPr>
              <w:spacing w:after="40"/>
            </w:pPr>
            <w:r>
              <w:rPr>
                <w:rFonts w:ascii="Calibri" w:hAnsi="Calibri"/>
                <w:b w:val="0"/>
                <w:i w:val="0"/>
                <w:color w:val="212121"/>
                <w:sz w:val="19"/>
              </w:rPr>
              <w:t>Occupation</w:t>
            </w:r>
          </w:p>
        </w:tc>
        <w:tc>
          <w:tcPr>
            <w:tcW w:type="dxa" w:w="2160"/>
            <w:vAlign w:val="top"/>
          </w:tcPr>
          <w:p>
            <w:pPr>
              <w:spacing w:after="40" w:before="0" w:line="259" w:lineRule="auto"/>
            </w:pPr>
            <w:r>
              <w:rPr>
                <w:rFonts w:ascii="Calibri" w:hAnsi="Calibri"/>
                <w:b w:val="0"/>
                <w:i w:val="0"/>
                <w:color w:val="212121"/>
                <w:sz w:val="19"/>
              </w:rPr>
              <w:t>Shepherds &amp; livestock farmers</w:t>
            </w:r>
          </w:p>
        </w:tc>
        <w:tc>
          <w:tcPr>
            <w:tcW w:type="dxa" w:w="4276"/>
            <w:vAlign w:val="top"/>
          </w:tcPr>
          <w:p>
            <w:pPr>
              <w:spacing w:after="60" w:line="259" w:lineRule="auto"/>
            </w:pPr>
            <w:r>
              <w:rPr>
                <w:rFonts w:ascii="Calibri" w:hAnsi="Calibri"/>
                <w:b w:val="0"/>
                <w:i w:val="0"/>
                <w:color w:val="212121"/>
                <w:sz w:val="19"/>
              </w:rPr>
              <w:t>Direct hands-on contact with parturient and aborting animals, placenta and birth fluids delivers a high infective inoculum through skin abrasions and mucosa.</w:t>
            </w:r>
          </w:p>
          <w:p>
            <w:pPr>
              <w:spacing w:after="40" w:before="60" w:line="259" w:lineRule="auto"/>
            </w:pPr>
            <w:r>
              <w:rPr>
                <w:rFonts w:ascii="Calibri" w:hAnsi="Calibri"/>
                <w:b w:val="0"/>
                <w:i w:val="0"/>
                <w:color w:val="212121"/>
                <w:sz w:val="19"/>
              </w:rPr>
              <w:t>Livestock producers, shepherds and farmers are classical high-risk occupational groups for human brucellosis in India.</w:t>
            </w:r>
          </w:p>
          <w:p>
            <w:pPr>
              <w:spacing w:after="40" w:line="252" w:lineRule="auto"/>
            </w:pPr>
            <w:hyperlink r:id="rId10">
              <w:r>
                <w:rPr>
                  <w:rFonts w:ascii="Calibri" w:hAnsi="Calibri" w:cs="Calibri"/>
                  <w:sz w:val="18"/>
                  <w:color w:val="1155CC"/>
                  <w:u w:val="single"/>
                </w:rPr>
                <w:t xml:space="preserve">ias.ac.in — Brucellosis in India: a review (Mantur 2008)</w:t>
              </w:r>
            </w:hyperlink>
          </w:p>
          <w:p>
            <w:pPr>
              <w:spacing w:before="60" w:after="40"/>
            </w:pPr>
            <w:r>
              <w:rPr>
                <w:rFonts w:ascii="Calibri" w:hAnsi="Calibri"/>
                <w:b w:val="0"/>
                <w:i w:val="0"/>
                <w:color w:val="5A5A5A"/>
                <w:sz w:val="18"/>
              </w:rPr>
              <w:t>#shepherd  #farmer  #birthproducts  #occupational</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Abattoir / slaughterhouse workers &amp; butchers</w:t>
            </w:r>
          </w:p>
        </w:tc>
        <w:tc>
          <w:tcPr>
            <w:tcW w:type="dxa" w:w="4276"/>
            <w:vAlign w:val="top"/>
          </w:tcPr>
          <w:p>
            <w:pPr>
              <w:spacing w:after="60" w:line="259" w:lineRule="auto"/>
            </w:pPr>
            <w:r>
              <w:rPr>
                <w:rFonts w:ascii="Calibri" w:hAnsi="Calibri"/>
                <w:b w:val="0"/>
                <w:i w:val="0"/>
                <w:color w:val="212121"/>
                <w:sz w:val="19"/>
              </w:rPr>
              <w:t>Slaughtering and carcass dressing generate infectious aerosols and blood/tissue splash, giving butchers and abattoir staff among the highest seroprevalence.</w:t>
            </w:r>
          </w:p>
          <w:p>
            <w:pPr>
              <w:spacing w:after="40" w:before="60" w:line="259" w:lineRule="auto"/>
            </w:pPr>
            <w:r>
              <w:rPr>
                <w:rFonts w:ascii="Calibri" w:hAnsi="Calibri"/>
                <w:b w:val="0"/>
                <w:i w:val="0"/>
                <w:color w:val="212121"/>
                <w:sz w:val="19"/>
              </w:rPr>
              <w:t>Higher seroprevalence of brucellosis has been recorded among abattoir workers in Indian studies.</w:t>
            </w:r>
          </w:p>
          <w:p>
            <w:pPr>
              <w:spacing w:after="40" w:line="252" w:lineRule="auto"/>
            </w:pPr>
            <w:hyperlink r:id="rId10">
              <w:r>
                <w:rPr>
                  <w:rFonts w:ascii="Calibri" w:hAnsi="Calibri" w:cs="Calibri"/>
                  <w:sz w:val="18"/>
                  <w:color w:val="1155CC"/>
                  <w:u w:val="single"/>
                </w:rPr>
                <w:t xml:space="preserve">ias.ac.in — Brucellosis in India: a review (Mantur 2008)</w:t>
              </w:r>
            </w:hyperlink>
          </w:p>
          <w:p>
            <w:pPr>
              <w:spacing w:before="60" w:after="40"/>
            </w:pPr>
            <w:r>
              <w:rPr>
                <w:rFonts w:ascii="Calibri" w:hAnsi="Calibri"/>
                <w:b w:val="0"/>
                <w:i w:val="0"/>
                <w:color w:val="5A5A5A"/>
                <w:sz w:val="18"/>
              </w:rPr>
              <w:t>#abattoir  #butcher  #aerosol  #slaughter</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Veterinarians &amp; AI technicians</w:t>
            </w:r>
          </w:p>
        </w:tc>
        <w:tc>
          <w:tcPr>
            <w:tcW w:type="dxa" w:w="4276"/>
            <w:vAlign w:val="top"/>
          </w:tcPr>
          <w:p>
            <w:pPr>
              <w:spacing w:after="60" w:line="259" w:lineRule="auto"/>
            </w:pPr>
            <w:r>
              <w:rPr>
                <w:rFonts w:ascii="Calibri" w:hAnsi="Calibri"/>
                <w:b w:val="0"/>
                <w:i w:val="0"/>
                <w:color w:val="212121"/>
                <w:sz w:val="19"/>
              </w:rPr>
              <w:t>Assisting births/abortions, rectal palpation, and handling live vaccine strains (S19, Rev-1, RB51) expose veterinary staff to percutaneous, conjunctival and needle-stick inoculation.</w:t>
            </w:r>
          </w:p>
          <w:p>
            <w:pPr>
              <w:spacing w:after="40" w:before="60" w:line="259" w:lineRule="auto"/>
            </w:pPr>
            <w:r>
              <w:rPr>
                <w:rFonts w:ascii="Calibri" w:hAnsi="Calibri"/>
                <w:b w:val="0"/>
                <w:i w:val="0"/>
                <w:color w:val="212121"/>
                <w:sz w:val="19"/>
              </w:rPr>
              <w:t>Veterinarians and veterinary staff are recognized professional risk groups; accidental self-inoculation with live vaccine strains is a documented hazard.</w:t>
            </w:r>
          </w:p>
          <w:p>
            <w:pPr>
              <w:spacing w:after="40" w:line="252" w:lineRule="auto"/>
            </w:pPr>
            <w:hyperlink r:id="rId11">
              <w:r>
                <w:rPr>
                  <w:rFonts w:ascii="Calibri" w:hAnsi="Calibri" w:cs="Calibri"/>
                  <w:sz w:val="18"/>
                  <w:color w:val="1155CC"/>
                  <w:u w:val="single"/>
                </w:rPr>
                <w:t xml:space="preserve">cdc.gov — About brucellosis (at-risk groups)</w:t>
              </w:r>
            </w:hyperlink>
          </w:p>
          <w:p>
            <w:pPr>
              <w:spacing w:before="60" w:after="40"/>
            </w:pPr>
            <w:r>
              <w:rPr>
                <w:rFonts w:ascii="Calibri" w:hAnsi="Calibri"/>
                <w:b w:val="0"/>
                <w:i w:val="0"/>
                <w:color w:val="5A5A5A"/>
                <w:sz w:val="18"/>
              </w:rPr>
              <w:t>#veterinary  #vaccinestrain  #needlestick  #AItechnician</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Dairy workers</w:t>
            </w:r>
          </w:p>
        </w:tc>
        <w:tc>
          <w:tcPr>
            <w:tcW w:type="dxa" w:w="4276"/>
            <w:vAlign w:val="top"/>
          </w:tcPr>
          <w:p>
            <w:pPr>
              <w:spacing w:after="60" w:line="259" w:lineRule="auto"/>
            </w:pPr>
            <w:r>
              <w:rPr>
                <w:rFonts w:ascii="Calibri" w:hAnsi="Calibri"/>
                <w:b w:val="0"/>
                <w:i w:val="0"/>
                <w:color w:val="212121"/>
                <w:sz w:val="19"/>
              </w:rPr>
              <w:t>Milking, handling milk-borne bacteria and contact with infected udders/secretions expose dairy personnel repeatedly to Brucella.</w:t>
            </w:r>
          </w:p>
          <w:p>
            <w:pPr>
              <w:spacing w:after="40" w:before="60" w:line="259" w:lineRule="auto"/>
            </w:pPr>
            <w:r>
              <w:rPr>
                <w:rFonts w:ascii="Calibri" w:hAnsi="Calibri"/>
                <w:b w:val="0"/>
                <w:i w:val="0"/>
                <w:color w:val="212121"/>
                <w:sz w:val="19"/>
              </w:rPr>
              <w:t>Seroprevalence of 8.5% was recorded among dairy personnel in contact with infected animals.</w:t>
            </w:r>
          </w:p>
          <w:p>
            <w:pPr>
              <w:spacing w:after="40" w:line="252" w:lineRule="auto"/>
            </w:pPr>
            <w:hyperlink r:id="rId10">
              <w:r>
                <w:rPr>
                  <w:rFonts w:ascii="Calibri" w:hAnsi="Calibri" w:cs="Calibri"/>
                  <w:sz w:val="18"/>
                  <w:color w:val="1155CC"/>
                  <w:u w:val="single"/>
                </w:rPr>
                <w:t xml:space="preserve">ias.ac.in — Brucellosis in India: a review (Mantur 2008)</w:t>
              </w:r>
            </w:hyperlink>
          </w:p>
          <w:p>
            <w:pPr>
              <w:spacing w:before="60" w:after="40"/>
            </w:pPr>
            <w:r>
              <w:rPr>
                <w:rFonts w:ascii="Calibri" w:hAnsi="Calibri"/>
                <w:b w:val="0"/>
                <w:i w:val="0"/>
                <w:color w:val="5A5A5A"/>
                <w:sz w:val="18"/>
              </w:rPr>
              <w:t>#dairy  #milking  #occupational  #seropositive</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Laboratory personnel</w:t>
            </w:r>
          </w:p>
        </w:tc>
        <w:tc>
          <w:tcPr>
            <w:tcW w:type="dxa" w:w="4276"/>
            <w:vAlign w:val="top"/>
          </w:tcPr>
          <w:p>
            <w:pPr>
              <w:spacing w:after="60" w:line="259" w:lineRule="auto"/>
            </w:pPr>
            <w:r>
              <w:rPr>
                <w:rFonts w:ascii="Calibri" w:hAnsi="Calibri"/>
                <w:b w:val="0"/>
                <w:i w:val="0"/>
                <w:color w:val="212121"/>
                <w:sz w:val="19"/>
              </w:rPr>
              <w:t>Manipulating cultures on the open bench generates aerosols; the very low infective dose makes Brucella a leading cause of laboratory-acquired infection.</w:t>
            </w:r>
          </w:p>
          <w:p>
            <w:pPr>
              <w:spacing w:after="40" w:before="60" w:line="259" w:lineRule="auto"/>
            </w:pPr>
            <w:r>
              <w:rPr>
                <w:rFonts w:ascii="Calibri" w:hAnsi="Calibri"/>
                <w:b w:val="0"/>
                <w:i w:val="0"/>
                <w:color w:val="212121"/>
                <w:sz w:val="19"/>
              </w:rPr>
              <w:t>Brucellosis is the most commonly reported laboratory-associated bacterial infection.</w:t>
            </w:r>
          </w:p>
          <w:p>
            <w:pPr>
              <w:spacing w:after="40" w:line="252" w:lineRule="auto"/>
            </w:pPr>
            <w:hyperlink r:id="rId12">
              <w:r>
                <w:rPr>
                  <w:rFonts w:ascii="Calibri" w:hAnsi="Calibri" w:cs="Calibri"/>
                  <w:sz w:val="18"/>
                  <w:color w:val="1155CC"/>
                  <w:u w:val="single"/>
                </w:rPr>
                <w:t xml:space="preserve">cdc.gov — Preventing brucellosis (laboratory safety)</w:t>
              </w:r>
            </w:hyperlink>
          </w:p>
          <w:p>
            <w:pPr>
              <w:spacing w:before="60" w:after="40"/>
            </w:pPr>
            <w:r>
              <w:rPr>
                <w:rFonts w:ascii="Calibri" w:hAnsi="Calibri"/>
                <w:b w:val="0"/>
                <w:i w:val="0"/>
                <w:color w:val="5A5A5A"/>
                <w:sz w:val="18"/>
              </w:rPr>
              <w:t>#labacquired  #biosafety  #aerosol  #BSL3</w:t>
            </w:r>
          </w:p>
        </w:tc>
      </w:tr>
      <w:tr>
        <w:trPr>
          <w:cantSplit/>
        </w:trPr>
        <w:tc>
          <w:tcPr>
            <w:tcW w:type="dxa" w:w="1512"/>
            <w:vMerge w:val="restart"/>
            <w:vAlign w:val="center"/>
          </w:tcPr>
          <w:p>
            <w:pPr>
              <w:spacing w:after="40"/>
            </w:pPr>
            <w:r>
              <w:rPr>
                <w:rFonts w:ascii="Calibri" w:hAnsi="Calibri"/>
                <w:b/>
                <w:i w:val="0"/>
                <w:color w:val="212121"/>
                <w:sz w:val="19"/>
              </w:rPr>
              <w:t>Dietary factors</w:t>
            </w:r>
          </w:p>
        </w:tc>
        <w:tc>
          <w:tcPr>
            <w:tcW w:type="dxa" w:w="1655"/>
            <w:vMerge w:val="restart"/>
            <w:vAlign w:val="center"/>
          </w:tcPr>
          <w:p>
            <w:pPr>
              <w:spacing w:after="40"/>
            </w:pPr>
            <w:r>
              <w:rPr>
                <w:rFonts w:ascii="Calibri" w:hAnsi="Calibri"/>
                <w:b w:val="0"/>
                <w:i w:val="0"/>
                <w:color w:val="212121"/>
                <w:sz w:val="19"/>
              </w:rPr>
              <w:t>Dietary preference</w:t>
            </w:r>
          </w:p>
        </w:tc>
        <w:tc>
          <w:tcPr>
            <w:tcW w:type="dxa" w:w="2160"/>
            <w:vAlign w:val="top"/>
          </w:tcPr>
          <w:p>
            <w:pPr>
              <w:spacing w:after="40" w:before="0" w:line="259" w:lineRule="auto"/>
            </w:pPr>
            <w:r>
              <w:rPr>
                <w:rFonts w:ascii="Calibri" w:hAnsi="Calibri"/>
                <w:b w:val="0"/>
                <w:i w:val="0"/>
                <w:color w:val="212121"/>
                <w:sz w:val="19"/>
              </w:rPr>
              <w:t>Raw / unpasteurized dairy consumers</w:t>
            </w:r>
          </w:p>
        </w:tc>
        <w:tc>
          <w:tcPr>
            <w:tcW w:type="dxa" w:w="4276"/>
            <w:vAlign w:val="top"/>
          </w:tcPr>
          <w:p>
            <w:pPr>
              <w:spacing w:after="60" w:line="259" w:lineRule="auto"/>
            </w:pPr>
            <w:r>
              <w:rPr>
                <w:rFonts w:ascii="Calibri" w:hAnsi="Calibri"/>
                <w:b w:val="0"/>
                <w:i w:val="0"/>
                <w:color w:val="212121"/>
                <w:sz w:val="19"/>
              </w:rPr>
              <w:t>Unpasteurized milk, soft cheeses, curd and ice-cream from infected animals may contain high concentrations of Brucella — the principal foodborne route, affecting even non-occupational household members.</w:t>
            </w:r>
          </w:p>
          <w:p>
            <w:pPr>
              <w:spacing w:after="40" w:before="60" w:line="259" w:lineRule="auto"/>
            </w:pPr>
            <w:r>
              <w:rPr>
                <w:rFonts w:ascii="Calibri" w:hAnsi="Calibri"/>
                <w:b w:val="0"/>
                <w:i w:val="0"/>
                <w:color w:val="212121"/>
                <w:sz w:val="19"/>
              </w:rPr>
              <w:t>Ingesting unpasteurized milk or cheese from infected goats or sheep is the most common means of human infection worldwide.</w:t>
            </w:r>
          </w:p>
          <w:p>
            <w:pPr>
              <w:spacing w:after="40" w:line="252" w:lineRule="auto"/>
            </w:pPr>
            <w:hyperlink r:id="rId13">
              <w:r>
                <w:rPr>
                  <w:rFonts w:ascii="Calibri" w:hAnsi="Calibri" w:cs="Calibri"/>
                  <w:sz w:val="18"/>
                  <w:color w:val="1155CC"/>
                  <w:u w:val="single"/>
                </w:rPr>
                <w:t xml:space="preserve">who.int — Brucellosis fact sheet</w:t>
              </w:r>
            </w:hyperlink>
          </w:p>
          <w:p>
            <w:pPr>
              <w:spacing w:before="60" w:after="40"/>
            </w:pPr>
            <w:r>
              <w:rPr>
                <w:rFonts w:ascii="Calibri" w:hAnsi="Calibri"/>
                <w:b w:val="0"/>
                <w:i w:val="0"/>
                <w:color w:val="5A5A5A"/>
                <w:sz w:val="18"/>
              </w:rPr>
              <w:t>#rawmilk  #softcheese  #curd  #foodborne</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Undercooked-meat consumers</w:t>
            </w:r>
          </w:p>
        </w:tc>
        <w:tc>
          <w:tcPr>
            <w:tcW w:type="dxa" w:w="4276"/>
            <w:vAlign w:val="top"/>
          </w:tcPr>
          <w:p>
            <w:pPr>
              <w:spacing w:after="60" w:line="259" w:lineRule="auto"/>
            </w:pPr>
            <w:r>
              <w:rPr>
                <w:rFonts w:ascii="Calibri" w:hAnsi="Calibri"/>
                <w:b w:val="0"/>
                <w:i w:val="0"/>
                <w:color w:val="212121"/>
                <w:sz w:val="19"/>
              </w:rPr>
              <w:t>Eating raw or undercooked meat and organ meats (liver) from infected sheep, goat, cattle or camel is a less common but recognized route of transmission.</w:t>
            </w:r>
          </w:p>
          <w:p>
            <w:pPr>
              <w:spacing w:after="40" w:before="60" w:line="259" w:lineRule="auto"/>
            </w:pPr>
            <w:r>
              <w:rPr>
                <w:rFonts w:ascii="Calibri" w:hAnsi="Calibri"/>
                <w:b w:val="0"/>
                <w:i w:val="0"/>
                <w:color w:val="212121"/>
                <w:sz w:val="19"/>
              </w:rPr>
              <w:t>Undercooked meat from sheep, cow, goat or camel is listed by CDC as a route of human infection.</w:t>
            </w:r>
          </w:p>
          <w:p>
            <w:pPr>
              <w:spacing w:after="40" w:line="252" w:lineRule="auto"/>
            </w:pPr>
            <w:hyperlink r:id="rId11">
              <w:r>
                <w:rPr>
                  <w:rFonts w:ascii="Calibri" w:hAnsi="Calibri" w:cs="Calibri"/>
                  <w:sz w:val="18"/>
                  <w:color w:val="1155CC"/>
                  <w:u w:val="single"/>
                </w:rPr>
                <w:t xml:space="preserve">cdc.gov — About brucellosis (transmission)</w:t>
              </w:r>
            </w:hyperlink>
          </w:p>
          <w:p>
            <w:pPr>
              <w:spacing w:before="60" w:after="40"/>
            </w:pPr>
            <w:r>
              <w:rPr>
                <w:rFonts w:ascii="Calibri" w:hAnsi="Calibri"/>
                <w:b w:val="0"/>
                <w:i w:val="0"/>
                <w:color w:val="5A5A5A"/>
                <w:sz w:val="18"/>
              </w:rPr>
              <w:t>#undercookedmeat  #offal  #foodborne</w:t>
            </w:r>
          </w:p>
        </w:tc>
      </w:tr>
      <w:tr>
        <w:trPr>
          <w:cantSplit/>
        </w:trPr>
        <w:tc>
          <w:tcPr>
            <w:tcW w:type="dxa" w:w="1512"/>
            <w:vAlign w:val="center"/>
          </w:tcPr>
          <w:p>
            <w:pPr>
              <w:spacing w:after="40"/>
            </w:pPr>
            <w:r>
              <w:rPr>
                <w:rFonts w:ascii="Calibri" w:hAnsi="Calibri"/>
                <w:b/>
                <w:i w:val="0"/>
                <w:color w:val="212121"/>
                <w:sz w:val="19"/>
              </w:rPr>
              <w:t>Genetic factors</w:t>
            </w:r>
          </w:p>
        </w:tc>
        <w:tc>
          <w:tcPr>
            <w:tcW w:type="dxa" w:w="1655"/>
            <w:vAlign w:val="center"/>
          </w:tcPr>
          <w:p>
            <w:pPr>
              <w:spacing w:after="40"/>
            </w:pPr>
            <w:r>
              <w:rPr>
                <w:rFonts w:ascii="Calibri" w:hAnsi="Calibri"/>
                <w:b w:val="0"/>
                <w:i w:val="0"/>
                <w:color w:val="212121"/>
                <w:sz w:val="19"/>
              </w:rPr>
              <w:t>Host susceptibility</w:t>
            </w:r>
          </w:p>
        </w:tc>
        <w:tc>
          <w:tcPr>
            <w:tcW w:type="dxa" w:w="2160"/>
            <w:vAlign w:val="top"/>
          </w:tcPr>
          <w:p>
            <w:pPr>
              <w:spacing w:after="40" w:before="0" w:line="259" w:lineRule="auto"/>
            </w:pPr>
            <w:r>
              <w:rPr>
                <w:rFonts w:ascii="Calibri" w:hAnsi="Calibri"/>
                <w:b w:val="0"/>
                <w:i w:val="0"/>
                <w:color w:val="212121"/>
                <w:sz w:val="19"/>
              </w:rPr>
              <w:t>Individuals with genetic predisposition to focal/chronic disease</w:t>
            </w:r>
          </w:p>
        </w:tc>
        <w:tc>
          <w:tcPr>
            <w:tcW w:type="dxa" w:w="4276"/>
            <w:vAlign w:val="top"/>
          </w:tcPr>
          <w:p>
            <w:pPr>
              <w:spacing w:after="60" w:line="259" w:lineRule="auto"/>
            </w:pPr>
            <w:r>
              <w:rPr>
                <w:rFonts w:ascii="Calibri" w:hAnsi="Calibri"/>
                <w:b w:val="0"/>
                <w:i w:val="0"/>
                <w:color w:val="212121"/>
                <w:sz w:val="19"/>
              </w:rPr>
              <w:t>Host immunogenetic factors (e.g., HLA associations and innate-immunity gene variants) are thought to influence the risk of osteoarticular localization, chronicity and relapse rather than initial acquisition, which is exposure-driven. Familial case clustering usually reflects shared raw-milk/animal exposure.</w:t>
            </w:r>
          </w:p>
          <w:p>
            <w:pPr>
              <w:spacing w:before="60" w:after="40"/>
            </w:pPr>
            <w:r>
              <w:rPr>
                <w:rFonts w:ascii="Calibri" w:hAnsi="Calibri"/>
                <w:b w:val="0"/>
                <w:i w:val="0"/>
                <w:color w:val="5A5A5A"/>
                <w:sz w:val="18"/>
              </w:rPr>
              <w:t>#hostgenetics  #HLA  #chronicity  #focaldisease</w:t>
            </w:r>
          </w:p>
        </w:tc>
      </w:tr>
      <w:tr>
        <w:trPr>
          <w:cantSplit/>
        </w:trPr>
        <w:tc>
          <w:tcPr>
            <w:tcW w:type="dxa" w:w="1512"/>
            <w:vMerge w:val="restart"/>
            <w:vAlign w:val="center"/>
          </w:tcPr>
          <w:p>
            <w:pPr>
              <w:spacing w:after="40"/>
            </w:pPr>
            <w:r>
              <w:rPr>
                <w:rFonts w:ascii="Calibri" w:hAnsi="Calibri"/>
                <w:b/>
                <w:i w:val="0"/>
                <w:color w:val="212121"/>
                <w:sz w:val="19"/>
              </w:rPr>
              <w:t>Medical conditions profile (mcp)</w:t>
            </w:r>
          </w:p>
        </w:tc>
        <w:tc>
          <w:tcPr>
            <w:tcW w:type="dxa" w:w="1655"/>
            <w:vAlign w:val="center"/>
          </w:tcPr>
          <w:p>
            <w:pPr>
              <w:spacing w:after="40"/>
            </w:pPr>
            <w:r>
              <w:rPr>
                <w:rFonts w:ascii="Calibri" w:hAnsi="Calibri"/>
                <w:b w:val="0"/>
                <w:i w:val="0"/>
                <w:color w:val="212121"/>
                <w:sz w:val="19"/>
              </w:rPr>
              <w:t>Pregnancy</w:t>
            </w:r>
          </w:p>
        </w:tc>
        <w:tc>
          <w:tcPr>
            <w:tcW w:type="dxa" w:w="2160"/>
            <w:vAlign w:val="top"/>
          </w:tcPr>
          <w:p>
            <w:pPr>
              <w:spacing w:after="40" w:before="0" w:line="259" w:lineRule="auto"/>
            </w:pPr>
            <w:r>
              <w:rPr>
                <w:rFonts w:ascii="Calibri" w:hAnsi="Calibri"/>
                <w:b w:val="0"/>
                <w:i w:val="0"/>
                <w:color w:val="212121"/>
                <w:sz w:val="19"/>
              </w:rPr>
              <w:t>Pregnant women</w:t>
            </w:r>
          </w:p>
        </w:tc>
        <w:tc>
          <w:tcPr>
            <w:tcW w:type="dxa" w:w="4276"/>
            <w:vAlign w:val="top"/>
          </w:tcPr>
          <w:p>
            <w:pPr>
              <w:spacing w:after="60" w:line="259" w:lineRule="auto"/>
            </w:pPr>
            <w:r>
              <w:rPr>
                <w:rFonts w:ascii="Calibri" w:hAnsi="Calibri"/>
                <w:b w:val="0"/>
                <w:i w:val="0"/>
                <w:color w:val="212121"/>
                <w:sz w:val="19"/>
              </w:rPr>
              <w:t>Brucella has tropism for placental tissue and can cause spontaneous abortion, intrauterine death and preterm birth; pregnancy also constrains antibiotic choice (tetracyclines/aminoglycosides avoided).</w:t>
            </w:r>
          </w:p>
          <w:p>
            <w:pPr>
              <w:spacing w:after="40" w:before="60" w:line="259" w:lineRule="auto"/>
            </w:pPr>
            <w:r>
              <w:rPr>
                <w:rFonts w:ascii="Calibri" w:hAnsi="Calibri"/>
                <w:b w:val="0"/>
                <w:i w:val="0"/>
                <w:color w:val="212121"/>
                <w:sz w:val="19"/>
              </w:rPr>
              <w:t>In one Indian series 4.2% of women who had aborted were seropositive for brucellosis.</w:t>
            </w:r>
          </w:p>
          <w:p>
            <w:pPr>
              <w:spacing w:after="40" w:line="252" w:lineRule="auto"/>
            </w:pPr>
            <w:hyperlink r:id="rId10">
              <w:r>
                <w:rPr>
                  <w:rFonts w:ascii="Calibri" w:hAnsi="Calibri" w:cs="Calibri"/>
                  <w:sz w:val="18"/>
                  <w:color w:val="1155CC"/>
                  <w:u w:val="single"/>
                </w:rPr>
                <w:t xml:space="preserve">ias.ac.in — Brucellosis in India: a review (Mantur 2008)</w:t>
              </w:r>
            </w:hyperlink>
          </w:p>
          <w:p>
            <w:pPr>
              <w:spacing w:before="60" w:after="40"/>
            </w:pPr>
            <w:r>
              <w:rPr>
                <w:rFonts w:ascii="Calibri" w:hAnsi="Calibri"/>
                <w:b w:val="0"/>
                <w:i w:val="0"/>
                <w:color w:val="5A5A5A"/>
                <w:sz w:val="18"/>
              </w:rPr>
              <w:t>#pregnancy  #abortion  #placentaltropism  #IUD</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Immunosuppression</w:t>
            </w:r>
          </w:p>
        </w:tc>
        <w:tc>
          <w:tcPr>
            <w:tcW w:type="dxa" w:w="2160"/>
            <w:vAlign w:val="top"/>
          </w:tcPr>
          <w:p>
            <w:pPr>
              <w:spacing w:after="40" w:before="0" w:line="259" w:lineRule="auto"/>
            </w:pPr>
            <w:r>
              <w:rPr>
                <w:rFonts w:ascii="Calibri" w:hAnsi="Calibri"/>
                <w:b w:val="0"/>
                <w:i w:val="0"/>
                <w:color w:val="212121"/>
                <w:sz w:val="19"/>
              </w:rPr>
              <w:t>Immunocompromised (HIV, transplant, chronic steroids)</w:t>
            </w:r>
          </w:p>
        </w:tc>
        <w:tc>
          <w:tcPr>
            <w:tcW w:type="dxa" w:w="4276"/>
            <w:vAlign w:val="top"/>
          </w:tcPr>
          <w:p>
            <w:pPr>
              <w:spacing w:after="60" w:line="259" w:lineRule="auto"/>
            </w:pPr>
            <w:r>
              <w:rPr>
                <w:rFonts w:ascii="Calibri" w:hAnsi="Calibri"/>
                <w:b w:val="0"/>
                <w:i w:val="0"/>
                <w:color w:val="212121"/>
                <w:sz w:val="19"/>
              </w:rPr>
              <w:t>Impaired cell-mediated immunity — the key defence against intracellular Brucella — predisposes to severe, disseminated, focal and relapsing disease and complicates treatment.</w:t>
            </w:r>
          </w:p>
          <w:p>
            <w:pPr>
              <w:spacing w:after="40" w:before="60" w:line="259" w:lineRule="auto"/>
            </w:pPr>
            <w:r>
              <w:rPr>
                <w:rFonts w:ascii="Calibri" w:hAnsi="Calibri"/>
                <w:b w:val="0"/>
                <w:i w:val="0"/>
                <w:color w:val="212121"/>
                <w:sz w:val="19"/>
              </w:rPr>
              <w:t>Cell-mediated immunity is central to controlling intracellular Brucella; immunosuppression favours disseminated and relapsing disease.</w:t>
            </w:r>
          </w:p>
          <w:p>
            <w:pPr>
              <w:spacing w:after="40" w:line="252" w:lineRule="auto"/>
            </w:pPr>
            <w:hyperlink r:id="rId9">
              <w:r>
                <w:rPr>
                  <w:rFonts w:ascii="Calibri" w:hAnsi="Calibri" w:cs="Calibri"/>
                  <w:sz w:val="18"/>
                  <w:color w:val="1155CC"/>
                  <w:u w:val="single"/>
                </w:rPr>
                <w:t xml:space="preserve">ncbi.nlm.nih.gov — StatPearls: Brucellosis</w:t>
              </w:r>
            </w:hyperlink>
          </w:p>
          <w:p>
            <w:pPr>
              <w:spacing w:before="60" w:after="40"/>
            </w:pPr>
            <w:r>
              <w:rPr>
                <w:rFonts w:ascii="Calibri" w:hAnsi="Calibri"/>
                <w:b w:val="0"/>
                <w:i w:val="0"/>
                <w:color w:val="5A5A5A"/>
                <w:sz w:val="18"/>
              </w:rPr>
              <w:t>#immunocompromised  #HIV  #transplant  #disseminated</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Structural heart disease</w:t>
            </w:r>
          </w:p>
        </w:tc>
        <w:tc>
          <w:tcPr>
            <w:tcW w:type="dxa" w:w="2160"/>
            <w:vAlign w:val="top"/>
          </w:tcPr>
          <w:p>
            <w:pPr>
              <w:spacing w:after="40" w:before="0" w:line="259" w:lineRule="auto"/>
            </w:pPr>
            <w:r>
              <w:rPr>
                <w:rFonts w:ascii="Calibri" w:hAnsi="Calibri"/>
                <w:b w:val="0"/>
                <w:i w:val="0"/>
                <w:color w:val="212121"/>
                <w:sz w:val="19"/>
              </w:rPr>
              <w:t>Pre-existing valvular / prosthetic-valve disease</w:t>
            </w:r>
          </w:p>
        </w:tc>
        <w:tc>
          <w:tcPr>
            <w:tcW w:type="dxa" w:w="4276"/>
            <w:vAlign w:val="top"/>
          </w:tcPr>
          <w:p>
            <w:pPr>
              <w:spacing w:after="60" w:line="259" w:lineRule="auto"/>
            </w:pPr>
            <w:r>
              <w:rPr>
                <w:rFonts w:ascii="Calibri" w:hAnsi="Calibri"/>
                <w:b w:val="0"/>
                <w:i w:val="0"/>
                <w:color w:val="212121"/>
                <w:sz w:val="19"/>
              </w:rPr>
              <w:t>Damaged or prosthetic valves are seeded during Brucella bacteraemia, producing brucellar endocarditis — the leading cause of death in this infection.</w:t>
            </w:r>
          </w:p>
          <w:p>
            <w:pPr>
              <w:spacing w:after="40" w:before="60" w:line="259" w:lineRule="auto"/>
            </w:pPr>
            <w:r>
              <w:rPr>
                <w:rFonts w:ascii="Calibri" w:hAnsi="Calibri"/>
                <w:b w:val="0"/>
                <w:i w:val="0"/>
                <w:color w:val="212121"/>
                <w:sz w:val="19"/>
              </w:rPr>
              <w:t>Endocarditis is the most common cause of death from brucellosis.</w:t>
            </w:r>
          </w:p>
          <w:p>
            <w:pPr>
              <w:spacing w:after="40" w:line="252" w:lineRule="auto"/>
            </w:pPr>
            <w:hyperlink r:id="rId9">
              <w:r>
                <w:rPr>
                  <w:rFonts w:ascii="Calibri" w:hAnsi="Calibri" w:cs="Calibri"/>
                  <w:sz w:val="18"/>
                  <w:color w:val="1155CC"/>
                  <w:u w:val="single"/>
                </w:rPr>
                <w:t xml:space="preserve">ncbi.nlm.nih.gov — StatPearls: Brucellosis</w:t>
              </w:r>
            </w:hyperlink>
          </w:p>
          <w:p>
            <w:pPr>
              <w:spacing w:before="60" w:after="40"/>
            </w:pPr>
            <w:r>
              <w:rPr>
                <w:rFonts w:ascii="Calibri" w:hAnsi="Calibri"/>
                <w:b w:val="0"/>
                <w:i w:val="0"/>
                <w:color w:val="5A5A5A"/>
                <w:sz w:val="18"/>
              </w:rPr>
              <w:t>#endocarditis  #valvular  #prosthetic  #mortality</w:t>
            </w:r>
          </w:p>
        </w:tc>
      </w:tr>
    </w:tbl>
    <w:p>
      <w:pPr>
        <w:spacing w:before="200" w:after="120"/>
      </w:pPr>
      <w:r>
        <w:rPr>
          <w:rFonts w:ascii="Calibri" w:hAnsi="Calibri"/>
          <w:b/>
          <w:i w:val="0"/>
          <w:color w:val="212121"/>
          <w:sz w:val="25"/>
        </w:rPr>
        <w:t>Lifestyle Health Parameters ( LHP )</w:t>
      </w:r>
    </w:p>
    <w:p>
      <w:pPr>
        <w:spacing w:before="160" w:after="120"/>
      </w:pPr>
      <w:r>
        <w:rPr>
          <w:rFonts w:ascii="Calibri" w:hAnsi="Calibri"/>
          <w:b/>
          <w:i w:val="0"/>
          <w:color w:val="212121"/>
          <w:sz w:val="22"/>
        </w:rPr>
        <w:t>Order of Parameter Influence Study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LHP</w:t>
            </w:r>
          </w:p>
        </w:tc>
        <w:tc>
          <w:tcPr>
            <w:tcW w:type="dxa" w:w="1800"/>
            <w:shd w:val="clear" w:color="auto" w:fill="F2F2F2"/>
            <w:vAlign w:val="center"/>
          </w:tcPr>
          <w:p>
            <w:pPr>
              <w:spacing w:after="40" w:before="0" w:line="259" w:lineRule="auto"/>
            </w:pPr>
            <w:r>
              <w:rPr>
                <w:rFonts w:ascii="Calibri" w:hAnsi="Calibri"/>
                <w:b/>
                <w:i w:val="0"/>
                <w:color w:val="212121"/>
                <w:sz w:val="19"/>
              </w:rPr>
              <w:t>Influence Level</w:t>
            </w:r>
          </w:p>
        </w:tc>
        <w:tc>
          <w:tcPr>
            <w:tcW w:type="dxa" w:w="5500"/>
            <w:shd w:val="clear" w:color="auto" w:fill="F2F2F2"/>
            <w:vAlign w:val="center"/>
          </w:tcPr>
          <w:p>
            <w:pPr>
              <w:spacing w:after="40" w:before="0" w:line="259" w:lineRule="auto"/>
            </w:pPr>
            <w:r>
              <w:rPr>
                <w:rFonts w:ascii="Calibri" w:hAnsi="Calibri"/>
                <w:b/>
                <w:i w:val="0"/>
                <w:color w:val="212121"/>
                <w:sz w:val="19"/>
              </w:rPr>
              <w:t>Influence Study</w:t>
            </w:r>
          </w:p>
        </w:tc>
      </w:tr>
      <w:tr>
        <w:trPr>
          <w:cantSplit/>
        </w:trPr>
        <w:tc>
          <w:tcPr>
            <w:tcW w:type="dxa" w:w="2304"/>
            <w:vAlign w:val="top"/>
          </w:tcPr>
          <w:p>
            <w:pPr>
              <w:spacing w:after="40" w:before="0" w:line="259" w:lineRule="auto"/>
            </w:pPr>
            <w:r>
              <w:rPr>
                <w:rFonts w:ascii="Calibri" w:hAnsi="Calibri"/>
                <w:b/>
                <w:i w:val="0"/>
                <w:color w:val="212121"/>
                <w:sz w:val="19"/>
              </w:rPr>
              <w:t>Physical activity</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General physical activity is not a risk factor for acquisition; however, the physical labour of herding, milking, calving assistance and carcass handling drives cumulative occupational exposure. After osteoarticular disease, graded activity/physiotherapy aids recovery.</w:t>
            </w:r>
          </w:p>
        </w:tc>
      </w:tr>
      <w:tr>
        <w:trPr>
          <w:cantSplit/>
        </w:trPr>
        <w:tc>
          <w:tcPr>
            <w:tcW w:type="dxa" w:w="2304"/>
            <w:vAlign w:val="top"/>
          </w:tcPr>
          <w:p>
            <w:pPr>
              <w:spacing w:after="40" w:before="0" w:line="259" w:lineRule="auto"/>
            </w:pPr>
            <w:r>
              <w:rPr>
                <w:rFonts w:ascii="Calibri" w:hAnsi="Calibri"/>
                <w:b/>
                <w:i w:val="0"/>
                <w:color w:val="212121"/>
                <w:sz w:val="19"/>
              </w:rPr>
              <w:t>Food</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Consumption of unpasteurized milk, soft cheese, curd and ice-cream is the principal foodborne route; boiling or pasteurization reliably destroys Brucella. Undercooked meat/offal is a lesser route.</w:t>
            </w:r>
          </w:p>
        </w:tc>
      </w:tr>
      <w:tr>
        <w:trPr>
          <w:cantSplit/>
        </w:trPr>
        <w:tc>
          <w:tcPr>
            <w:tcW w:type="dxa" w:w="2304"/>
            <w:vAlign w:val="top"/>
          </w:tcPr>
          <w:p>
            <w:pPr>
              <w:spacing w:after="40" w:before="0" w:line="259" w:lineRule="auto"/>
            </w:pPr>
            <w:r>
              <w:rPr>
                <w:rFonts w:ascii="Calibri" w:hAnsi="Calibri"/>
                <w:b/>
                <w:i w:val="0"/>
                <w:color w:val="212121"/>
                <w:sz w:val="19"/>
              </w:rPr>
              <w:t>Sleep</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Sleep has no causal role in acquisition, but adequate rest supports immune recovery during a prolonged relapsing febrile illness; insomnia is itself a feature of chronic/neurobrucellosis.</w:t>
            </w:r>
          </w:p>
        </w:tc>
      </w:tr>
      <w:tr>
        <w:trPr>
          <w:cantSplit/>
        </w:trPr>
        <w:tc>
          <w:tcPr>
            <w:tcW w:type="dxa" w:w="2304"/>
            <w:vAlign w:val="top"/>
          </w:tcPr>
          <w:p>
            <w:pPr>
              <w:spacing w:after="40" w:before="0" w:line="259" w:lineRule="auto"/>
            </w:pPr>
            <w:r>
              <w:rPr>
                <w:rFonts w:ascii="Calibri" w:hAnsi="Calibri"/>
                <w:b/>
                <w:i w:val="0"/>
                <w:color w:val="212121"/>
                <w:sz w:val="19"/>
              </w:rPr>
              <w:t>Smoking</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Smoking is not an established independent risk factor, but eating, drinking or smoking while handling animals or laboratory samples increases hand-to-mouth inoculation.</w:t>
            </w:r>
          </w:p>
        </w:tc>
      </w:tr>
      <w:tr>
        <w:trPr>
          <w:cantSplit/>
        </w:trPr>
        <w:tc>
          <w:tcPr>
            <w:tcW w:type="dxa" w:w="2304"/>
            <w:vAlign w:val="top"/>
          </w:tcPr>
          <w:p>
            <w:pPr>
              <w:spacing w:after="40" w:before="0" w:line="259" w:lineRule="auto"/>
            </w:pPr>
            <w:r>
              <w:rPr>
                <w:rFonts w:ascii="Calibri" w:hAnsi="Calibri"/>
                <w:b/>
                <w:i w:val="0"/>
                <w:color w:val="212121"/>
                <w:sz w:val="19"/>
              </w:rPr>
              <w:t>Alcohol</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Alcohol has no direct role in acquisition; heavy use or alcoholic liver disease may worsen hepatic involvement and interact with prolonged doxycycline/rifampin therapy.</w:t>
            </w:r>
          </w:p>
        </w:tc>
      </w:tr>
      <w:tr>
        <w:trPr>
          <w:cantSplit/>
        </w:trPr>
        <w:tc>
          <w:tcPr>
            <w:tcW w:type="dxa" w:w="2304"/>
            <w:vAlign w:val="top"/>
          </w:tcPr>
          <w:p>
            <w:pPr>
              <w:spacing w:after="40" w:before="0" w:line="259" w:lineRule="auto"/>
            </w:pPr>
            <w:r>
              <w:rPr>
                <w:rFonts w:ascii="Calibri" w:hAnsi="Calibri"/>
                <w:b/>
                <w:i w:val="0"/>
                <w:color w:val="212121"/>
                <w:sz w:val="19"/>
              </w:rPr>
              <w:t>Mental health</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Chronic brucellosis and neurobrucellosis frequently cause depression, irritability, insomnia and fatigue; neuropsychiatric morbidity is common and can persist after cure, warranting screening.</w:t>
            </w:r>
          </w:p>
        </w:tc>
      </w:tr>
      <w:tr>
        <w:trPr>
          <w:cantSplit/>
        </w:trPr>
        <w:tc>
          <w:tcPr>
            <w:tcW w:type="dxa" w:w="2304"/>
            <w:vAlign w:val="top"/>
          </w:tcPr>
          <w:p>
            <w:pPr>
              <w:spacing w:after="40" w:before="0" w:line="259" w:lineRule="auto"/>
            </w:pPr>
            <w:r>
              <w:rPr>
                <w:rFonts w:ascii="Calibri" w:hAnsi="Calibri"/>
                <w:b/>
                <w:i w:val="0"/>
                <w:color w:val="212121"/>
                <w:sz w:val="19"/>
              </w:rPr>
              <w:t>Water</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Milk — not water — is the main vehicle; contamination of water or soil by infected animal excreta/aborted material is an uncommon route of exposure.</w:t>
            </w:r>
          </w:p>
        </w:tc>
      </w:tr>
      <w:tr>
        <w:trPr>
          <w:cantSplit/>
        </w:trPr>
        <w:tc>
          <w:tcPr>
            <w:tcW w:type="dxa" w:w="2304"/>
            <w:vAlign w:val="top"/>
          </w:tcPr>
          <w:p>
            <w:pPr>
              <w:spacing w:after="40" w:before="0" w:line="259" w:lineRule="auto"/>
            </w:pPr>
            <w:r>
              <w:rPr>
                <w:rFonts w:ascii="Calibri" w:hAnsi="Calibri"/>
                <w:b/>
                <w:i w:val="0"/>
                <w:color w:val="212121"/>
                <w:sz w:val="19"/>
              </w:rPr>
              <w:t>Caffeine</w:t>
            </w:r>
          </w:p>
        </w:tc>
        <w:tc>
          <w:tcPr>
            <w:tcW w:type="dxa" w:w="1800"/>
            <w:vAlign w:val="top"/>
          </w:tcPr>
          <w:p>
            <w:pPr>
              <w:spacing w:after="40" w:before="0" w:line="259" w:lineRule="auto"/>
            </w:pPr>
            <w:r>
              <w:rPr>
                <w:rFonts w:ascii="Calibri" w:hAnsi="Calibri"/>
                <w:b w:val="0"/>
                <w:i w:val="0"/>
                <w:color w:val="212121"/>
                <w:sz w:val="19"/>
              </w:rPr>
              <w:t>NA</w:t>
            </w:r>
          </w:p>
        </w:tc>
        <w:tc>
          <w:tcPr>
            <w:tcW w:type="dxa" w:w="5500"/>
            <w:vAlign w:val="top"/>
          </w:tcPr>
          <w:p>
            <w:pPr>
              <w:spacing w:after="40" w:before="0" w:line="259" w:lineRule="auto"/>
            </w:pPr>
            <w:r>
              <w:rPr>
                <w:rFonts w:ascii="Calibri" w:hAnsi="Calibri"/>
                <w:b w:val="0"/>
                <w:i w:val="0"/>
                <w:color w:val="212121"/>
                <w:sz w:val="19"/>
              </w:rPr>
              <w:t>NA — no known relationship between caffeine intake and brucellosis.</w:t>
            </w:r>
          </w:p>
        </w:tc>
      </w:tr>
      <w:tr>
        <w:trPr>
          <w:cantSplit/>
        </w:trPr>
        <w:tc>
          <w:tcPr>
            <w:tcW w:type="dxa" w:w="2304"/>
            <w:vAlign w:val="top"/>
          </w:tcPr>
          <w:p>
            <w:pPr>
              <w:spacing w:after="40" w:before="0" w:line="259" w:lineRule="auto"/>
            </w:pPr>
            <w:r>
              <w:rPr>
                <w:rFonts w:ascii="Calibri" w:hAnsi="Calibri"/>
                <w:b/>
                <w:i w:val="0"/>
                <w:color w:val="212121"/>
                <w:sz w:val="19"/>
              </w:rPr>
              <w:t>Hygiene</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Hand hygiene, personal protective equipment (gloves, mask/respirator, goggles, apron), safe disposal of aborted material and abattoir/laboratory hygiene are central to prevention; brucellosis is the commonest laboratory-acquired bacterial infection.</w:t>
            </w:r>
          </w:p>
        </w:tc>
      </w:tr>
      <w:tr>
        <w:trPr>
          <w:cantSplit/>
        </w:trPr>
        <w:tc>
          <w:tcPr>
            <w:tcW w:type="dxa" w:w="2304"/>
            <w:vAlign w:val="top"/>
          </w:tcPr>
          <w:p>
            <w:pPr>
              <w:spacing w:after="40" w:before="0" w:line="259" w:lineRule="auto"/>
            </w:pPr>
            <w:r>
              <w:rPr>
                <w:rFonts w:ascii="Calibri" w:hAnsi="Calibri"/>
                <w:b/>
                <w:i w:val="0"/>
                <w:color w:val="212121"/>
                <w:sz w:val="19"/>
              </w:rPr>
              <w:t>Provoking factors</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Animal parturition and abortion seasons (calving, kidding, lambing) with bare-handed handling of placenta and birth fluids, mass-slaughter festivals, and livestock vaccination campaigns are recognized high-inoculum exposure events.</w:t>
            </w:r>
          </w:p>
        </w:tc>
      </w:tr>
      <w:tr>
        <w:trPr>
          <w:cantSplit/>
        </w:trPr>
        <w:tc>
          <w:tcPr>
            <w:tcW w:type="dxa" w:w="2304"/>
            <w:vAlign w:val="top"/>
          </w:tcPr>
          <w:p>
            <w:pPr>
              <w:spacing w:after="40" w:before="0" w:line="259" w:lineRule="auto"/>
            </w:pPr>
            <w:r>
              <w:rPr>
                <w:rFonts w:ascii="Calibri" w:hAnsi="Calibri"/>
                <w:b/>
                <w:i w:val="0"/>
                <w:color w:val="212121"/>
                <w:sz w:val="19"/>
              </w:rPr>
              <w:t>Posture</w:t>
            </w:r>
          </w:p>
        </w:tc>
        <w:tc>
          <w:tcPr>
            <w:tcW w:type="dxa" w:w="1800"/>
            <w:vAlign w:val="top"/>
          </w:tcPr>
          <w:p>
            <w:pPr>
              <w:spacing w:after="40" w:before="0" w:line="259" w:lineRule="auto"/>
            </w:pPr>
            <w:r>
              <w:rPr>
                <w:rFonts w:ascii="Calibri" w:hAnsi="Calibri"/>
                <w:b w:val="0"/>
                <w:i w:val="0"/>
                <w:color w:val="212121"/>
                <w:sz w:val="19"/>
              </w:rPr>
              <w:t>NA</w:t>
            </w:r>
          </w:p>
        </w:tc>
        <w:tc>
          <w:tcPr>
            <w:tcW w:type="dxa" w:w="5500"/>
            <w:vAlign w:val="top"/>
          </w:tcPr>
          <w:p>
            <w:pPr>
              <w:spacing w:after="40" w:before="0" w:line="259" w:lineRule="auto"/>
            </w:pPr>
            <w:r>
              <w:rPr>
                <w:rFonts w:ascii="Calibri" w:hAnsi="Calibri"/>
                <w:b w:val="0"/>
                <w:i w:val="0"/>
                <w:color w:val="212121"/>
                <w:sz w:val="19"/>
              </w:rPr>
              <w:t>NA — posture is not a risk factor (though brucellar spondylitis may itself alter spinal posture).</w:t>
            </w:r>
          </w:p>
        </w:tc>
      </w:tr>
    </w:tbl>
    <w:p>
      <w:pPr>
        <w:spacing w:before="160" w:after="120"/>
      </w:pPr>
      <w:r>
        <w:rPr>
          <w:rFonts w:ascii="Calibri" w:hAnsi="Calibri"/>
          <w:b/>
          <w:i w:val="0"/>
          <w:color w:val="212121"/>
          <w:sz w:val="22"/>
        </w:rPr>
        <w:t>LHP Metric Triggers &amp; Specifications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601"/>
        <w:gridCol w:w="1601"/>
        <w:gridCol w:w="1601"/>
        <w:gridCol w:w="1601"/>
        <w:gridCol w:w="1601"/>
        <w:gridCol w:w="16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LHP</w:t>
            </w:r>
          </w:p>
        </w:tc>
        <w:tc>
          <w:tcPr>
            <w:tcW w:type="dxa" w:w="1944"/>
            <w:shd w:val="clear" w:color="auto" w:fill="F2F2F2"/>
            <w:vAlign w:val="center"/>
          </w:tcPr>
          <w:p>
            <w:pPr>
              <w:spacing w:after="40" w:before="0" w:line="259" w:lineRule="auto"/>
            </w:pPr>
            <w:r>
              <w:rPr>
                <w:rFonts w:ascii="Calibri" w:hAnsi="Calibri"/>
                <w:b/>
                <w:i w:val="0"/>
                <w:color w:val="212121"/>
                <w:sz w:val="19"/>
              </w:rPr>
              <w:t>Metric</w:t>
            </w:r>
          </w:p>
        </w:tc>
        <w:tc>
          <w:tcPr>
            <w:tcW w:type="dxa" w:w="1655"/>
            <w:shd w:val="clear" w:color="auto" w:fill="F2F2F2"/>
            <w:vAlign w:val="center"/>
          </w:tcPr>
          <w:p>
            <w:pPr>
              <w:spacing w:after="40" w:before="0" w:line="259" w:lineRule="auto"/>
            </w:pPr>
            <w:r>
              <w:rPr>
                <w:rFonts w:ascii="Calibri" w:hAnsi="Calibri"/>
                <w:b/>
                <w:i w:val="0"/>
                <w:color w:val="212121"/>
                <w:sz w:val="19"/>
              </w:rPr>
              <w:t>Profile</w:t>
            </w:r>
          </w:p>
        </w:tc>
        <w:tc>
          <w:tcPr>
            <w:tcW w:type="dxa" w:w="1512"/>
            <w:shd w:val="clear" w:color="auto" w:fill="F2F2F2"/>
            <w:vAlign w:val="center"/>
          </w:tcPr>
          <w:p>
            <w:pPr>
              <w:spacing w:after="40" w:before="0" w:line="259" w:lineRule="auto"/>
            </w:pPr>
            <w:r>
              <w:rPr>
                <w:rFonts w:ascii="Calibri" w:hAnsi="Calibri"/>
                <w:b/>
                <w:i w:val="0"/>
                <w:color w:val="212121"/>
                <w:sz w:val="19"/>
              </w:rPr>
              <w:t>Ideal Values</w:t>
            </w:r>
          </w:p>
        </w:tc>
        <w:tc>
          <w:tcPr>
            <w:tcW w:type="dxa" w:w="1512"/>
            <w:shd w:val="clear" w:color="auto" w:fill="F2F2F2"/>
            <w:vAlign w:val="center"/>
          </w:tcPr>
          <w:p>
            <w:pPr>
              <w:spacing w:after="40" w:before="0" w:line="259" w:lineRule="auto"/>
            </w:pPr>
            <w:r>
              <w:rPr>
                <w:rFonts w:ascii="Calibri" w:hAnsi="Calibri"/>
                <w:b/>
                <w:i w:val="0"/>
                <w:color w:val="212121"/>
                <w:sz w:val="19"/>
              </w:rPr>
              <w:t>Trigger Values</w:t>
            </w:r>
          </w:p>
        </w:tc>
        <w:tc>
          <w:tcPr>
            <w:tcW w:type="dxa" w:w="1468"/>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512"/>
            <w:vMerge w:val="restart"/>
            <w:vAlign w:val="center"/>
          </w:tcPr>
          <w:p>
            <w:pPr>
              <w:spacing w:after="40"/>
            </w:pPr>
            <w:r>
              <w:rPr>
                <w:rFonts w:ascii="Calibri" w:hAnsi="Calibri"/>
                <w:b w:val="0"/>
                <w:i w:val="0"/>
                <w:color w:val="212121"/>
                <w:sz w:val="19"/>
              </w:rPr>
              <w:t>Food</w:t>
            </w:r>
          </w:p>
        </w:tc>
        <w:tc>
          <w:tcPr>
            <w:tcW w:type="dxa" w:w="1944"/>
            <w:vAlign w:val="top"/>
          </w:tcPr>
          <w:p>
            <w:pPr>
              <w:spacing w:after="40" w:before="0" w:line="259" w:lineRule="auto"/>
            </w:pPr>
            <w:r>
              <w:rPr>
                <w:rFonts w:ascii="Calibri" w:hAnsi="Calibri"/>
                <w:b w:val="0"/>
                <w:i w:val="0"/>
                <w:color w:val="212121"/>
                <w:sz w:val="19"/>
              </w:rPr>
              <w:t>Raw/unpasteurized dairy intake</w:t>
            </w:r>
          </w:p>
        </w:tc>
        <w:tc>
          <w:tcPr>
            <w:tcW w:type="dxa" w:w="1655"/>
            <w:vAlign w:val="top"/>
          </w:tcPr>
          <w:p>
            <w:pPr>
              <w:spacing w:after="40" w:before="0" w:line="259" w:lineRule="auto"/>
            </w:pPr>
            <w:r>
              <w:rPr>
                <w:rFonts w:ascii="Calibri" w:hAnsi="Calibri"/>
                <w:b w:val="0"/>
                <w:i w:val="0"/>
                <w:color w:val="212121"/>
                <w:sz w:val="19"/>
              </w:rPr>
              <w:t>Rural households, pastoralists</w:t>
            </w:r>
          </w:p>
        </w:tc>
        <w:tc>
          <w:tcPr>
            <w:tcW w:type="dxa" w:w="1512"/>
            <w:vAlign w:val="top"/>
          </w:tcPr>
          <w:p>
            <w:pPr>
              <w:spacing w:after="40" w:before="0" w:line="259" w:lineRule="auto"/>
            </w:pPr>
            <w:r>
              <w:rPr>
                <w:rFonts w:ascii="Calibri" w:hAnsi="Calibri"/>
                <w:b w:val="0"/>
                <w:i w:val="0"/>
                <w:color w:val="212121"/>
                <w:sz w:val="19"/>
              </w:rPr>
              <w:t>0 servings of raw/unboiled milk or products</w:t>
            </w:r>
          </w:p>
        </w:tc>
        <w:tc>
          <w:tcPr>
            <w:tcW w:type="dxa" w:w="1512"/>
            <w:vAlign w:val="top"/>
          </w:tcPr>
          <w:p>
            <w:pPr>
              <w:spacing w:after="40" w:before="0" w:line="259" w:lineRule="auto"/>
            </w:pPr>
            <w:r>
              <w:rPr>
                <w:rFonts w:ascii="Calibri" w:hAnsi="Calibri"/>
                <w:b w:val="0"/>
                <w:i w:val="0"/>
                <w:color w:val="212121"/>
                <w:sz w:val="19"/>
              </w:rPr>
              <w:t>Any raw milk, soft cheese, curd or ice-cream from unpasteurized milk</w:t>
            </w:r>
          </w:p>
        </w:tc>
        <w:tc>
          <w:tcPr>
            <w:tcW w:type="dxa" w:w="1468"/>
            <w:vAlign w:val="top"/>
          </w:tcPr>
          <w:p>
            <w:pPr>
              <w:spacing w:after="60" w:line="259" w:lineRule="auto"/>
            </w:pPr>
            <w:r>
              <w:rPr>
                <w:rFonts w:ascii="Calibri" w:hAnsi="Calibri"/>
                <w:b w:val="0"/>
                <w:i w:val="0"/>
                <w:color w:val="212121"/>
                <w:sz w:val="19"/>
              </w:rPr>
              <w:t>Principal foodborne route; boiling/pasteurization is protective</w:t>
            </w:r>
          </w:p>
          <w:p>
            <w:pPr>
              <w:spacing w:after="40" w:line="252" w:lineRule="auto"/>
            </w:pPr>
            <w:hyperlink r:id="rId13">
              <w:r>
                <w:rPr>
                  <w:rFonts w:ascii="Calibri" w:hAnsi="Calibri" w:cs="Calibri"/>
                  <w:sz w:val="18"/>
                  <w:color w:val="1155CC"/>
                  <w:u w:val="single"/>
                </w:rPr>
                <w:t xml:space="preserve">https://www.who.int/news-room/fact-sheets/detail/brucellosis</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Milk heat-treatment</w:t>
            </w:r>
          </w:p>
        </w:tc>
        <w:tc>
          <w:tcPr>
            <w:tcW w:type="dxa" w:w="1655"/>
            <w:vAlign w:val="top"/>
          </w:tcPr>
          <w:p>
            <w:pPr>
              <w:spacing w:after="40" w:before="0" w:line="259" w:lineRule="auto"/>
            </w:pPr>
            <w:r>
              <w:rPr>
                <w:rFonts w:ascii="Calibri" w:hAnsi="Calibri"/>
                <w:b w:val="0"/>
                <w:i w:val="0"/>
                <w:color w:val="212121"/>
                <w:sz w:val="19"/>
              </w:rPr>
              <w:t>All milk consumers</w:t>
            </w:r>
          </w:p>
        </w:tc>
        <w:tc>
          <w:tcPr>
            <w:tcW w:type="dxa" w:w="1512"/>
            <w:vAlign w:val="top"/>
          </w:tcPr>
          <w:p>
            <w:pPr>
              <w:spacing w:after="40" w:before="0" w:line="259" w:lineRule="auto"/>
            </w:pPr>
            <w:r>
              <w:rPr>
                <w:rFonts w:ascii="Calibri" w:hAnsi="Calibri"/>
                <w:b w:val="0"/>
                <w:i w:val="0"/>
                <w:color w:val="212121"/>
                <w:sz w:val="19"/>
              </w:rPr>
              <w:t>Always pasteurized or rolling-boiled before use</w:t>
            </w:r>
          </w:p>
        </w:tc>
        <w:tc>
          <w:tcPr>
            <w:tcW w:type="dxa" w:w="1512"/>
            <w:vAlign w:val="top"/>
          </w:tcPr>
          <w:p>
            <w:pPr>
              <w:spacing w:after="40" w:before="0" w:line="259" w:lineRule="auto"/>
            </w:pPr>
            <w:r>
              <w:rPr>
                <w:rFonts w:ascii="Calibri" w:hAnsi="Calibri"/>
                <w:b w:val="0"/>
                <w:i w:val="0"/>
                <w:color w:val="212121"/>
                <w:sz w:val="19"/>
              </w:rPr>
              <w:t>Consumed raw/warm straight from the animal</w:t>
            </w:r>
          </w:p>
        </w:tc>
        <w:tc>
          <w:tcPr>
            <w:tcW w:type="dxa" w:w="1468"/>
            <w:vAlign w:val="top"/>
          </w:tcPr>
          <w:p>
            <w:pPr>
              <w:spacing w:after="60" w:line="259" w:lineRule="auto"/>
            </w:pPr>
            <w:r>
              <w:rPr>
                <w:rFonts w:ascii="Calibri" w:hAnsi="Calibri"/>
                <w:b w:val="0"/>
                <w:i w:val="0"/>
                <w:color w:val="212121"/>
                <w:sz w:val="19"/>
              </w:rPr>
              <w:t>Pasteurization destroys harmful bacteria</w:t>
            </w:r>
          </w:p>
          <w:p>
            <w:pPr>
              <w:spacing w:after="40" w:line="252" w:lineRule="auto"/>
            </w:pPr>
            <w:hyperlink r:id="rId12">
              <w:r>
                <w:rPr>
                  <w:rFonts w:ascii="Calibri" w:hAnsi="Calibri" w:cs="Calibri"/>
                  <w:sz w:val="18"/>
                  <w:color w:val="1155CC"/>
                  <w:u w:val="single"/>
                </w:rPr>
                <w:t xml:space="preserve">https://www.cdc.gov/brucellosis/prevention/index.html</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Meat cooking adequacy</w:t>
            </w:r>
          </w:p>
        </w:tc>
        <w:tc>
          <w:tcPr>
            <w:tcW w:type="dxa" w:w="1655"/>
            <w:vAlign w:val="top"/>
          </w:tcPr>
          <w:p>
            <w:pPr>
              <w:spacing w:after="40" w:before="0" w:line="259" w:lineRule="auto"/>
            </w:pPr>
            <w:r>
              <w:rPr>
                <w:rFonts w:ascii="Calibri" w:hAnsi="Calibri"/>
                <w:b w:val="0"/>
                <w:i w:val="0"/>
                <w:color w:val="212121"/>
                <w:sz w:val="19"/>
              </w:rPr>
              <w:t>Meat consumers</w:t>
            </w:r>
          </w:p>
        </w:tc>
        <w:tc>
          <w:tcPr>
            <w:tcW w:type="dxa" w:w="1512"/>
            <w:vAlign w:val="top"/>
          </w:tcPr>
          <w:p>
            <w:pPr>
              <w:spacing w:after="40" w:before="0" w:line="259" w:lineRule="auto"/>
            </w:pPr>
            <w:r>
              <w:rPr>
                <w:rFonts w:ascii="Calibri" w:hAnsi="Calibri"/>
                <w:b w:val="0"/>
                <w:i w:val="0"/>
                <w:color w:val="212121"/>
                <w:sz w:val="19"/>
              </w:rPr>
              <w:t>Cooked thoroughly (well-done)</w:t>
            </w:r>
          </w:p>
        </w:tc>
        <w:tc>
          <w:tcPr>
            <w:tcW w:type="dxa" w:w="1512"/>
            <w:vAlign w:val="top"/>
          </w:tcPr>
          <w:p>
            <w:pPr>
              <w:spacing w:after="40" w:before="0" w:line="259" w:lineRule="auto"/>
            </w:pPr>
            <w:r>
              <w:rPr>
                <w:rFonts w:ascii="Calibri" w:hAnsi="Calibri"/>
                <w:b w:val="0"/>
                <w:i w:val="0"/>
                <w:color w:val="212121"/>
                <w:sz w:val="19"/>
              </w:rPr>
              <w:t>Raw or undercooked meat/offal (liver)</w:t>
            </w:r>
          </w:p>
        </w:tc>
        <w:tc>
          <w:tcPr>
            <w:tcW w:type="dxa" w:w="1468"/>
            <w:vAlign w:val="top"/>
          </w:tcPr>
          <w:p>
            <w:pPr>
              <w:spacing w:after="60" w:line="259" w:lineRule="auto"/>
            </w:pPr>
            <w:r>
              <w:rPr>
                <w:rFonts w:ascii="Calibri" w:hAnsi="Calibri"/>
                <w:b w:val="0"/>
                <w:i w:val="0"/>
                <w:color w:val="212121"/>
                <w:sz w:val="19"/>
              </w:rPr>
              <w:t>Less common but recognized route</w:t>
            </w:r>
          </w:p>
          <w:p>
            <w:pPr>
              <w:spacing w:after="40" w:line="252" w:lineRule="auto"/>
            </w:pPr>
            <w:hyperlink r:id="rId12">
              <w:r>
                <w:rPr>
                  <w:rFonts w:ascii="Calibri" w:hAnsi="Calibri" w:cs="Calibri"/>
                  <w:sz w:val="18"/>
                  <w:color w:val="1155CC"/>
                  <w:u w:val="single"/>
                </w:rPr>
                <w:t xml:space="preserve">https://www.cdc.gov/brucellosis/prevention/index.html</w:t>
              </w:r>
            </w:hyperlink>
          </w:p>
        </w:tc>
      </w:tr>
      <w:tr>
        <w:trPr>
          <w:cantSplit/>
        </w:trPr>
        <w:tc>
          <w:tcPr>
            <w:tcW w:type="dxa" w:w="1512"/>
            <w:vMerge w:val="restart"/>
            <w:vAlign w:val="center"/>
          </w:tcPr>
          <w:p>
            <w:pPr>
              <w:spacing w:after="40"/>
            </w:pPr>
            <w:r>
              <w:rPr>
                <w:rFonts w:ascii="Calibri" w:hAnsi="Calibri"/>
                <w:b w:val="0"/>
                <w:i w:val="0"/>
                <w:color w:val="212121"/>
                <w:sz w:val="19"/>
              </w:rPr>
              <w:t>Hygiene</w:t>
            </w:r>
          </w:p>
        </w:tc>
        <w:tc>
          <w:tcPr>
            <w:tcW w:type="dxa" w:w="1944"/>
            <w:vAlign w:val="top"/>
          </w:tcPr>
          <w:p>
            <w:pPr>
              <w:spacing w:after="40" w:before="0" w:line="259" w:lineRule="auto"/>
            </w:pPr>
            <w:r>
              <w:rPr>
                <w:rFonts w:ascii="Calibri" w:hAnsi="Calibri"/>
                <w:b w:val="0"/>
                <w:i w:val="0"/>
                <w:color w:val="212121"/>
                <w:sz w:val="19"/>
              </w:rPr>
              <w:t>PPE during animal/tissue handling</w:t>
            </w:r>
          </w:p>
        </w:tc>
        <w:tc>
          <w:tcPr>
            <w:tcW w:type="dxa" w:w="1655"/>
            <w:vAlign w:val="top"/>
          </w:tcPr>
          <w:p>
            <w:pPr>
              <w:spacing w:after="40" w:before="0" w:line="259" w:lineRule="auto"/>
            </w:pPr>
            <w:r>
              <w:rPr>
                <w:rFonts w:ascii="Calibri" w:hAnsi="Calibri"/>
                <w:b w:val="0"/>
                <w:i w:val="0"/>
                <w:color w:val="212121"/>
                <w:sz w:val="19"/>
              </w:rPr>
              <w:t>Farmers, vets, abattoir &amp; dairy workers</w:t>
            </w:r>
          </w:p>
        </w:tc>
        <w:tc>
          <w:tcPr>
            <w:tcW w:type="dxa" w:w="1512"/>
            <w:vAlign w:val="top"/>
          </w:tcPr>
          <w:p>
            <w:pPr>
              <w:spacing w:after="40" w:before="0" w:line="259" w:lineRule="auto"/>
            </w:pPr>
            <w:r>
              <w:rPr>
                <w:rFonts w:ascii="Calibri" w:hAnsi="Calibri"/>
                <w:b w:val="0"/>
                <w:i w:val="0"/>
                <w:color w:val="212121"/>
                <w:sz w:val="19"/>
              </w:rPr>
              <w:t>Gloves + mask/respirator + goggles + apron</w:t>
            </w:r>
          </w:p>
        </w:tc>
        <w:tc>
          <w:tcPr>
            <w:tcW w:type="dxa" w:w="1512"/>
            <w:vAlign w:val="top"/>
          </w:tcPr>
          <w:p>
            <w:pPr>
              <w:spacing w:after="40" w:before="0" w:line="259" w:lineRule="auto"/>
            </w:pPr>
            <w:r>
              <w:rPr>
                <w:rFonts w:ascii="Calibri" w:hAnsi="Calibri"/>
                <w:b w:val="0"/>
                <w:i w:val="0"/>
                <w:color w:val="212121"/>
                <w:sz w:val="19"/>
              </w:rPr>
              <w:t>Bare-hand contact with birth products, blood or carcasses</w:t>
            </w:r>
          </w:p>
        </w:tc>
        <w:tc>
          <w:tcPr>
            <w:tcW w:type="dxa" w:w="1468"/>
            <w:vAlign w:val="top"/>
          </w:tcPr>
          <w:p>
            <w:pPr>
              <w:spacing w:after="60" w:line="259" w:lineRule="auto"/>
            </w:pPr>
            <w:r>
              <w:rPr>
                <w:rFonts w:ascii="Calibri" w:hAnsi="Calibri"/>
                <w:b w:val="0"/>
                <w:i w:val="0"/>
                <w:color w:val="212121"/>
                <w:sz w:val="19"/>
              </w:rPr>
              <w:t>Prevents percutaneous and mucosal inoculation</w:t>
            </w:r>
          </w:p>
          <w:p>
            <w:pPr>
              <w:spacing w:after="40" w:line="252" w:lineRule="auto"/>
            </w:pPr>
            <w:hyperlink r:id="rId12">
              <w:r>
                <w:rPr>
                  <w:rFonts w:ascii="Calibri" w:hAnsi="Calibri" w:cs="Calibri"/>
                  <w:sz w:val="18"/>
                  <w:color w:val="1155CC"/>
                  <w:u w:val="single"/>
                </w:rPr>
                <w:t xml:space="preserve">https://www.cdc.gov/brucellosis/prevention/index.html</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Hand hygiene after animal contact</w:t>
            </w:r>
          </w:p>
        </w:tc>
        <w:tc>
          <w:tcPr>
            <w:tcW w:type="dxa" w:w="1655"/>
            <w:vAlign w:val="top"/>
          </w:tcPr>
          <w:p>
            <w:pPr>
              <w:spacing w:after="40" w:before="0" w:line="259" w:lineRule="auto"/>
            </w:pPr>
            <w:r>
              <w:rPr>
                <w:rFonts w:ascii="Calibri" w:hAnsi="Calibri"/>
                <w:b w:val="0"/>
                <w:i w:val="0"/>
                <w:color w:val="212121"/>
                <w:sz w:val="19"/>
              </w:rPr>
              <w:t>Livestock handlers</w:t>
            </w:r>
          </w:p>
        </w:tc>
        <w:tc>
          <w:tcPr>
            <w:tcW w:type="dxa" w:w="1512"/>
            <w:vAlign w:val="top"/>
          </w:tcPr>
          <w:p>
            <w:pPr>
              <w:spacing w:after="40" w:before="0" w:line="259" w:lineRule="auto"/>
            </w:pPr>
            <w:r>
              <w:rPr>
                <w:rFonts w:ascii="Calibri" w:hAnsi="Calibri"/>
                <w:b w:val="0"/>
                <w:i w:val="0"/>
                <w:color w:val="212121"/>
                <w:sz w:val="19"/>
              </w:rPr>
              <w:t>Wash/sanitize hands after every contact and before eating</w:t>
            </w:r>
          </w:p>
        </w:tc>
        <w:tc>
          <w:tcPr>
            <w:tcW w:type="dxa" w:w="1512"/>
            <w:vAlign w:val="top"/>
          </w:tcPr>
          <w:p>
            <w:pPr>
              <w:spacing w:after="40" w:before="0" w:line="259" w:lineRule="auto"/>
            </w:pPr>
            <w:r>
              <w:rPr>
                <w:rFonts w:ascii="Calibri" w:hAnsi="Calibri"/>
                <w:b w:val="0"/>
                <w:i w:val="0"/>
                <w:color w:val="212121"/>
                <w:sz w:val="19"/>
              </w:rPr>
              <w:t>No handwashing before eating, drinking or smoking</w:t>
            </w:r>
          </w:p>
        </w:tc>
        <w:tc>
          <w:tcPr>
            <w:tcW w:type="dxa" w:w="1468"/>
            <w:vAlign w:val="top"/>
          </w:tcPr>
          <w:p>
            <w:pPr>
              <w:spacing w:after="60" w:line="259" w:lineRule="auto"/>
            </w:pPr>
            <w:r>
              <w:rPr>
                <w:rFonts w:ascii="Calibri" w:hAnsi="Calibri"/>
                <w:b w:val="0"/>
                <w:i w:val="0"/>
                <w:color w:val="212121"/>
                <w:sz w:val="19"/>
              </w:rPr>
              <w:t>Reduces hand-to-mouth inoculation</w:t>
            </w:r>
          </w:p>
          <w:p>
            <w:pPr>
              <w:spacing w:after="40" w:line="252" w:lineRule="auto"/>
            </w:pPr>
            <w:hyperlink r:id="rId12">
              <w:r>
                <w:rPr>
                  <w:rFonts w:ascii="Calibri" w:hAnsi="Calibri" w:cs="Calibri"/>
                  <w:sz w:val="18"/>
                  <w:color w:val="1155CC"/>
                  <w:u w:val="single"/>
                </w:rPr>
                <w:t xml:space="preserve">https://www.cdc.gov/brucellosis/prevention/index.html</w:t>
              </w:r>
            </w:hyperlink>
          </w:p>
        </w:tc>
      </w:tr>
      <w:tr>
        <w:trPr>
          <w:cantSplit/>
        </w:trPr>
        <w:tc>
          <w:tcPr>
            <w:tcW w:type="dxa" w:w="1512"/>
            <w:vAlign w:val="center"/>
          </w:tcPr>
          <w:p>
            <w:pPr>
              <w:spacing w:after="40"/>
            </w:pPr>
            <w:r>
              <w:rPr>
                <w:rFonts w:ascii="Calibri" w:hAnsi="Calibri"/>
                <w:b w:val="0"/>
                <w:i w:val="0"/>
                <w:color w:val="212121"/>
                <w:sz w:val="19"/>
              </w:rPr>
              <w:t>Provoking factors</w:t>
            </w:r>
          </w:p>
        </w:tc>
        <w:tc>
          <w:tcPr>
            <w:tcW w:type="dxa" w:w="1944"/>
            <w:vAlign w:val="top"/>
          </w:tcPr>
          <w:p>
            <w:pPr>
              <w:spacing w:after="40" w:before="0" w:line="259" w:lineRule="auto"/>
            </w:pPr>
            <w:r>
              <w:rPr>
                <w:rFonts w:ascii="Calibri" w:hAnsi="Calibri"/>
                <w:b w:val="0"/>
                <w:i w:val="0"/>
                <w:color w:val="212121"/>
                <w:sz w:val="19"/>
              </w:rPr>
              <w:t>Handling of aborted / birth material</w:t>
            </w:r>
          </w:p>
        </w:tc>
        <w:tc>
          <w:tcPr>
            <w:tcW w:type="dxa" w:w="1655"/>
            <w:vAlign w:val="top"/>
          </w:tcPr>
          <w:p>
            <w:pPr>
              <w:spacing w:after="40" w:before="0" w:line="259" w:lineRule="auto"/>
            </w:pPr>
            <w:r>
              <w:rPr>
                <w:rFonts w:ascii="Calibri" w:hAnsi="Calibri"/>
                <w:b w:val="0"/>
                <w:i w:val="0"/>
                <w:color w:val="212121"/>
                <w:sz w:val="19"/>
              </w:rPr>
              <w:t>Shepherds, vets, dairy workers</w:t>
            </w:r>
          </w:p>
        </w:tc>
        <w:tc>
          <w:tcPr>
            <w:tcW w:type="dxa" w:w="1512"/>
            <w:vAlign w:val="top"/>
          </w:tcPr>
          <w:p>
            <w:pPr>
              <w:spacing w:after="40" w:before="0" w:line="259" w:lineRule="auto"/>
            </w:pPr>
            <w:r>
              <w:rPr>
                <w:rFonts w:ascii="Calibri" w:hAnsi="Calibri"/>
                <w:b w:val="0"/>
                <w:i w:val="0"/>
                <w:color w:val="212121"/>
                <w:sz w:val="19"/>
              </w:rPr>
              <w:t>Never bare-handed; disinfect and dispose safely</w:t>
            </w:r>
          </w:p>
        </w:tc>
        <w:tc>
          <w:tcPr>
            <w:tcW w:type="dxa" w:w="1512"/>
            <w:vAlign w:val="top"/>
          </w:tcPr>
          <w:p>
            <w:pPr>
              <w:spacing w:after="40" w:before="0" w:line="259" w:lineRule="auto"/>
            </w:pPr>
            <w:r>
              <w:rPr>
                <w:rFonts w:ascii="Calibri" w:hAnsi="Calibri"/>
                <w:b w:val="0"/>
                <w:i w:val="0"/>
                <w:color w:val="212121"/>
                <w:sz w:val="19"/>
              </w:rPr>
              <w:t>Assisting parturition/abortion or handling placenta bare-handed</w:t>
            </w:r>
          </w:p>
        </w:tc>
        <w:tc>
          <w:tcPr>
            <w:tcW w:type="dxa" w:w="1468"/>
            <w:vAlign w:val="top"/>
          </w:tcPr>
          <w:p>
            <w:pPr>
              <w:spacing w:after="60" w:line="259" w:lineRule="auto"/>
            </w:pPr>
            <w:r>
              <w:rPr>
                <w:rFonts w:ascii="Calibri" w:hAnsi="Calibri"/>
                <w:b w:val="0"/>
                <w:i w:val="0"/>
                <w:color w:val="212121"/>
                <w:sz w:val="19"/>
              </w:rPr>
              <w:t>Highest-inoculum exposure event</w:t>
            </w:r>
          </w:p>
          <w:p>
            <w:pPr>
              <w:spacing w:after="40" w:line="252" w:lineRule="auto"/>
            </w:pPr>
            <w:hyperlink r:id="rId10">
              <w:r>
                <w:rPr>
                  <w:rFonts w:ascii="Calibri" w:hAnsi="Calibri" w:cs="Calibri"/>
                  <w:sz w:val="18"/>
                  <w:color w:val="1155CC"/>
                  <w:u w:val="single"/>
                </w:rPr>
                <w:t xml:space="preserve">https://www.ias.ac.in/article/fulltext/jbsc/033/04/0539-0547</w:t>
              </w:r>
            </w:hyperlink>
          </w:p>
        </w:tc>
      </w:tr>
      <w:tr>
        <w:trPr>
          <w:cantSplit/>
        </w:trPr>
        <w:tc>
          <w:tcPr>
            <w:tcW w:type="dxa" w:w="1512"/>
            <w:vAlign w:val="center"/>
          </w:tcPr>
          <w:p>
            <w:pPr>
              <w:spacing w:after="40"/>
            </w:pPr>
            <w:r>
              <w:rPr>
                <w:rFonts w:ascii="Calibri" w:hAnsi="Calibri"/>
                <w:b w:val="0"/>
                <w:i w:val="0"/>
                <w:color w:val="212121"/>
                <w:sz w:val="19"/>
              </w:rPr>
              <w:t>Physical activity</w:t>
            </w:r>
          </w:p>
        </w:tc>
        <w:tc>
          <w:tcPr>
            <w:tcW w:type="dxa" w:w="1944"/>
            <w:vAlign w:val="top"/>
          </w:tcPr>
          <w:p>
            <w:pPr>
              <w:spacing w:after="40" w:before="0" w:line="259" w:lineRule="auto"/>
            </w:pPr>
            <w:r>
              <w:rPr>
                <w:rFonts w:ascii="Calibri" w:hAnsi="Calibri"/>
                <w:b w:val="0"/>
                <w:i w:val="0"/>
                <w:color w:val="212121"/>
                <w:sz w:val="19"/>
              </w:rPr>
              <w:t>Daily unprotected livestock contact</w:t>
            </w:r>
          </w:p>
        </w:tc>
        <w:tc>
          <w:tcPr>
            <w:tcW w:type="dxa" w:w="1655"/>
            <w:vAlign w:val="top"/>
          </w:tcPr>
          <w:p>
            <w:pPr>
              <w:spacing w:after="40" w:before="0" w:line="259" w:lineRule="auto"/>
            </w:pPr>
            <w:r>
              <w:rPr>
                <w:rFonts w:ascii="Calibri" w:hAnsi="Calibri"/>
                <w:b w:val="0"/>
                <w:i w:val="0"/>
                <w:color w:val="212121"/>
                <w:sz w:val="19"/>
              </w:rPr>
              <w:t>Occupational groups</w:t>
            </w:r>
          </w:p>
        </w:tc>
        <w:tc>
          <w:tcPr>
            <w:tcW w:type="dxa" w:w="1512"/>
            <w:vAlign w:val="top"/>
          </w:tcPr>
          <w:p>
            <w:pPr>
              <w:spacing w:after="40" w:before="0" w:line="259" w:lineRule="auto"/>
            </w:pPr>
            <w:r>
              <w:rPr>
                <w:rFonts w:ascii="Calibri" w:hAnsi="Calibri"/>
                <w:b w:val="0"/>
                <w:i w:val="0"/>
                <w:color w:val="212121"/>
                <w:sz w:val="19"/>
              </w:rPr>
              <w:t>Minimized / fully protected contact</w:t>
            </w:r>
          </w:p>
        </w:tc>
        <w:tc>
          <w:tcPr>
            <w:tcW w:type="dxa" w:w="1512"/>
            <w:vAlign w:val="top"/>
          </w:tcPr>
          <w:p>
            <w:pPr>
              <w:spacing w:after="40" w:before="0" w:line="259" w:lineRule="auto"/>
            </w:pPr>
            <w:r>
              <w:rPr>
                <w:rFonts w:ascii="Calibri" w:hAnsi="Calibri"/>
                <w:b w:val="0"/>
                <w:i w:val="0"/>
                <w:color w:val="212121"/>
                <w:sz w:val="19"/>
              </w:rPr>
              <w:t>Prolonged daily unprotected animal contact over years</w:t>
            </w:r>
          </w:p>
        </w:tc>
        <w:tc>
          <w:tcPr>
            <w:tcW w:type="dxa" w:w="1468"/>
            <w:vAlign w:val="top"/>
          </w:tcPr>
          <w:p>
            <w:pPr>
              <w:spacing w:after="60" w:line="259" w:lineRule="auto"/>
            </w:pPr>
            <w:r>
              <w:rPr>
                <w:rFonts w:ascii="Calibri" w:hAnsi="Calibri"/>
                <w:b w:val="0"/>
                <w:i w:val="0"/>
                <w:color w:val="212121"/>
                <w:sz w:val="19"/>
              </w:rPr>
              <w:t>Cumulative occupational exposure raises seroprevalence</w:t>
            </w:r>
          </w:p>
          <w:p>
            <w:pPr>
              <w:spacing w:after="40" w:line="252" w:lineRule="auto"/>
            </w:pPr>
            <w:hyperlink r:id="rId10">
              <w:r>
                <w:rPr>
                  <w:rFonts w:ascii="Calibri" w:hAnsi="Calibri" w:cs="Calibri"/>
                  <w:sz w:val="18"/>
                  <w:color w:val="1155CC"/>
                  <w:u w:val="single"/>
                </w:rPr>
                <w:t xml:space="preserve">https://www.ias.ac.in/article/fulltext/jbsc/033/04/0539-0547</w:t>
              </w:r>
            </w:hyperlink>
          </w:p>
        </w:tc>
      </w:tr>
      <w:tr>
        <w:trPr>
          <w:cantSplit/>
        </w:trPr>
        <w:tc>
          <w:tcPr>
            <w:tcW w:type="dxa" w:w="1512"/>
            <w:vAlign w:val="center"/>
          </w:tcPr>
          <w:p>
            <w:pPr>
              <w:spacing w:after="40"/>
            </w:pPr>
            <w:r>
              <w:rPr>
                <w:rFonts w:ascii="Calibri" w:hAnsi="Calibri"/>
                <w:b w:val="0"/>
                <w:i w:val="0"/>
                <w:color w:val="212121"/>
                <w:sz w:val="19"/>
              </w:rPr>
              <w:t>Mental health</w:t>
            </w:r>
          </w:p>
        </w:tc>
        <w:tc>
          <w:tcPr>
            <w:tcW w:type="dxa" w:w="1944"/>
            <w:vAlign w:val="top"/>
          </w:tcPr>
          <w:p>
            <w:pPr>
              <w:spacing w:after="40" w:before="0" w:line="259" w:lineRule="auto"/>
            </w:pPr>
            <w:r>
              <w:rPr>
                <w:rFonts w:ascii="Calibri" w:hAnsi="Calibri"/>
                <w:b w:val="0"/>
                <w:i w:val="0"/>
                <w:color w:val="212121"/>
                <w:sz w:val="19"/>
              </w:rPr>
              <w:t>Depression screen (e.g., PHQ-9) in chronic disease</w:t>
            </w:r>
          </w:p>
        </w:tc>
        <w:tc>
          <w:tcPr>
            <w:tcW w:type="dxa" w:w="1655"/>
            <w:vAlign w:val="top"/>
          </w:tcPr>
          <w:p>
            <w:pPr>
              <w:spacing w:after="40" w:before="0" w:line="259" w:lineRule="auto"/>
            </w:pPr>
            <w:r>
              <w:rPr>
                <w:rFonts w:ascii="Calibri" w:hAnsi="Calibri"/>
                <w:b w:val="0"/>
                <w:i w:val="0"/>
                <w:color w:val="212121"/>
                <w:sz w:val="19"/>
              </w:rPr>
              <w:t>Chronic / neurobrucellosis patients</w:t>
            </w:r>
          </w:p>
        </w:tc>
        <w:tc>
          <w:tcPr>
            <w:tcW w:type="dxa" w:w="1512"/>
            <w:vAlign w:val="top"/>
          </w:tcPr>
          <w:p>
            <w:pPr>
              <w:spacing w:after="40" w:before="0" w:line="259" w:lineRule="auto"/>
            </w:pPr>
            <w:r>
              <w:rPr>
                <w:rFonts w:ascii="Calibri" w:hAnsi="Calibri"/>
                <w:b w:val="0"/>
                <w:i w:val="0"/>
                <w:color w:val="212121"/>
                <w:sz w:val="19"/>
              </w:rPr>
              <w:t>No clinically significant depression</w:t>
            </w:r>
          </w:p>
        </w:tc>
        <w:tc>
          <w:tcPr>
            <w:tcW w:type="dxa" w:w="1512"/>
            <w:vAlign w:val="top"/>
          </w:tcPr>
          <w:p>
            <w:pPr>
              <w:spacing w:after="40" w:before="0" w:line="259" w:lineRule="auto"/>
            </w:pPr>
            <w:r>
              <w:rPr>
                <w:rFonts w:ascii="Calibri" w:hAnsi="Calibri"/>
                <w:b w:val="0"/>
                <w:i w:val="0"/>
                <w:color w:val="212121"/>
                <w:sz w:val="19"/>
              </w:rPr>
              <w:t>Persistent low mood, insomnia, fatigue during/after illness</w:t>
            </w:r>
          </w:p>
        </w:tc>
        <w:tc>
          <w:tcPr>
            <w:tcW w:type="dxa" w:w="1468"/>
            <w:vAlign w:val="top"/>
          </w:tcPr>
          <w:p>
            <w:pPr>
              <w:spacing w:after="40" w:before="0" w:line="259" w:lineRule="auto"/>
            </w:pPr>
            <w:r>
              <w:rPr>
                <w:rFonts w:ascii="Calibri" w:hAnsi="Calibri"/>
                <w:b w:val="0"/>
                <w:i w:val="0"/>
                <w:color w:val="212121"/>
                <w:sz w:val="19"/>
              </w:rPr>
              <w:t>Neuropsychiatric morbidity is common in chronic disease</w:t>
            </w:r>
          </w:p>
        </w:tc>
      </w:tr>
      <w:tr>
        <w:trPr>
          <w:cantSplit/>
        </w:trPr>
        <w:tc>
          <w:tcPr>
            <w:tcW w:type="dxa" w:w="1512"/>
            <w:vAlign w:val="center"/>
          </w:tcPr>
          <w:p>
            <w:pPr>
              <w:spacing w:after="40"/>
            </w:pPr>
            <w:r>
              <w:rPr>
                <w:rFonts w:ascii="Calibri" w:hAnsi="Calibri"/>
                <w:b w:val="0"/>
                <w:i w:val="0"/>
                <w:color w:val="212121"/>
                <w:sz w:val="19"/>
              </w:rPr>
              <w:t>Sleep</w:t>
            </w:r>
          </w:p>
        </w:tc>
        <w:tc>
          <w:tcPr>
            <w:tcW w:type="dxa" w:w="1944"/>
            <w:vAlign w:val="top"/>
          </w:tcPr>
          <w:p>
            <w:pPr>
              <w:spacing w:after="40" w:before="0" w:line="259" w:lineRule="auto"/>
            </w:pPr>
            <w:r>
              <w:rPr>
                <w:rFonts w:ascii="Calibri" w:hAnsi="Calibri"/>
                <w:b w:val="0"/>
                <w:i w:val="0"/>
                <w:color w:val="212121"/>
                <w:sz w:val="19"/>
              </w:rPr>
              <w:t>Sleep duration during illness</w:t>
            </w:r>
          </w:p>
        </w:tc>
        <w:tc>
          <w:tcPr>
            <w:tcW w:type="dxa" w:w="1655"/>
            <w:vAlign w:val="top"/>
          </w:tcPr>
          <w:p>
            <w:pPr>
              <w:spacing w:after="40" w:before="0" w:line="259" w:lineRule="auto"/>
            </w:pPr>
            <w:r>
              <w:rPr>
                <w:rFonts w:ascii="Calibri" w:hAnsi="Calibri"/>
                <w:b w:val="0"/>
                <w:i w:val="0"/>
                <w:color w:val="212121"/>
                <w:sz w:val="19"/>
              </w:rPr>
              <w:t>Acute/convalescent patients</w:t>
            </w:r>
          </w:p>
        </w:tc>
        <w:tc>
          <w:tcPr>
            <w:tcW w:type="dxa" w:w="1512"/>
            <w:vAlign w:val="top"/>
          </w:tcPr>
          <w:p>
            <w:pPr>
              <w:spacing w:after="40" w:before="0" w:line="259" w:lineRule="auto"/>
            </w:pPr>
            <w:r>
              <w:rPr>
                <w:rFonts w:ascii="Calibri" w:hAnsi="Calibri"/>
                <w:b w:val="0"/>
                <w:i w:val="0"/>
                <w:color w:val="212121"/>
                <w:sz w:val="19"/>
              </w:rPr>
              <w:t>7–9 hours/night</w:t>
            </w:r>
          </w:p>
        </w:tc>
        <w:tc>
          <w:tcPr>
            <w:tcW w:type="dxa" w:w="1512"/>
            <w:vAlign w:val="top"/>
          </w:tcPr>
          <w:p>
            <w:pPr>
              <w:spacing w:after="40" w:before="0" w:line="259" w:lineRule="auto"/>
            </w:pPr>
            <w:r>
              <w:rPr>
                <w:rFonts w:ascii="Calibri" w:hAnsi="Calibri"/>
                <w:b w:val="0"/>
                <w:i w:val="0"/>
                <w:color w:val="212121"/>
                <w:sz w:val="19"/>
              </w:rPr>
              <w:t>Chronic deprivation or insomnia</w:t>
            </w:r>
          </w:p>
        </w:tc>
        <w:tc>
          <w:tcPr>
            <w:tcW w:type="dxa" w:w="1468"/>
            <w:vAlign w:val="top"/>
          </w:tcPr>
          <w:p>
            <w:pPr>
              <w:spacing w:after="40" w:before="0" w:line="259" w:lineRule="auto"/>
            </w:pPr>
            <w:r>
              <w:rPr>
                <w:rFonts w:ascii="Calibri" w:hAnsi="Calibri"/>
                <w:b w:val="0"/>
                <w:i w:val="0"/>
                <w:color w:val="212121"/>
                <w:sz w:val="19"/>
              </w:rPr>
              <w:t>Supports immune recovery during prolonged fever</w:t>
            </w:r>
          </w:p>
        </w:tc>
      </w:tr>
    </w:tbl>
    <w:p>
      <w:pPr>
        <w:spacing w:before="200" w:after="120"/>
      </w:pPr>
      <w:r>
        <w:rPr>
          <w:rFonts w:ascii="Calibri" w:hAnsi="Calibri"/>
          <w:b/>
          <w:i w:val="0"/>
          <w:color w:val="212121"/>
          <w:sz w:val="25"/>
        </w:rPr>
        <w:t>Traditional Health Parameters ( THP )</w:t>
      </w:r>
    </w:p>
    <w:p>
      <w:pPr>
        <w:spacing w:before="160" w:after="120"/>
      </w:pPr>
      <w:r>
        <w:rPr>
          <w:rFonts w:ascii="Calibri" w:hAnsi="Calibri"/>
          <w:b/>
          <w:i w:val="0"/>
          <w:color w:val="212121"/>
          <w:sz w:val="22"/>
        </w:rPr>
        <w:t>Quantitative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1036"/>
            <w:shd w:val="clear" w:color="auto" w:fill="F2F2F2"/>
            <w:vAlign w:val="center"/>
          </w:tcPr>
          <w:p>
            <w:pPr>
              <w:spacing w:after="40" w:before="0" w:line="259" w:lineRule="auto"/>
            </w:pPr>
            <w:r>
              <w:rPr>
                <w:rFonts w:ascii="Calibri" w:hAnsi="Calibri"/>
                <w:b/>
                <w:i w:val="0"/>
                <w:color w:val="212121"/>
                <w:sz w:val="16"/>
              </w:rPr>
              <w:t>Parameter</w:t>
            </w:r>
          </w:p>
        </w:tc>
        <w:tc>
          <w:tcPr>
            <w:tcW w:type="dxa" w:w="892"/>
            <w:shd w:val="clear" w:color="auto" w:fill="F2F2F2"/>
            <w:vAlign w:val="center"/>
          </w:tcPr>
          <w:p>
            <w:pPr>
              <w:spacing w:after="40" w:before="0" w:line="259" w:lineRule="auto"/>
            </w:pPr>
            <w:r>
              <w:rPr>
                <w:rFonts w:ascii="Calibri" w:hAnsi="Calibri"/>
                <w:b/>
                <w:i w:val="0"/>
                <w:color w:val="212121"/>
                <w:sz w:val="16"/>
              </w:rPr>
              <w:t>THP</w:t>
            </w:r>
          </w:p>
        </w:tc>
        <w:tc>
          <w:tcPr>
            <w:tcW w:type="dxa" w:w="950"/>
            <w:shd w:val="clear" w:color="auto" w:fill="F2F2F2"/>
            <w:vAlign w:val="center"/>
          </w:tcPr>
          <w:p>
            <w:pPr>
              <w:spacing w:after="40" w:before="0" w:line="259" w:lineRule="auto"/>
            </w:pPr>
            <w:r>
              <w:rPr>
                <w:rFonts w:ascii="Calibri" w:hAnsi="Calibri"/>
                <w:b/>
                <w:i w:val="0"/>
                <w:color w:val="212121"/>
                <w:sz w:val="16"/>
              </w:rPr>
              <w:t>Normal values</w:t>
            </w:r>
          </w:p>
        </w:tc>
        <w:tc>
          <w:tcPr>
            <w:tcW w:type="dxa" w:w="950"/>
            <w:shd w:val="clear" w:color="auto" w:fill="F2F2F2"/>
            <w:vAlign w:val="center"/>
          </w:tcPr>
          <w:p>
            <w:pPr>
              <w:spacing w:after="40" w:before="0" w:line="259" w:lineRule="auto"/>
            </w:pPr>
            <w:r>
              <w:rPr>
                <w:rFonts w:ascii="Calibri" w:hAnsi="Calibri"/>
                <w:b/>
                <w:i w:val="0"/>
                <w:color w:val="212121"/>
                <w:sz w:val="16"/>
              </w:rPr>
              <w:t>Abnormal values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Microbiology</w:t>
            </w:r>
          </w:p>
        </w:tc>
        <w:tc>
          <w:tcPr>
            <w:tcW w:type="dxa" w:w="1036"/>
            <w:vAlign w:val="top"/>
          </w:tcPr>
          <w:p>
            <w:pPr>
              <w:spacing w:after="40" w:before="0" w:line="259" w:lineRule="auto"/>
            </w:pPr>
            <w:r>
              <w:rPr>
                <w:rFonts w:ascii="Calibri" w:hAnsi="Calibri"/>
                <w:b w:val="0"/>
                <w:i w:val="0"/>
                <w:color w:val="212121"/>
                <w:sz w:val="16"/>
              </w:rPr>
              <w:t>Brucella blood culture</w:t>
            </w:r>
          </w:p>
        </w:tc>
        <w:tc>
          <w:tcPr>
            <w:tcW w:type="dxa" w:w="892"/>
            <w:vAlign w:val="top"/>
          </w:tcPr>
          <w:p>
            <w:pPr>
              <w:spacing w:after="40" w:before="0" w:line="259" w:lineRule="auto"/>
            </w:pPr>
            <w:r>
              <w:rPr>
                <w:rFonts w:ascii="Calibri" w:hAnsi="Calibri"/>
                <w:b w:val="0"/>
                <w:i w:val="0"/>
                <w:color w:val="212121"/>
                <w:sz w:val="16"/>
              </w:rPr>
              <w:t>Culture (Castaneda / automated system)</w:t>
            </w:r>
          </w:p>
        </w:tc>
        <w:tc>
          <w:tcPr>
            <w:tcW w:type="dxa" w:w="950"/>
            <w:vAlign w:val="top"/>
          </w:tcPr>
          <w:p>
            <w:pPr>
              <w:spacing w:after="40" w:before="0" w:line="259" w:lineRule="auto"/>
            </w:pPr>
            <w:r>
              <w:rPr>
                <w:rFonts w:ascii="Calibri" w:hAnsi="Calibri"/>
                <w:b w:val="0"/>
                <w:i w:val="0"/>
                <w:color w:val="212121"/>
                <w:sz w:val="16"/>
              </w:rPr>
              <w:t>No growth</w:t>
            </w:r>
          </w:p>
        </w:tc>
        <w:tc>
          <w:tcPr>
            <w:tcW w:type="dxa" w:w="950"/>
            <w:vAlign w:val="top"/>
          </w:tcPr>
          <w:p>
            <w:pPr>
              <w:spacing w:after="40" w:before="0" w:line="259" w:lineRule="auto"/>
            </w:pPr>
            <w:r>
              <w:rPr>
                <w:rFonts w:ascii="Calibri" w:hAnsi="Calibri"/>
                <w:b w:val="0"/>
                <w:i w:val="0"/>
                <w:color w:val="212121"/>
                <w:sz w:val="16"/>
              </w:rPr>
              <w:t>Brucella species isolated</w:t>
            </w:r>
          </w:p>
        </w:tc>
        <w:tc>
          <w:tcPr>
            <w:tcW w:type="dxa" w:w="1036"/>
            <w:vAlign w:val="top"/>
          </w:tcPr>
          <w:p>
            <w:pPr>
              <w:spacing w:after="40" w:before="0" w:line="259" w:lineRule="auto"/>
            </w:pPr>
            <w:r>
              <w:rPr>
                <w:rFonts w:ascii="Calibri" w:hAnsi="Calibri"/>
                <w:b w:val="0"/>
                <w:i w:val="0"/>
                <w:color w:val="212121"/>
                <w:sz w:val="16"/>
              </w:rPr>
              <w:t>Definitive diagnosis; confirms bacteraemia</w:t>
            </w:r>
          </w:p>
        </w:tc>
        <w:tc>
          <w:tcPr>
            <w:tcW w:type="dxa" w:w="1036"/>
            <w:vAlign w:val="top"/>
          </w:tcPr>
          <w:p>
            <w:pPr>
              <w:spacing w:after="40" w:before="0" w:line="259" w:lineRule="auto"/>
            </w:pPr>
            <w:r>
              <w:rPr>
                <w:rFonts w:ascii="Calibri" w:hAnsi="Calibri"/>
                <w:b w:val="0"/>
                <w:i w:val="0"/>
                <w:color w:val="212121"/>
                <w:sz w:val="16"/>
              </w:rPr>
              <w:t>Acute febrile patients, occupationally exposed, PUO</w:t>
            </w:r>
          </w:p>
        </w:tc>
        <w:tc>
          <w:tcPr>
            <w:tcW w:type="dxa" w:w="720"/>
            <w:vAlign w:val="top"/>
          </w:tcPr>
          <w:p>
            <w:pPr>
              <w:spacing w:after="40" w:before="0" w:line="259" w:lineRule="auto"/>
            </w:pPr>
            <w:r>
              <w:rPr>
                <w:rFonts w:ascii="Calibri" w:hAnsi="Calibri"/>
                <w:b w:val="0"/>
                <w:i w:val="0"/>
                <w:color w:val="212121"/>
                <w:sz w:val="16"/>
              </w:rPr>
              <w:t>Food; Hygiene; Provoking factors</w:t>
            </w:r>
          </w:p>
        </w:tc>
        <w:tc>
          <w:tcPr>
            <w:tcW w:type="dxa" w:w="720"/>
            <w:vAlign w:val="top"/>
          </w:tcPr>
          <w:p>
            <w:pPr>
              <w:spacing w:after="40" w:before="0" w:line="259" w:lineRule="auto"/>
            </w:pPr>
            <w:r>
              <w:rPr>
                <w:rFonts w:ascii="Calibri" w:hAnsi="Calibri"/>
                <w:b w:val="0"/>
                <w:i w:val="0"/>
                <w:color w:val="212121"/>
                <w:sz w:val="16"/>
              </w:rPr>
              <w:t>Gold standard</w:t>
            </w:r>
          </w:p>
        </w:tc>
        <w:tc>
          <w:tcPr>
            <w:tcW w:type="dxa" w:w="720"/>
            <w:vAlign w:val="top"/>
          </w:tcPr>
          <w:p>
            <w:pPr>
              <w:spacing w:after="40" w:before="0" w:line="259" w:lineRule="auto"/>
            </w:pPr>
            <w:r>
              <w:rPr>
                <w:rFonts w:ascii="Calibri" w:hAnsi="Calibri"/>
                <w:b w:val="0"/>
                <w:i w:val="0"/>
                <w:color w:val="212121"/>
                <w:sz w:val="16"/>
              </w:rPr>
              <w:t>Slow-growing; incubate &gt;7 days and alert the laboratory (biohazard)</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Microbiology</w:t>
            </w:r>
          </w:p>
        </w:tc>
        <w:tc>
          <w:tcPr>
            <w:tcW w:type="dxa" w:w="1036"/>
            <w:vAlign w:val="top"/>
          </w:tcPr>
          <w:p>
            <w:pPr>
              <w:spacing w:after="40" w:before="0" w:line="259" w:lineRule="auto"/>
            </w:pPr>
            <w:r>
              <w:rPr>
                <w:rFonts w:ascii="Calibri" w:hAnsi="Calibri"/>
                <w:b w:val="0"/>
                <w:i w:val="0"/>
                <w:color w:val="212121"/>
                <w:sz w:val="16"/>
              </w:rPr>
              <w:t>Bone-marrow culture</w:t>
            </w:r>
          </w:p>
        </w:tc>
        <w:tc>
          <w:tcPr>
            <w:tcW w:type="dxa" w:w="892"/>
            <w:vAlign w:val="top"/>
          </w:tcPr>
          <w:p>
            <w:pPr>
              <w:spacing w:after="40" w:before="0" w:line="259" w:lineRule="auto"/>
            </w:pPr>
            <w:r>
              <w:rPr>
                <w:rFonts w:ascii="Calibri" w:hAnsi="Calibri"/>
                <w:b w:val="0"/>
                <w:i w:val="0"/>
                <w:color w:val="212121"/>
                <w:sz w:val="16"/>
              </w:rPr>
              <w:t>Culture</w:t>
            </w:r>
          </w:p>
        </w:tc>
        <w:tc>
          <w:tcPr>
            <w:tcW w:type="dxa" w:w="950"/>
            <w:vAlign w:val="top"/>
          </w:tcPr>
          <w:p>
            <w:pPr>
              <w:spacing w:after="40" w:before="0" w:line="259" w:lineRule="auto"/>
            </w:pPr>
            <w:r>
              <w:rPr>
                <w:rFonts w:ascii="Calibri" w:hAnsi="Calibri"/>
                <w:b w:val="0"/>
                <w:i w:val="0"/>
                <w:color w:val="212121"/>
                <w:sz w:val="16"/>
              </w:rPr>
              <w:t>No growth</w:t>
            </w:r>
          </w:p>
        </w:tc>
        <w:tc>
          <w:tcPr>
            <w:tcW w:type="dxa" w:w="950"/>
            <w:vAlign w:val="top"/>
          </w:tcPr>
          <w:p>
            <w:pPr>
              <w:spacing w:after="40" w:before="0" w:line="259" w:lineRule="auto"/>
            </w:pPr>
            <w:r>
              <w:rPr>
                <w:rFonts w:ascii="Calibri" w:hAnsi="Calibri"/>
                <w:b w:val="0"/>
                <w:i w:val="0"/>
                <w:color w:val="212121"/>
                <w:sz w:val="16"/>
              </w:rPr>
              <w:t>Brucella isolated</w:t>
            </w:r>
          </w:p>
        </w:tc>
        <w:tc>
          <w:tcPr>
            <w:tcW w:type="dxa" w:w="1036"/>
            <w:vAlign w:val="top"/>
          </w:tcPr>
          <w:p>
            <w:pPr>
              <w:spacing w:after="40" w:before="0" w:line="259" w:lineRule="auto"/>
            </w:pPr>
            <w:r>
              <w:rPr>
                <w:rFonts w:ascii="Calibri" w:hAnsi="Calibri"/>
                <w:b w:val="0"/>
                <w:i w:val="0"/>
                <w:color w:val="212121"/>
                <w:sz w:val="16"/>
              </w:rPr>
              <w:t>Higher yield than blood, especially in chronic/previously treated cases</w:t>
            </w:r>
          </w:p>
        </w:tc>
        <w:tc>
          <w:tcPr>
            <w:tcW w:type="dxa" w:w="1036"/>
            <w:vAlign w:val="top"/>
          </w:tcPr>
          <w:p>
            <w:pPr>
              <w:spacing w:after="40" w:before="0" w:line="259" w:lineRule="auto"/>
            </w:pPr>
            <w:r>
              <w:rPr>
                <w:rFonts w:ascii="Calibri" w:hAnsi="Calibri"/>
                <w:b w:val="0"/>
                <w:i w:val="0"/>
                <w:color w:val="212121"/>
                <w:sz w:val="16"/>
              </w:rPr>
              <w:t>Culture-negative, chronic or relapsing cases</w:t>
            </w:r>
          </w:p>
        </w:tc>
        <w:tc>
          <w:tcPr>
            <w:tcW w:type="dxa" w:w="720"/>
            <w:vAlign w:val="top"/>
          </w:tcPr>
          <w:p>
            <w:pPr>
              <w:spacing w:after="40" w:before="0" w:line="259" w:lineRule="auto"/>
            </w:pPr>
            <w:r>
              <w:rPr>
                <w:rFonts w:ascii="Calibri" w:hAnsi="Calibri"/>
                <w:b w:val="0"/>
                <w:i w:val="0"/>
                <w:color w:val="212121"/>
                <w:sz w:val="16"/>
              </w:rPr>
              <w:t>NA</w:t>
            </w:r>
          </w:p>
        </w:tc>
        <w:tc>
          <w:tcPr>
            <w:tcW w:type="dxa" w:w="720"/>
            <w:vAlign w:val="top"/>
          </w:tcPr>
          <w:p>
            <w:pPr>
              <w:spacing w:after="40" w:before="0" w:line="259" w:lineRule="auto"/>
            </w:pPr>
            <w:r>
              <w:rPr>
                <w:rFonts w:ascii="Calibri" w:hAnsi="Calibri"/>
                <w:b w:val="0"/>
                <w:i w:val="0"/>
                <w:color w:val="212121"/>
                <w:sz w:val="16"/>
              </w:rPr>
              <w:t>High</w:t>
            </w:r>
          </w:p>
        </w:tc>
        <w:tc>
          <w:tcPr>
            <w:tcW w:type="dxa" w:w="720"/>
            <w:vAlign w:val="top"/>
          </w:tcPr>
          <w:p>
            <w:pPr>
              <w:spacing w:after="40" w:before="0" w:line="259" w:lineRule="auto"/>
            </w:pPr>
            <w:r>
              <w:rPr>
                <w:rFonts w:ascii="Calibri" w:hAnsi="Calibri"/>
                <w:b w:val="0"/>
                <w:i w:val="0"/>
                <w:color w:val="212121"/>
                <w:sz w:val="16"/>
              </w:rPr>
              <w:t>Often considered the gold standard for isolation</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Serology</w:t>
            </w:r>
          </w:p>
        </w:tc>
        <w:tc>
          <w:tcPr>
            <w:tcW w:type="dxa" w:w="1036"/>
            <w:vAlign w:val="top"/>
          </w:tcPr>
          <w:p>
            <w:pPr>
              <w:spacing w:after="40" w:before="0" w:line="259" w:lineRule="auto"/>
            </w:pPr>
            <w:r>
              <w:rPr>
                <w:rFonts w:ascii="Calibri" w:hAnsi="Calibri"/>
                <w:b w:val="0"/>
                <w:i w:val="0"/>
                <w:color w:val="212121"/>
                <w:sz w:val="16"/>
              </w:rPr>
              <w:t>Standard tube agglutination test (SAT) titre</w:t>
            </w:r>
          </w:p>
        </w:tc>
        <w:tc>
          <w:tcPr>
            <w:tcW w:type="dxa" w:w="892"/>
            <w:vAlign w:val="top"/>
          </w:tcPr>
          <w:p>
            <w:pPr>
              <w:spacing w:after="40" w:before="0" w:line="259" w:lineRule="auto"/>
            </w:pPr>
            <w:r>
              <w:rPr>
                <w:rFonts w:ascii="Calibri" w:hAnsi="Calibri"/>
                <w:b w:val="0"/>
                <w:i w:val="0"/>
                <w:color w:val="212121"/>
                <w:sz w:val="16"/>
              </w:rPr>
              <w:t>Serum agglutination</w:t>
            </w:r>
          </w:p>
        </w:tc>
        <w:tc>
          <w:tcPr>
            <w:tcW w:type="dxa" w:w="950"/>
            <w:vAlign w:val="top"/>
          </w:tcPr>
          <w:p>
            <w:pPr>
              <w:spacing w:after="40" w:before="0" w:line="259" w:lineRule="auto"/>
            </w:pPr>
            <w:r>
              <w:rPr>
                <w:rFonts w:ascii="Calibri" w:hAnsi="Calibri"/>
                <w:b w:val="0"/>
                <w:i w:val="0"/>
                <w:color w:val="212121"/>
                <w:sz w:val="16"/>
              </w:rPr>
              <w:t>&lt; 1:160</w:t>
            </w:r>
          </w:p>
        </w:tc>
        <w:tc>
          <w:tcPr>
            <w:tcW w:type="dxa" w:w="950"/>
            <w:vAlign w:val="top"/>
          </w:tcPr>
          <w:p>
            <w:pPr>
              <w:spacing w:after="40" w:before="0" w:line="259" w:lineRule="auto"/>
            </w:pPr>
            <w:r>
              <w:rPr>
                <w:rFonts w:ascii="Calibri" w:hAnsi="Calibri"/>
                <w:b w:val="0"/>
                <w:i w:val="0"/>
                <w:color w:val="212121"/>
                <w:sz w:val="16"/>
              </w:rPr>
              <w:t>≥ 1:160 (≥ 1:320 or 4-fold rise more specific)</w:t>
            </w:r>
          </w:p>
        </w:tc>
        <w:tc>
          <w:tcPr>
            <w:tcW w:type="dxa" w:w="1036"/>
            <w:vAlign w:val="top"/>
          </w:tcPr>
          <w:p>
            <w:pPr>
              <w:spacing w:after="40" w:before="0" w:line="259" w:lineRule="auto"/>
            </w:pPr>
            <w:r>
              <w:rPr>
                <w:rFonts w:ascii="Calibri" w:hAnsi="Calibri"/>
                <w:b w:val="0"/>
                <w:i w:val="0"/>
                <w:color w:val="212121"/>
                <w:sz w:val="16"/>
              </w:rPr>
              <w:t>Supports diagnosis with a compatible illness in endemic areas</w:t>
            </w:r>
          </w:p>
        </w:tc>
        <w:tc>
          <w:tcPr>
            <w:tcW w:type="dxa" w:w="1036"/>
            <w:vAlign w:val="top"/>
          </w:tcPr>
          <w:p>
            <w:pPr>
              <w:spacing w:after="40" w:before="0" w:line="259" w:lineRule="auto"/>
            </w:pPr>
            <w:r>
              <w:rPr>
                <w:rFonts w:ascii="Calibri" w:hAnsi="Calibri"/>
                <w:b w:val="0"/>
                <w:i w:val="0"/>
                <w:color w:val="212121"/>
                <w:sz w:val="16"/>
              </w:rPr>
              <w:t>Exposed adults, PUO, focal disease</w:t>
            </w:r>
          </w:p>
        </w:tc>
        <w:tc>
          <w:tcPr>
            <w:tcW w:type="dxa" w:w="720"/>
            <w:vAlign w:val="top"/>
          </w:tcPr>
          <w:p>
            <w:pPr>
              <w:spacing w:after="40" w:before="0" w:line="259" w:lineRule="auto"/>
            </w:pPr>
            <w:r>
              <w:rPr>
                <w:rFonts w:ascii="Calibri" w:hAnsi="Calibri"/>
                <w:b w:val="0"/>
                <w:i w:val="0"/>
                <w:color w:val="212121"/>
                <w:sz w:val="16"/>
              </w:rPr>
              <w:t>Food; Hygiene</w:t>
            </w:r>
          </w:p>
        </w:tc>
        <w:tc>
          <w:tcPr>
            <w:tcW w:type="dxa" w:w="720"/>
            <w:vAlign w:val="top"/>
          </w:tcPr>
          <w:p>
            <w:pPr>
              <w:spacing w:after="40" w:before="0" w:line="259" w:lineRule="auto"/>
            </w:pPr>
            <w:r>
              <w:rPr>
                <w:rFonts w:ascii="Calibri" w:hAnsi="Calibri"/>
                <w:b w:val="0"/>
                <w:i w:val="0"/>
                <w:color w:val="212121"/>
                <w:sz w:val="16"/>
              </w:rPr>
              <w:t>High</w:t>
            </w:r>
          </w:p>
        </w:tc>
        <w:tc>
          <w:tcPr>
            <w:tcW w:type="dxa" w:w="720"/>
            <w:vAlign w:val="top"/>
          </w:tcPr>
          <w:p>
            <w:pPr>
              <w:spacing w:after="40" w:before="0" w:line="259" w:lineRule="auto"/>
            </w:pPr>
            <w:r>
              <w:rPr>
                <w:rFonts w:ascii="Calibri" w:hAnsi="Calibri"/>
                <w:b w:val="0"/>
                <w:i w:val="0"/>
                <w:color w:val="212121"/>
                <w:sz w:val="16"/>
              </w:rPr>
              <w:t>Interpret against local background titres; prozone effect can cause false negatives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Serology</w:t>
            </w:r>
          </w:p>
        </w:tc>
        <w:tc>
          <w:tcPr>
            <w:tcW w:type="dxa" w:w="1036"/>
            <w:vAlign w:val="top"/>
          </w:tcPr>
          <w:p>
            <w:pPr>
              <w:spacing w:after="40" w:before="0" w:line="259" w:lineRule="auto"/>
            </w:pPr>
            <w:r>
              <w:rPr>
                <w:rFonts w:ascii="Calibri" w:hAnsi="Calibri"/>
                <w:b w:val="0"/>
                <w:i w:val="0"/>
                <w:color w:val="212121"/>
                <w:sz w:val="16"/>
              </w:rPr>
              <w:t>Rose Bengal plate test</w:t>
            </w:r>
          </w:p>
        </w:tc>
        <w:tc>
          <w:tcPr>
            <w:tcW w:type="dxa" w:w="892"/>
            <w:vAlign w:val="top"/>
          </w:tcPr>
          <w:p>
            <w:pPr>
              <w:spacing w:after="40" w:before="0" w:line="259" w:lineRule="auto"/>
            </w:pPr>
            <w:r>
              <w:rPr>
                <w:rFonts w:ascii="Calibri" w:hAnsi="Calibri"/>
                <w:b w:val="0"/>
                <w:i w:val="0"/>
                <w:color w:val="212121"/>
                <w:sz w:val="16"/>
              </w:rPr>
              <w:t>Rapid slide agglutination</w:t>
            </w:r>
          </w:p>
        </w:tc>
        <w:tc>
          <w:tcPr>
            <w:tcW w:type="dxa" w:w="950"/>
            <w:vAlign w:val="top"/>
          </w:tcPr>
          <w:p>
            <w:pPr>
              <w:spacing w:after="40" w:before="0" w:line="259" w:lineRule="auto"/>
            </w:pPr>
            <w:r>
              <w:rPr>
                <w:rFonts w:ascii="Calibri" w:hAnsi="Calibri"/>
                <w:b w:val="0"/>
                <w:i w:val="0"/>
                <w:color w:val="212121"/>
                <w:sz w:val="16"/>
              </w:rPr>
              <w:t>No agglutination</w:t>
            </w:r>
          </w:p>
        </w:tc>
        <w:tc>
          <w:tcPr>
            <w:tcW w:type="dxa" w:w="950"/>
            <w:vAlign w:val="top"/>
          </w:tcPr>
          <w:p>
            <w:pPr>
              <w:spacing w:after="40" w:before="0" w:line="259" w:lineRule="auto"/>
            </w:pPr>
            <w:r>
              <w:rPr>
                <w:rFonts w:ascii="Calibri" w:hAnsi="Calibri"/>
                <w:b w:val="0"/>
                <w:i w:val="0"/>
                <w:color w:val="212121"/>
                <w:sz w:val="16"/>
              </w:rPr>
              <w:t>Visible agglutination</w:t>
            </w:r>
          </w:p>
        </w:tc>
        <w:tc>
          <w:tcPr>
            <w:tcW w:type="dxa" w:w="1036"/>
            <w:vAlign w:val="top"/>
          </w:tcPr>
          <w:p>
            <w:pPr>
              <w:spacing w:after="40" w:before="0" w:line="259" w:lineRule="auto"/>
            </w:pPr>
            <w:r>
              <w:rPr>
                <w:rFonts w:ascii="Calibri" w:hAnsi="Calibri"/>
                <w:b w:val="0"/>
                <w:i w:val="0"/>
                <w:color w:val="212121"/>
                <w:sz w:val="16"/>
              </w:rPr>
              <w:t>Sensitive rapid OPD/field screen; confirm positives</w:t>
            </w:r>
          </w:p>
        </w:tc>
        <w:tc>
          <w:tcPr>
            <w:tcW w:type="dxa" w:w="1036"/>
            <w:vAlign w:val="top"/>
          </w:tcPr>
          <w:p>
            <w:pPr>
              <w:spacing w:after="40" w:before="0" w:line="259" w:lineRule="auto"/>
            </w:pPr>
            <w:r>
              <w:rPr>
                <w:rFonts w:ascii="Calibri" w:hAnsi="Calibri"/>
                <w:b w:val="0"/>
                <w:i w:val="0"/>
                <w:color w:val="212121"/>
                <w:sz w:val="16"/>
              </w:rPr>
              <w:t>Screening exposed/high-risk persons</w:t>
            </w:r>
          </w:p>
        </w:tc>
        <w:tc>
          <w:tcPr>
            <w:tcW w:type="dxa" w:w="720"/>
            <w:vAlign w:val="top"/>
          </w:tcPr>
          <w:p>
            <w:pPr>
              <w:spacing w:after="40" w:before="0" w:line="259" w:lineRule="auto"/>
            </w:pPr>
            <w:r>
              <w:rPr>
                <w:rFonts w:ascii="Calibri" w:hAnsi="Calibri"/>
                <w:b w:val="0"/>
                <w:i w:val="0"/>
                <w:color w:val="212121"/>
                <w:sz w:val="16"/>
              </w:rPr>
              <w:t>Hygiene; Provoking factors</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Cheap and fast; not confirmatory on its own</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Serology</w:t>
            </w:r>
          </w:p>
        </w:tc>
        <w:tc>
          <w:tcPr>
            <w:tcW w:type="dxa" w:w="1036"/>
            <w:vAlign w:val="top"/>
          </w:tcPr>
          <w:p>
            <w:pPr>
              <w:spacing w:after="40" w:before="0" w:line="259" w:lineRule="auto"/>
            </w:pPr>
            <w:r>
              <w:rPr>
                <w:rFonts w:ascii="Calibri" w:hAnsi="Calibri"/>
                <w:b w:val="0"/>
                <w:i w:val="0"/>
                <w:color w:val="212121"/>
                <w:sz w:val="16"/>
              </w:rPr>
              <w:t>Brucella IgM / IgG ELISA</w:t>
            </w:r>
          </w:p>
        </w:tc>
        <w:tc>
          <w:tcPr>
            <w:tcW w:type="dxa" w:w="892"/>
            <w:vAlign w:val="top"/>
          </w:tcPr>
          <w:p>
            <w:pPr>
              <w:spacing w:after="40" w:before="0" w:line="259" w:lineRule="auto"/>
            </w:pPr>
            <w:r>
              <w:rPr>
                <w:rFonts w:ascii="Calibri" w:hAnsi="Calibri"/>
                <w:b w:val="0"/>
                <w:i w:val="0"/>
                <w:color w:val="212121"/>
                <w:sz w:val="16"/>
              </w:rPr>
              <w:t>Immunoassay</w:t>
            </w:r>
          </w:p>
        </w:tc>
        <w:tc>
          <w:tcPr>
            <w:tcW w:type="dxa" w:w="950"/>
            <w:vAlign w:val="top"/>
          </w:tcPr>
          <w:p>
            <w:pPr>
              <w:spacing w:after="40" w:before="0" w:line="259" w:lineRule="auto"/>
            </w:pPr>
            <w:r>
              <w:rPr>
                <w:rFonts w:ascii="Calibri" w:hAnsi="Calibri"/>
                <w:b w:val="0"/>
                <w:i w:val="0"/>
                <w:color w:val="212121"/>
                <w:sz w:val="16"/>
              </w:rPr>
              <w:t>Below assay cut-off</w:t>
            </w:r>
          </w:p>
        </w:tc>
        <w:tc>
          <w:tcPr>
            <w:tcW w:type="dxa" w:w="950"/>
            <w:vAlign w:val="top"/>
          </w:tcPr>
          <w:p>
            <w:pPr>
              <w:spacing w:after="40" w:before="0" w:line="259" w:lineRule="auto"/>
            </w:pPr>
            <w:r>
              <w:rPr>
                <w:rFonts w:ascii="Calibri" w:hAnsi="Calibri"/>
                <w:b w:val="0"/>
                <w:i w:val="0"/>
                <w:color w:val="212121"/>
                <w:sz w:val="16"/>
              </w:rPr>
              <w:t>Elevated IgM (acute) and/or IgG (chronic)</w:t>
            </w:r>
          </w:p>
        </w:tc>
        <w:tc>
          <w:tcPr>
            <w:tcW w:type="dxa" w:w="1036"/>
            <w:vAlign w:val="top"/>
          </w:tcPr>
          <w:p>
            <w:pPr>
              <w:spacing w:after="40" w:before="0" w:line="259" w:lineRule="auto"/>
            </w:pPr>
            <w:r>
              <w:rPr>
                <w:rFonts w:ascii="Calibri" w:hAnsi="Calibri"/>
                <w:b w:val="0"/>
                <w:i w:val="0"/>
                <w:color w:val="212121"/>
                <w:sz w:val="16"/>
              </w:rPr>
              <w:t>Distinguishes recent from persistent infection; useful in focal/neurobrucellosis</w:t>
            </w:r>
          </w:p>
        </w:tc>
        <w:tc>
          <w:tcPr>
            <w:tcW w:type="dxa" w:w="1036"/>
            <w:vAlign w:val="top"/>
          </w:tcPr>
          <w:p>
            <w:pPr>
              <w:spacing w:after="40" w:before="0" w:line="259" w:lineRule="auto"/>
            </w:pPr>
            <w:r>
              <w:rPr>
                <w:rFonts w:ascii="Calibri" w:hAnsi="Calibri"/>
                <w:b w:val="0"/>
                <w:i w:val="0"/>
                <w:color w:val="212121"/>
                <w:sz w:val="16"/>
              </w:rPr>
              <w:t>Acute vs chronic, neurobrucellosis (CSF)</w:t>
            </w:r>
          </w:p>
        </w:tc>
        <w:tc>
          <w:tcPr>
            <w:tcW w:type="dxa" w:w="720"/>
            <w:vAlign w:val="top"/>
          </w:tcPr>
          <w:p>
            <w:pPr>
              <w:spacing w:after="40" w:before="0" w:line="259" w:lineRule="auto"/>
            </w:pPr>
            <w:r>
              <w:rPr>
                <w:rFonts w:ascii="Calibri" w:hAnsi="Calibri"/>
                <w:b w:val="0"/>
                <w:i w:val="0"/>
                <w:color w:val="212121"/>
                <w:sz w:val="16"/>
              </w:rPr>
              <w:t>NA</w:t>
            </w:r>
          </w:p>
        </w:tc>
        <w:tc>
          <w:tcPr>
            <w:tcW w:type="dxa" w:w="720"/>
            <w:vAlign w:val="top"/>
          </w:tcPr>
          <w:p>
            <w:pPr>
              <w:spacing w:after="40" w:before="0" w:line="259" w:lineRule="auto"/>
            </w:pPr>
            <w:r>
              <w:rPr>
                <w:rFonts w:ascii="Calibri" w:hAnsi="Calibri"/>
                <w:b w:val="0"/>
                <w:i w:val="0"/>
                <w:color w:val="212121"/>
                <w:sz w:val="16"/>
              </w:rPr>
              <w:t>High</w:t>
            </w:r>
          </w:p>
        </w:tc>
        <w:tc>
          <w:tcPr>
            <w:tcW w:type="dxa" w:w="720"/>
            <w:vAlign w:val="top"/>
          </w:tcPr>
          <w:p>
            <w:pPr>
              <w:spacing w:after="40" w:before="0" w:line="259" w:lineRule="auto"/>
            </w:pPr>
            <w:r>
              <w:rPr>
                <w:rFonts w:ascii="Calibri" w:hAnsi="Calibri"/>
                <w:b w:val="0"/>
                <w:i w:val="0"/>
                <w:color w:val="212121"/>
                <w:sz w:val="16"/>
              </w:rPr>
              <w:t>IgG persisting with 2-mercaptoethanol resistance suggests chronic disease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Molecular</w:t>
            </w:r>
          </w:p>
        </w:tc>
        <w:tc>
          <w:tcPr>
            <w:tcW w:type="dxa" w:w="1036"/>
            <w:vAlign w:val="top"/>
          </w:tcPr>
          <w:p>
            <w:pPr>
              <w:spacing w:after="40" w:before="0" w:line="259" w:lineRule="auto"/>
            </w:pPr>
            <w:r>
              <w:rPr>
                <w:rFonts w:ascii="Calibri" w:hAnsi="Calibri"/>
                <w:b w:val="0"/>
                <w:i w:val="0"/>
                <w:color w:val="212121"/>
                <w:sz w:val="16"/>
              </w:rPr>
              <w:t>Brucella PCR (blood/tissue)</w:t>
            </w:r>
          </w:p>
        </w:tc>
        <w:tc>
          <w:tcPr>
            <w:tcW w:type="dxa" w:w="892"/>
            <w:vAlign w:val="top"/>
          </w:tcPr>
          <w:p>
            <w:pPr>
              <w:spacing w:after="40" w:before="0" w:line="259" w:lineRule="auto"/>
            </w:pPr>
            <w:r>
              <w:rPr>
                <w:rFonts w:ascii="Calibri" w:hAnsi="Calibri"/>
                <w:b w:val="0"/>
                <w:i w:val="0"/>
                <w:color w:val="212121"/>
                <w:sz w:val="16"/>
              </w:rPr>
              <w:t>Nucleic-acid amplification</w:t>
            </w:r>
          </w:p>
        </w:tc>
        <w:tc>
          <w:tcPr>
            <w:tcW w:type="dxa" w:w="950"/>
            <w:vAlign w:val="top"/>
          </w:tcPr>
          <w:p>
            <w:pPr>
              <w:spacing w:after="40" w:before="0" w:line="259" w:lineRule="auto"/>
            </w:pPr>
            <w:r>
              <w:rPr>
                <w:rFonts w:ascii="Calibri" w:hAnsi="Calibri"/>
                <w:b w:val="0"/>
                <w:i w:val="0"/>
                <w:color w:val="212121"/>
                <w:sz w:val="16"/>
              </w:rPr>
              <w:t>Not detected</w:t>
            </w:r>
          </w:p>
        </w:tc>
        <w:tc>
          <w:tcPr>
            <w:tcW w:type="dxa" w:w="950"/>
            <w:vAlign w:val="top"/>
          </w:tcPr>
          <w:p>
            <w:pPr>
              <w:spacing w:after="40" w:before="0" w:line="259" w:lineRule="auto"/>
            </w:pPr>
            <w:r>
              <w:rPr>
                <w:rFonts w:ascii="Calibri" w:hAnsi="Calibri"/>
                <w:b w:val="0"/>
                <w:i w:val="0"/>
                <w:color w:val="212121"/>
                <w:sz w:val="16"/>
              </w:rPr>
              <w:t>Brucella DNA detected</w:t>
            </w:r>
          </w:p>
        </w:tc>
        <w:tc>
          <w:tcPr>
            <w:tcW w:type="dxa" w:w="1036"/>
            <w:vAlign w:val="top"/>
          </w:tcPr>
          <w:p>
            <w:pPr>
              <w:spacing w:after="40" w:before="0" w:line="259" w:lineRule="auto"/>
            </w:pPr>
            <w:r>
              <w:rPr>
                <w:rFonts w:ascii="Calibri" w:hAnsi="Calibri"/>
                <w:b w:val="0"/>
                <w:i w:val="0"/>
                <w:color w:val="212121"/>
                <w:sz w:val="16"/>
              </w:rPr>
              <w:t>Rapid confirmation; positive as early as ~10 days post-exposure</w:t>
            </w:r>
          </w:p>
        </w:tc>
        <w:tc>
          <w:tcPr>
            <w:tcW w:type="dxa" w:w="1036"/>
            <w:vAlign w:val="top"/>
          </w:tcPr>
          <w:p>
            <w:pPr>
              <w:spacing w:after="40" w:before="0" w:line="259" w:lineRule="auto"/>
            </w:pPr>
            <w:r>
              <w:rPr>
                <w:rFonts w:ascii="Calibri" w:hAnsi="Calibri"/>
                <w:b w:val="0"/>
                <w:i w:val="0"/>
                <w:color w:val="212121"/>
                <w:sz w:val="16"/>
              </w:rPr>
              <w:t>Focal, chronic or culture-negative disease</w:t>
            </w:r>
          </w:p>
        </w:tc>
        <w:tc>
          <w:tcPr>
            <w:tcW w:type="dxa" w:w="720"/>
            <w:vAlign w:val="top"/>
          </w:tcPr>
          <w:p>
            <w:pPr>
              <w:spacing w:after="40" w:before="0" w:line="259" w:lineRule="auto"/>
            </w:pPr>
            <w:r>
              <w:rPr>
                <w:rFonts w:ascii="Calibri" w:hAnsi="Calibri"/>
                <w:b w:val="0"/>
                <w:i w:val="0"/>
                <w:color w:val="212121"/>
                <w:sz w:val="16"/>
              </w:rPr>
              <w:t>NA</w:t>
            </w:r>
          </w:p>
        </w:tc>
        <w:tc>
          <w:tcPr>
            <w:tcW w:type="dxa" w:w="720"/>
            <w:vAlign w:val="top"/>
          </w:tcPr>
          <w:p>
            <w:pPr>
              <w:spacing w:after="40" w:before="0" w:line="259" w:lineRule="auto"/>
            </w:pPr>
            <w:r>
              <w:rPr>
                <w:rFonts w:ascii="Calibri" w:hAnsi="Calibri"/>
                <w:b w:val="0"/>
                <w:i w:val="0"/>
                <w:color w:val="212121"/>
                <w:sz w:val="16"/>
              </w:rPr>
              <w:t>Confirmatory</w:t>
            </w:r>
          </w:p>
        </w:tc>
        <w:tc>
          <w:tcPr>
            <w:tcW w:type="dxa" w:w="720"/>
            <w:vAlign w:val="top"/>
          </w:tcPr>
          <w:p>
            <w:pPr>
              <w:spacing w:after="40" w:before="0" w:line="259" w:lineRule="auto"/>
            </w:pPr>
            <w:r>
              <w:rPr>
                <w:rFonts w:ascii="Calibri" w:hAnsi="Calibri"/>
                <w:b w:val="0"/>
                <w:i w:val="0"/>
                <w:color w:val="212121"/>
                <w:sz w:val="16"/>
              </w:rPr>
              <w:t>Useful when cultures are negative or delayed</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Haematology</w:t>
            </w:r>
          </w:p>
        </w:tc>
        <w:tc>
          <w:tcPr>
            <w:tcW w:type="dxa" w:w="1036"/>
            <w:vAlign w:val="top"/>
          </w:tcPr>
          <w:p>
            <w:pPr>
              <w:spacing w:after="40" w:before="0" w:line="259" w:lineRule="auto"/>
            </w:pPr>
            <w:r>
              <w:rPr>
                <w:rFonts w:ascii="Calibri" w:hAnsi="Calibri"/>
                <w:b w:val="0"/>
                <w:i w:val="0"/>
                <w:color w:val="212121"/>
                <w:sz w:val="16"/>
              </w:rPr>
              <w:t>Complete blood count</w:t>
            </w:r>
          </w:p>
        </w:tc>
        <w:tc>
          <w:tcPr>
            <w:tcW w:type="dxa" w:w="892"/>
            <w:vAlign w:val="top"/>
          </w:tcPr>
          <w:p>
            <w:pPr>
              <w:spacing w:after="40" w:before="0" w:line="259" w:lineRule="auto"/>
            </w:pPr>
            <w:r>
              <w:rPr>
                <w:rFonts w:ascii="Calibri" w:hAnsi="Calibri"/>
                <w:b w:val="0"/>
                <w:i w:val="0"/>
                <w:color w:val="212121"/>
                <w:sz w:val="16"/>
              </w:rPr>
              <w:t>CBC with film</w:t>
            </w:r>
          </w:p>
        </w:tc>
        <w:tc>
          <w:tcPr>
            <w:tcW w:type="dxa" w:w="950"/>
            <w:vAlign w:val="top"/>
          </w:tcPr>
          <w:p>
            <w:pPr>
              <w:spacing w:after="40" w:before="0" w:line="259" w:lineRule="auto"/>
            </w:pPr>
            <w:r>
              <w:rPr>
                <w:rFonts w:ascii="Calibri" w:hAnsi="Calibri"/>
                <w:b w:val="0"/>
                <w:i w:val="0"/>
                <w:color w:val="212121"/>
                <w:sz w:val="16"/>
              </w:rPr>
              <w:t>Normal counts</w:t>
            </w:r>
          </w:p>
        </w:tc>
        <w:tc>
          <w:tcPr>
            <w:tcW w:type="dxa" w:w="950"/>
            <w:vAlign w:val="top"/>
          </w:tcPr>
          <w:p>
            <w:pPr>
              <w:spacing w:after="40" w:before="0" w:line="259" w:lineRule="auto"/>
            </w:pPr>
            <w:r>
              <w:rPr>
                <w:rFonts w:ascii="Calibri" w:hAnsi="Calibri"/>
                <w:b w:val="0"/>
                <w:i w:val="0"/>
                <w:color w:val="212121"/>
                <w:sz w:val="16"/>
              </w:rPr>
              <w:t>Leukopenia with relative lymphocytosis; anaemia; thrombocytopenia/pancytopenia</w:t>
            </w:r>
          </w:p>
        </w:tc>
        <w:tc>
          <w:tcPr>
            <w:tcW w:type="dxa" w:w="1036"/>
            <w:vAlign w:val="top"/>
          </w:tcPr>
          <w:p>
            <w:pPr>
              <w:spacing w:after="40" w:before="0" w:line="259" w:lineRule="auto"/>
            </w:pPr>
            <w:r>
              <w:rPr>
                <w:rFonts w:ascii="Calibri" w:hAnsi="Calibri"/>
                <w:b w:val="0"/>
                <w:i w:val="0"/>
                <w:color w:val="212121"/>
                <w:sz w:val="16"/>
              </w:rPr>
              <w:t>Marrow involvement and hypersplenism produce cytopenias</w:t>
            </w:r>
          </w:p>
        </w:tc>
        <w:tc>
          <w:tcPr>
            <w:tcW w:type="dxa" w:w="1036"/>
            <w:vAlign w:val="top"/>
          </w:tcPr>
          <w:p>
            <w:pPr>
              <w:spacing w:after="40" w:before="0" w:line="259" w:lineRule="auto"/>
            </w:pPr>
            <w:r>
              <w:rPr>
                <w:rFonts w:ascii="Calibri" w:hAnsi="Calibri"/>
                <w:b w:val="0"/>
                <w:i w:val="0"/>
                <w:color w:val="212121"/>
                <w:sz w:val="16"/>
              </w:rPr>
              <w:t>Febrile patients, hepatosplenomegaly</w:t>
            </w:r>
          </w:p>
        </w:tc>
        <w:tc>
          <w:tcPr>
            <w:tcW w:type="dxa" w:w="720"/>
            <w:vAlign w:val="top"/>
          </w:tcPr>
          <w:p>
            <w:pPr>
              <w:spacing w:after="40" w:before="0" w:line="259" w:lineRule="auto"/>
            </w:pPr>
            <w:r>
              <w:rPr>
                <w:rFonts w:ascii="Calibri" w:hAnsi="Calibri"/>
                <w:b w:val="0"/>
                <w:i w:val="0"/>
                <w:color w:val="212121"/>
                <w:sz w:val="16"/>
              </w:rPr>
              <w:t>NA</w:t>
            </w:r>
          </w:p>
        </w:tc>
        <w:tc>
          <w:tcPr>
            <w:tcW w:type="dxa" w:w="720"/>
            <w:vAlign w:val="top"/>
          </w:tcPr>
          <w:p>
            <w:pPr>
              <w:spacing w:after="40" w:before="0" w:line="259" w:lineRule="auto"/>
            </w:pPr>
            <w:r>
              <w:rPr>
                <w:rFonts w:ascii="Calibri" w:hAnsi="Calibri"/>
                <w:b w:val="0"/>
                <w:i w:val="0"/>
                <w:color w:val="212121"/>
                <w:sz w:val="16"/>
              </w:rPr>
              <w:t>Supportive</w:t>
            </w:r>
          </w:p>
        </w:tc>
        <w:tc>
          <w:tcPr>
            <w:tcW w:type="dxa" w:w="720"/>
            <w:vAlign w:val="top"/>
          </w:tcPr>
          <w:p>
            <w:pPr>
              <w:spacing w:after="40" w:before="0" w:line="259" w:lineRule="auto"/>
            </w:pPr>
            <w:r>
              <w:rPr>
                <w:rFonts w:ascii="Calibri" w:hAnsi="Calibri"/>
                <w:b w:val="0"/>
                <w:i w:val="0"/>
                <w:color w:val="212121"/>
                <w:sz w:val="16"/>
              </w:rPr>
              <w:t>Pancytopenia may mimic haematological malignancy or hypersplenism</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Liver function tests</w:t>
            </w:r>
          </w:p>
        </w:tc>
        <w:tc>
          <w:tcPr>
            <w:tcW w:type="dxa" w:w="892"/>
            <w:vAlign w:val="top"/>
          </w:tcPr>
          <w:p>
            <w:pPr>
              <w:spacing w:after="40" w:before="0" w:line="259" w:lineRule="auto"/>
            </w:pPr>
            <w:r>
              <w:rPr>
                <w:rFonts w:ascii="Calibri" w:hAnsi="Calibri"/>
                <w:b w:val="0"/>
                <w:i w:val="0"/>
                <w:color w:val="212121"/>
                <w:sz w:val="16"/>
              </w:rPr>
              <w:t>LFT</w:t>
            </w:r>
          </w:p>
        </w:tc>
        <w:tc>
          <w:tcPr>
            <w:tcW w:type="dxa" w:w="950"/>
            <w:vAlign w:val="top"/>
          </w:tcPr>
          <w:p>
            <w:pPr>
              <w:spacing w:after="40" w:before="0" w:line="259" w:lineRule="auto"/>
            </w:pPr>
            <w:r>
              <w:rPr>
                <w:rFonts w:ascii="Calibri" w:hAnsi="Calibri"/>
                <w:b w:val="0"/>
                <w:i w:val="0"/>
                <w:color w:val="212121"/>
                <w:sz w:val="16"/>
              </w:rPr>
              <w:t>Normal transaminases</w:t>
            </w:r>
          </w:p>
        </w:tc>
        <w:tc>
          <w:tcPr>
            <w:tcW w:type="dxa" w:w="950"/>
            <w:vAlign w:val="top"/>
          </w:tcPr>
          <w:p>
            <w:pPr>
              <w:spacing w:after="40" w:before="0" w:line="259" w:lineRule="auto"/>
            </w:pPr>
            <w:r>
              <w:rPr>
                <w:rFonts w:ascii="Calibri" w:hAnsi="Calibri"/>
                <w:b w:val="0"/>
                <w:i w:val="0"/>
                <w:color w:val="212121"/>
                <w:sz w:val="16"/>
              </w:rPr>
              <w:t>Mild transaminitis; occasional cholestasis</w:t>
            </w:r>
          </w:p>
        </w:tc>
        <w:tc>
          <w:tcPr>
            <w:tcW w:type="dxa" w:w="1036"/>
            <w:vAlign w:val="top"/>
          </w:tcPr>
          <w:p>
            <w:pPr>
              <w:spacing w:after="40" w:before="0" w:line="259" w:lineRule="auto"/>
            </w:pPr>
            <w:r>
              <w:rPr>
                <w:rFonts w:ascii="Calibri" w:hAnsi="Calibri"/>
                <w:b w:val="0"/>
                <w:i w:val="0"/>
                <w:color w:val="212121"/>
                <w:sz w:val="16"/>
              </w:rPr>
              <w:t>Reflects granulomatous hepatic involvement</w:t>
            </w:r>
          </w:p>
        </w:tc>
        <w:tc>
          <w:tcPr>
            <w:tcW w:type="dxa" w:w="1036"/>
            <w:vAlign w:val="top"/>
          </w:tcPr>
          <w:p>
            <w:pPr>
              <w:spacing w:after="40" w:before="0" w:line="259" w:lineRule="auto"/>
            </w:pPr>
            <w:r>
              <w:rPr>
                <w:rFonts w:ascii="Calibri" w:hAnsi="Calibri"/>
                <w:b w:val="0"/>
                <w:i w:val="0"/>
                <w:color w:val="212121"/>
                <w:sz w:val="16"/>
              </w:rPr>
              <w:t>Patients with hepatomegaly/jaundice</w:t>
            </w:r>
          </w:p>
        </w:tc>
        <w:tc>
          <w:tcPr>
            <w:tcW w:type="dxa" w:w="720"/>
            <w:vAlign w:val="top"/>
          </w:tcPr>
          <w:p>
            <w:pPr>
              <w:spacing w:after="40" w:before="0" w:line="259" w:lineRule="auto"/>
            </w:pPr>
            <w:r>
              <w:rPr>
                <w:rFonts w:ascii="Calibri" w:hAnsi="Calibri"/>
                <w:b w:val="0"/>
                <w:i w:val="0"/>
                <w:color w:val="212121"/>
                <w:sz w:val="16"/>
              </w:rPr>
              <w:t>Alcohol; Food</w:t>
            </w:r>
          </w:p>
        </w:tc>
        <w:tc>
          <w:tcPr>
            <w:tcW w:type="dxa" w:w="720"/>
            <w:vAlign w:val="top"/>
          </w:tcPr>
          <w:p>
            <w:pPr>
              <w:spacing w:after="40" w:before="0" w:line="259" w:lineRule="auto"/>
            </w:pPr>
            <w:r>
              <w:rPr>
                <w:rFonts w:ascii="Calibri" w:hAnsi="Calibri"/>
                <w:b w:val="0"/>
                <w:i w:val="0"/>
                <w:color w:val="212121"/>
                <w:sz w:val="16"/>
              </w:rPr>
              <w:t>Supportive</w:t>
            </w:r>
          </w:p>
        </w:tc>
        <w:tc>
          <w:tcPr>
            <w:tcW w:type="dxa" w:w="720"/>
            <w:vAlign w:val="top"/>
          </w:tcPr>
          <w:p>
            <w:pPr>
              <w:spacing w:after="40" w:before="0" w:line="259" w:lineRule="auto"/>
            </w:pPr>
            <w:r>
              <w:rPr>
                <w:rFonts w:ascii="Calibri" w:hAnsi="Calibri"/>
                <w:b w:val="0"/>
                <w:i w:val="0"/>
                <w:color w:val="212121"/>
                <w:sz w:val="16"/>
              </w:rPr>
              <w:t>Hepatomegaly is seen in up to 50% of patients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Imaging</w:t>
            </w:r>
          </w:p>
        </w:tc>
        <w:tc>
          <w:tcPr>
            <w:tcW w:type="dxa" w:w="1036"/>
            <w:vAlign w:val="top"/>
          </w:tcPr>
          <w:p>
            <w:pPr>
              <w:spacing w:after="40" w:before="0" w:line="259" w:lineRule="auto"/>
            </w:pPr>
            <w:r>
              <w:rPr>
                <w:rFonts w:ascii="Calibri" w:hAnsi="Calibri"/>
                <w:b w:val="0"/>
                <w:i w:val="0"/>
                <w:color w:val="212121"/>
                <w:sz w:val="16"/>
              </w:rPr>
              <w:t>Spine/SI-joint imaging (X-ray/MRI), echocardiography</w:t>
            </w:r>
          </w:p>
        </w:tc>
        <w:tc>
          <w:tcPr>
            <w:tcW w:type="dxa" w:w="892"/>
            <w:vAlign w:val="top"/>
          </w:tcPr>
          <w:p>
            <w:pPr>
              <w:spacing w:after="40" w:before="0" w:line="259" w:lineRule="auto"/>
            </w:pPr>
            <w:r>
              <w:rPr>
                <w:rFonts w:ascii="Calibri" w:hAnsi="Calibri"/>
                <w:b w:val="0"/>
                <w:i w:val="0"/>
                <w:color w:val="212121"/>
                <w:sz w:val="16"/>
              </w:rPr>
              <w:t>Radiology</w:t>
            </w:r>
          </w:p>
        </w:tc>
        <w:tc>
          <w:tcPr>
            <w:tcW w:type="dxa" w:w="950"/>
            <w:vAlign w:val="top"/>
          </w:tcPr>
          <w:p>
            <w:pPr>
              <w:spacing w:after="40" w:before="0" w:line="259" w:lineRule="auto"/>
            </w:pPr>
            <w:r>
              <w:rPr>
                <w:rFonts w:ascii="Calibri" w:hAnsi="Calibri"/>
                <w:b w:val="0"/>
                <w:i w:val="0"/>
                <w:color w:val="212121"/>
                <w:sz w:val="16"/>
              </w:rPr>
              <w:t>No focal lesion</w:t>
            </w:r>
          </w:p>
        </w:tc>
        <w:tc>
          <w:tcPr>
            <w:tcW w:type="dxa" w:w="950"/>
            <w:vAlign w:val="top"/>
          </w:tcPr>
          <w:p>
            <w:pPr>
              <w:spacing w:after="40" w:before="0" w:line="259" w:lineRule="auto"/>
            </w:pPr>
            <w:r>
              <w:rPr>
                <w:rFonts w:ascii="Calibri" w:hAnsi="Calibri"/>
                <w:b w:val="0"/>
                <w:i w:val="0"/>
                <w:color w:val="212121"/>
                <w:sz w:val="16"/>
              </w:rPr>
              <w:t>Spondylodiscitis/sacroiliitis on MRI; vegetations on echo</w:t>
            </w:r>
          </w:p>
        </w:tc>
        <w:tc>
          <w:tcPr>
            <w:tcW w:type="dxa" w:w="1036"/>
            <w:vAlign w:val="top"/>
          </w:tcPr>
          <w:p>
            <w:pPr>
              <w:spacing w:after="40" w:before="0" w:line="259" w:lineRule="auto"/>
            </w:pPr>
            <w:r>
              <w:rPr>
                <w:rFonts w:ascii="Calibri" w:hAnsi="Calibri"/>
                <w:b w:val="0"/>
                <w:i w:val="0"/>
                <w:color w:val="212121"/>
                <w:sz w:val="16"/>
              </w:rPr>
              <w:t>Localizes focal disease and guides duration of therapy</w:t>
            </w:r>
          </w:p>
        </w:tc>
        <w:tc>
          <w:tcPr>
            <w:tcW w:type="dxa" w:w="1036"/>
            <w:vAlign w:val="top"/>
          </w:tcPr>
          <w:p>
            <w:pPr>
              <w:spacing w:after="40" w:before="0" w:line="259" w:lineRule="auto"/>
            </w:pPr>
            <w:r>
              <w:rPr>
                <w:rFonts w:ascii="Calibri" w:hAnsi="Calibri"/>
                <w:b w:val="0"/>
                <w:i w:val="0"/>
                <w:color w:val="212121"/>
                <w:sz w:val="16"/>
              </w:rPr>
              <w:t>Back pain, spondylitis, suspected endocarditis</w:t>
            </w:r>
          </w:p>
        </w:tc>
        <w:tc>
          <w:tcPr>
            <w:tcW w:type="dxa" w:w="720"/>
            <w:vAlign w:val="top"/>
          </w:tcPr>
          <w:p>
            <w:pPr>
              <w:spacing w:after="40" w:before="0" w:line="259" w:lineRule="auto"/>
            </w:pPr>
            <w:r>
              <w:rPr>
                <w:rFonts w:ascii="Calibri" w:hAnsi="Calibri"/>
                <w:b w:val="0"/>
                <w:i w:val="0"/>
                <w:color w:val="212121"/>
                <w:sz w:val="16"/>
              </w:rPr>
              <w:t>Physical activity</w:t>
            </w:r>
          </w:p>
        </w:tc>
        <w:tc>
          <w:tcPr>
            <w:tcW w:type="dxa" w:w="720"/>
            <w:vAlign w:val="top"/>
          </w:tcPr>
          <w:p>
            <w:pPr>
              <w:spacing w:after="40" w:before="0" w:line="259" w:lineRule="auto"/>
            </w:pPr>
            <w:r>
              <w:rPr>
                <w:rFonts w:ascii="Calibri" w:hAnsi="Calibri"/>
                <w:b w:val="0"/>
                <w:i w:val="0"/>
                <w:color w:val="212121"/>
                <w:sz w:val="16"/>
              </w:rPr>
              <w:t>High</w:t>
            </w:r>
          </w:p>
        </w:tc>
        <w:tc>
          <w:tcPr>
            <w:tcW w:type="dxa" w:w="720"/>
            <w:vAlign w:val="top"/>
          </w:tcPr>
          <w:p>
            <w:pPr>
              <w:spacing w:after="40" w:before="0" w:line="259" w:lineRule="auto"/>
            </w:pPr>
            <w:r>
              <w:rPr>
                <w:rFonts w:ascii="Calibri" w:hAnsi="Calibri"/>
                <w:b w:val="0"/>
                <w:i w:val="0"/>
                <w:color w:val="212121"/>
                <w:sz w:val="16"/>
              </w:rPr>
              <w:t>MRI is most sensitive for early spondylodiscitis; echo for endocarditis</w:t>
            </w:r>
          </w:p>
        </w:tc>
      </w:tr>
    </w:tbl>
    <w:p>
      <w:pPr>
        <w:spacing w:before="160" w:after="120"/>
      </w:pPr>
      <w:r>
        <w:rPr>
          <w:rFonts w:ascii="Calibri" w:hAnsi="Calibri"/>
          <w:b/>
          <w:i w:val="0"/>
          <w:color w:val="212121"/>
          <w:sz w:val="22"/>
        </w:rPr>
        <w:t>Qualitative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950"/>
            <w:shd w:val="clear" w:color="auto" w:fill="F2F2F2"/>
            <w:vAlign w:val="center"/>
          </w:tcPr>
          <w:p>
            <w:pPr>
              <w:spacing w:after="40" w:before="0" w:line="259" w:lineRule="auto"/>
            </w:pPr>
            <w:r>
              <w:rPr>
                <w:rFonts w:ascii="Calibri" w:hAnsi="Calibri"/>
                <w:b/>
                <w:i w:val="0"/>
                <w:color w:val="212121"/>
                <w:sz w:val="16"/>
              </w:rPr>
              <w:t>THP</w:t>
            </w:r>
          </w:p>
        </w:tc>
        <w:tc>
          <w:tcPr>
            <w:tcW w:type="dxa" w:w="979"/>
            <w:shd w:val="clear" w:color="auto" w:fill="F2F2F2"/>
            <w:vAlign w:val="center"/>
          </w:tcPr>
          <w:p>
            <w:pPr>
              <w:spacing w:after="40" w:before="0" w:line="259" w:lineRule="auto"/>
            </w:pPr>
            <w:r>
              <w:rPr>
                <w:rFonts w:ascii="Calibri" w:hAnsi="Calibri"/>
                <w:b/>
                <w:i w:val="0"/>
                <w:color w:val="212121"/>
                <w:sz w:val="16"/>
              </w:rPr>
              <w:t>Parameter</w:t>
            </w:r>
          </w:p>
        </w:tc>
        <w:tc>
          <w:tcPr>
            <w:tcW w:type="dxa" w:w="950"/>
            <w:shd w:val="clear" w:color="auto" w:fill="F2F2F2"/>
            <w:vAlign w:val="center"/>
          </w:tcPr>
          <w:p>
            <w:pPr>
              <w:spacing w:after="40" w:before="0" w:line="259" w:lineRule="auto"/>
            </w:pPr>
            <w:r>
              <w:rPr>
                <w:rFonts w:ascii="Calibri" w:hAnsi="Calibri"/>
                <w:b/>
                <w:i w:val="0"/>
                <w:color w:val="212121"/>
                <w:sz w:val="16"/>
              </w:rPr>
              <w:t>Normal findings</w:t>
            </w:r>
          </w:p>
        </w:tc>
        <w:tc>
          <w:tcPr>
            <w:tcW w:type="dxa" w:w="950"/>
            <w:shd w:val="clear" w:color="auto" w:fill="F2F2F2"/>
            <w:vAlign w:val="center"/>
          </w:tcPr>
          <w:p>
            <w:pPr>
              <w:spacing w:after="40" w:before="0" w:line="259" w:lineRule="auto"/>
            </w:pPr>
            <w:r>
              <w:rPr>
                <w:rFonts w:ascii="Calibri" w:hAnsi="Calibri"/>
                <w:b/>
                <w:i w:val="0"/>
                <w:color w:val="212121"/>
                <w:sz w:val="16"/>
              </w:rPr>
              <w:t>Abnormal findings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Exposure history</w:t>
            </w:r>
          </w:p>
        </w:tc>
        <w:tc>
          <w:tcPr>
            <w:tcW w:type="dxa" w:w="979"/>
            <w:vAlign w:val="top"/>
          </w:tcPr>
          <w:p>
            <w:pPr>
              <w:spacing w:after="40" w:before="0" w:line="259" w:lineRule="auto"/>
            </w:pPr>
            <w:r>
              <w:rPr>
                <w:rFonts w:ascii="Calibri" w:hAnsi="Calibri"/>
                <w:b w:val="0"/>
                <w:i w:val="0"/>
                <w:color w:val="212121"/>
                <w:sz w:val="16"/>
              </w:rPr>
              <w:t>Occupational animal contact (livestock, abattoir, veterinary, dairy, laboratory)</w:t>
            </w:r>
          </w:p>
        </w:tc>
        <w:tc>
          <w:tcPr>
            <w:tcW w:type="dxa" w:w="950"/>
            <w:vAlign w:val="top"/>
          </w:tcPr>
          <w:p>
            <w:pPr>
              <w:spacing w:after="40" w:before="0" w:line="259" w:lineRule="auto"/>
            </w:pPr>
            <w:r>
              <w:rPr>
                <w:rFonts w:ascii="Calibri" w:hAnsi="Calibri"/>
                <w:b w:val="0"/>
                <w:i w:val="0"/>
                <w:color w:val="212121"/>
                <w:sz w:val="16"/>
              </w:rPr>
              <w:t>No exposure</w:t>
            </w:r>
          </w:p>
        </w:tc>
        <w:tc>
          <w:tcPr>
            <w:tcW w:type="dxa" w:w="950"/>
            <w:vAlign w:val="top"/>
          </w:tcPr>
          <w:p>
            <w:pPr>
              <w:spacing w:after="40" w:before="0" w:line="259" w:lineRule="auto"/>
            </w:pPr>
            <w:r>
              <w:rPr>
                <w:rFonts w:ascii="Calibri" w:hAnsi="Calibri"/>
                <w:b w:val="0"/>
                <w:i w:val="0"/>
                <w:color w:val="212121"/>
                <w:sz w:val="16"/>
              </w:rPr>
              <w:t>Any high-risk occupational contact</w:t>
            </w:r>
          </w:p>
        </w:tc>
        <w:tc>
          <w:tcPr>
            <w:tcW w:type="dxa" w:w="1036"/>
            <w:vAlign w:val="top"/>
          </w:tcPr>
          <w:p>
            <w:pPr>
              <w:spacing w:after="40" w:before="0" w:line="259" w:lineRule="auto"/>
            </w:pPr>
            <w:r>
              <w:rPr>
                <w:rFonts w:ascii="Calibri" w:hAnsi="Calibri"/>
                <w:b w:val="0"/>
                <w:i w:val="0"/>
                <w:color w:val="212121"/>
                <w:sz w:val="16"/>
              </w:rPr>
              <w:t>Establishes epidemiological risk — key to raising suspicion</w:t>
            </w:r>
          </w:p>
        </w:tc>
        <w:tc>
          <w:tcPr>
            <w:tcW w:type="dxa" w:w="1036"/>
            <w:vAlign w:val="top"/>
          </w:tcPr>
          <w:p>
            <w:pPr>
              <w:spacing w:after="40" w:before="0" w:line="259" w:lineRule="auto"/>
            </w:pPr>
            <w:r>
              <w:rPr>
                <w:rFonts w:ascii="Calibri" w:hAnsi="Calibri"/>
                <w:b w:val="0"/>
                <w:i w:val="0"/>
                <w:color w:val="212121"/>
                <w:sz w:val="16"/>
              </w:rPr>
              <w:t>Shepherds, butchers, vets, dairy/lab workers</w:t>
            </w:r>
          </w:p>
        </w:tc>
        <w:tc>
          <w:tcPr>
            <w:tcW w:type="dxa" w:w="720"/>
            <w:vAlign w:val="top"/>
          </w:tcPr>
          <w:p>
            <w:pPr>
              <w:spacing w:after="40" w:before="0" w:line="259" w:lineRule="auto"/>
            </w:pPr>
            <w:r>
              <w:rPr>
                <w:rFonts w:ascii="Calibri" w:hAnsi="Calibri"/>
                <w:b w:val="0"/>
                <w:i w:val="0"/>
                <w:color w:val="212121"/>
                <w:sz w:val="16"/>
              </w:rPr>
              <w:t>Hygiene; Provoking factors</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Ask specifically about assisting births/abortions and PPE use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Dietary history</w:t>
            </w:r>
          </w:p>
        </w:tc>
        <w:tc>
          <w:tcPr>
            <w:tcW w:type="dxa" w:w="979"/>
            <w:vAlign w:val="top"/>
          </w:tcPr>
          <w:p>
            <w:pPr>
              <w:spacing w:after="40" w:before="0" w:line="259" w:lineRule="auto"/>
            </w:pPr>
            <w:r>
              <w:rPr>
                <w:rFonts w:ascii="Calibri" w:hAnsi="Calibri"/>
                <w:b w:val="0"/>
                <w:i w:val="0"/>
                <w:color w:val="212121"/>
                <w:sz w:val="16"/>
              </w:rPr>
              <w:t>Consumption of unpasteurized dairy / undercooked meat</w:t>
            </w:r>
          </w:p>
        </w:tc>
        <w:tc>
          <w:tcPr>
            <w:tcW w:type="dxa" w:w="950"/>
            <w:vAlign w:val="top"/>
          </w:tcPr>
          <w:p>
            <w:pPr>
              <w:spacing w:after="40" w:before="0" w:line="259" w:lineRule="auto"/>
            </w:pPr>
            <w:r>
              <w:rPr>
                <w:rFonts w:ascii="Calibri" w:hAnsi="Calibri"/>
                <w:b w:val="0"/>
                <w:i w:val="0"/>
                <w:color w:val="212121"/>
                <w:sz w:val="16"/>
              </w:rPr>
              <w:t>Only pasteurized/boiled</w:t>
            </w:r>
          </w:p>
        </w:tc>
        <w:tc>
          <w:tcPr>
            <w:tcW w:type="dxa" w:w="950"/>
            <w:vAlign w:val="top"/>
          </w:tcPr>
          <w:p>
            <w:pPr>
              <w:spacing w:after="40" w:before="0" w:line="259" w:lineRule="auto"/>
            </w:pPr>
            <w:r>
              <w:rPr>
                <w:rFonts w:ascii="Calibri" w:hAnsi="Calibri"/>
                <w:b w:val="0"/>
                <w:i w:val="0"/>
                <w:color w:val="212121"/>
                <w:sz w:val="16"/>
              </w:rPr>
              <w:t>Raw milk, soft cheese, curd or undercooked meat</w:t>
            </w:r>
          </w:p>
        </w:tc>
        <w:tc>
          <w:tcPr>
            <w:tcW w:type="dxa" w:w="1036"/>
            <w:vAlign w:val="top"/>
          </w:tcPr>
          <w:p>
            <w:pPr>
              <w:spacing w:after="40" w:before="0" w:line="259" w:lineRule="auto"/>
            </w:pPr>
            <w:r>
              <w:rPr>
                <w:rFonts w:ascii="Calibri" w:hAnsi="Calibri"/>
                <w:b w:val="0"/>
                <w:i w:val="0"/>
                <w:color w:val="212121"/>
                <w:sz w:val="16"/>
              </w:rPr>
              <w:t>Identifies the commonest foodborne route, including in non-occupational cases</w:t>
            </w:r>
          </w:p>
        </w:tc>
        <w:tc>
          <w:tcPr>
            <w:tcW w:type="dxa" w:w="1036"/>
            <w:vAlign w:val="top"/>
          </w:tcPr>
          <w:p>
            <w:pPr>
              <w:spacing w:after="40" w:before="0" w:line="259" w:lineRule="auto"/>
            </w:pPr>
            <w:r>
              <w:rPr>
                <w:rFonts w:ascii="Calibri" w:hAnsi="Calibri"/>
                <w:b w:val="0"/>
                <w:i w:val="0"/>
                <w:color w:val="212121"/>
                <w:sz w:val="16"/>
              </w:rPr>
              <w:t>Rural households, raw-dairy consumers</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Household members share the same exposure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Residence / travel</w:t>
            </w:r>
          </w:p>
        </w:tc>
        <w:tc>
          <w:tcPr>
            <w:tcW w:type="dxa" w:w="979"/>
            <w:vAlign w:val="top"/>
          </w:tcPr>
          <w:p>
            <w:pPr>
              <w:spacing w:after="40" w:before="0" w:line="259" w:lineRule="auto"/>
            </w:pPr>
            <w:r>
              <w:rPr>
                <w:rFonts w:ascii="Calibri" w:hAnsi="Calibri"/>
                <w:b w:val="0"/>
                <w:i w:val="0"/>
                <w:color w:val="212121"/>
                <w:sz w:val="16"/>
              </w:rPr>
              <w:t>Living in or travel to an endemic region</w:t>
            </w:r>
          </w:p>
        </w:tc>
        <w:tc>
          <w:tcPr>
            <w:tcW w:type="dxa" w:w="950"/>
            <w:vAlign w:val="top"/>
          </w:tcPr>
          <w:p>
            <w:pPr>
              <w:spacing w:after="40" w:before="0" w:line="259" w:lineRule="auto"/>
            </w:pPr>
            <w:r>
              <w:rPr>
                <w:rFonts w:ascii="Calibri" w:hAnsi="Calibri"/>
                <w:b w:val="0"/>
                <w:i w:val="0"/>
                <w:color w:val="212121"/>
                <w:sz w:val="16"/>
              </w:rPr>
              <w:t>Non-endemic</w:t>
            </w:r>
          </w:p>
        </w:tc>
        <w:tc>
          <w:tcPr>
            <w:tcW w:type="dxa" w:w="950"/>
            <w:vAlign w:val="top"/>
          </w:tcPr>
          <w:p>
            <w:pPr>
              <w:spacing w:after="40" w:before="0" w:line="259" w:lineRule="auto"/>
            </w:pPr>
            <w:r>
              <w:rPr>
                <w:rFonts w:ascii="Calibri" w:hAnsi="Calibri"/>
                <w:b w:val="0"/>
                <w:i w:val="0"/>
                <w:color w:val="212121"/>
                <w:sz w:val="16"/>
              </w:rPr>
              <w:t>Endemic state / rural livestock area</w:t>
            </w:r>
          </w:p>
        </w:tc>
        <w:tc>
          <w:tcPr>
            <w:tcW w:type="dxa" w:w="1036"/>
            <w:vAlign w:val="top"/>
          </w:tcPr>
          <w:p>
            <w:pPr>
              <w:spacing w:after="40" w:before="0" w:line="259" w:lineRule="auto"/>
            </w:pPr>
            <w:r>
              <w:rPr>
                <w:rFonts w:ascii="Calibri" w:hAnsi="Calibri"/>
                <w:b w:val="0"/>
                <w:i w:val="0"/>
                <w:color w:val="212121"/>
                <w:sz w:val="16"/>
              </w:rPr>
              <w:t>Raises pretest probability in PUO</w:t>
            </w:r>
          </w:p>
        </w:tc>
        <w:tc>
          <w:tcPr>
            <w:tcW w:type="dxa" w:w="1036"/>
            <w:vAlign w:val="top"/>
          </w:tcPr>
          <w:p>
            <w:pPr>
              <w:spacing w:after="40" w:before="0" w:line="259" w:lineRule="auto"/>
            </w:pPr>
            <w:r>
              <w:rPr>
                <w:rFonts w:ascii="Calibri" w:hAnsi="Calibri"/>
                <w:b w:val="0"/>
                <w:i w:val="0"/>
                <w:color w:val="212121"/>
                <w:sz w:val="16"/>
              </w:rPr>
              <w:t>Residents of endemic states, migrants</w:t>
            </w:r>
          </w:p>
        </w:tc>
        <w:tc>
          <w:tcPr>
            <w:tcW w:type="dxa" w:w="720"/>
            <w:vAlign w:val="top"/>
          </w:tcPr>
          <w:p>
            <w:pPr>
              <w:spacing w:after="40" w:before="0" w:line="259" w:lineRule="auto"/>
            </w:pPr>
            <w:r>
              <w:rPr>
                <w:rFonts w:ascii="Calibri" w:hAnsi="Calibri"/>
                <w:b w:val="0"/>
                <w:i w:val="0"/>
                <w:color w:val="212121"/>
                <w:sz w:val="16"/>
              </w:rPr>
              <w:t>NA</w:t>
            </w:r>
          </w:p>
        </w:tc>
        <w:tc>
          <w:tcPr>
            <w:tcW w:type="dxa" w:w="720"/>
            <w:vAlign w:val="top"/>
          </w:tcPr>
          <w:p>
            <w:pPr>
              <w:spacing w:after="40" w:before="0" w:line="259" w:lineRule="auto"/>
            </w:pPr>
            <w:r>
              <w:rPr>
                <w:rFonts w:ascii="Calibri" w:hAnsi="Calibri"/>
                <w:b w:val="0"/>
                <w:i w:val="0"/>
                <w:color w:val="212121"/>
                <w:sz w:val="16"/>
              </w:rPr>
              <w:t>Supportive</w:t>
            </w:r>
          </w:p>
        </w:tc>
        <w:tc>
          <w:tcPr>
            <w:tcW w:type="dxa" w:w="720"/>
            <w:vAlign w:val="top"/>
          </w:tcPr>
          <w:p>
            <w:pPr>
              <w:spacing w:after="40" w:before="0" w:line="259" w:lineRule="auto"/>
            </w:pPr>
            <w:r>
              <w:rPr>
                <w:rFonts w:ascii="Calibri" w:hAnsi="Calibri"/>
                <w:b w:val="0"/>
                <w:i w:val="0"/>
                <w:color w:val="212121"/>
                <w:sz w:val="16"/>
              </w:rPr>
              <w:t>Consider in any undiagnosed prolonged fever from endemic India</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Chief complaints</w:t>
            </w:r>
          </w:p>
        </w:tc>
        <w:tc>
          <w:tcPr>
            <w:tcW w:type="dxa" w:w="979"/>
            <w:vAlign w:val="top"/>
          </w:tcPr>
          <w:p>
            <w:pPr>
              <w:spacing w:after="40" w:before="0" w:line="259" w:lineRule="auto"/>
            </w:pPr>
            <w:r>
              <w:rPr>
                <w:rFonts w:ascii="Calibri" w:hAnsi="Calibri"/>
                <w:b w:val="0"/>
                <w:i w:val="0"/>
                <w:color w:val="212121"/>
                <w:sz w:val="16"/>
              </w:rPr>
              <w:t>Undulant fever, drenching night sweats, arthralgia, low back pain</w:t>
            </w:r>
          </w:p>
        </w:tc>
        <w:tc>
          <w:tcPr>
            <w:tcW w:type="dxa" w:w="950"/>
            <w:vAlign w:val="top"/>
          </w:tcPr>
          <w:p>
            <w:pPr>
              <w:spacing w:after="40" w:before="0" w:line="259" w:lineRule="auto"/>
            </w:pPr>
            <w:r>
              <w:rPr>
                <w:rFonts w:ascii="Calibri" w:hAnsi="Calibri"/>
                <w:b w:val="0"/>
                <w:i w:val="0"/>
                <w:color w:val="212121"/>
                <w:sz w:val="16"/>
              </w:rPr>
              <w:t>None</w:t>
            </w:r>
          </w:p>
        </w:tc>
        <w:tc>
          <w:tcPr>
            <w:tcW w:type="dxa" w:w="950"/>
            <w:vAlign w:val="top"/>
          </w:tcPr>
          <w:p>
            <w:pPr>
              <w:spacing w:after="40" w:before="0" w:line="259" w:lineRule="auto"/>
            </w:pPr>
            <w:r>
              <w:rPr>
                <w:rFonts w:ascii="Calibri" w:hAnsi="Calibri"/>
                <w:b w:val="0"/>
                <w:i w:val="0"/>
                <w:color w:val="212121"/>
                <w:sz w:val="16"/>
              </w:rPr>
              <w:t>Any present, often &gt;2 weeks</w:t>
            </w:r>
          </w:p>
        </w:tc>
        <w:tc>
          <w:tcPr>
            <w:tcW w:type="dxa" w:w="1036"/>
            <w:vAlign w:val="top"/>
          </w:tcPr>
          <w:p>
            <w:pPr>
              <w:spacing w:after="40" w:before="0" w:line="259" w:lineRule="auto"/>
            </w:pPr>
            <w:r>
              <w:rPr>
                <w:rFonts w:ascii="Calibri" w:hAnsi="Calibri"/>
                <w:b w:val="0"/>
                <w:i w:val="0"/>
                <w:color w:val="212121"/>
                <w:sz w:val="16"/>
              </w:rPr>
              <w:t>Classic constitutional pattern of brucellosis</w:t>
            </w:r>
          </w:p>
        </w:tc>
        <w:tc>
          <w:tcPr>
            <w:tcW w:type="dxa" w:w="1036"/>
            <w:vAlign w:val="top"/>
          </w:tcPr>
          <w:p>
            <w:pPr>
              <w:spacing w:after="40" w:before="0" w:line="259" w:lineRule="auto"/>
            </w:pPr>
            <w:r>
              <w:rPr>
                <w:rFonts w:ascii="Calibri" w:hAnsi="Calibri"/>
                <w:b w:val="0"/>
                <w:i w:val="0"/>
                <w:color w:val="212121"/>
                <w:sz w:val="16"/>
              </w:rPr>
              <w:t>Adults with prolonged fever</w:t>
            </w:r>
          </w:p>
        </w:tc>
        <w:tc>
          <w:tcPr>
            <w:tcW w:type="dxa" w:w="720"/>
            <w:vAlign w:val="top"/>
          </w:tcPr>
          <w:p>
            <w:pPr>
              <w:spacing w:after="40" w:before="0" w:line="259" w:lineRule="auto"/>
            </w:pPr>
            <w:r>
              <w:rPr>
                <w:rFonts w:ascii="Calibri" w:hAnsi="Calibri"/>
                <w:b w:val="0"/>
                <w:i w:val="0"/>
                <w:color w:val="212121"/>
                <w:sz w:val="16"/>
              </w:rPr>
              <w:t>Sleep; Mental health</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Sweat classically described as malodorous (“wet-hay” smell)</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 exam</w:t>
            </w:r>
          </w:p>
        </w:tc>
        <w:tc>
          <w:tcPr>
            <w:tcW w:type="dxa" w:w="950"/>
            <w:vAlign w:val="top"/>
          </w:tcPr>
          <w:p>
            <w:pPr>
              <w:spacing w:after="40" w:before="0" w:line="259" w:lineRule="auto"/>
            </w:pPr>
            <w:r>
              <w:rPr>
                <w:rFonts w:ascii="Calibri" w:hAnsi="Calibri"/>
                <w:b w:val="0"/>
                <w:i w:val="0"/>
                <w:color w:val="212121"/>
                <w:sz w:val="16"/>
              </w:rPr>
              <w:t>Abdominal / lymph-node exam</w:t>
            </w:r>
          </w:p>
        </w:tc>
        <w:tc>
          <w:tcPr>
            <w:tcW w:type="dxa" w:w="979"/>
            <w:vAlign w:val="top"/>
          </w:tcPr>
          <w:p>
            <w:pPr>
              <w:spacing w:after="40" w:before="0" w:line="259" w:lineRule="auto"/>
            </w:pPr>
            <w:r>
              <w:rPr>
                <w:rFonts w:ascii="Calibri" w:hAnsi="Calibri"/>
                <w:b w:val="0"/>
                <w:i w:val="0"/>
                <w:color w:val="212121"/>
                <w:sz w:val="16"/>
              </w:rPr>
              <w:t>Hepatomegaly, splenomegaly, lymphadenopathy</w:t>
            </w:r>
          </w:p>
        </w:tc>
        <w:tc>
          <w:tcPr>
            <w:tcW w:type="dxa" w:w="950"/>
            <w:vAlign w:val="top"/>
          </w:tcPr>
          <w:p>
            <w:pPr>
              <w:spacing w:after="40" w:before="0" w:line="259" w:lineRule="auto"/>
            </w:pPr>
            <w:r>
              <w:rPr>
                <w:rFonts w:ascii="Calibri" w:hAnsi="Calibri"/>
                <w:b w:val="0"/>
                <w:i w:val="0"/>
                <w:color w:val="212121"/>
                <w:sz w:val="16"/>
              </w:rPr>
              <w:t>None</w:t>
            </w:r>
          </w:p>
        </w:tc>
        <w:tc>
          <w:tcPr>
            <w:tcW w:type="dxa" w:w="950"/>
            <w:vAlign w:val="top"/>
          </w:tcPr>
          <w:p>
            <w:pPr>
              <w:spacing w:after="40" w:before="0" w:line="259" w:lineRule="auto"/>
            </w:pPr>
            <w:r>
              <w:rPr>
                <w:rFonts w:ascii="Calibri" w:hAnsi="Calibri"/>
                <w:b w:val="0"/>
                <w:i w:val="0"/>
                <w:color w:val="212121"/>
                <w:sz w:val="16"/>
              </w:rPr>
              <w:t>Organomegaly / palpable nodes</w:t>
            </w:r>
          </w:p>
        </w:tc>
        <w:tc>
          <w:tcPr>
            <w:tcW w:type="dxa" w:w="1036"/>
            <w:vAlign w:val="top"/>
          </w:tcPr>
          <w:p>
            <w:pPr>
              <w:spacing w:after="40" w:before="0" w:line="259" w:lineRule="auto"/>
            </w:pPr>
            <w:r>
              <w:rPr>
                <w:rFonts w:ascii="Calibri" w:hAnsi="Calibri"/>
                <w:b w:val="0"/>
                <w:i w:val="0"/>
                <w:color w:val="212121"/>
                <w:sz w:val="16"/>
              </w:rPr>
              <w:t>Reticuloendothelial involvement</w:t>
            </w:r>
          </w:p>
        </w:tc>
        <w:tc>
          <w:tcPr>
            <w:tcW w:type="dxa" w:w="1036"/>
            <w:vAlign w:val="top"/>
          </w:tcPr>
          <w:p>
            <w:pPr>
              <w:spacing w:after="40" w:before="0" w:line="259" w:lineRule="auto"/>
            </w:pPr>
            <w:r>
              <w:rPr>
                <w:rFonts w:ascii="Calibri" w:hAnsi="Calibri"/>
                <w:b w:val="0"/>
                <w:i w:val="0"/>
                <w:color w:val="212121"/>
                <w:sz w:val="16"/>
              </w:rPr>
              <w:t>Febrile patients</w:t>
            </w:r>
          </w:p>
        </w:tc>
        <w:tc>
          <w:tcPr>
            <w:tcW w:type="dxa" w:w="720"/>
            <w:vAlign w:val="top"/>
          </w:tcPr>
          <w:p>
            <w:pPr>
              <w:spacing w:after="40" w:before="0" w:line="259" w:lineRule="auto"/>
            </w:pPr>
            <w:r>
              <w:rPr>
                <w:rFonts w:ascii="Calibri" w:hAnsi="Calibri"/>
                <w:b w:val="0"/>
                <w:i w:val="0"/>
                <w:color w:val="212121"/>
                <w:sz w:val="16"/>
              </w:rPr>
              <w:t>NA</w:t>
            </w:r>
          </w:p>
        </w:tc>
        <w:tc>
          <w:tcPr>
            <w:tcW w:type="dxa" w:w="720"/>
            <w:vAlign w:val="top"/>
          </w:tcPr>
          <w:p>
            <w:pPr>
              <w:spacing w:after="40" w:before="0" w:line="259" w:lineRule="auto"/>
            </w:pPr>
            <w:r>
              <w:rPr>
                <w:rFonts w:ascii="Calibri" w:hAnsi="Calibri"/>
                <w:b w:val="0"/>
                <w:i w:val="0"/>
                <w:color w:val="212121"/>
                <w:sz w:val="16"/>
              </w:rPr>
              <w:t>Supportive</w:t>
            </w:r>
          </w:p>
        </w:tc>
        <w:tc>
          <w:tcPr>
            <w:tcW w:type="dxa" w:w="720"/>
            <w:vAlign w:val="top"/>
          </w:tcPr>
          <w:p>
            <w:pPr>
              <w:spacing w:after="40" w:before="0" w:line="259" w:lineRule="auto"/>
            </w:pPr>
            <w:r>
              <w:rPr>
                <w:rFonts w:ascii="Calibri" w:hAnsi="Calibri"/>
                <w:b w:val="0"/>
                <w:i w:val="0"/>
                <w:color w:val="212121"/>
                <w:sz w:val="16"/>
              </w:rPr>
              <w:t>Hepatomegaly in up to 50%; splenomegaly common</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 exam</w:t>
            </w:r>
          </w:p>
        </w:tc>
        <w:tc>
          <w:tcPr>
            <w:tcW w:type="dxa" w:w="950"/>
            <w:vAlign w:val="top"/>
          </w:tcPr>
          <w:p>
            <w:pPr>
              <w:spacing w:after="40" w:before="0" w:line="259" w:lineRule="auto"/>
            </w:pPr>
            <w:r>
              <w:rPr>
                <w:rFonts w:ascii="Calibri" w:hAnsi="Calibri"/>
                <w:b w:val="0"/>
                <w:i w:val="0"/>
                <w:color w:val="212121"/>
                <w:sz w:val="16"/>
              </w:rPr>
              <w:t>Musculoskeletal exam</w:t>
            </w:r>
          </w:p>
        </w:tc>
        <w:tc>
          <w:tcPr>
            <w:tcW w:type="dxa" w:w="979"/>
            <w:vAlign w:val="top"/>
          </w:tcPr>
          <w:p>
            <w:pPr>
              <w:spacing w:after="40" w:before="0" w:line="259" w:lineRule="auto"/>
            </w:pPr>
            <w:r>
              <w:rPr>
                <w:rFonts w:ascii="Calibri" w:hAnsi="Calibri"/>
                <w:b w:val="0"/>
                <w:i w:val="0"/>
                <w:color w:val="212121"/>
                <w:sz w:val="16"/>
              </w:rPr>
              <w:t>Sacroiliac tenderness, spinal percussion tenderness, joint effusion</w:t>
            </w:r>
          </w:p>
        </w:tc>
        <w:tc>
          <w:tcPr>
            <w:tcW w:type="dxa" w:w="950"/>
            <w:vAlign w:val="top"/>
          </w:tcPr>
          <w:p>
            <w:pPr>
              <w:spacing w:after="40" w:before="0" w:line="259" w:lineRule="auto"/>
            </w:pPr>
            <w:r>
              <w:rPr>
                <w:rFonts w:ascii="Calibri" w:hAnsi="Calibri"/>
                <w:b w:val="0"/>
                <w:i w:val="0"/>
                <w:color w:val="212121"/>
                <w:sz w:val="16"/>
              </w:rPr>
              <w:t>None</w:t>
            </w:r>
          </w:p>
        </w:tc>
        <w:tc>
          <w:tcPr>
            <w:tcW w:type="dxa" w:w="950"/>
            <w:vAlign w:val="top"/>
          </w:tcPr>
          <w:p>
            <w:pPr>
              <w:spacing w:after="40" w:before="0" w:line="259" w:lineRule="auto"/>
            </w:pPr>
            <w:r>
              <w:rPr>
                <w:rFonts w:ascii="Calibri" w:hAnsi="Calibri"/>
                <w:b w:val="0"/>
                <w:i w:val="0"/>
                <w:color w:val="212121"/>
                <w:sz w:val="16"/>
              </w:rPr>
              <w:t>Focal tenderness / restricted movement / effusion</w:t>
            </w:r>
          </w:p>
        </w:tc>
        <w:tc>
          <w:tcPr>
            <w:tcW w:type="dxa" w:w="1036"/>
            <w:vAlign w:val="top"/>
          </w:tcPr>
          <w:p>
            <w:pPr>
              <w:spacing w:after="40" w:before="0" w:line="259" w:lineRule="auto"/>
            </w:pPr>
            <w:r>
              <w:rPr>
                <w:rFonts w:ascii="Calibri" w:hAnsi="Calibri"/>
                <w:b w:val="0"/>
                <w:i w:val="0"/>
                <w:color w:val="212121"/>
                <w:sz w:val="16"/>
              </w:rPr>
              <w:t>Osteoarticular disease is the commonest focal complication</w:t>
            </w:r>
          </w:p>
        </w:tc>
        <w:tc>
          <w:tcPr>
            <w:tcW w:type="dxa" w:w="1036"/>
            <w:vAlign w:val="top"/>
          </w:tcPr>
          <w:p>
            <w:pPr>
              <w:spacing w:after="40" w:before="0" w:line="259" w:lineRule="auto"/>
            </w:pPr>
            <w:r>
              <w:rPr>
                <w:rFonts w:ascii="Calibri" w:hAnsi="Calibri"/>
                <w:b w:val="0"/>
                <w:i w:val="0"/>
                <w:color w:val="212121"/>
                <w:sz w:val="16"/>
              </w:rPr>
              <w:t>Patients with back/joint pain</w:t>
            </w:r>
          </w:p>
        </w:tc>
        <w:tc>
          <w:tcPr>
            <w:tcW w:type="dxa" w:w="720"/>
            <w:vAlign w:val="top"/>
          </w:tcPr>
          <w:p>
            <w:pPr>
              <w:spacing w:after="40" w:before="0" w:line="259" w:lineRule="auto"/>
            </w:pPr>
            <w:r>
              <w:rPr>
                <w:rFonts w:ascii="Calibri" w:hAnsi="Calibri"/>
                <w:b w:val="0"/>
                <w:i w:val="0"/>
                <w:color w:val="212121"/>
                <w:sz w:val="16"/>
              </w:rPr>
              <w:t>Physical activity</w:t>
            </w:r>
          </w:p>
        </w:tc>
        <w:tc>
          <w:tcPr>
            <w:tcW w:type="dxa" w:w="720"/>
            <w:vAlign w:val="top"/>
          </w:tcPr>
          <w:p>
            <w:pPr>
              <w:spacing w:after="40" w:before="0" w:line="259" w:lineRule="auto"/>
            </w:pPr>
            <w:r>
              <w:rPr>
                <w:rFonts w:ascii="Calibri" w:hAnsi="Calibri"/>
                <w:b w:val="0"/>
                <w:i w:val="0"/>
                <w:color w:val="212121"/>
                <w:sz w:val="16"/>
              </w:rPr>
              <w:t>High</w:t>
            </w:r>
          </w:p>
        </w:tc>
        <w:tc>
          <w:tcPr>
            <w:tcW w:type="dxa" w:w="720"/>
            <w:vAlign w:val="top"/>
          </w:tcPr>
          <w:p>
            <w:pPr>
              <w:spacing w:after="40" w:before="0" w:line="259" w:lineRule="auto"/>
            </w:pPr>
            <w:r>
              <w:rPr>
                <w:rFonts w:ascii="Calibri" w:hAnsi="Calibri"/>
                <w:b w:val="0"/>
                <w:i w:val="0"/>
                <w:color w:val="212121"/>
                <w:sz w:val="16"/>
              </w:rPr>
              <w:t>Sacroiliitis and spondylodiscitis are characteristic</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 exam</w:t>
            </w:r>
          </w:p>
        </w:tc>
        <w:tc>
          <w:tcPr>
            <w:tcW w:type="dxa" w:w="950"/>
            <w:vAlign w:val="top"/>
          </w:tcPr>
          <w:p>
            <w:pPr>
              <w:spacing w:after="40" w:before="0" w:line="259" w:lineRule="auto"/>
            </w:pPr>
            <w:r>
              <w:rPr>
                <w:rFonts w:ascii="Calibri" w:hAnsi="Calibri"/>
                <w:b w:val="0"/>
                <w:i w:val="0"/>
                <w:color w:val="212121"/>
                <w:sz w:val="16"/>
              </w:rPr>
              <w:t>Focal / systemic exam</w:t>
            </w:r>
          </w:p>
        </w:tc>
        <w:tc>
          <w:tcPr>
            <w:tcW w:type="dxa" w:w="979"/>
            <w:vAlign w:val="top"/>
          </w:tcPr>
          <w:p>
            <w:pPr>
              <w:spacing w:after="40" w:before="0" w:line="259" w:lineRule="auto"/>
            </w:pPr>
            <w:r>
              <w:rPr>
                <w:rFonts w:ascii="Calibri" w:hAnsi="Calibri"/>
                <w:b w:val="0"/>
                <w:i w:val="0"/>
                <w:color w:val="212121"/>
                <w:sz w:val="16"/>
              </w:rPr>
              <w:t>Epididymo-orchitis, cardiac murmur, meningism / focal neuro deficit</w:t>
            </w:r>
          </w:p>
        </w:tc>
        <w:tc>
          <w:tcPr>
            <w:tcW w:type="dxa" w:w="950"/>
            <w:vAlign w:val="top"/>
          </w:tcPr>
          <w:p>
            <w:pPr>
              <w:spacing w:after="40" w:before="0" w:line="259" w:lineRule="auto"/>
            </w:pPr>
            <w:r>
              <w:rPr>
                <w:rFonts w:ascii="Calibri" w:hAnsi="Calibri"/>
                <w:b w:val="0"/>
                <w:i w:val="0"/>
                <w:color w:val="212121"/>
                <w:sz w:val="16"/>
              </w:rPr>
              <w:t>None</w:t>
            </w:r>
          </w:p>
        </w:tc>
        <w:tc>
          <w:tcPr>
            <w:tcW w:type="dxa" w:w="950"/>
            <w:vAlign w:val="top"/>
          </w:tcPr>
          <w:p>
            <w:pPr>
              <w:spacing w:after="40" w:before="0" w:line="259" w:lineRule="auto"/>
            </w:pPr>
            <w:r>
              <w:rPr>
                <w:rFonts w:ascii="Calibri" w:hAnsi="Calibri"/>
                <w:b w:val="0"/>
                <w:i w:val="0"/>
                <w:color w:val="212121"/>
                <w:sz w:val="16"/>
              </w:rPr>
              <w:t>Scrotal swelling, new murmur, neurological signs</w:t>
            </w:r>
          </w:p>
        </w:tc>
        <w:tc>
          <w:tcPr>
            <w:tcW w:type="dxa" w:w="1036"/>
            <w:vAlign w:val="top"/>
          </w:tcPr>
          <w:p>
            <w:pPr>
              <w:spacing w:after="40" w:before="0" w:line="259" w:lineRule="auto"/>
            </w:pPr>
            <w:r>
              <w:rPr>
                <w:rFonts w:ascii="Calibri" w:hAnsi="Calibri"/>
                <w:b w:val="0"/>
                <w:i w:val="0"/>
                <w:color w:val="212121"/>
                <w:sz w:val="16"/>
              </w:rPr>
              <w:t>Detects genitourinary, endocardial and neurobrucellosis complications</w:t>
            </w:r>
          </w:p>
        </w:tc>
        <w:tc>
          <w:tcPr>
            <w:tcW w:type="dxa" w:w="1036"/>
            <w:vAlign w:val="top"/>
          </w:tcPr>
          <w:p>
            <w:pPr>
              <w:spacing w:after="40" w:before="0" w:line="259" w:lineRule="auto"/>
            </w:pPr>
            <w:r>
              <w:rPr>
                <w:rFonts w:ascii="Calibri" w:hAnsi="Calibri"/>
                <w:b w:val="0"/>
                <w:i w:val="0"/>
                <w:color w:val="212121"/>
                <w:sz w:val="16"/>
              </w:rPr>
              <w:t>Complicated / severe disease</w:t>
            </w:r>
          </w:p>
        </w:tc>
        <w:tc>
          <w:tcPr>
            <w:tcW w:type="dxa" w:w="720"/>
            <w:vAlign w:val="top"/>
          </w:tcPr>
          <w:p>
            <w:pPr>
              <w:spacing w:after="40" w:before="0" w:line="259" w:lineRule="auto"/>
            </w:pPr>
            <w:r>
              <w:rPr>
                <w:rFonts w:ascii="Calibri" w:hAnsi="Calibri"/>
                <w:b w:val="0"/>
                <w:i w:val="0"/>
                <w:color w:val="212121"/>
                <w:sz w:val="16"/>
              </w:rPr>
              <w:t>NA</w:t>
            </w:r>
          </w:p>
        </w:tc>
        <w:tc>
          <w:tcPr>
            <w:tcW w:type="dxa" w:w="720"/>
            <w:vAlign w:val="top"/>
          </w:tcPr>
          <w:p>
            <w:pPr>
              <w:spacing w:after="40" w:before="0" w:line="259" w:lineRule="auto"/>
            </w:pPr>
            <w:r>
              <w:rPr>
                <w:rFonts w:ascii="Calibri" w:hAnsi="Calibri"/>
                <w:b w:val="0"/>
                <w:i w:val="0"/>
                <w:color w:val="212121"/>
                <w:sz w:val="16"/>
              </w:rPr>
              <w:t>High</w:t>
            </w:r>
          </w:p>
        </w:tc>
        <w:tc>
          <w:tcPr>
            <w:tcW w:type="dxa" w:w="720"/>
            <w:vAlign w:val="top"/>
          </w:tcPr>
          <w:p>
            <w:pPr>
              <w:spacing w:after="40" w:before="0" w:line="259" w:lineRule="auto"/>
            </w:pPr>
            <w:r>
              <w:rPr>
                <w:rFonts w:ascii="Calibri" w:hAnsi="Calibri"/>
                <w:b w:val="0"/>
                <w:i w:val="0"/>
                <w:color w:val="212121"/>
                <w:sz w:val="16"/>
              </w:rPr>
              <w:t>A new murmur mandates echocardiography (endocarditis is the leading killer)</w:t>
            </w:r>
          </w:p>
        </w:tc>
      </w:tr>
    </w:tbl>
    <w:p>
      <w:pPr>
        <w:spacing w:before="200" w:after="120"/>
      </w:pPr>
      <w:r>
        <w:rPr>
          <w:rFonts w:ascii="Calibri" w:hAnsi="Calibri"/>
          <w:b/>
          <w:i w:val="0"/>
          <w:color w:val="212121"/>
          <w:sz w:val="25"/>
        </w:rPr>
        <w:t>Clinical features</w:t>
      </w:r>
    </w:p>
    <w:p>
      <w:pPr>
        <w:spacing w:before="160" w:after="120"/>
      </w:pPr>
      <w:r>
        <w:rPr>
          <w:rFonts w:ascii="Calibri" w:hAnsi="Calibri"/>
          <w:b/>
          <w:i w:val="0"/>
          <w:color w:val="212121"/>
          <w:sz w:val="22"/>
        </w:rPr>
        <w:t>Symptoms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Symptom</w:t>
            </w:r>
          </w:p>
        </w:tc>
        <w:tc>
          <w:tcPr>
            <w:tcW w:type="dxa" w:w="1584"/>
            <w:shd w:val="clear" w:color="auto" w:fill="F2F2F2"/>
            <w:vAlign w:val="center"/>
          </w:tcPr>
          <w:p>
            <w:pPr>
              <w:spacing w:after="40" w:before="0" w:line="259" w:lineRule="auto"/>
            </w:pPr>
            <w:r>
              <w:rPr>
                <w:rFonts w:ascii="Calibri" w:hAnsi="Calibri"/>
                <w:b/>
                <w:i w:val="0"/>
                <w:color w:val="212121"/>
                <w:sz w:val="19"/>
              </w:rPr>
              <w:t>Type</w:t>
            </w:r>
          </w:p>
        </w:tc>
        <w:tc>
          <w:tcPr>
            <w:tcW w:type="dxa" w:w="5716"/>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304"/>
            <w:vAlign w:val="top"/>
          </w:tcPr>
          <w:p>
            <w:pPr>
              <w:spacing w:after="40" w:before="0" w:line="259" w:lineRule="auto"/>
            </w:pPr>
            <w:r>
              <w:rPr>
                <w:rFonts w:ascii="Calibri" w:hAnsi="Calibri"/>
                <w:b/>
                <w:i w:val="0"/>
                <w:color w:val="212121"/>
                <w:sz w:val="19"/>
              </w:rPr>
              <w:t>Undulant / intermittent fever</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Waves of fever with afebrile intervals — the hallmark, often evening-rising.</w:t>
            </w:r>
          </w:p>
        </w:tc>
      </w:tr>
      <w:tr>
        <w:trPr>
          <w:cantSplit/>
        </w:trPr>
        <w:tc>
          <w:tcPr>
            <w:tcW w:type="dxa" w:w="2304"/>
            <w:vAlign w:val="top"/>
          </w:tcPr>
          <w:p>
            <w:pPr>
              <w:spacing w:after="40" w:before="0" w:line="259" w:lineRule="auto"/>
            </w:pPr>
            <w:r>
              <w:rPr>
                <w:rFonts w:ascii="Calibri" w:hAnsi="Calibri"/>
                <w:b/>
                <w:i w:val="0"/>
                <w:color w:val="212121"/>
                <w:sz w:val="19"/>
              </w:rPr>
              <w:t>Drenching sweats (malodorous)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Profuse sweats classically likened to the smell of wet hay or mould.</w:t>
            </w:r>
          </w:p>
        </w:tc>
      </w:tr>
      <w:tr>
        <w:trPr>
          <w:cantSplit/>
        </w:trPr>
        <w:tc>
          <w:tcPr>
            <w:tcW w:type="dxa" w:w="2304"/>
            <w:vAlign w:val="top"/>
          </w:tcPr>
          <w:p>
            <w:pPr>
              <w:spacing w:after="40" w:before="0" w:line="259" w:lineRule="auto"/>
            </w:pPr>
            <w:r>
              <w:rPr>
                <w:rFonts w:ascii="Calibri" w:hAnsi="Calibri"/>
                <w:b/>
                <w:i w:val="0"/>
                <w:color w:val="212121"/>
                <w:sz w:val="19"/>
              </w:rPr>
              <w:t>Fatigue, malaise &amp; weakness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Profound asthenia; a leading feature of both acute and chronic disease.</w:t>
            </w:r>
          </w:p>
        </w:tc>
      </w:tr>
      <w:tr>
        <w:trPr>
          <w:cantSplit/>
        </w:trPr>
        <w:tc>
          <w:tcPr>
            <w:tcW w:type="dxa" w:w="2304"/>
            <w:vAlign w:val="top"/>
          </w:tcPr>
          <w:p>
            <w:pPr>
              <w:spacing w:after="40" w:before="0" w:line="259" w:lineRule="auto"/>
            </w:pPr>
            <w:r>
              <w:rPr>
                <w:rFonts w:ascii="Calibri" w:hAnsi="Calibri"/>
                <w:b/>
                <w:i w:val="0"/>
                <w:color w:val="212121"/>
                <w:sz w:val="19"/>
              </w:rPr>
              <w:t>Arthralgia &amp; myalgia</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Migratory joint and muscle pains; large joints and the low back are typical.</w:t>
            </w:r>
          </w:p>
        </w:tc>
      </w:tr>
      <w:tr>
        <w:trPr>
          <w:cantSplit/>
        </w:trPr>
        <w:tc>
          <w:tcPr>
            <w:tcW w:type="dxa" w:w="2304"/>
            <w:vAlign w:val="top"/>
          </w:tcPr>
          <w:p>
            <w:pPr>
              <w:spacing w:after="40" w:before="0" w:line="259" w:lineRule="auto"/>
            </w:pPr>
            <w:r>
              <w:rPr>
                <w:rFonts w:ascii="Calibri" w:hAnsi="Calibri"/>
                <w:b/>
                <w:i w:val="0"/>
                <w:color w:val="212121"/>
                <w:sz w:val="19"/>
              </w:rPr>
              <w:t>Low back / sacroiliac pain</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Suggests sacroiliitis or spondylodiscitis — the commonest focal complication.</w:t>
            </w:r>
          </w:p>
        </w:tc>
      </w:tr>
      <w:tr>
        <w:trPr>
          <w:cantSplit/>
        </w:trPr>
        <w:tc>
          <w:tcPr>
            <w:tcW w:type="dxa" w:w="2304"/>
            <w:vAlign w:val="top"/>
          </w:tcPr>
          <w:p>
            <w:pPr>
              <w:spacing w:after="40" w:before="0" w:line="259" w:lineRule="auto"/>
            </w:pPr>
            <w:r>
              <w:rPr>
                <w:rFonts w:ascii="Calibri" w:hAnsi="Calibri"/>
                <w:b/>
                <w:i w:val="0"/>
                <w:color w:val="212121"/>
                <w:sz w:val="19"/>
              </w:rPr>
              <w:t>Headache</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Frequent constitutional symptom; severe/persistent headache may signal neurobrucellosis.</w:t>
            </w:r>
          </w:p>
        </w:tc>
      </w:tr>
      <w:tr>
        <w:trPr>
          <w:cantSplit/>
        </w:trPr>
        <w:tc>
          <w:tcPr>
            <w:tcW w:type="dxa" w:w="2304"/>
            <w:vAlign w:val="top"/>
          </w:tcPr>
          <w:p>
            <w:pPr>
              <w:spacing w:after="40" w:before="0" w:line="259" w:lineRule="auto"/>
            </w:pPr>
            <w:r>
              <w:rPr>
                <w:rFonts w:ascii="Calibri" w:hAnsi="Calibri"/>
                <w:b/>
                <w:i w:val="0"/>
                <w:color w:val="212121"/>
                <w:sz w:val="19"/>
              </w:rPr>
              <w:t>Anorexia &amp; weight loss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Constitutional wasting over weeks of illness.</w:t>
            </w:r>
          </w:p>
        </w:tc>
      </w:tr>
      <w:tr>
        <w:trPr>
          <w:cantSplit/>
        </w:trPr>
        <w:tc>
          <w:tcPr>
            <w:tcW w:type="dxa" w:w="2304"/>
            <w:vAlign w:val="top"/>
          </w:tcPr>
          <w:p>
            <w:pPr>
              <w:spacing w:after="40" w:before="0" w:line="259" w:lineRule="auto"/>
            </w:pPr>
            <w:r>
              <w:rPr>
                <w:rFonts w:ascii="Calibri" w:hAnsi="Calibri"/>
                <w:b/>
                <w:i w:val="0"/>
                <w:color w:val="212121"/>
                <w:sz w:val="19"/>
              </w:rPr>
              <w:t>Chills / rigors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Accompany febrile waves, especially at onset.</w:t>
            </w:r>
          </w:p>
        </w:tc>
      </w:tr>
      <w:tr>
        <w:trPr>
          <w:cantSplit/>
        </w:trPr>
        <w:tc>
          <w:tcPr>
            <w:tcW w:type="dxa" w:w="2304"/>
            <w:vAlign w:val="top"/>
          </w:tcPr>
          <w:p>
            <w:pPr>
              <w:spacing w:after="40" w:before="0" w:line="259" w:lineRule="auto"/>
            </w:pPr>
            <w:r>
              <w:rPr>
                <w:rFonts w:ascii="Calibri" w:hAnsi="Calibri"/>
                <w:b/>
                <w:i w:val="0"/>
                <w:color w:val="212121"/>
                <w:sz w:val="19"/>
              </w:rPr>
              <w:t>Depression, irritability &amp; insomnia</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Neuropsychiatric symptoms prominent in chronic and neurobrucellosis.</w:t>
            </w:r>
          </w:p>
        </w:tc>
      </w:tr>
      <w:tr>
        <w:trPr>
          <w:cantSplit/>
        </w:trPr>
        <w:tc>
          <w:tcPr>
            <w:tcW w:type="dxa" w:w="2304"/>
            <w:vAlign w:val="top"/>
          </w:tcPr>
          <w:p>
            <w:pPr>
              <w:spacing w:after="40" w:before="0" w:line="259" w:lineRule="auto"/>
            </w:pPr>
            <w:r>
              <w:rPr>
                <w:rFonts w:ascii="Calibri" w:hAnsi="Calibri"/>
                <w:b/>
                <w:i w:val="0"/>
                <w:color w:val="212121"/>
                <w:sz w:val="19"/>
              </w:rPr>
              <w:t>Testicular pain / swelling</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Epididymo-orchitis in males; may be mistaken for mumps or torsion.</w:t>
            </w:r>
          </w:p>
        </w:tc>
      </w:tr>
      <w:tr>
        <w:trPr>
          <w:cantSplit/>
        </w:trPr>
        <w:tc>
          <w:tcPr>
            <w:tcW w:type="dxa" w:w="2304"/>
            <w:vAlign w:val="top"/>
          </w:tcPr>
          <w:p>
            <w:pPr>
              <w:spacing w:after="40" w:before="0" w:line="259" w:lineRule="auto"/>
            </w:pPr>
            <w:r>
              <w:rPr>
                <w:rFonts w:ascii="Calibri" w:hAnsi="Calibri"/>
                <w:b/>
                <w:i w:val="0"/>
                <w:color w:val="212121"/>
                <w:sz w:val="19"/>
              </w:rPr>
              <w:t>Constipation or diarrhoea</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Non-specific gastrointestinal upset during systemic illness.</w:t>
            </w:r>
          </w:p>
        </w:tc>
      </w:tr>
      <w:tr>
        <w:trPr>
          <w:cantSplit/>
        </w:trPr>
        <w:tc>
          <w:tcPr>
            <w:tcW w:type="dxa" w:w="2304"/>
            <w:vAlign w:val="top"/>
          </w:tcPr>
          <w:p>
            <w:pPr>
              <w:spacing w:after="40" w:before="0" w:line="259" w:lineRule="auto"/>
            </w:pPr>
            <w:r>
              <w:rPr>
                <w:rFonts w:ascii="Calibri" w:hAnsi="Calibri"/>
                <w:b/>
                <w:i w:val="0"/>
                <w:color w:val="212121"/>
                <w:sz w:val="19"/>
              </w:rPr>
              <w:t>Cough / dyspnoea</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Occurs with pulmonary involvement or after aerosol exposure.</w:t>
            </w:r>
          </w:p>
        </w:tc>
      </w:tr>
      <w:tr>
        <w:trPr>
          <w:cantSplit/>
        </w:trPr>
        <w:tc>
          <w:tcPr>
            <w:tcW w:type="dxa" w:w="2304"/>
            <w:vAlign w:val="top"/>
          </w:tcPr>
          <w:p>
            <w:pPr>
              <w:spacing w:after="40" w:before="0" w:line="259" w:lineRule="auto"/>
            </w:pPr>
            <w:r>
              <w:rPr>
                <w:rFonts w:ascii="Calibri" w:hAnsi="Calibri"/>
                <w:b/>
                <w:i w:val="0"/>
                <w:color w:val="212121"/>
                <w:sz w:val="19"/>
              </w:rPr>
              <w:t>Confusion / neuropsychiatric change</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Points to neurobrucellosis (meningoencephalitis).</w:t>
            </w:r>
          </w:p>
        </w:tc>
      </w:tr>
      <w:tr>
        <w:trPr>
          <w:cantSplit/>
        </w:trPr>
        <w:tc>
          <w:tcPr>
            <w:tcW w:type="dxa" w:w="2304"/>
            <w:vAlign w:val="top"/>
          </w:tcPr>
          <w:p>
            <w:pPr>
              <w:spacing w:after="40" w:before="0" w:line="259" w:lineRule="auto"/>
            </w:pPr>
            <w:r>
              <w:rPr>
                <w:rFonts w:ascii="Calibri" w:hAnsi="Calibri"/>
                <w:b/>
                <w:i w:val="0"/>
                <w:color w:val="212121"/>
                <w:sz w:val="19"/>
              </w:rPr>
              <w:t>Visual disturbance</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Uveitis or optic neuritis in ocular brucellosis.</w:t>
            </w:r>
          </w:p>
        </w:tc>
      </w:tr>
    </w:tbl>
    <w:p>
      <w:pPr>
        <w:spacing w:before="160" w:after="120"/>
      </w:pPr>
      <w:r>
        <w:rPr>
          <w:rFonts w:ascii="Calibri" w:hAnsi="Calibri"/>
          <w:b/>
          <w:i w:val="0"/>
          <w:color w:val="212121"/>
          <w:sz w:val="22"/>
        </w:rPr>
        <w:t>Signs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3456"/>
            <w:shd w:val="clear" w:color="auto" w:fill="F2F2F2"/>
            <w:vAlign w:val="center"/>
          </w:tcPr>
          <w:p>
            <w:pPr>
              <w:spacing w:after="40" w:before="0" w:line="259" w:lineRule="auto"/>
            </w:pPr>
            <w:r>
              <w:rPr>
                <w:rFonts w:ascii="Calibri" w:hAnsi="Calibri"/>
                <w:b/>
                <w:i w:val="0"/>
                <w:color w:val="212121"/>
                <w:sz w:val="19"/>
              </w:rPr>
              <w:t>Sign</w:t>
            </w:r>
          </w:p>
        </w:tc>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42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3456"/>
            <w:vAlign w:val="top"/>
          </w:tcPr>
          <w:p>
            <w:pPr>
              <w:spacing w:after="40" w:before="0" w:line="259" w:lineRule="auto"/>
            </w:pPr>
            <w:r>
              <w:rPr>
                <w:rFonts w:ascii="Calibri" w:hAnsi="Calibri"/>
                <w:b/>
                <w:i w:val="0"/>
                <w:color w:val="212121"/>
                <w:sz w:val="19"/>
              </w:rPr>
              <w:t>Fever with undulant pattern</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Documented relapsing pyrexia is the cardinal objective sign.</w:t>
            </w:r>
          </w:p>
        </w:tc>
      </w:tr>
      <w:tr>
        <w:trPr>
          <w:cantSplit/>
        </w:trPr>
        <w:tc>
          <w:tcPr>
            <w:tcW w:type="dxa" w:w="3456"/>
            <w:vAlign w:val="top"/>
          </w:tcPr>
          <w:p>
            <w:pPr>
              <w:spacing w:after="40" w:before="0" w:line="259" w:lineRule="auto"/>
            </w:pPr>
            <w:r>
              <w:rPr>
                <w:rFonts w:ascii="Calibri" w:hAnsi="Calibri"/>
                <w:b/>
                <w:i w:val="0"/>
                <w:color w:val="212121"/>
                <w:sz w:val="19"/>
              </w:rPr>
              <w:t>Hepatomegaly</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Palpable liver in up to 50% of patients from granulomatous involvement.</w:t>
            </w:r>
          </w:p>
        </w:tc>
      </w:tr>
      <w:tr>
        <w:trPr>
          <w:cantSplit/>
        </w:trPr>
        <w:tc>
          <w:tcPr>
            <w:tcW w:type="dxa" w:w="3456"/>
            <w:vAlign w:val="top"/>
          </w:tcPr>
          <w:p>
            <w:pPr>
              <w:spacing w:after="40" w:before="0" w:line="259" w:lineRule="auto"/>
            </w:pPr>
            <w:r>
              <w:rPr>
                <w:rFonts w:ascii="Calibri" w:hAnsi="Calibri"/>
                <w:b/>
                <w:i w:val="0"/>
                <w:color w:val="212121"/>
                <w:sz w:val="19"/>
              </w:rPr>
              <w:t>Splenomegaly</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Reflects reticuloendothelial involvement; common in acute disease.</w:t>
            </w:r>
          </w:p>
        </w:tc>
      </w:tr>
      <w:tr>
        <w:trPr>
          <w:cantSplit/>
        </w:trPr>
        <w:tc>
          <w:tcPr>
            <w:tcW w:type="dxa" w:w="3456"/>
            <w:vAlign w:val="top"/>
          </w:tcPr>
          <w:p>
            <w:pPr>
              <w:spacing w:after="40" w:before="0" w:line="259" w:lineRule="auto"/>
            </w:pPr>
            <w:r>
              <w:rPr>
                <w:rFonts w:ascii="Calibri" w:hAnsi="Calibri"/>
                <w:b/>
                <w:i w:val="0"/>
                <w:color w:val="212121"/>
                <w:sz w:val="19"/>
              </w:rPr>
              <w:t>Lymphadenopathy</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Generalized or regional nodes, especially cervical/axillary.</w:t>
            </w:r>
          </w:p>
        </w:tc>
      </w:tr>
      <w:tr>
        <w:trPr>
          <w:cantSplit/>
        </w:trPr>
        <w:tc>
          <w:tcPr>
            <w:tcW w:type="dxa" w:w="3456"/>
            <w:vAlign w:val="top"/>
          </w:tcPr>
          <w:p>
            <w:pPr>
              <w:spacing w:after="40" w:before="0" w:line="259" w:lineRule="auto"/>
            </w:pPr>
            <w:r>
              <w:rPr>
                <w:rFonts w:ascii="Calibri" w:hAnsi="Calibri"/>
                <w:b/>
                <w:i w:val="0"/>
                <w:color w:val="212121"/>
                <w:sz w:val="19"/>
              </w:rPr>
              <w:t>Sacroiliac / spinal tenderness</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Focal tenderness with restricted movement in sacroiliitis/spondylitis.</w:t>
            </w:r>
          </w:p>
        </w:tc>
      </w:tr>
      <w:tr>
        <w:trPr>
          <w:cantSplit/>
        </w:trPr>
        <w:tc>
          <w:tcPr>
            <w:tcW w:type="dxa" w:w="3456"/>
            <w:vAlign w:val="top"/>
          </w:tcPr>
          <w:p>
            <w:pPr>
              <w:spacing w:after="40" w:before="0" w:line="259" w:lineRule="auto"/>
            </w:pPr>
            <w:r>
              <w:rPr>
                <w:rFonts w:ascii="Calibri" w:hAnsi="Calibri"/>
                <w:b/>
                <w:i w:val="0"/>
                <w:color w:val="212121"/>
                <w:sz w:val="19"/>
              </w:rPr>
              <w:t>Peripheral arthritis / joint effusion</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Mono- or oligoarthritis of large joints (hip, knee).</w:t>
            </w:r>
          </w:p>
        </w:tc>
      </w:tr>
      <w:tr>
        <w:trPr>
          <w:cantSplit/>
        </w:trPr>
        <w:tc>
          <w:tcPr>
            <w:tcW w:type="dxa" w:w="3456"/>
            <w:vAlign w:val="top"/>
          </w:tcPr>
          <w:p>
            <w:pPr>
              <w:spacing w:after="40" w:before="0" w:line="259" w:lineRule="auto"/>
            </w:pPr>
            <w:r>
              <w:rPr>
                <w:rFonts w:ascii="Calibri" w:hAnsi="Calibri"/>
                <w:b/>
                <w:i w:val="0"/>
                <w:color w:val="212121"/>
                <w:sz w:val="19"/>
              </w:rPr>
              <w:t>Epididymo-orchitis (scrotal swelling)</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Tender, swollen scrotum in male genitourinary brucellosis.</w:t>
            </w:r>
          </w:p>
        </w:tc>
      </w:tr>
      <w:tr>
        <w:trPr>
          <w:cantSplit/>
        </w:trPr>
        <w:tc>
          <w:tcPr>
            <w:tcW w:type="dxa" w:w="3456"/>
            <w:vAlign w:val="top"/>
          </w:tcPr>
          <w:p>
            <w:pPr>
              <w:spacing w:after="40" w:before="0" w:line="259" w:lineRule="auto"/>
            </w:pPr>
            <w:r>
              <w:rPr>
                <w:rFonts w:ascii="Calibri" w:hAnsi="Calibri"/>
                <w:b/>
                <w:i w:val="0"/>
                <w:color w:val="212121"/>
                <w:sz w:val="19"/>
              </w:rPr>
              <w:t>Pallor</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Reflects anaemia from marrow involvement/hypersplenism.</w:t>
            </w:r>
          </w:p>
        </w:tc>
      </w:tr>
      <w:tr>
        <w:trPr>
          <w:cantSplit/>
        </w:trPr>
        <w:tc>
          <w:tcPr>
            <w:tcW w:type="dxa" w:w="3456"/>
            <w:vAlign w:val="top"/>
          </w:tcPr>
          <w:p>
            <w:pPr>
              <w:spacing w:after="40" w:before="0" w:line="259" w:lineRule="auto"/>
            </w:pPr>
            <w:r>
              <w:rPr>
                <w:rFonts w:ascii="Calibri" w:hAnsi="Calibri"/>
                <w:b/>
                <w:i w:val="0"/>
                <w:color w:val="212121"/>
                <w:sz w:val="19"/>
              </w:rPr>
              <w:t>New cardiac murmur</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Suggests brucellar endocarditis — the leading cause of death.</w:t>
            </w:r>
          </w:p>
        </w:tc>
      </w:tr>
      <w:tr>
        <w:trPr>
          <w:cantSplit/>
        </w:trPr>
        <w:tc>
          <w:tcPr>
            <w:tcW w:type="dxa" w:w="3456"/>
            <w:vAlign w:val="top"/>
          </w:tcPr>
          <w:p>
            <w:pPr>
              <w:spacing w:after="40" w:before="0" w:line="259" w:lineRule="auto"/>
            </w:pPr>
            <w:r>
              <w:rPr>
                <w:rFonts w:ascii="Calibri" w:hAnsi="Calibri"/>
                <w:b/>
                <w:i w:val="0"/>
                <w:color w:val="212121"/>
                <w:sz w:val="19"/>
              </w:rPr>
              <w:t>Meningism / focal neurological deficit</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Feature of neurobrucellosis (meningitis, encephalitis, cranial neuropathy).</w:t>
            </w:r>
          </w:p>
        </w:tc>
      </w:tr>
      <w:tr>
        <w:trPr>
          <w:cantSplit/>
        </w:trPr>
        <w:tc>
          <w:tcPr>
            <w:tcW w:type="dxa" w:w="3456"/>
            <w:vAlign w:val="top"/>
          </w:tcPr>
          <w:p>
            <w:pPr>
              <w:spacing w:after="40" w:before="0" w:line="259" w:lineRule="auto"/>
            </w:pPr>
            <w:r>
              <w:rPr>
                <w:rFonts w:ascii="Calibri" w:hAnsi="Calibri"/>
                <w:b/>
                <w:i w:val="0"/>
                <w:color w:val="212121"/>
                <w:sz w:val="19"/>
              </w:rPr>
              <w:t>Maculopapular skin rash / nodules</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Non-specific cutaneous manifestations occasionally seen.</w:t>
            </w:r>
          </w:p>
        </w:tc>
      </w:tr>
      <w:tr>
        <w:trPr>
          <w:cantSplit/>
        </w:trPr>
        <w:tc>
          <w:tcPr>
            <w:tcW w:type="dxa" w:w="3456"/>
            <w:vAlign w:val="top"/>
          </w:tcPr>
          <w:p>
            <w:pPr>
              <w:spacing w:after="40" w:before="0" w:line="259" w:lineRule="auto"/>
            </w:pPr>
            <w:r>
              <w:rPr>
                <w:rFonts w:ascii="Calibri" w:hAnsi="Calibri"/>
                <w:b/>
                <w:i w:val="0"/>
                <w:color w:val="212121"/>
                <w:sz w:val="19"/>
              </w:rPr>
              <w:t>Uveitis / optic disc changes</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Ocular involvement on slit-lamp/fundus examination.</w:t>
            </w:r>
          </w:p>
        </w:tc>
      </w:tr>
    </w:tbl>
    <w:p>
      <w:pPr>
        <w:spacing w:before="200" w:after="120"/>
      </w:pPr>
      <w:r>
        <w:rPr>
          <w:rFonts w:ascii="Calibri" w:hAnsi="Calibri"/>
          <w:b/>
          <w:i w:val="0"/>
          <w:color w:val="212121"/>
          <w:sz w:val="25"/>
        </w:rPr>
        <w:t>Concomitant conditions</w:t>
      </w:r>
    </w:p>
    <w:p>
      <w:pPr>
        <w:spacing w:before="160" w:after="120"/>
      </w:pPr>
      <w:r>
        <w:rPr>
          <w:rFonts w:ascii="Calibri" w:hAnsi="Calibri"/>
          <w:b/>
          <w:i w:val="0"/>
          <w:color w:val="212121"/>
          <w:sz w:val="22"/>
        </w:rPr>
        <w:t>Relationship Types (classification key)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02"/>
        <w:gridCol w:w="4802"/>
      </w:tblGrid>
      <w:tr>
        <w:trPr>
          <w:cantSplit/>
        </w:trPr>
        <w:tc>
          <w:tcPr>
            <w:tcW w:type="dxa" w:w="2808"/>
            <w:shd w:val="clear" w:color="auto" w:fill="F2F2F2"/>
            <w:vAlign w:val="center"/>
          </w:tcPr>
          <w:p>
            <w:pPr>
              <w:spacing w:after="40" w:before="0" w:line="259" w:lineRule="auto"/>
            </w:pPr>
            <w:r>
              <w:rPr>
                <w:rFonts w:ascii="Calibri" w:hAnsi="Calibri"/>
                <w:b/>
                <w:i w:val="0"/>
                <w:color w:val="212121"/>
                <w:sz w:val="19"/>
              </w:rPr>
              <w:t>Relationship type</w:t>
            </w:r>
          </w:p>
        </w:tc>
        <w:tc>
          <w:tcPr>
            <w:tcW w:type="dxa" w:w="6796"/>
            <w:shd w:val="clear" w:color="auto" w:fill="F2F2F2"/>
            <w:vAlign w:val="center"/>
          </w:tcPr>
          <w:p>
            <w:pPr>
              <w:spacing w:after="40" w:before="0" w:line="259" w:lineRule="auto"/>
            </w:pPr>
            <w:r>
              <w:rPr>
                <w:rFonts w:ascii="Calibri" w:hAnsi="Calibri"/>
                <w:b/>
                <w:i w:val="0"/>
                <w:color w:val="212121"/>
                <w:sz w:val="19"/>
              </w:rPr>
              <w:t>Definition</w:t>
            </w:r>
          </w:p>
        </w:tc>
      </w:tr>
      <w:tr>
        <w:trPr>
          <w:cantSplit/>
        </w:trPr>
        <w:tc>
          <w:tcPr>
            <w:tcW w:type="dxa" w:w="2808"/>
            <w:vAlign w:val="top"/>
          </w:tcPr>
          <w:p>
            <w:pPr>
              <w:spacing w:after="40" w:before="0" w:line="259" w:lineRule="auto"/>
            </w:pPr>
            <w:r>
              <w:rPr>
                <w:rFonts w:ascii="Calibri" w:hAnsi="Calibri"/>
                <w:b/>
                <w:i w:val="0"/>
                <w:color w:val="212121"/>
                <w:sz w:val="19"/>
              </w:rPr>
              <w:t>Predisposes To</w:t>
            </w:r>
          </w:p>
        </w:tc>
        <w:tc>
          <w:tcPr>
            <w:tcW w:type="dxa" w:w="6796"/>
            <w:vAlign w:val="top"/>
          </w:tcPr>
          <w:p>
            <w:pPr>
              <w:spacing w:after="40" w:before="0" w:line="259" w:lineRule="auto"/>
            </w:pPr>
            <w:r>
              <w:rPr>
                <w:rFonts w:ascii="Calibri" w:hAnsi="Calibri"/>
                <w:b w:val="0"/>
                <w:i w:val="0"/>
                <w:color w:val="212121"/>
                <w:sz w:val="19"/>
              </w:rPr>
              <w:t>One condition increases the likelihood of developing another.</w:t>
            </w:r>
          </w:p>
        </w:tc>
      </w:tr>
      <w:tr>
        <w:trPr>
          <w:cantSplit/>
        </w:trPr>
        <w:tc>
          <w:tcPr>
            <w:tcW w:type="dxa" w:w="2808"/>
            <w:vAlign w:val="top"/>
          </w:tcPr>
          <w:p>
            <w:pPr>
              <w:spacing w:after="40" w:before="0" w:line="259" w:lineRule="auto"/>
            </w:pPr>
            <w:r>
              <w:rPr>
                <w:rFonts w:ascii="Calibri" w:hAnsi="Calibri"/>
                <w:b/>
                <w:i w:val="0"/>
                <w:color w:val="212121"/>
                <w:sz w:val="19"/>
              </w:rPr>
              <w:t>Bidirectional Association</w:t>
            </w:r>
          </w:p>
        </w:tc>
        <w:tc>
          <w:tcPr>
            <w:tcW w:type="dxa" w:w="6796"/>
            <w:vAlign w:val="top"/>
          </w:tcPr>
          <w:p>
            <w:pPr>
              <w:spacing w:after="40" w:before="0" w:line="259" w:lineRule="auto"/>
            </w:pPr>
            <w:r>
              <w:rPr>
                <w:rFonts w:ascii="Calibri" w:hAnsi="Calibri"/>
                <w:b w:val="0"/>
                <w:i w:val="0"/>
                <w:color w:val="212121"/>
                <w:sz w:val="19"/>
              </w:rPr>
              <w:t>Both conditions influence each other.</w:t>
            </w:r>
          </w:p>
        </w:tc>
      </w:tr>
      <w:tr>
        <w:trPr>
          <w:cantSplit/>
        </w:trPr>
        <w:tc>
          <w:tcPr>
            <w:tcW w:type="dxa" w:w="2808"/>
            <w:vAlign w:val="top"/>
          </w:tcPr>
          <w:p>
            <w:pPr>
              <w:spacing w:after="40" w:before="0" w:line="259" w:lineRule="auto"/>
            </w:pPr>
            <w:r>
              <w:rPr>
                <w:rFonts w:ascii="Calibri" w:hAnsi="Calibri"/>
                <w:b/>
                <w:i w:val="0"/>
                <w:color w:val="212121"/>
                <w:sz w:val="19"/>
              </w:rPr>
              <w:t>Shared Pathophysiology</w:t>
            </w:r>
          </w:p>
        </w:tc>
        <w:tc>
          <w:tcPr>
            <w:tcW w:type="dxa" w:w="6796"/>
            <w:vAlign w:val="top"/>
          </w:tcPr>
          <w:p>
            <w:pPr>
              <w:spacing w:after="40" w:before="0" w:line="259" w:lineRule="auto"/>
            </w:pPr>
            <w:r>
              <w:rPr>
                <w:rFonts w:ascii="Calibri" w:hAnsi="Calibri"/>
                <w:b w:val="0"/>
                <w:i w:val="0"/>
                <w:color w:val="212121"/>
                <w:sz w:val="19"/>
              </w:rPr>
              <w:t>Common biological mechanisms and shared etiologies.</w:t>
            </w:r>
          </w:p>
        </w:tc>
      </w:tr>
      <w:tr>
        <w:trPr>
          <w:cantSplit/>
        </w:trPr>
        <w:tc>
          <w:tcPr>
            <w:tcW w:type="dxa" w:w="2808"/>
            <w:vAlign w:val="top"/>
          </w:tcPr>
          <w:p>
            <w:pPr>
              <w:spacing w:after="40" w:before="0" w:line="259" w:lineRule="auto"/>
            </w:pPr>
            <w:r>
              <w:rPr>
                <w:rFonts w:ascii="Calibri" w:hAnsi="Calibri"/>
                <w:b/>
                <w:i w:val="0"/>
                <w:color w:val="212121"/>
                <w:sz w:val="19"/>
              </w:rPr>
              <w:t>Complication Of</w:t>
            </w:r>
          </w:p>
        </w:tc>
        <w:tc>
          <w:tcPr>
            <w:tcW w:type="dxa" w:w="6796"/>
            <w:vAlign w:val="top"/>
          </w:tcPr>
          <w:p>
            <w:pPr>
              <w:spacing w:after="40" w:before="0" w:line="259" w:lineRule="auto"/>
            </w:pPr>
            <w:r>
              <w:rPr>
                <w:rFonts w:ascii="Calibri" w:hAnsi="Calibri"/>
                <w:b w:val="0"/>
                <w:i w:val="0"/>
                <w:color w:val="212121"/>
                <w:sz w:val="19"/>
              </w:rPr>
              <w:t>One condition develops as a consequence of the other.</w:t>
            </w:r>
          </w:p>
        </w:tc>
      </w:tr>
      <w:tr>
        <w:trPr>
          <w:cantSplit/>
        </w:trPr>
        <w:tc>
          <w:tcPr>
            <w:tcW w:type="dxa" w:w="2808"/>
            <w:vAlign w:val="top"/>
          </w:tcPr>
          <w:p>
            <w:pPr>
              <w:spacing w:after="40" w:before="0" w:line="259" w:lineRule="auto"/>
            </w:pPr>
            <w:r>
              <w:rPr>
                <w:rFonts w:ascii="Calibri" w:hAnsi="Calibri"/>
                <w:b/>
                <w:i w:val="0"/>
                <w:color w:val="212121"/>
                <w:sz w:val="19"/>
              </w:rPr>
              <w:t>Treatment Interaction</w:t>
            </w:r>
          </w:p>
        </w:tc>
        <w:tc>
          <w:tcPr>
            <w:tcW w:type="dxa" w:w="6796"/>
            <w:vAlign w:val="top"/>
          </w:tcPr>
          <w:p>
            <w:pPr>
              <w:spacing w:after="40" w:before="0" w:line="259" w:lineRule="auto"/>
            </w:pPr>
            <w:r>
              <w:rPr>
                <w:rFonts w:ascii="Calibri" w:hAnsi="Calibri"/>
                <w:b w:val="0"/>
                <w:i w:val="0"/>
                <w:color w:val="212121"/>
                <w:sz w:val="19"/>
              </w:rPr>
              <w:t>Treatment of one condition affects the other.</w:t>
            </w:r>
          </w:p>
        </w:tc>
      </w:tr>
      <w:tr>
        <w:trPr>
          <w:cantSplit/>
        </w:trPr>
        <w:tc>
          <w:tcPr>
            <w:tcW w:type="dxa" w:w="2808"/>
            <w:vAlign w:val="top"/>
          </w:tcPr>
          <w:p>
            <w:pPr>
              <w:spacing w:after="40" w:before="0" w:line="259" w:lineRule="auto"/>
            </w:pPr>
            <w:r>
              <w:rPr>
                <w:rFonts w:ascii="Calibri" w:hAnsi="Calibri"/>
                <w:b/>
                <w:i w:val="0"/>
                <w:color w:val="212121"/>
                <w:sz w:val="19"/>
              </w:rPr>
              <w:t>Clinical Management Impact</w:t>
            </w:r>
          </w:p>
        </w:tc>
        <w:tc>
          <w:tcPr>
            <w:tcW w:type="dxa" w:w="6796"/>
            <w:vAlign w:val="top"/>
          </w:tcPr>
          <w:p>
            <w:pPr>
              <w:spacing w:after="40" w:before="0" w:line="259" w:lineRule="auto"/>
            </w:pPr>
            <w:r>
              <w:rPr>
                <w:rFonts w:ascii="Calibri" w:hAnsi="Calibri"/>
                <w:b w:val="0"/>
                <w:i w:val="0"/>
                <w:color w:val="212121"/>
                <w:sz w:val="19"/>
              </w:rPr>
              <w:t>Coexistence alters diagnosis, monitoring, prognosis, or treatment planning.</w:t>
            </w:r>
          </w:p>
        </w:tc>
      </w:tr>
    </w:tbl>
    <w:p>
      <w:pPr>
        <w:spacing w:before="160" w:after="120"/>
      </w:pPr>
      <w:r>
        <w:rPr>
          <w:rFonts w:ascii="Calibri" w:hAnsi="Calibri"/>
          <w:b/>
          <w:i w:val="0"/>
          <w:color w:val="212121"/>
          <w:sz w:val="22"/>
        </w:rPr>
        <w:t>Complications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896"/>
            <w:shd w:val="clear" w:color="auto" w:fill="F2F2F2"/>
            <w:vAlign w:val="center"/>
          </w:tcPr>
          <w:p>
            <w:pPr>
              <w:spacing w:after="40" w:before="0" w:line="259" w:lineRule="auto"/>
            </w:pPr>
            <w:r>
              <w:rPr>
                <w:rFonts w:ascii="Calibri" w:hAnsi="Calibri"/>
                <w:b/>
                <w:i w:val="0"/>
                <w:color w:val="212121"/>
                <w:sz w:val="19"/>
              </w:rPr>
              <w:t>Complications</w:t>
            </w:r>
          </w:p>
        </w:tc>
        <w:tc>
          <w:tcPr>
            <w:tcW w:type="dxa" w:w="298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728"/>
            <w:vAlign w:val="top"/>
          </w:tcPr>
          <w:p>
            <w:pPr>
              <w:spacing w:after="40" w:before="0" w:line="259" w:lineRule="auto"/>
            </w:pPr>
            <w:r>
              <w:rPr>
                <w:rFonts w:ascii="Calibri" w:hAnsi="Calibri"/>
                <w:b/>
                <w:i w:val="0"/>
                <w:color w:val="212121"/>
                <w:sz w:val="19"/>
              </w:rPr>
              <w:t>Primary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Acute undulant febrile illness with rigors and drenching sweats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Bacteraemia / systemic dissemination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Dehydration and prostration during prolonged fever</w:t>
            </w:r>
          </w:p>
        </w:tc>
        <w:tc>
          <w:tcPr>
            <w:tcW w:type="dxa" w:w="2980"/>
            <w:vAlign w:val="top"/>
          </w:tcPr>
          <w:p>
            <w:pPr>
              <w:spacing w:after="40" w:before="0" w:line="259" w:lineRule="auto"/>
            </w:pPr>
            <w:r>
              <w:rPr>
                <w:rFonts w:ascii="Calibri" w:hAnsi="Calibri"/>
                <w:b w:val="0"/>
                <w:i w:val="0"/>
                <w:color w:val="212121"/>
                <w:sz w:val="19"/>
              </w:rPr>
              <w:t>Direct effects of systemic Brucella infection and the febrile response.</w:t>
            </w:r>
          </w:p>
        </w:tc>
      </w:tr>
      <w:tr>
        <w:trPr>
          <w:cantSplit/>
        </w:trPr>
        <w:tc>
          <w:tcPr>
            <w:tcW w:type="dxa" w:w="1728"/>
            <w:vAlign w:val="top"/>
          </w:tcPr>
          <w:p>
            <w:pPr>
              <w:spacing w:after="40" w:before="0" w:line="259" w:lineRule="auto"/>
            </w:pPr>
            <w:r>
              <w:rPr>
                <w:rFonts w:ascii="Calibri" w:hAnsi="Calibri"/>
                <w:b/>
                <w:i w:val="0"/>
                <w:color w:val="212121"/>
                <w:sz w:val="19"/>
              </w:rPr>
              <w:t>Secondary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Osteoarticular disease: sacroiliitis, spondylodiscitis, peripheral arthritis, osteomyelitis (commonest focal complication)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Hepatosplenic involvement: granulomatous hepatitis, splenic/hepatic abscess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Genitourinary: epididymo-orchitis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Haematological: anaemia, leukopenia, thrombocytopenia, pancytopenia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Neurobrucellosis: meningitis, encephalitis, cranial neuropathy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Pulmonary and ocular (uveitis) involvement</w:t>
            </w:r>
          </w:p>
        </w:tc>
        <w:tc>
          <w:tcPr>
            <w:tcW w:type="dxa" w:w="2980"/>
            <w:vAlign w:val="top"/>
          </w:tcPr>
          <w:p>
            <w:pPr>
              <w:spacing w:after="40" w:before="0" w:line="259" w:lineRule="auto"/>
            </w:pPr>
            <w:r>
              <w:rPr>
                <w:rFonts w:ascii="Calibri" w:hAnsi="Calibri"/>
                <w:b w:val="0"/>
                <w:i w:val="0"/>
                <w:color w:val="212121"/>
                <w:sz w:val="19"/>
              </w:rPr>
              <w:t>Focal localization of intracellular Brucella to bone, viscera and nervous system.</w:t>
            </w:r>
          </w:p>
        </w:tc>
      </w:tr>
      <w:tr>
        <w:trPr>
          <w:cantSplit/>
        </w:trPr>
        <w:tc>
          <w:tcPr>
            <w:tcW w:type="dxa" w:w="1728"/>
            <w:vAlign w:val="top"/>
          </w:tcPr>
          <w:p>
            <w:pPr>
              <w:spacing w:after="40" w:before="0" w:line="259" w:lineRule="auto"/>
            </w:pPr>
            <w:r>
              <w:rPr>
                <w:rFonts w:ascii="Calibri" w:hAnsi="Calibri"/>
                <w:b/>
                <w:i w:val="0"/>
                <w:color w:val="212121"/>
                <w:sz w:val="19"/>
              </w:rPr>
              <w:t>Tertiary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Infective endocarditis (the leading cause of brucellosis death)</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Chronic relapsing brucellosis with persistent fatigue and disability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Spinal deformity / neurological compression from spondylodiscitis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Male infertility after epididymo-orchitis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Spontaneous abortion, intrauterine death or preterm birth in pregnancy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Mycotic aneurysm; rarely, death (&lt;2–5% of cases)</w:t>
            </w:r>
          </w:p>
        </w:tc>
        <w:tc>
          <w:tcPr>
            <w:tcW w:type="dxa" w:w="2980"/>
            <w:vAlign w:val="top"/>
          </w:tcPr>
          <w:p>
            <w:pPr>
              <w:spacing w:after="40" w:before="0" w:line="259" w:lineRule="auto"/>
            </w:pPr>
            <w:r>
              <w:rPr>
                <w:rFonts w:ascii="Calibri" w:hAnsi="Calibri"/>
                <w:b w:val="0"/>
                <w:i w:val="0"/>
                <w:color w:val="212121"/>
                <w:sz w:val="19"/>
              </w:rPr>
              <w:t>Irreversible or life-threatening outcomes of untreated, chronic or focal disease.</w:t>
            </w:r>
          </w:p>
        </w:tc>
      </w:tr>
    </w:tbl>
    <w:p>
      <w:pPr>
        <w:spacing w:before="160" w:after="120"/>
      </w:pPr>
      <w:r>
        <w:rPr>
          <w:rFonts w:ascii="Calibri" w:hAnsi="Calibri"/>
          <w:b/>
          <w:i w:val="0"/>
          <w:color w:val="212121"/>
          <w:sz w:val="22"/>
        </w:rPr>
        <w:t>Associated Medical Conditions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232"/>
            <w:shd w:val="clear" w:color="auto" w:fill="F2F2F2"/>
            <w:vAlign w:val="center"/>
          </w:tcPr>
          <w:p>
            <w:pPr>
              <w:spacing w:after="40" w:before="0" w:line="259" w:lineRule="auto"/>
            </w:pPr>
            <w:r>
              <w:rPr>
                <w:rFonts w:ascii="Calibri" w:hAnsi="Calibri"/>
                <w:b/>
                <w:i w:val="0"/>
                <w:color w:val="212121"/>
                <w:sz w:val="19"/>
              </w:rPr>
              <w:t>AMC</w:t>
            </w:r>
          </w:p>
        </w:tc>
        <w:tc>
          <w:tcPr>
            <w:tcW w:type="dxa" w:w="2520"/>
            <w:shd w:val="clear" w:color="auto" w:fill="F2F2F2"/>
            <w:vAlign w:val="center"/>
          </w:tcPr>
          <w:p>
            <w:pPr>
              <w:spacing w:after="40" w:before="0" w:line="259" w:lineRule="auto"/>
            </w:pPr>
            <w:r>
              <w:rPr>
                <w:rFonts w:ascii="Calibri" w:hAnsi="Calibri"/>
                <w:b/>
                <w:i w:val="0"/>
                <w:color w:val="212121"/>
                <w:sz w:val="19"/>
              </w:rPr>
              <w:t>Relationship</w:t>
            </w:r>
          </w:p>
        </w:tc>
        <w:tc>
          <w:tcPr>
            <w:tcW w:type="dxa" w:w="4852"/>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232"/>
            <w:vAlign w:val="top"/>
          </w:tcPr>
          <w:p>
            <w:pPr>
              <w:spacing w:after="40" w:before="0" w:line="259" w:lineRule="auto"/>
            </w:pPr>
            <w:r>
              <w:rPr>
                <w:rFonts w:ascii="Calibri" w:hAnsi="Calibri"/>
                <w:b/>
                <w:i w:val="0"/>
                <w:color w:val="212121"/>
                <w:sz w:val="19"/>
              </w:rPr>
              <w:t>Osteoarticular brucellosis (sacroiliitis, spondylodiscitis, arthritis)</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The most common focal complication; brucellar spondylitis closely mimics spinal tuberculosis (Pott's disease).</w:t>
            </w:r>
          </w:p>
        </w:tc>
      </w:tr>
      <w:tr>
        <w:trPr>
          <w:cantSplit/>
        </w:trPr>
        <w:tc>
          <w:tcPr>
            <w:tcW w:type="dxa" w:w="2232"/>
            <w:vAlign w:val="top"/>
          </w:tcPr>
          <w:p>
            <w:pPr>
              <w:spacing w:after="40" w:before="0" w:line="259" w:lineRule="auto"/>
            </w:pPr>
            <w:r>
              <w:rPr>
                <w:rFonts w:ascii="Calibri" w:hAnsi="Calibri"/>
                <w:b/>
                <w:i w:val="0"/>
                <w:color w:val="212121"/>
                <w:sz w:val="19"/>
              </w:rPr>
              <w:t>Brucella endocarditis</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Uncommon but the leading cause of brucellosis-related death; usually requires combined antibiotics and often valve surgery.</w:t>
            </w:r>
          </w:p>
        </w:tc>
      </w:tr>
      <w:tr>
        <w:trPr>
          <w:cantSplit/>
        </w:trPr>
        <w:tc>
          <w:tcPr>
            <w:tcW w:type="dxa" w:w="2232"/>
            <w:vAlign w:val="top"/>
          </w:tcPr>
          <w:p>
            <w:pPr>
              <w:spacing w:after="40" w:before="0" w:line="259" w:lineRule="auto"/>
            </w:pPr>
            <w:r>
              <w:rPr>
                <w:rFonts w:ascii="Calibri" w:hAnsi="Calibri"/>
                <w:b/>
                <w:i w:val="0"/>
                <w:color w:val="212121"/>
                <w:sz w:val="19"/>
              </w:rPr>
              <w:t>Neurobrucellosis (meningitis/encephalitis)</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Requires CNS-penetrating regimens and prolonged therapy; alters drug choice and duration.</w:t>
            </w:r>
          </w:p>
        </w:tc>
      </w:tr>
      <w:tr>
        <w:trPr>
          <w:cantSplit/>
        </w:trPr>
        <w:tc>
          <w:tcPr>
            <w:tcW w:type="dxa" w:w="2232"/>
            <w:vAlign w:val="top"/>
          </w:tcPr>
          <w:p>
            <w:pPr>
              <w:spacing w:after="40" w:before="0" w:line="259" w:lineRule="auto"/>
            </w:pPr>
            <w:r>
              <w:rPr>
                <w:rFonts w:ascii="Calibri" w:hAnsi="Calibri"/>
                <w:b/>
                <w:i w:val="0"/>
                <w:color w:val="212121"/>
                <w:sz w:val="19"/>
              </w:rPr>
              <w:t>Granulomatous hepatitis / hepatosplenomegaly</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Shared Pathophysiology</w:t>
            </w:r>
          </w:p>
        </w:tc>
        <w:tc>
          <w:tcPr>
            <w:tcW w:type="dxa" w:w="4852"/>
            <w:vAlign w:val="top"/>
          </w:tcPr>
          <w:p>
            <w:pPr>
              <w:spacing w:after="40" w:before="0" w:line="259" w:lineRule="auto"/>
            </w:pPr>
            <w:r>
              <w:rPr>
                <w:rFonts w:ascii="Calibri" w:hAnsi="Calibri"/>
                <w:b w:val="0"/>
                <w:i w:val="0"/>
                <w:color w:val="212121"/>
                <w:sz w:val="19"/>
              </w:rPr>
              <w:t>Reticuloendothelial involvement with mild transaminitis; hepatomegaly in up to 50%.</w:t>
            </w:r>
          </w:p>
          <w:p>
            <w:pPr>
              <w:spacing w:after="40" w:before="0" w:line="259" w:lineRule="auto"/>
            </w:pPr>
            <w:r>
              <w:rPr>
                <w:rFonts w:ascii="Calibri" w:hAnsi="Calibri"/>
                <w:b/>
                <w:i w:val="0"/>
                <w:color w:val="212121"/>
                <w:sz w:val="19"/>
              </w:rPr>
              <w:t>Up to 50%</w:t>
            </w:r>
          </w:p>
        </w:tc>
      </w:tr>
      <w:tr>
        <w:trPr>
          <w:cantSplit/>
        </w:trPr>
        <w:tc>
          <w:tcPr>
            <w:tcW w:type="dxa" w:w="2232"/>
            <w:vAlign w:val="top"/>
          </w:tcPr>
          <w:p>
            <w:pPr>
              <w:spacing w:after="40" w:before="0" w:line="259" w:lineRule="auto"/>
            </w:pPr>
            <w:r>
              <w:rPr>
                <w:rFonts w:ascii="Calibri" w:hAnsi="Calibri"/>
                <w:b/>
                <w:i w:val="0"/>
                <w:color w:val="212121"/>
                <w:sz w:val="19"/>
              </w:rPr>
              <w:t>Epididymo-orchitis &amp; male infertility</w:t>
            </w:r>
          </w:p>
        </w:tc>
        <w:tc>
          <w:tcPr>
            <w:tcW w:type="dxa" w:w="2520"/>
            <w:vAlign w:val="top"/>
          </w:tcPr>
          <w:p>
            <w:pPr>
              <w:spacing w:after="40" w:before="0" w:line="259" w:lineRule="auto"/>
            </w:pPr>
            <w:r>
              <w:rPr>
                <w:rFonts w:ascii="Calibri" w:hAnsi="Calibri"/>
                <w:b w:val="0"/>
                <w:i w:val="0"/>
                <w:color w:val="212121"/>
                <w:sz w:val="18"/>
              </w:rPr>
              <w:t>Complication Of</w:t>
            </w:r>
          </w:p>
        </w:tc>
        <w:tc>
          <w:tcPr>
            <w:tcW w:type="dxa" w:w="4852"/>
            <w:vAlign w:val="top"/>
          </w:tcPr>
          <w:p>
            <w:pPr>
              <w:spacing w:after="40" w:before="0" w:line="259" w:lineRule="auto"/>
            </w:pPr>
            <w:r>
              <w:rPr>
                <w:rFonts w:ascii="Calibri" w:hAnsi="Calibri"/>
                <w:b w:val="0"/>
                <w:i w:val="0"/>
                <w:color w:val="212121"/>
                <w:sz w:val="19"/>
              </w:rPr>
              <w:t>Genitourinary localization in males; may impair fertility if untreated.</w:t>
            </w:r>
          </w:p>
        </w:tc>
      </w:tr>
      <w:tr>
        <w:trPr>
          <w:cantSplit/>
        </w:trPr>
        <w:tc>
          <w:tcPr>
            <w:tcW w:type="dxa" w:w="2232"/>
            <w:vAlign w:val="top"/>
          </w:tcPr>
          <w:p>
            <w:pPr>
              <w:spacing w:after="40" w:before="0" w:line="259" w:lineRule="auto"/>
            </w:pPr>
            <w:r>
              <w:rPr>
                <w:rFonts w:ascii="Calibri" w:hAnsi="Calibri"/>
                <w:b/>
                <w:i w:val="0"/>
                <w:color w:val="212121"/>
                <w:sz w:val="19"/>
              </w:rPr>
              <w:t>Cytopenias (anaemia, thrombocytopenia, pancytopenia)</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Marrow involvement and hypersplenism; may mimic haematological malignancy.</w:t>
            </w:r>
          </w:p>
        </w:tc>
      </w:tr>
      <w:tr>
        <w:trPr>
          <w:cantSplit/>
        </w:trPr>
        <w:tc>
          <w:tcPr>
            <w:tcW w:type="dxa" w:w="2232"/>
            <w:vAlign w:val="top"/>
          </w:tcPr>
          <w:p>
            <w:pPr>
              <w:spacing w:after="40" w:before="0" w:line="259" w:lineRule="auto"/>
            </w:pPr>
            <w:r>
              <w:rPr>
                <w:rFonts w:ascii="Calibri" w:hAnsi="Calibri"/>
                <w:b/>
                <w:i w:val="0"/>
                <w:color w:val="212121"/>
                <w:sz w:val="19"/>
              </w:rPr>
              <w:t>Spontaneous abortion / pregnancy loss</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Placental tropism causes fetal loss; treatment options are restricted in pregnancy.</w:t>
            </w:r>
          </w:p>
        </w:tc>
      </w:tr>
      <w:tr>
        <w:trPr>
          <w:cantSplit/>
        </w:trPr>
        <w:tc>
          <w:tcPr>
            <w:tcW w:type="dxa" w:w="2232"/>
            <w:vAlign w:val="top"/>
          </w:tcPr>
          <w:p>
            <w:pPr>
              <w:spacing w:after="40" w:before="0" w:line="259" w:lineRule="auto"/>
            </w:pPr>
            <w:r>
              <w:rPr>
                <w:rFonts w:ascii="Calibri" w:hAnsi="Calibri"/>
                <w:b/>
                <w:i w:val="0"/>
                <w:color w:val="212121"/>
                <w:sz w:val="19"/>
              </w:rPr>
              <w:t>Depression &amp; chronic fatigue</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Bidirectional Association</w:t>
            </w:r>
          </w:p>
        </w:tc>
        <w:tc>
          <w:tcPr>
            <w:tcW w:type="dxa" w:w="4852"/>
            <w:vAlign w:val="top"/>
          </w:tcPr>
          <w:p>
            <w:pPr>
              <w:spacing w:after="40" w:before="0" w:line="259" w:lineRule="auto"/>
            </w:pPr>
            <w:r>
              <w:rPr>
                <w:rFonts w:ascii="Calibri" w:hAnsi="Calibri"/>
                <w:b w:val="0"/>
                <w:i w:val="0"/>
                <w:color w:val="212121"/>
                <w:sz w:val="19"/>
              </w:rPr>
              <w:t>Neuropsychiatric morbidity of chronic/neurobrucellosis that may persist after cure.</w:t>
            </w:r>
          </w:p>
        </w:tc>
      </w:tr>
      <w:tr>
        <w:trPr>
          <w:cantSplit/>
        </w:trPr>
        <w:tc>
          <w:tcPr>
            <w:tcW w:type="dxa" w:w="2232"/>
            <w:vAlign w:val="top"/>
          </w:tcPr>
          <w:p>
            <w:pPr>
              <w:spacing w:after="40" w:before="0" w:line="259" w:lineRule="auto"/>
            </w:pPr>
            <w:r>
              <w:rPr>
                <w:rFonts w:ascii="Calibri" w:hAnsi="Calibri"/>
                <w:b/>
                <w:i w:val="0"/>
                <w:color w:val="212121"/>
                <w:sz w:val="19"/>
              </w:rPr>
              <w:t>Tuberculosis (esp. spinal Pott's disease)</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Major co-endemic differential in India; granulomatous spondylitis overlaps and causes frequent misdiagnosis.</w:t>
            </w:r>
          </w:p>
        </w:tc>
      </w:tr>
      <w:tr>
        <w:trPr>
          <w:cantSplit/>
        </w:trPr>
        <w:tc>
          <w:tcPr>
            <w:tcW w:type="dxa" w:w="2232"/>
            <w:vAlign w:val="top"/>
          </w:tcPr>
          <w:p>
            <w:pPr>
              <w:spacing w:after="40" w:before="0" w:line="259" w:lineRule="auto"/>
            </w:pPr>
            <w:r>
              <w:rPr>
                <w:rFonts w:ascii="Calibri" w:hAnsi="Calibri"/>
                <w:b/>
                <w:i w:val="0"/>
                <w:color w:val="212121"/>
                <w:sz w:val="19"/>
              </w:rPr>
              <w:t>Typhoid &amp; malaria</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Common causes of prolonged fever (PUO) in India for which brucellosis is repeatedly mistaken, delaying diagnosis.</w:t>
            </w:r>
          </w:p>
        </w:tc>
      </w:tr>
      <w:tr>
        <w:trPr>
          <w:cantSplit/>
        </w:trPr>
        <w:tc>
          <w:tcPr>
            <w:tcW w:type="dxa" w:w="2232"/>
            <w:vAlign w:val="top"/>
          </w:tcPr>
          <w:p>
            <w:pPr>
              <w:spacing w:after="40" w:before="0" w:line="259" w:lineRule="auto"/>
            </w:pPr>
            <w:r>
              <w:rPr>
                <w:rFonts w:ascii="Calibri" w:hAnsi="Calibri"/>
                <w:b/>
                <w:i w:val="0"/>
                <w:color w:val="212121"/>
                <w:sz w:val="19"/>
              </w:rPr>
              <w:t>HIV / immunosuppression</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Impaired cell-mediated immunity favours severe, disseminated and relapsing brucellosis.</w:t>
            </w:r>
          </w:p>
        </w:tc>
      </w:tr>
      <w:tr>
        <w:trPr>
          <w:cantSplit/>
        </w:trPr>
        <w:tc>
          <w:tcPr>
            <w:tcW w:type="dxa" w:w="2232"/>
            <w:vAlign w:val="top"/>
          </w:tcPr>
          <w:p>
            <w:pPr>
              <w:spacing w:after="40" w:before="0" w:line="259" w:lineRule="auto"/>
            </w:pPr>
            <w:r>
              <w:rPr>
                <w:rFonts w:ascii="Calibri" w:hAnsi="Calibri"/>
                <w:b/>
                <w:i w:val="0"/>
                <w:color w:val="212121"/>
                <w:sz w:val="19"/>
              </w:rPr>
              <w:t>Other occupational zoonoses (Q fever, leptospirosis)</w:t>
            </w:r>
          </w:p>
        </w:tc>
        <w:tc>
          <w:tcPr>
            <w:tcW w:type="dxa" w:w="2520"/>
            <w:vAlign w:val="top"/>
          </w:tcPr>
          <w:p>
            <w:pPr>
              <w:spacing w:after="40" w:before="0" w:line="259" w:lineRule="auto"/>
            </w:pPr>
            <w:r>
              <w:rPr>
                <w:rFonts w:ascii="Calibri" w:hAnsi="Calibri"/>
                <w:b w:val="0"/>
                <w:i w:val="0"/>
                <w:color w:val="212121"/>
                <w:sz w:val="18"/>
              </w:rPr>
              <w:t>Shared Pathophysiology</w:t>
            </w:r>
          </w:p>
        </w:tc>
        <w:tc>
          <w:tcPr>
            <w:tcW w:type="dxa" w:w="4852"/>
            <w:vAlign w:val="top"/>
          </w:tcPr>
          <w:p>
            <w:pPr>
              <w:spacing w:after="40" w:before="0" w:line="259" w:lineRule="auto"/>
            </w:pPr>
            <w:r>
              <w:rPr>
                <w:rFonts w:ascii="Calibri" w:hAnsi="Calibri"/>
                <w:b w:val="0"/>
                <w:i w:val="0"/>
                <w:color w:val="212121"/>
                <w:sz w:val="19"/>
              </w:rPr>
              <w:t>Share the same animal/occupational exposure and febrile presentation; co-infection or co-exposure possible.</w:t>
            </w:r>
          </w:p>
        </w:tc>
      </w:tr>
    </w:tbl>
    <w:p>
      <w:pPr>
        <w:spacing w:before="200" w:after="120"/>
      </w:pPr>
      <w:r>
        <w:rPr>
          <w:rFonts w:ascii="Calibri" w:hAnsi="Calibri"/>
          <w:b/>
          <w:i w:val="0"/>
          <w:color w:val="212121"/>
          <w:sz w:val="25"/>
        </w:rPr>
        <w:t>Suggestions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1"/>
        <w:gridCol w:w="1921"/>
        <w:gridCol w:w="1921"/>
        <w:gridCol w:w="1921"/>
        <w:gridCol w:w="1921"/>
      </w:tblGrid>
      <w:tr>
        <w:trPr>
          <w:cantSplit/>
        </w:trPr>
        <w:tc>
          <w:tcPr>
            <w:tcW w:type="dxa" w:w="1224"/>
            <w:shd w:val="clear" w:color="auto" w:fill="F2F2F2"/>
            <w:vAlign w:val="center"/>
          </w:tcPr>
          <w:p>
            <w:pPr>
              <w:spacing w:after="40" w:before="0" w:line="259" w:lineRule="auto"/>
            </w:pPr>
            <w:r>
              <w:rPr>
                <w:rFonts w:ascii="Calibri" w:hAnsi="Calibri"/>
                <w:b/>
                <w:i w:val="0"/>
                <w:color w:val="212121"/>
                <w:sz w:val="19"/>
              </w:rPr>
              <w:t>LHP</w:t>
            </w:r>
          </w:p>
        </w:tc>
        <w:tc>
          <w:tcPr>
            <w:tcW w:type="dxa" w:w="1224"/>
            <w:shd w:val="clear" w:color="auto" w:fill="F2F2F2"/>
            <w:vAlign w:val="center"/>
          </w:tcPr>
          <w:p>
            <w:pPr>
              <w:spacing w:after="40" w:before="0" w:line="259" w:lineRule="auto"/>
            </w:pPr>
            <w:r>
              <w:rPr>
                <w:rFonts w:ascii="Calibri" w:hAnsi="Calibri"/>
                <w:b/>
                <w:i w:val="0"/>
                <w:color w:val="212121"/>
                <w:sz w:val="19"/>
              </w:rPr>
              <w:t>Type</w:t>
            </w:r>
          </w:p>
        </w:tc>
        <w:tc>
          <w:tcPr>
            <w:tcW w:type="dxa" w:w="4176"/>
            <w:shd w:val="clear" w:color="auto" w:fill="F2F2F2"/>
            <w:vAlign w:val="center"/>
          </w:tcPr>
          <w:p>
            <w:pPr>
              <w:spacing w:after="40" w:before="0" w:line="259" w:lineRule="auto"/>
            </w:pPr>
            <w:r>
              <w:rPr>
                <w:rFonts w:ascii="Calibri" w:hAnsi="Calibri"/>
                <w:b/>
                <w:i w:val="0"/>
                <w:color w:val="212121"/>
                <w:sz w:val="19"/>
              </w:rPr>
              <w:t>Suggestion</w:t>
            </w:r>
          </w:p>
        </w:tc>
        <w:tc>
          <w:tcPr>
            <w:tcW w:type="dxa" w:w="1944"/>
            <w:shd w:val="clear" w:color="auto" w:fill="F2F2F2"/>
            <w:vAlign w:val="center"/>
          </w:tcPr>
          <w:p>
            <w:pPr>
              <w:spacing w:after="40" w:before="0" w:line="259" w:lineRule="auto"/>
            </w:pPr>
            <w:r>
              <w:rPr>
                <w:rFonts w:ascii="Calibri" w:hAnsi="Calibri"/>
                <w:b/>
                <w:i w:val="0"/>
                <w:color w:val="212121"/>
                <w:sz w:val="19"/>
              </w:rPr>
              <w:t>Profile</w:t>
            </w:r>
          </w:p>
        </w:tc>
        <w:tc>
          <w:tcPr>
            <w:tcW w:type="dxa" w:w="1036"/>
            <w:shd w:val="clear" w:color="auto" w:fill="F2F2F2"/>
            <w:vAlign w:val="center"/>
          </w:tcPr>
          <w:p>
            <w:pPr>
              <w:spacing w:after="40" w:before="0" w:line="259" w:lineRule="auto"/>
            </w:pPr>
            <w:r>
              <w:rPr>
                <w:rFonts w:ascii="Calibri" w:hAnsi="Calibri"/>
                <w:b/>
                <w:i w:val="0"/>
                <w:color w:val="212121"/>
                <w:sz w:val="19"/>
              </w:rPr>
              <w:t>Importance</w:t>
            </w:r>
          </w:p>
        </w:tc>
      </w:tr>
      <w:tr>
        <w:trPr>
          <w:cantSplit/>
        </w:trPr>
        <w:tc>
          <w:tcPr>
            <w:tcW w:type="dxa" w:w="1224"/>
            <w:vAlign w:val="center"/>
          </w:tcPr>
          <w:p>
            <w:pPr>
              <w:spacing w:after="40"/>
            </w:pPr>
            <w:r>
              <w:rPr>
                <w:rFonts w:ascii="Calibri" w:hAnsi="Calibri"/>
                <w:b w:val="0"/>
                <w:i w:val="0"/>
                <w:color w:val="212121"/>
                <w:sz w:val="19"/>
              </w:rPr>
              <w:t>Education</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Boil or pasteurize all milk before drinking; avoid raw milk, soft cheese, curd/yoghurt and ice-cream made from unpasteurized milk.</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Cook meat and organ meats (liver) thoroughly; avoid tasting raw milk or meat.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Recognize occupational risk and always use PPE (gloves, mask/respirator, goggles, apron) when handling animals, birth products or carcasses.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Never assist animal births/abortions bare-handed; disinfect surfaces and dispose of placenta and aborted material safely.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Seek early testing for prolonged undulant fever with night sweats and joint/back pain, especially with livestock or raw-dairy exposure.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Support animal-side control — livestock vaccination (S19/Rev-1), test-and-cull and hygienic sheds — to break transmission at source.</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Rural households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Pastoralists &amp; farmers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Abattoir &amp; dairy workers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Veterinarians &amp; AI technicians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Laboratory staff</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Physical Activity</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During acute febrile illness, rest and allow graded return to activity as fever settles.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heavy load-bearing and spinal strain if sacroiliitis or spondylodiscitis is present.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Undertake physiotherapy and graded mobilization after osteoarticular brucellosis to restore joint and spine function.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Delegate or protect high-risk physical tasks (calving, carcass handling) to reduce re-exposure.</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osteoarticular brucellosis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Convalescent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Occupationally exposed workers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Food</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Consume only pasteurized or rolling-boiled milk and dairy products.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Do not taste raw milk during milking; discard colostrum and milk from aborting or sick animals.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Cook all meat and offal to well-done; keep raw-meat handling separate and wash hands and utensils.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 endemic rural areas, prefer commercially pasteurized dairy where available.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Maintain adequate nutrition and hydration during prolonged fever and weight loss.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Raw-dairy consumers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Rural households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Undercooked-meat consumers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Endemic-area residents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Sleep</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Maintain 7–9 hours of sleep to support immune recovery during a prolonged relapsing illness.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Address insomnia that commonly accompanies chronic and neurobrucellosis.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Keep a regular sleep–wake routine through the weeks-long treatment course.</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Acute &amp; convalescent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Chronic / neurobrucellosis patients</w:t>
            </w:r>
          </w:p>
        </w:tc>
        <w:tc>
          <w:tcPr>
            <w:tcW w:type="dxa" w:w="1036"/>
            <w:vAlign w:val="top"/>
          </w:tcPr>
          <w:p>
            <w:pPr>
              <w:spacing w:after="40" w:before="0" w:line="259" w:lineRule="auto"/>
            </w:pPr>
            <w:r>
              <w:rPr>
                <w:rFonts w:ascii="Calibri" w:hAnsi="Calibri"/>
                <w:b w:val="0"/>
                <w:i w:val="0"/>
                <w:color w:val="212121"/>
                <w:sz w:val="19"/>
              </w:rPr>
              <w:t>Low</w:t>
            </w:r>
          </w:p>
        </w:tc>
      </w:tr>
      <w:tr>
        <w:trPr>
          <w:cantSplit/>
        </w:trPr>
        <w:tc>
          <w:tcPr>
            <w:tcW w:type="dxa" w:w="1224"/>
            <w:vAlign w:val="center"/>
          </w:tcPr>
          <w:p>
            <w:pPr>
              <w:spacing w:after="40"/>
            </w:pPr>
            <w:r>
              <w:rPr>
                <w:rFonts w:ascii="Calibri" w:hAnsi="Calibri"/>
                <w:b w:val="0"/>
                <w:i w:val="0"/>
                <w:color w:val="212121"/>
                <w:sz w:val="19"/>
              </w:rPr>
              <w:t>Smoking</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Do not eat, drink or smoke while handling animals, birth products or laboratory samples — this reduces hand-to-mouth inoculation.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Wash and sanitize hands before any hand-to-face contact after animal work.</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Stop smoking to improve general resilience and recovery from prolonged infection.</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Livestock &amp; abattoir workers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Laboratory staff</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Smokers with occupational exposure</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Alcohol</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Limit or avoid alcohol, particularly if there is hepatic involvement (granulomatous hepatitis).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alcohol during prolonged doxycycline/rifampin therapy to reduce hepatotoxic strain and aid adherence.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Discuss safe limits, as heavy use may worsen liver inflammation and delay recovery.</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hepatic involvement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Adults on prolonged antibiotic therapy</w:t>
            </w:r>
          </w:p>
        </w:tc>
        <w:tc>
          <w:tcPr>
            <w:tcW w:type="dxa" w:w="1036"/>
            <w:vAlign w:val="top"/>
          </w:tcPr>
          <w:p>
            <w:pPr>
              <w:spacing w:after="40" w:before="0" w:line="259" w:lineRule="auto"/>
            </w:pPr>
            <w:r>
              <w:rPr>
                <w:rFonts w:ascii="Calibri" w:hAnsi="Calibri"/>
                <w:b w:val="0"/>
                <w:i w:val="0"/>
                <w:color w:val="212121"/>
                <w:sz w:val="19"/>
              </w:rPr>
              <w:t>Low</w:t>
            </w:r>
          </w:p>
        </w:tc>
      </w:tr>
      <w:tr>
        <w:trPr>
          <w:cantSplit/>
        </w:trPr>
        <w:tc>
          <w:tcPr>
            <w:tcW w:type="dxa" w:w="1224"/>
            <w:vAlign w:val="center"/>
          </w:tcPr>
          <w:p>
            <w:pPr>
              <w:spacing w:after="40"/>
            </w:pPr>
            <w:r>
              <w:rPr>
                <w:rFonts w:ascii="Calibri" w:hAnsi="Calibri"/>
                <w:b w:val="0"/>
                <w:i w:val="0"/>
                <w:color w:val="212121"/>
                <w:sz w:val="19"/>
              </w:rPr>
              <w:t>Mental health</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Screen for and treat depression, anxiety and insomnia in chronic and neurobrucellosis.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Provide counselling and reassurance given the long (≥6-week) treatment and relapse risk, to sustain full adherence.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Offer psychological support for persistent fatigue and neuropsychiatric symptoms that may outlast microbiological cure.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Involve family in supervised, complete treatment to prevent relapse and re-exposure.</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Chronic brucellosis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Neurobrucellosis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treatment fatigue</w:t>
            </w:r>
          </w:p>
        </w:tc>
        <w:tc>
          <w:tcPr>
            <w:tcW w:type="dxa" w:w="1036"/>
            <w:vAlign w:val="top"/>
          </w:tcPr>
          <w:p>
            <w:pPr>
              <w:spacing w:after="40" w:before="0" w:line="259" w:lineRule="auto"/>
            </w:pPr>
            <w:r>
              <w:rPr>
                <w:rFonts w:ascii="Calibri" w:hAnsi="Calibri"/>
                <w:b w:val="0"/>
                <w:i w:val="0"/>
                <w:color w:val="212121"/>
                <w:sz w:val="19"/>
              </w:rPr>
              <w:t>Medium</w:t>
            </w:r>
          </w:p>
        </w:tc>
      </w:tr>
    </w:tbl>
    <w:sectPr w:rsidR="00FC693F" w:rsidRPr="0006063C" w:rsidSect="00034616">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69" w:lineRule="auto"/>
    </w:pPr>
    <w:rPr>
      <w:rFonts w:ascii="Calibri" w:hAnsi="Calibri" w:cs="Calibri"/>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ncbi.nlm.nih.gov/books/NBK441831/" TargetMode="External"/><Relationship Id="rId10" Type="http://schemas.openxmlformats.org/officeDocument/2006/relationships/hyperlink" Target="https://www.ias.ac.in/article/fulltext/jbsc/033/04/0539-0547" TargetMode="External"/><Relationship Id="rId11" Type="http://schemas.openxmlformats.org/officeDocument/2006/relationships/hyperlink" Target="https://www.cdc.gov/brucellosis/about/index.html" TargetMode="External"/><Relationship Id="rId12" Type="http://schemas.openxmlformats.org/officeDocument/2006/relationships/hyperlink" Target="https://www.cdc.gov/brucellosis/prevention/index.html" TargetMode="External"/><Relationship Id="rId13" Type="http://schemas.openxmlformats.org/officeDocument/2006/relationships/hyperlink" Target="https://www.who.int/news-room/fact-sheets/detail/brucellosi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