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Anthrax</w:t>
      </w:r>
    </w:p>
    <w:p>
      <w:pPr>
        <w:spacing w:before="0" w:after="160"/>
      </w:pPr>
      <w:r>
        <w:rPr>
          <w:rFonts w:ascii="Calibri" w:hAnsi="Calibri"/>
          <w:b/>
          <w:i w:val="0"/>
          <w:color w:val="212121"/>
          <w:sz w:val="22"/>
        </w:rPr>
        <w:t xml:space="preserve">AKA </w:t>
      </w:r>
      <w:r>
        <w:rPr>
          <w:rFonts w:ascii="Calibri" w:hAnsi="Calibri"/>
          <w:b w:val="0"/>
          <w:i w:val="0"/>
          <w:color w:val="212121"/>
          <w:sz w:val="22"/>
        </w:rPr>
        <w:t>i.e., Malignant pustule, Malignant carbuncle, Woolsorter's disease (inhalational), Hide-porter's disease, Charbon; caused by Bacillus anthracis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Anthrax is an acute zoonotic infection caused by Bacillus anthracis, a spore-forming, gram-positive, capsulated bacillus whose environmentally durable spores can survive for decades in soil. Humans acquire infection almost exclusively from infected herbivores or contaminated animal products (hides, wool, hair, bone meal, meat), giving four clinical forms — cutaneous, gastrointestinal (including oropharyngeal), inhalational and injectional. Disease severity is driven by the tripartite anthrax toxin (protective antigen, lethal factor, oedema factor) and an antiphagocytic poly-D-glutamic acid capsule; untreated systemic disease is frequently fatal.</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Anthrax is a sporadic but persistent zoonosis in India, concentrated in a few endemic states. Published surveillance and outbreak reports documented roughly 917 human cases during 2009–2021, with Odisha (439), West Bengal (260), Jharkhand (137) and Andhra Pradesh (81) accounting for almost all of them; Odisha's Koraput district alone contributed close to 200 cases. Over 95% of Indian human cases are cutaneous, occur in poor rural and tribal communities that handle or eat sick or suddenly-dead livestock, and cluster in the pre-monsoon months of April–June.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Anthrax is diagnosed by combining a compatible exposure history with characteristic clinical features and microbiological confirmation. Supportive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compatible exposure: contact with sick or suddenly-dead livestock, handling of carcasses/hides/wool, or consumption of meat from a dead animal in an endemic area;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cutaneous lesion: a painless, pruritic papule evolving through a vesicle to a depressed black eschar with disproportionate, non-pitting gelatinous oedema;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microscopy: Gram stain of vesicle fluid, eschar margin, blood or CSF showing broad gram-positive “boxcar” / bamboo-stick bacilli in chains;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culture: isolation of B. anthracis as non-haemolytic, “medusa-head” colonies on sheep blood agar (diagnostic gold standard) from wound, blood or CSF;</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 confirmation: PCR targeting B. anthracis virulence genes (pagA/lef on plasmid pXO1; capB/C on pXO2);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 immunohistochemistry: anti-protective-antigen (anti-PA) IgG ELISA on paired sera, or tissue immunostaining, for retrospective or confirmatory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chest radiograph or CT showing a widened mediastinum and pleural effusions supports inhalational anthrax.</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Human anthrax is classified by the portal of spore entry into four clinical forms of increasing systemic severity:</w:t>
      </w:r>
    </w:p>
    <w:p>
      <w:pPr>
        <w:spacing w:before="0" w:after="80"/>
      </w:pPr>
      <w:r>
        <w:rPr>
          <w:rFonts w:ascii="Calibri" w:hAnsi="Calibri"/>
          <w:b w:val="0"/>
          <w:i w:val="0"/>
          <w:color w:val="212121"/>
          <w:sz w:val="21"/>
        </w:rPr>
        <w:t>(1) Cutaneous anthrax, from spore inoculation through broken skin — the commonest form worldwide and more than 95% of Indian cases; it produces a painless black eschar with marked oedema, with case-fatality under 1% when treated but up to 10–20% if untreated;</w:t>
      </w:r>
    </w:p>
    <w:p>
      <w:pPr>
        <w:spacing w:before="0" w:after="80"/>
      </w:pPr>
      <w:r>
        <w:rPr>
          <w:rFonts w:ascii="Calibri" w:hAnsi="Calibri"/>
          <w:b w:val="0"/>
          <w:i w:val="0"/>
          <w:color w:val="212121"/>
          <w:sz w:val="21"/>
        </w:rPr>
        <w:t>(2) Gastrointestinal anthrax (including the oropharyngeal variant), from eating undercooked meat of an infected animal; it causes intestinal or throat lesions, fever, bloody diarrhoea or dysphagia and carries roughly 25–60% mortality untreated;</w:t>
      </w:r>
    </w:p>
    <w:p>
      <w:pPr>
        <w:spacing w:before="0" w:after="80"/>
      </w:pPr>
      <w:r>
        <w:rPr>
          <w:rFonts w:ascii="Calibri" w:hAnsi="Calibri"/>
          <w:b w:val="0"/>
          <w:i w:val="0"/>
          <w:color w:val="212121"/>
          <w:sz w:val="21"/>
        </w:rPr>
        <w:t>(3) Inhalational (pulmonary) anthrax, historically “woolsorter's disease”, from inhaling spore-laden dust during wool/hide/bone-meal processing or from an aerosol released as a biological weapon; it is a biphasic illness with haemorrhagic mediastinitis and 85–90% mortality untreated;</w:t>
      </w:r>
    </w:p>
    <w:p>
      <w:pPr>
        <w:spacing w:before="0" w:after="80"/>
      </w:pPr>
      <w:r>
        <w:rPr>
          <w:rFonts w:ascii="Calibri" w:hAnsi="Calibri"/>
          <w:b w:val="0"/>
          <w:i w:val="0"/>
          <w:color w:val="212121"/>
          <w:sz w:val="21"/>
        </w:rPr>
        <w:t>(4) Injectional anthrax, from injecting spore-contaminated heroin, causing deep soft-tissue necrosis and severe oedema with high mortality; it has been described mainly among European drug users.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Bacillus anthracis spores: The environmentally resistant spore is the infective particle; once in host tissue it germinates into the toxin- and capsule-producing vegetative bacillus.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Virulence plasmids: pXO1 encodes the tripartite toxin (protective antigen, lethal factor, oedema factor) and pXO2 the antiphagocytic capsule; both are required for full virulence.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Infected herbivore reservoir: Cattle, buffalo, sheep and goats grazing spore-contaminated pasture are the source, and a dying or dead animal sheds enormous numbers of spores.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Occupational and household animal contact: Skinning, butchering, burying or handling carcasses and hides inoculates spores through skin breaks — the dominant risk in Indian outbreaks.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Ingestion of contaminated meat: Eating or preparing meat from a sick or dead animal causes gastrointestinal and oropharyngeal anthrax.</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Contaminated animal products and soil: Wool, hair, hides, bone meal and spore-laden alkaline soil (pH ~6–8) sustain endemic transmission and cause inhalational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and behavioural amplifiers: Poverty, low awareness, absent protective equipment, unvaccinated livestock and delayed carcass disposal magnify exposure.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(15–45 y)</w:t>
            </w:r>
          </w:p>
        </w:tc>
        <w:tc>
          <w:tcPr>
            <w:tcW w:type="dxa" w:w="4276"/>
            <w:vAlign w:val="top"/>
          </w:tcPr>
          <w:p>
            <w:pPr>
              <w:spacing w:after="60" w:line="259" w:lineRule="auto"/>
            </w:pPr>
            <w:r>
              <w:rPr>
                <w:rFonts w:ascii="Calibri" w:hAnsi="Calibri"/>
                <w:b w:val="0"/>
                <w:i w:val="0"/>
                <w:color w:val="212121"/>
                <w:sz w:val="19"/>
              </w:rPr>
              <w:t>Adults of working age do most of the herding, slaughtering, skinning and carcass handling, so they receive the greatest inoculating dose of spores through skin breaks.</w:t>
            </w:r>
          </w:p>
          <w:p>
            <w:pPr>
              <w:spacing w:after="40" w:before="60" w:line="259" w:lineRule="auto"/>
            </w:pPr>
            <w:r>
              <w:rPr>
                <w:rFonts w:ascii="Calibri" w:hAnsi="Calibri"/>
                <w:b w:val="0"/>
                <w:i w:val="0"/>
                <w:color w:val="212121"/>
                <w:sz w:val="19"/>
              </w:rPr>
              <w:t>In the 2015 Koraput (Odisha) tribal outbreak the median age of cases was 38 years (range 5–75) and 89% were male.</w:t>
            </w:r>
          </w:p>
          <w:p>
            <w:pPr>
              <w:spacing w:after="40" w:line="252" w:lineRule="auto"/>
            </w:pPr>
            <w:hyperlink r:id="rId9">
              <w:r>
                <w:rPr>
                  <w:rFonts w:ascii="Calibri" w:hAnsi="Calibri" w:cs="Calibri"/>
                  <w:sz w:val="18"/>
                  <w:color w:val="1155CC"/>
                  <w:u w:val="single"/>
                </w:rPr>
                <w:t xml:space="preserve">bmcpublichealth.biomedcentral.com — Koraput 2015 outbreak</w:t>
              </w:r>
            </w:hyperlink>
          </w:p>
          <w:p>
            <w:pPr>
              <w:spacing w:before="60" w:after="40"/>
            </w:pPr>
            <w:r>
              <w:rPr>
                <w:rFonts w:ascii="Calibri" w:hAnsi="Calibri"/>
                <w:b w:val="0"/>
                <w:i w:val="0"/>
                <w:color w:val="5A5A5A"/>
                <w:sz w:val="18"/>
              </w:rPr>
              <w:t>#zoonosis  #occupationalexposure  #carcasshandling  #cutaneous  #rural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rural adults continue animal husbandry and carcass work, so exposure persists; coexisting frailty and comorbidity worsen outcomes once systemic anthrax develops.</w:t>
            </w:r>
          </w:p>
          <w:p>
            <w:pPr>
              <w:spacing w:after="40" w:before="60" w:line="259" w:lineRule="auto"/>
            </w:pPr>
            <w:r>
              <w:rPr>
                <w:rFonts w:ascii="Calibri" w:hAnsi="Calibri"/>
                <w:b w:val="0"/>
                <w:i w:val="0"/>
                <w:color w:val="212121"/>
                <w:sz w:val="19"/>
              </w:rPr>
              <w:t>Elderly cutaneous cases with extensive head/neck oedema are at higher risk of airway compromise and progression to toxaemia.</w:t>
            </w:r>
          </w:p>
          <w:p>
            <w:pPr>
              <w:spacing w:before="60" w:after="40"/>
            </w:pPr>
            <w:r>
              <w:rPr>
                <w:rFonts w:ascii="Calibri" w:hAnsi="Calibri"/>
                <w:b w:val="0"/>
                <w:i w:val="0"/>
                <w:color w:val="5A5A5A"/>
                <w:sz w:val="18"/>
              </w:rPr>
              <w:t>#elderly  #comorbidity  #systemicrisk  #malignantoedema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In several Indian outbreaks children tending livestock or playing near carcasses are affected, often with head-and-neck lesions attributed to spore deposition and biting flies.</w:t>
            </w:r>
          </w:p>
          <w:p>
            <w:pPr>
              <w:spacing w:after="40" w:before="60" w:line="259" w:lineRule="auto"/>
            </w:pPr>
            <w:r>
              <w:rPr>
                <w:rFonts w:ascii="Calibri" w:hAnsi="Calibri"/>
                <w:b w:val="0"/>
                <w:i w:val="0"/>
                <w:color w:val="212121"/>
                <w:sz w:val="19"/>
              </w:rPr>
              <w:t>Indian series note that more than 90% of cutaneous lesions occur on exposed sites (face, neck, arms, hands), and in children head-and-neck involvement predominates.</w:t>
            </w:r>
          </w:p>
          <w:p>
            <w:pPr>
              <w:spacing w:after="40" w:line="252" w:lineRule="auto"/>
            </w:pPr>
            <w:hyperlink r:id="rId10">
              <w:r>
                <w:rPr>
                  <w:rFonts w:ascii="Calibri" w:hAnsi="Calibri" w:cs="Calibri"/>
                  <w:sz w:val="18"/>
                  <w:color w:val="1155CC"/>
                  <w:u w:val="single"/>
                </w:rPr>
                <w:t xml:space="preserve">ijdvl.com — cutaneous anthrax, an Indian perspective</w:t>
              </w:r>
            </w:hyperlink>
          </w:p>
          <w:p>
            <w:pPr>
              <w:spacing w:before="60" w:after="40"/>
            </w:pPr>
            <w:r>
              <w:rPr>
                <w:rFonts w:ascii="Calibri" w:hAnsi="Calibri"/>
                <w:b w:val="0"/>
                <w:i w:val="0"/>
                <w:color w:val="5A5A5A"/>
                <w:sz w:val="18"/>
              </w:rPr>
              <w:t>#children  #headandneck  #exposedskin  #flyvector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perform most high-risk tasks (slaughter, skinning, butchering, hide and wool handling), producing a strong male predominance across Indian outbreaks.</w:t>
            </w:r>
          </w:p>
          <w:p>
            <w:pPr>
              <w:spacing w:after="40" w:before="60" w:line="259" w:lineRule="auto"/>
            </w:pPr>
            <w:r>
              <w:rPr>
                <w:rFonts w:ascii="Calibri" w:hAnsi="Calibri"/>
                <w:b w:val="0"/>
                <w:i w:val="0"/>
                <w:color w:val="212121"/>
                <w:sz w:val="19"/>
              </w:rPr>
              <w:t>A systematic review of Indian human anthrax found men were about 35 times more likely to be infected than women, with 82–89% of outbreak cases male.</w:t>
            </w:r>
          </w:p>
          <w:p>
            <w:pPr>
              <w:spacing w:after="40" w:line="252" w:lineRule="auto"/>
            </w:pPr>
            <w:hyperlink r:id="rId11">
              <w:r>
                <w:rPr>
                  <w:rFonts w:ascii="Calibri" w:hAnsi="Calibri" w:cs="Calibri"/>
                  <w:sz w:val="18"/>
                  <w:color w:val="1155CC"/>
                  <w:u w:val="single"/>
                </w:rPr>
                <w:t xml:space="preserve">pmc.ncbi.nlm.nih.gov — human anthrax in India review</w:t>
              </w:r>
            </w:hyperlink>
          </w:p>
          <w:p>
            <w:pPr>
              <w:spacing w:before="60" w:after="40"/>
            </w:pPr>
            <w:r>
              <w:rPr>
                <w:rFonts w:ascii="Calibri" w:hAnsi="Calibri"/>
                <w:b w:val="0"/>
                <w:i w:val="0"/>
                <w:color w:val="5A5A5A"/>
                <w:sz w:val="18"/>
              </w:rPr>
              <w:t>#malepredominance  #occupational  #slaughter  #hidework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rural / tribal / BPL communities</w:t>
            </w:r>
          </w:p>
        </w:tc>
        <w:tc>
          <w:tcPr>
            <w:tcW w:type="dxa" w:w="4276"/>
            <w:vAlign w:val="top"/>
          </w:tcPr>
          <w:p>
            <w:pPr>
              <w:spacing w:after="60" w:line="259" w:lineRule="auto"/>
            </w:pPr>
            <w:r>
              <w:rPr>
                <w:rFonts w:ascii="Calibri" w:hAnsi="Calibri"/>
                <w:b w:val="0"/>
                <w:i w:val="0"/>
                <w:color w:val="212121"/>
                <w:sz w:val="19"/>
              </w:rPr>
              <w:t>Poverty drives consumption of fallen livestock, absence of protective equipment, low literacy and delayed care, all of which increase exposure and case-fatality.</w:t>
            </w:r>
          </w:p>
          <w:p>
            <w:pPr>
              <w:spacing w:after="40" w:before="60" w:line="259" w:lineRule="auto"/>
            </w:pPr>
            <w:r>
              <w:rPr>
                <w:rFonts w:ascii="Calibri" w:hAnsi="Calibri"/>
                <w:b w:val="0"/>
                <w:i w:val="0"/>
                <w:color w:val="212121"/>
                <w:sz w:val="19"/>
              </w:rPr>
              <w:t>Ten of 31 Indian studies reported cases in tribal communities; affected villages had average monthly incomes near ₹1800 and ~80% subsistence farmers.</w:t>
            </w:r>
          </w:p>
          <w:p>
            <w:pPr>
              <w:spacing w:after="40" w:line="252" w:lineRule="auto"/>
            </w:pPr>
            <w:hyperlink r:id="rId11">
              <w:r>
                <w:rPr>
                  <w:rFonts w:ascii="Calibri" w:hAnsi="Calibri" w:cs="Calibri"/>
                  <w:sz w:val="18"/>
                  <w:color w:val="1155CC"/>
                  <w:u w:val="single"/>
                </w:rPr>
                <w:t xml:space="preserve">pmc.ncbi.nlm.nih.gov — human anthrax in India review</w:t>
              </w:r>
            </w:hyperlink>
          </w:p>
          <w:p>
            <w:pPr>
              <w:spacing w:before="60" w:after="40"/>
            </w:pPr>
            <w:r>
              <w:rPr>
                <w:rFonts w:ascii="Calibri" w:hAnsi="Calibri"/>
                <w:b w:val="0"/>
                <w:i w:val="0"/>
                <w:color w:val="5A5A5A"/>
                <w:sz w:val="18"/>
              </w:rPr>
              <w:t>#tribal  #poverty  #lowawareness  #BPL  #foodinsecurity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(endemic state)</w:t>
            </w:r>
          </w:p>
        </w:tc>
        <w:tc>
          <w:tcPr>
            <w:tcW w:type="dxa" w:w="2160"/>
            <w:vAlign w:val="top"/>
          </w:tcPr>
          <w:p>
            <w:pPr>
              <w:spacing w:after="40" w:before="0" w:line="259" w:lineRule="auto"/>
            </w:pPr>
            <w:r>
              <w:rPr>
                <w:rFonts w:ascii="Calibri" w:hAnsi="Calibri"/>
                <w:b w:val="0"/>
                <w:i w:val="0"/>
                <w:color w:val="212121"/>
                <w:sz w:val="19"/>
              </w:rPr>
              <w:t>Odisha — Koraput belt</w:t>
            </w:r>
          </w:p>
        </w:tc>
        <w:tc>
          <w:tcPr>
            <w:tcW w:type="dxa" w:w="4276"/>
            <w:vAlign w:val="top"/>
          </w:tcPr>
          <w:p>
            <w:pPr>
              <w:spacing w:after="60" w:line="259" w:lineRule="auto"/>
            </w:pPr>
            <w:r>
              <w:rPr>
                <w:rFonts w:ascii="Calibri" w:hAnsi="Calibri"/>
                <w:b w:val="0"/>
                <w:i w:val="0"/>
                <w:color w:val="212121"/>
                <w:sz w:val="19"/>
              </w:rPr>
              <w:t>Odisha carries India's largest human anthrax burden, with repeated pre-monsoon outbreaks in the tribal, forested Koraput plateau where livestock deaths go unreported.</w:t>
            </w:r>
          </w:p>
          <w:p>
            <w:pPr>
              <w:spacing w:after="40" w:before="60" w:line="259" w:lineRule="auto"/>
            </w:pPr>
            <w:r>
              <w:rPr>
                <w:rFonts w:ascii="Calibri" w:hAnsi="Calibri"/>
                <w:b w:val="0"/>
                <w:i w:val="0"/>
                <w:color w:val="212121"/>
                <w:sz w:val="19"/>
              </w:rPr>
              <w:t>Odisha recorded ~439 of ~917 Indian human cases (2009–2021); Koraput district alone accounted for close to 200 cases across dozens of outbreaks.</w:t>
            </w:r>
          </w:p>
          <w:p>
            <w:pPr>
              <w:spacing w:after="40" w:line="252" w:lineRule="auto"/>
            </w:pPr>
            <w:hyperlink r:id="rId11">
              <w:r>
                <w:rPr>
                  <w:rFonts w:ascii="Calibri" w:hAnsi="Calibri" w:cs="Calibri"/>
                  <w:sz w:val="18"/>
                  <w:color w:val="1155CC"/>
                  <w:u w:val="single"/>
                </w:rPr>
                <w:t xml:space="preserve">pmc.ncbi.nlm.nih.gov — human anthrax in India review</w:t>
              </w:r>
            </w:hyperlink>
          </w:p>
          <w:p>
            <w:pPr>
              <w:spacing w:before="60" w:after="40"/>
            </w:pPr>
            <w:r>
              <w:rPr>
                <w:rFonts w:ascii="Calibri" w:hAnsi="Calibri"/>
                <w:b w:val="0"/>
                <w:i w:val="0"/>
                <w:color w:val="5A5A5A"/>
                <w:sz w:val="18"/>
              </w:rPr>
              <w:t>#Odisha  #Koraput  #endemic  #premonsoon  #outbreakhotspot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India (AP, Karnataka, Tamil Nadu) &amp; West Bengal</w:t>
            </w:r>
          </w:p>
        </w:tc>
        <w:tc>
          <w:tcPr>
            <w:tcW w:type="dxa" w:w="4276"/>
            <w:vAlign w:val="top"/>
          </w:tcPr>
          <w:p>
            <w:pPr>
              <w:spacing w:after="60" w:line="259" w:lineRule="auto"/>
            </w:pPr>
            <w:r>
              <w:rPr>
                <w:rFonts w:ascii="Calibri" w:hAnsi="Calibri"/>
                <w:b w:val="0"/>
                <w:i w:val="0"/>
                <w:color w:val="212121"/>
                <w:sz w:val="19"/>
              </w:rPr>
              <w:t>Southern Indian states and West Bengal form long-standing endemic zones where cattle, sheep and goat anthrax spills over to herders, butchers and farming families.</w:t>
            </w:r>
          </w:p>
          <w:p>
            <w:pPr>
              <w:spacing w:after="40" w:before="60" w:line="259" w:lineRule="auto"/>
            </w:pPr>
            <w:r>
              <w:rPr>
                <w:rFonts w:ascii="Calibri" w:hAnsi="Calibri"/>
                <w:b w:val="0"/>
                <w:i w:val="0"/>
                <w:color w:val="212121"/>
                <w:sz w:val="19"/>
              </w:rPr>
              <w:t>Andhra Pradesh, Karnataka, Tamil Nadu and West Bengal are documented endemic states; West Bengal recorded ~260 human cases in 2009–2021.</w:t>
            </w:r>
          </w:p>
          <w:p>
            <w:pPr>
              <w:spacing w:after="40" w:line="252" w:lineRule="auto"/>
            </w:pPr>
            <w:hyperlink r:id="rId12">
              <w:r>
                <w:rPr>
                  <w:rFonts w:ascii="Calibri" w:hAnsi="Calibri" w:cs="Calibri"/>
                  <w:sz w:val="18"/>
                  <w:color w:val="1155CC"/>
                  <w:u w:val="single"/>
                </w:rPr>
                <w:t xml:space="preserve">nams-annals.in — cutaneous anthrax still a reality in India</w:t>
              </w:r>
            </w:hyperlink>
          </w:p>
          <w:p>
            <w:pPr>
              <w:spacing w:before="60" w:after="40"/>
            </w:pPr>
            <w:r>
              <w:rPr>
                <w:rFonts w:ascii="Calibri" w:hAnsi="Calibri"/>
                <w:b w:val="0"/>
                <w:i w:val="0"/>
                <w:color w:val="5A5A5A"/>
                <w:sz w:val="18"/>
              </w:rPr>
              <w:t>#AndhraPradesh  #Karnataka  #TamilNadu  #WestBengal  #endemicbelt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 / soil &amp; season</w:t>
            </w:r>
          </w:p>
        </w:tc>
        <w:tc>
          <w:tcPr>
            <w:tcW w:type="dxa" w:w="2160"/>
            <w:vAlign w:val="top"/>
          </w:tcPr>
          <w:p>
            <w:pPr>
              <w:spacing w:after="40" w:before="0" w:line="259" w:lineRule="auto"/>
            </w:pPr>
            <w:r>
              <w:rPr>
                <w:rFonts w:ascii="Calibri" w:hAnsi="Calibri"/>
                <w:b w:val="0"/>
                <w:i w:val="0"/>
                <w:color w:val="212121"/>
                <w:sz w:val="19"/>
              </w:rPr>
              <w:t>Alkaline calcareous soil zones; pre-monsoon</w:t>
            </w:r>
          </w:p>
        </w:tc>
        <w:tc>
          <w:tcPr>
            <w:tcW w:type="dxa" w:w="4276"/>
            <w:vAlign w:val="top"/>
          </w:tcPr>
          <w:p>
            <w:pPr>
              <w:spacing w:after="60" w:line="259" w:lineRule="auto"/>
            </w:pPr>
            <w:r>
              <w:rPr>
                <w:rFonts w:ascii="Calibri" w:hAnsi="Calibri"/>
                <w:b w:val="0"/>
                <w:i w:val="0"/>
                <w:color w:val="212121"/>
                <w:sz w:val="19"/>
              </w:rPr>
              <w:t>B. anthracis spores concentrate and persist in near-neutral-to-alkaline, calcium-rich soils; hot, dry pre-monsoon conditions stress grazing animals and expose spores.</w:t>
            </w:r>
          </w:p>
          <w:p>
            <w:pPr>
              <w:spacing w:after="40" w:before="60" w:line="259" w:lineRule="auto"/>
            </w:pPr>
            <w:r>
              <w:rPr>
                <w:rFonts w:ascii="Calibri" w:hAnsi="Calibri"/>
                <w:b w:val="0"/>
                <w:i w:val="0"/>
                <w:color w:val="212121"/>
                <w:sz w:val="19"/>
              </w:rPr>
              <w:t>Anthrax suitability in India is highest where soil pH is ~6–8, and Odisha cases peak in the pre-monsoon period of April–June.</w:t>
            </w:r>
          </w:p>
          <w:p>
            <w:pPr>
              <w:spacing w:after="40" w:line="252" w:lineRule="auto"/>
            </w:pPr>
            <w:hyperlink r:id="rId11">
              <w:r>
                <w:rPr>
                  <w:rFonts w:ascii="Calibri" w:hAnsi="Calibri" w:cs="Calibri"/>
                  <w:sz w:val="18"/>
                  <w:color w:val="1155CC"/>
                  <w:u w:val="single"/>
                </w:rPr>
                <w:t xml:space="preserve">pmc.ncbi.nlm.nih.gov — human anthrax in India review</w:t>
              </w:r>
            </w:hyperlink>
          </w:p>
          <w:p>
            <w:pPr>
              <w:spacing w:before="60" w:after="40"/>
            </w:pPr>
            <w:r>
              <w:rPr>
                <w:rFonts w:ascii="Calibri" w:hAnsi="Calibri"/>
                <w:b w:val="0"/>
                <w:i w:val="0"/>
                <w:color w:val="5A5A5A"/>
                <w:sz w:val="18"/>
              </w:rPr>
              <w:t>#soilpH  #sporepersistence  #seasonality  #grazing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 animal husbandry</w:t>
            </w:r>
          </w:p>
        </w:tc>
        <w:tc>
          <w:tcPr>
            <w:tcW w:type="dxa" w:w="2160"/>
            <w:vAlign w:val="top"/>
          </w:tcPr>
          <w:p>
            <w:pPr>
              <w:spacing w:after="40" w:before="0" w:line="259" w:lineRule="auto"/>
            </w:pPr>
            <w:r>
              <w:rPr>
                <w:rFonts w:ascii="Calibri" w:hAnsi="Calibri"/>
                <w:b w:val="0"/>
                <w:i w:val="0"/>
                <w:color w:val="212121"/>
                <w:sz w:val="19"/>
              </w:rPr>
              <w:t>Livestock farmers, herders, shepherds</w:t>
            </w:r>
          </w:p>
        </w:tc>
        <w:tc>
          <w:tcPr>
            <w:tcW w:type="dxa" w:w="4276"/>
            <w:vAlign w:val="top"/>
          </w:tcPr>
          <w:p>
            <w:pPr>
              <w:spacing w:after="60" w:line="259" w:lineRule="auto"/>
            </w:pPr>
            <w:r>
              <w:rPr>
                <w:rFonts w:ascii="Calibri" w:hAnsi="Calibri"/>
                <w:b w:val="0"/>
                <w:i w:val="0"/>
                <w:color w:val="212121"/>
                <w:sz w:val="19"/>
              </w:rPr>
              <w:t>Daily close contact with cattle, sheep and goats — and the impulse to salvage a dead animal — makes farmers and herders the core at-risk group in India.</w:t>
            </w:r>
          </w:p>
          <w:p>
            <w:pPr>
              <w:spacing w:after="40" w:before="60" w:line="259" w:lineRule="auto"/>
            </w:pPr>
            <w:r>
              <w:rPr>
                <w:rFonts w:ascii="Calibri" w:hAnsi="Calibri"/>
                <w:b w:val="0"/>
                <w:i w:val="0"/>
                <w:color w:val="212121"/>
                <w:sz w:val="19"/>
              </w:rPr>
              <w:t>Animal handling was involved in essentially all reported Indian human anthrax cases; ~80% of affected villagers were farmers by occupation.</w:t>
            </w:r>
          </w:p>
          <w:p>
            <w:pPr>
              <w:spacing w:after="40" w:line="252" w:lineRule="auto"/>
            </w:pPr>
            <w:hyperlink r:id="rId11">
              <w:r>
                <w:rPr>
                  <w:rFonts w:ascii="Calibri" w:hAnsi="Calibri" w:cs="Calibri"/>
                  <w:sz w:val="18"/>
                  <w:color w:val="1155CC"/>
                  <w:u w:val="single"/>
                </w:rPr>
                <w:t xml:space="preserve">pmc.ncbi.nlm.nih.gov — human anthrax in India review</w:t>
              </w:r>
            </w:hyperlink>
          </w:p>
          <w:p>
            <w:pPr>
              <w:spacing w:before="60" w:after="40"/>
            </w:pPr>
            <w:r>
              <w:rPr>
                <w:rFonts w:ascii="Calibri" w:hAnsi="Calibri"/>
                <w:b w:val="0"/>
                <w:i w:val="0"/>
                <w:color w:val="5A5A5A"/>
                <w:sz w:val="18"/>
              </w:rPr>
              <w:t>#farmers  #herders  #animalcontact  #livestock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slaughter &amp; carcass work</w:t>
            </w:r>
          </w:p>
        </w:tc>
        <w:tc>
          <w:tcPr>
            <w:tcW w:type="dxa" w:w="2160"/>
            <w:vAlign w:val="top"/>
          </w:tcPr>
          <w:p>
            <w:pPr>
              <w:spacing w:after="40" w:before="0" w:line="259" w:lineRule="auto"/>
            </w:pPr>
            <w:r>
              <w:rPr>
                <w:rFonts w:ascii="Calibri" w:hAnsi="Calibri"/>
                <w:b w:val="0"/>
                <w:i w:val="0"/>
                <w:color w:val="212121"/>
                <w:sz w:val="19"/>
              </w:rPr>
              <w:t>Butchers, slaughterers, carcass handlers</w:t>
            </w:r>
          </w:p>
        </w:tc>
        <w:tc>
          <w:tcPr>
            <w:tcW w:type="dxa" w:w="4276"/>
            <w:vAlign w:val="top"/>
          </w:tcPr>
          <w:p>
            <w:pPr>
              <w:spacing w:after="60" w:line="259" w:lineRule="auto"/>
            </w:pPr>
            <w:r>
              <w:rPr>
                <w:rFonts w:ascii="Calibri" w:hAnsi="Calibri"/>
                <w:b w:val="0"/>
                <w:i w:val="0"/>
                <w:color w:val="212121"/>
                <w:sz w:val="19"/>
              </w:rPr>
              <w:t>Cutting, skinning, chopping and burying an infected carcass drives spores deep into cuts on the hands and arms, the single strongest behavioural risk.</w:t>
            </w:r>
          </w:p>
          <w:p>
            <w:pPr>
              <w:spacing w:after="40" w:before="60" w:line="259" w:lineRule="auto"/>
            </w:pPr>
            <w:r>
              <w:rPr>
                <w:rFonts w:ascii="Calibri" w:hAnsi="Calibri"/>
                <w:b w:val="0"/>
                <w:i w:val="0"/>
                <w:color w:val="212121"/>
                <w:sz w:val="19"/>
              </w:rPr>
              <w:t>In Koraput 2015, close handling of carcasses (burying, skinning, chopping) carried an odds ratio of 342 (95% CI 40.5–1901.8) for infection.</w:t>
            </w:r>
          </w:p>
          <w:p>
            <w:pPr>
              <w:spacing w:after="40" w:line="252" w:lineRule="auto"/>
            </w:pPr>
            <w:hyperlink r:id="rId9">
              <w:r>
                <w:rPr>
                  <w:rFonts w:ascii="Calibri" w:hAnsi="Calibri" w:cs="Calibri"/>
                  <w:sz w:val="18"/>
                  <w:color w:val="1155CC"/>
                  <w:u w:val="single"/>
                </w:rPr>
                <w:t xml:space="preserve">bmcpublichealth.biomedcentral.com — Koraput 2015 outbreak</w:t>
              </w:r>
            </w:hyperlink>
          </w:p>
          <w:p>
            <w:pPr>
              <w:spacing w:before="60" w:after="40"/>
            </w:pPr>
            <w:r>
              <w:rPr>
                <w:rFonts w:ascii="Calibri" w:hAnsi="Calibri"/>
                <w:b w:val="0"/>
                <w:i w:val="0"/>
                <w:color w:val="5A5A5A"/>
                <w:sz w:val="18"/>
              </w:rPr>
              <w:t>#butchers  #skinning  #carcass  #handwounds  #OR342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animal products industry</w:t>
            </w:r>
          </w:p>
        </w:tc>
        <w:tc>
          <w:tcPr>
            <w:tcW w:type="dxa" w:w="2160"/>
            <w:vAlign w:val="top"/>
          </w:tcPr>
          <w:p>
            <w:pPr>
              <w:spacing w:after="40" w:before="0" w:line="259" w:lineRule="auto"/>
            </w:pPr>
            <w:r>
              <w:rPr>
                <w:rFonts w:ascii="Calibri" w:hAnsi="Calibri"/>
                <w:b w:val="0"/>
                <w:i w:val="0"/>
                <w:color w:val="212121"/>
                <w:sz w:val="19"/>
              </w:rPr>
              <w:t>Wool, hide, hair, bone-meal &amp; tannery workers</w:t>
            </w:r>
          </w:p>
        </w:tc>
        <w:tc>
          <w:tcPr>
            <w:tcW w:type="dxa" w:w="4276"/>
            <w:vAlign w:val="top"/>
          </w:tcPr>
          <w:p>
            <w:pPr>
              <w:spacing w:after="60" w:line="259" w:lineRule="auto"/>
            </w:pPr>
            <w:r>
              <w:rPr>
                <w:rFonts w:ascii="Calibri" w:hAnsi="Calibri"/>
                <w:b w:val="0"/>
                <w:i w:val="0"/>
                <w:color w:val="212121"/>
                <w:sz w:val="19"/>
              </w:rPr>
              <w:t>Sorting and processing contaminated wool, hair, hides and bone meal generates spore-laden dust that can be inhaled (woolsorter's disease) or inoculate the skin.</w:t>
            </w:r>
          </w:p>
          <w:p>
            <w:pPr>
              <w:spacing w:after="40" w:before="60" w:line="259" w:lineRule="auto"/>
            </w:pPr>
            <w:r>
              <w:rPr>
                <w:rFonts w:ascii="Calibri" w:hAnsi="Calibri"/>
                <w:b w:val="0"/>
                <w:i w:val="0"/>
                <w:color w:val="212121"/>
                <w:sz w:val="19"/>
              </w:rPr>
              <w:t>Inhalational anthrax risk classically arises in wool mills, tanneries and slaughterhouses; tannery and leather workers are a recognised at-risk group in India.</w:t>
            </w:r>
          </w:p>
          <w:p>
            <w:pPr>
              <w:spacing w:after="40" w:line="252" w:lineRule="auto"/>
            </w:pPr>
            <w:hyperlink r:id="rId13">
              <w:r>
                <w:rPr>
                  <w:rFonts w:ascii="Calibri" w:hAnsi="Calibri" w:cs="Calibri"/>
                  <w:sz w:val="18"/>
                  <w:color w:val="1155CC"/>
                  <w:u w:val="single"/>
                </w:rPr>
                <w:t xml:space="preserve">cdc.gov — about anthrax (types &amp; risk jobs)</w:t>
              </w:r>
            </w:hyperlink>
          </w:p>
          <w:p>
            <w:pPr>
              <w:spacing w:before="60" w:after="40"/>
            </w:pPr>
            <w:r>
              <w:rPr>
                <w:rFonts w:ascii="Calibri" w:hAnsi="Calibri"/>
                <w:b w:val="0"/>
                <w:i w:val="0"/>
                <w:color w:val="5A5A5A"/>
                <w:sz w:val="18"/>
              </w:rPr>
              <w:t>#woolsorter  #tannery  #hides  #bonemeal  #inhalational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animal health</w:t>
            </w:r>
          </w:p>
        </w:tc>
        <w:tc>
          <w:tcPr>
            <w:tcW w:type="dxa" w:w="2160"/>
            <w:vAlign w:val="top"/>
          </w:tcPr>
          <w:p>
            <w:pPr>
              <w:spacing w:after="40" w:before="0" w:line="259" w:lineRule="auto"/>
            </w:pPr>
            <w:r>
              <w:rPr>
                <w:rFonts w:ascii="Calibri" w:hAnsi="Calibri"/>
                <w:b w:val="0"/>
                <w:i w:val="0"/>
                <w:color w:val="212121"/>
                <w:sz w:val="19"/>
              </w:rPr>
              <w:t>Veterinarians, para-vets, laboratory staff</w:t>
            </w:r>
          </w:p>
        </w:tc>
        <w:tc>
          <w:tcPr>
            <w:tcW w:type="dxa" w:w="4276"/>
            <w:vAlign w:val="top"/>
          </w:tcPr>
          <w:p>
            <w:pPr>
              <w:spacing w:after="60" w:line="259" w:lineRule="auto"/>
            </w:pPr>
            <w:r>
              <w:rPr>
                <w:rFonts w:ascii="Calibri" w:hAnsi="Calibri"/>
                <w:b w:val="0"/>
                <w:i w:val="0"/>
                <w:color w:val="212121"/>
                <w:sz w:val="19"/>
              </w:rPr>
              <w:t>Examining sick animals, performing necropsies and culturing specimens exposes veterinary and laboratory workers to vegetative bacilli and spores.</w:t>
            </w:r>
          </w:p>
          <w:p>
            <w:pPr>
              <w:spacing w:after="40" w:before="60" w:line="259" w:lineRule="auto"/>
            </w:pPr>
            <w:r>
              <w:rPr>
                <w:rFonts w:ascii="Calibri" w:hAnsi="Calibri"/>
                <w:b w:val="0"/>
                <w:i w:val="0"/>
                <w:color w:val="212121"/>
                <w:sz w:val="19"/>
              </w:rPr>
              <w:t>Necropsy of a suspected anthrax carcass is hazardous because exposure to air sporulates the bacillus; veterinary staff are advised against opening such carcasses.</w:t>
            </w:r>
          </w:p>
          <w:p>
            <w:pPr>
              <w:spacing w:before="60" w:after="40"/>
            </w:pPr>
            <w:r>
              <w:rPr>
                <w:rFonts w:ascii="Calibri" w:hAnsi="Calibri"/>
                <w:b w:val="0"/>
                <w:i w:val="0"/>
                <w:color w:val="5A5A5A"/>
                <w:sz w:val="18"/>
              </w:rPr>
              <w:t>#veterinary  #necropsy  #labexposure  #biosafety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Consumption of meat from sick/dead animals</w:t>
            </w:r>
          </w:p>
        </w:tc>
        <w:tc>
          <w:tcPr>
            <w:tcW w:type="dxa" w:w="2160"/>
            <w:vAlign w:val="top"/>
          </w:tcPr>
          <w:p>
            <w:pPr>
              <w:spacing w:after="40" w:before="0" w:line="259" w:lineRule="auto"/>
            </w:pPr>
            <w:r>
              <w:rPr>
                <w:rFonts w:ascii="Calibri" w:hAnsi="Calibri"/>
                <w:b w:val="0"/>
                <w:i w:val="0"/>
                <w:color w:val="212121"/>
                <w:sz w:val="19"/>
              </w:rPr>
              <w:t>Households eating fallen livestock</w:t>
            </w:r>
          </w:p>
        </w:tc>
        <w:tc>
          <w:tcPr>
            <w:tcW w:type="dxa" w:w="4276"/>
            <w:vAlign w:val="top"/>
          </w:tcPr>
          <w:p>
            <w:pPr>
              <w:spacing w:after="60" w:line="259" w:lineRule="auto"/>
            </w:pPr>
            <w:r>
              <w:rPr>
                <w:rFonts w:ascii="Calibri" w:hAnsi="Calibri"/>
                <w:b w:val="0"/>
                <w:i w:val="0"/>
                <w:color w:val="212121"/>
                <w:sz w:val="19"/>
              </w:rPr>
              <w:t>Eating or preparing meat from an animal that died of anthrax delivers spores to the oropharynx and gut, producing oropharyngeal and gastrointestinal anthrax.</w:t>
            </w:r>
          </w:p>
          <w:p>
            <w:pPr>
              <w:spacing w:after="40" w:before="60" w:line="259" w:lineRule="auto"/>
            </w:pPr>
            <w:r>
              <w:rPr>
                <w:rFonts w:ascii="Calibri" w:hAnsi="Calibri"/>
                <w:b w:val="0"/>
                <w:i w:val="0"/>
                <w:color w:val="212121"/>
                <w:sz w:val="19"/>
              </w:rPr>
              <w:t>In Koraput 2015, eating meat from ill cattle carried an odds ratio of 14.5 (95% CI 1.4–85.7) for infection.</w:t>
            </w:r>
          </w:p>
          <w:p>
            <w:pPr>
              <w:spacing w:after="40" w:line="252" w:lineRule="auto"/>
            </w:pPr>
            <w:hyperlink r:id="rId9">
              <w:r>
                <w:rPr>
                  <w:rFonts w:ascii="Calibri" w:hAnsi="Calibri" w:cs="Calibri"/>
                  <w:sz w:val="18"/>
                  <w:color w:val="1155CC"/>
                  <w:u w:val="single"/>
                </w:rPr>
                <w:t xml:space="preserve">bmcpublichealth.biomedcentral.com — Koraput 2015 outbreak</w:t>
              </w:r>
            </w:hyperlink>
          </w:p>
          <w:p>
            <w:pPr>
              <w:spacing w:before="60" w:after="40"/>
            </w:pPr>
            <w:r>
              <w:rPr>
                <w:rFonts w:ascii="Calibri" w:hAnsi="Calibri"/>
                <w:b w:val="0"/>
                <w:i w:val="0"/>
                <w:color w:val="5A5A5A"/>
                <w:sz w:val="18"/>
              </w:rPr>
              <w:t>#deadanimalmeat  #GIanthrax  #oropharyngeal  #foodborne  #OR14.5</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Household / family clustering</w:t>
            </w:r>
          </w:p>
        </w:tc>
        <w:tc>
          <w:tcPr>
            <w:tcW w:type="dxa" w:w="2160"/>
            <w:vAlign w:val="top"/>
          </w:tcPr>
          <w:p>
            <w:pPr>
              <w:spacing w:after="40" w:before="0" w:line="259" w:lineRule="auto"/>
            </w:pPr>
            <w:r>
              <w:rPr>
                <w:rFonts w:ascii="Calibri" w:hAnsi="Calibri"/>
                <w:b w:val="0"/>
                <w:i w:val="0"/>
                <w:color w:val="212121"/>
                <w:sz w:val="19"/>
              </w:rPr>
              <w:t>Family members sharing an exposure</w:t>
            </w:r>
          </w:p>
        </w:tc>
        <w:tc>
          <w:tcPr>
            <w:tcW w:type="dxa" w:w="4276"/>
            <w:vAlign w:val="top"/>
          </w:tcPr>
          <w:p>
            <w:pPr>
              <w:spacing w:after="60" w:line="259" w:lineRule="auto"/>
            </w:pPr>
            <w:r>
              <w:rPr>
                <w:rFonts w:ascii="Calibri" w:hAnsi="Calibri"/>
                <w:b w:val="0"/>
                <w:i w:val="0"/>
                <w:color w:val="212121"/>
                <w:sz w:val="19"/>
              </w:rPr>
              <w:t>Familial clustering in anthrax reflects shared common-source exposure (handling or eating the same animal) rather than heritable susceptibility; sibling and household cases are documented.</w:t>
            </w:r>
          </w:p>
          <w:p>
            <w:pPr>
              <w:spacing w:after="40" w:before="60" w:line="259" w:lineRule="auto"/>
            </w:pPr>
            <w:r>
              <w:rPr>
                <w:rFonts w:ascii="Calibri" w:hAnsi="Calibri"/>
                <w:b w:val="0"/>
                <w:i w:val="0"/>
                <w:color w:val="212121"/>
                <w:sz w:val="19"/>
              </w:rPr>
              <w:t>Person-to-person and intra-household clustering (e.g., affected siblings) is described in Indian cutaneous anthrax, driven by shared contact with the same source animal.</w:t>
            </w:r>
          </w:p>
          <w:p>
            <w:pPr>
              <w:spacing w:after="40" w:line="252" w:lineRule="auto"/>
            </w:pPr>
            <w:hyperlink r:id="rId10">
              <w:r>
                <w:rPr>
                  <w:rFonts w:ascii="Calibri" w:hAnsi="Calibri" w:cs="Calibri"/>
                  <w:sz w:val="18"/>
                  <w:color w:val="1155CC"/>
                  <w:u w:val="single"/>
                </w:rPr>
                <w:t xml:space="preserve">ijdvl.com — cutaneous anthrax, an Indian perspective</w:t>
              </w:r>
            </w:hyperlink>
          </w:p>
          <w:p>
            <w:pPr>
              <w:spacing w:before="60" w:after="40"/>
            </w:pPr>
            <w:r>
              <w:rPr>
                <w:rFonts w:ascii="Calibri" w:hAnsi="Calibri"/>
                <w:b w:val="0"/>
                <w:i w:val="0"/>
                <w:color w:val="5A5A5A"/>
                <w:sz w:val="18"/>
              </w:rPr>
              <w:t>#commonsource  #householdcluster  #siblings  #sharedexposure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Injection drug use</w:t>
            </w:r>
          </w:p>
        </w:tc>
        <w:tc>
          <w:tcPr>
            <w:tcW w:type="dxa" w:w="2160"/>
            <w:vAlign w:val="top"/>
          </w:tcPr>
          <w:p>
            <w:pPr>
              <w:spacing w:after="40" w:before="0" w:line="259" w:lineRule="auto"/>
            </w:pPr>
            <w:r>
              <w:rPr>
                <w:rFonts w:ascii="Calibri" w:hAnsi="Calibri"/>
                <w:b w:val="0"/>
                <w:i w:val="0"/>
                <w:color w:val="212121"/>
                <w:sz w:val="19"/>
              </w:rPr>
              <w:t>People who inject heroin</w:t>
            </w:r>
          </w:p>
        </w:tc>
        <w:tc>
          <w:tcPr>
            <w:tcW w:type="dxa" w:w="4276"/>
            <w:vAlign w:val="top"/>
          </w:tcPr>
          <w:p>
            <w:pPr>
              <w:spacing w:after="60" w:line="259" w:lineRule="auto"/>
            </w:pPr>
            <w:r>
              <w:rPr>
                <w:rFonts w:ascii="Calibri" w:hAnsi="Calibri"/>
                <w:b w:val="0"/>
                <w:i w:val="0"/>
                <w:color w:val="212121"/>
                <w:sz w:val="19"/>
              </w:rPr>
              <w:t>Injecting spore-contaminated heroin seeds spores into subcutaneous tissue, causing injectional anthrax with deep necrosis and severe oedema and high mortality.</w:t>
            </w:r>
          </w:p>
          <w:p>
            <w:pPr>
              <w:spacing w:after="40" w:before="60" w:line="259" w:lineRule="auto"/>
            </w:pPr>
            <w:r>
              <w:rPr>
                <w:rFonts w:ascii="Calibri" w:hAnsi="Calibri"/>
                <w:b w:val="0"/>
                <w:i w:val="0"/>
                <w:color w:val="212121"/>
                <w:sz w:val="19"/>
              </w:rPr>
              <w:t>Injectional anthrax has been reported chiefly among heroin users in Europe; it resembles cutaneous disease but lies deep beneath skin and muscle.</w:t>
            </w:r>
          </w:p>
          <w:p>
            <w:pPr>
              <w:spacing w:after="40" w:line="252" w:lineRule="auto"/>
            </w:pPr>
            <w:hyperlink r:id="rId13">
              <w:r>
                <w:rPr>
                  <w:rFonts w:ascii="Calibri" w:hAnsi="Calibri" w:cs="Calibri"/>
                  <w:sz w:val="18"/>
                  <w:color w:val="1155CC"/>
                  <w:u w:val="single"/>
                </w:rPr>
                <w:t xml:space="preserve">cdc.gov — about anthrax (injection anthrax)</w:t>
              </w:r>
            </w:hyperlink>
          </w:p>
          <w:p>
            <w:pPr>
              <w:spacing w:before="60" w:after="40"/>
            </w:pPr>
            <w:r>
              <w:rPr>
                <w:rFonts w:ascii="Calibri" w:hAnsi="Calibri"/>
                <w:b w:val="0"/>
                <w:i w:val="0"/>
                <w:color w:val="5A5A5A"/>
                <w:sz w:val="18"/>
              </w:rPr>
              <w:t>#injectional  #heroin  #PWID  #softtissuenecrosis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 undernutrition</w:t>
            </w:r>
          </w:p>
        </w:tc>
        <w:tc>
          <w:tcPr>
            <w:tcW w:type="dxa" w:w="2160"/>
            <w:vAlign w:val="top"/>
          </w:tcPr>
          <w:p>
            <w:pPr>
              <w:spacing w:after="40" w:before="0" w:line="259" w:lineRule="auto"/>
            </w:pPr>
            <w:r>
              <w:rPr>
                <w:rFonts w:ascii="Calibri" w:hAnsi="Calibri"/>
                <w:b w:val="0"/>
                <w:i w:val="0"/>
                <w:color w:val="212121"/>
                <w:sz w:val="19"/>
              </w:rPr>
              <w:t>HIV, malnutrition, chemotherapy, steroids</w:t>
            </w:r>
          </w:p>
        </w:tc>
        <w:tc>
          <w:tcPr>
            <w:tcW w:type="dxa" w:w="4276"/>
            <w:vAlign w:val="top"/>
          </w:tcPr>
          <w:p>
            <w:pPr>
              <w:spacing w:after="60" w:line="259" w:lineRule="auto"/>
            </w:pPr>
            <w:r>
              <w:rPr>
                <w:rFonts w:ascii="Calibri" w:hAnsi="Calibri"/>
                <w:b w:val="0"/>
                <w:i w:val="0"/>
                <w:color w:val="212121"/>
                <w:sz w:val="19"/>
              </w:rPr>
              <w:t>Impaired cell-mediated immunity and poor wound healing (from HIV, protein-energy malnutrition, chemotherapy or steroids) predispose to more rapid local spread and systemic dissemination.</w:t>
            </w:r>
          </w:p>
          <w:p>
            <w:pPr>
              <w:spacing w:after="40" w:before="60" w:line="259" w:lineRule="auto"/>
            </w:pPr>
            <w:r>
              <w:rPr>
                <w:rFonts w:ascii="Calibri" w:hAnsi="Calibri"/>
                <w:b w:val="0"/>
                <w:i w:val="0"/>
                <w:color w:val="212121"/>
                <w:sz w:val="19"/>
              </w:rPr>
              <w:t>Undernutrition is common in the poor tribal populations where Indian anthrax clusters, compounding infection risk and delaying recovery.</w:t>
            </w:r>
          </w:p>
          <w:p>
            <w:pPr>
              <w:spacing w:before="60" w:after="40"/>
            </w:pPr>
            <w:r>
              <w:rPr>
                <w:rFonts w:ascii="Calibri" w:hAnsi="Calibri"/>
                <w:b w:val="0"/>
                <w:i w:val="0"/>
                <w:color w:val="5A5A5A"/>
                <w:sz w:val="18"/>
              </w:rPr>
              <w:t>#immunocompromised  #HIV  #malnutrition  #poorhealing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skin breaks / wounds</w:t>
            </w:r>
          </w:p>
        </w:tc>
        <w:tc>
          <w:tcPr>
            <w:tcW w:type="dxa" w:w="2160"/>
            <w:vAlign w:val="top"/>
          </w:tcPr>
          <w:p>
            <w:pPr>
              <w:spacing w:after="40" w:before="0" w:line="259" w:lineRule="auto"/>
            </w:pPr>
            <w:r>
              <w:rPr>
                <w:rFonts w:ascii="Calibri" w:hAnsi="Calibri"/>
                <w:b w:val="0"/>
                <w:i w:val="0"/>
                <w:color w:val="212121"/>
                <w:sz w:val="19"/>
              </w:rPr>
              <w:t>Workers with cuts, abrasions, dermatitis</w:t>
            </w:r>
          </w:p>
        </w:tc>
        <w:tc>
          <w:tcPr>
            <w:tcW w:type="dxa" w:w="4276"/>
            <w:vAlign w:val="top"/>
          </w:tcPr>
          <w:p>
            <w:pPr>
              <w:spacing w:after="60" w:line="259" w:lineRule="auto"/>
            </w:pPr>
            <w:r>
              <w:rPr>
                <w:rFonts w:ascii="Calibri" w:hAnsi="Calibri"/>
                <w:b w:val="0"/>
                <w:i w:val="0"/>
                <w:color w:val="212121"/>
                <w:sz w:val="19"/>
              </w:rPr>
              <w:t>Any break in the skin barrier is the portal for cutaneous anthrax, so pre-existing cuts, abrasions, insect bites or dermatitis on exposed limbs increase inoculation risk.</w:t>
            </w:r>
          </w:p>
          <w:p>
            <w:pPr>
              <w:spacing w:after="40" w:before="60" w:line="259" w:lineRule="auto"/>
            </w:pPr>
            <w:r>
              <w:rPr>
                <w:rFonts w:ascii="Calibri" w:hAnsi="Calibri"/>
                <w:b w:val="0"/>
                <w:i w:val="0"/>
                <w:color w:val="212121"/>
                <w:sz w:val="19"/>
              </w:rPr>
              <w:t>More than 90% of cutaneous lesions arise on exposed, often already-broken skin of the face, neck, hands and forearms.</w:t>
            </w:r>
          </w:p>
          <w:p>
            <w:pPr>
              <w:spacing w:after="40" w:line="252" w:lineRule="auto"/>
            </w:pPr>
            <w:hyperlink r:id="rId10">
              <w:r>
                <w:rPr>
                  <w:rFonts w:ascii="Calibri" w:hAnsi="Calibri" w:cs="Calibri"/>
                  <w:sz w:val="18"/>
                  <w:color w:val="1155CC"/>
                  <w:u w:val="single"/>
                </w:rPr>
                <w:t xml:space="preserve">ijdvl.com — cutaneous anthrax, an Indian perspective</w:t>
              </w:r>
            </w:hyperlink>
          </w:p>
          <w:p>
            <w:pPr>
              <w:spacing w:before="60" w:after="40"/>
            </w:pPr>
            <w:r>
              <w:rPr>
                <w:rFonts w:ascii="Calibri" w:hAnsi="Calibri"/>
                <w:b w:val="0"/>
                <w:i w:val="0"/>
                <w:color w:val="5A5A5A"/>
                <w:sz w:val="18"/>
              </w:rPr>
              <w:t>#skinbreaks  #portalofentry  #cuts  #exposedlimbs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fitness itself neither causes nor prevents anthrax; risk is tied to the type of occupational activity (animal husbandry, slaughter, hide work) rather than exercise level. Manual agrarian labour raises exposure through skin contact and injury.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Eating or butchering meat from a sick or suddenly-dead animal is a major driver of gastrointestinal and oropharyngeal anthrax in India; in Koraput 2015 consuming ill-cattle meat carried an odds ratio of 14.5.</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sleep has no established role in anthrax acquisition; adequate rest only supports general recovery and immune function during illness.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smoking impairs mucociliary and alveolar defences and may worsen the course of inhalational (woolsorter's) anthrax, but it is not an established risk factor for infection.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or celebratory drinking is culturally linked to communal slaughter and feasting on fallen livestock, and alcohol-related immune impairment may worsen outcomes; direct causal evidence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mental health does not influence anthrax acquisition; however outbreak-related fear, stigma and misinformation can delay care-seeking and safe carcass disposal.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Water is a minor vehicle: spores can contaminate water and mud around carcasses or tanning sites, but water-borne human anthrax is uncommon compared with direct animal contact.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caffeine has no relationship to anthrax risk or course.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and skin hygiene, use of gloves and protective clothing, wound covering, tool disinfection and safe carcass disposal are central to preventing spore inoculation; their absence drives nearly all cases.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proximate provoking exposures are direct contact with sick or dead animals — skinning, butchering, burying — and handling spore-laden hides, wool, bone meal or contaminated soil. Carcass handling carried an odds ratio of 342 in Koraput 2015.</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has no role in anthrax.</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Close contact with sick/dead livestock (skinning, butchering, burying)</w:t>
            </w:r>
          </w:p>
        </w:tc>
        <w:tc>
          <w:tcPr>
            <w:tcW w:type="dxa" w:w="1655"/>
            <w:vAlign w:val="top"/>
          </w:tcPr>
          <w:p>
            <w:pPr>
              <w:spacing w:after="40" w:before="0" w:line="259" w:lineRule="auto"/>
            </w:pPr>
            <w:r>
              <w:rPr>
                <w:rFonts w:ascii="Calibri" w:hAnsi="Calibri"/>
                <w:b w:val="0"/>
                <w:i w:val="0"/>
                <w:color w:val="212121"/>
                <w:sz w:val="19"/>
              </w:rPr>
              <w:t>Farmers, butchers, carcass handlers</w:t>
            </w:r>
          </w:p>
        </w:tc>
        <w:tc>
          <w:tcPr>
            <w:tcW w:type="dxa" w:w="1512"/>
            <w:vAlign w:val="top"/>
          </w:tcPr>
          <w:p>
            <w:pPr>
              <w:spacing w:after="40" w:before="0" w:line="259" w:lineRule="auto"/>
            </w:pPr>
            <w:r>
              <w:rPr>
                <w:rFonts w:ascii="Calibri" w:hAnsi="Calibri"/>
                <w:b w:val="0"/>
                <w:i w:val="0"/>
                <w:color w:val="212121"/>
                <w:sz w:val="19"/>
              </w:rPr>
              <w:t>No handling of sick or dead animals</w:t>
            </w:r>
          </w:p>
        </w:tc>
        <w:tc>
          <w:tcPr>
            <w:tcW w:type="dxa" w:w="1512"/>
            <w:vAlign w:val="top"/>
          </w:tcPr>
          <w:p>
            <w:pPr>
              <w:spacing w:after="40" w:before="0" w:line="259" w:lineRule="auto"/>
            </w:pPr>
            <w:r>
              <w:rPr>
                <w:rFonts w:ascii="Calibri" w:hAnsi="Calibri"/>
                <w:b w:val="0"/>
                <w:i w:val="0"/>
                <w:color w:val="212121"/>
                <w:sz w:val="19"/>
              </w:rPr>
              <w:t>Any skinning / butchering / burying of a fallen animal</w:t>
            </w:r>
          </w:p>
        </w:tc>
        <w:tc>
          <w:tcPr>
            <w:tcW w:type="dxa" w:w="1468"/>
            <w:vAlign w:val="top"/>
          </w:tcPr>
          <w:p>
            <w:pPr>
              <w:spacing w:after="60" w:line="259" w:lineRule="auto"/>
            </w:pPr>
            <w:r>
              <w:rPr>
                <w:rFonts w:ascii="Calibri" w:hAnsi="Calibri"/>
                <w:b w:val="0"/>
                <w:i w:val="0"/>
                <w:color w:val="212121"/>
                <w:sz w:val="19"/>
              </w:rPr>
              <w:t>Strongest behavioural risk; OR ~342 for carcass handling in Koraput 2015</w:t>
            </w:r>
          </w:p>
          <w:p>
            <w:pPr>
              <w:spacing w:after="40" w:line="252" w:lineRule="auto"/>
            </w:pPr>
            <w:hyperlink r:id="rId9">
              <w:r>
                <w:rPr>
                  <w:rFonts w:ascii="Calibri" w:hAnsi="Calibri" w:cs="Calibri"/>
                  <w:sz w:val="18"/>
                  <w:color w:val="1155CC"/>
                  <w:u w:val="single"/>
                </w:rPr>
                <w:t xml:space="preserve">https://bmcpublichealth.biomedcentral.com/articles/10.1186/s12889-019-6787-0</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Consumption of meat from sick/dead animals</w:t>
            </w:r>
          </w:p>
        </w:tc>
        <w:tc>
          <w:tcPr>
            <w:tcW w:type="dxa" w:w="1655"/>
            <w:vAlign w:val="top"/>
          </w:tcPr>
          <w:p>
            <w:pPr>
              <w:spacing w:after="40" w:before="0" w:line="259" w:lineRule="auto"/>
            </w:pPr>
            <w:r>
              <w:rPr>
                <w:rFonts w:ascii="Calibri" w:hAnsi="Calibri"/>
                <w:b w:val="0"/>
                <w:i w:val="0"/>
                <w:color w:val="212121"/>
                <w:sz w:val="19"/>
              </w:rPr>
              <w:t>Households in endemic villages</w:t>
            </w:r>
          </w:p>
        </w:tc>
        <w:tc>
          <w:tcPr>
            <w:tcW w:type="dxa" w:w="1512"/>
            <w:vAlign w:val="top"/>
          </w:tcPr>
          <w:p>
            <w:pPr>
              <w:spacing w:after="40" w:before="0" w:line="259" w:lineRule="auto"/>
            </w:pPr>
            <w:r>
              <w:rPr>
                <w:rFonts w:ascii="Calibri" w:hAnsi="Calibri"/>
                <w:b w:val="0"/>
                <w:i w:val="0"/>
                <w:color w:val="212121"/>
                <w:sz w:val="19"/>
              </w:rPr>
              <w:t>Never eat meat from a sick or dead animal</w:t>
            </w:r>
          </w:p>
        </w:tc>
        <w:tc>
          <w:tcPr>
            <w:tcW w:type="dxa" w:w="1512"/>
            <w:vAlign w:val="top"/>
          </w:tcPr>
          <w:p>
            <w:pPr>
              <w:spacing w:after="40" w:before="0" w:line="259" w:lineRule="auto"/>
            </w:pPr>
            <w:r>
              <w:rPr>
                <w:rFonts w:ascii="Calibri" w:hAnsi="Calibri"/>
                <w:b w:val="0"/>
                <w:i w:val="0"/>
                <w:color w:val="212121"/>
                <w:sz w:val="19"/>
              </w:rPr>
              <w:t>Any consumption/preparation of fallen-animal meat</w:t>
            </w:r>
          </w:p>
        </w:tc>
        <w:tc>
          <w:tcPr>
            <w:tcW w:type="dxa" w:w="1468"/>
            <w:vAlign w:val="top"/>
          </w:tcPr>
          <w:p>
            <w:pPr>
              <w:spacing w:after="60" w:line="259" w:lineRule="auto"/>
            </w:pPr>
            <w:r>
              <w:rPr>
                <w:rFonts w:ascii="Calibri" w:hAnsi="Calibri"/>
                <w:b w:val="0"/>
                <w:i w:val="0"/>
                <w:color w:val="212121"/>
                <w:sz w:val="19"/>
              </w:rPr>
              <w:t>Causes GI/oropharyngeal anthrax; OR ~14.5 for ill-cattle meat</w:t>
            </w:r>
          </w:p>
          <w:p>
            <w:pPr>
              <w:spacing w:after="40" w:line="252" w:lineRule="auto"/>
            </w:pPr>
            <w:hyperlink r:id="rId9">
              <w:r>
                <w:rPr>
                  <w:rFonts w:ascii="Calibri" w:hAnsi="Calibri" w:cs="Calibri"/>
                  <w:sz w:val="18"/>
                  <w:color w:val="1155CC"/>
                  <w:u w:val="single"/>
                </w:rPr>
                <w:t xml:space="preserve">https://bmcpublichealth.biomedcentral.com/articles/10.1186/s12889-019-6787-0</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Personal protective equipment when handling animals/hides</w:t>
            </w:r>
          </w:p>
        </w:tc>
        <w:tc>
          <w:tcPr>
            <w:tcW w:type="dxa" w:w="1655"/>
            <w:vAlign w:val="top"/>
          </w:tcPr>
          <w:p>
            <w:pPr>
              <w:spacing w:after="40" w:before="0" w:line="259" w:lineRule="auto"/>
            </w:pPr>
            <w:r>
              <w:rPr>
                <w:rFonts w:ascii="Calibri" w:hAnsi="Calibri"/>
                <w:b w:val="0"/>
                <w:i w:val="0"/>
                <w:color w:val="212121"/>
                <w:sz w:val="19"/>
              </w:rPr>
              <w:t>Slaughterers, tannery &amp; wool workers, vets</w:t>
            </w:r>
          </w:p>
        </w:tc>
        <w:tc>
          <w:tcPr>
            <w:tcW w:type="dxa" w:w="1512"/>
            <w:vAlign w:val="top"/>
          </w:tcPr>
          <w:p>
            <w:pPr>
              <w:spacing w:after="40" w:before="0" w:line="259" w:lineRule="auto"/>
            </w:pPr>
            <w:r>
              <w:rPr>
                <w:rFonts w:ascii="Calibri" w:hAnsi="Calibri"/>
                <w:b w:val="0"/>
                <w:i w:val="0"/>
                <w:color w:val="212121"/>
                <w:sz w:val="19"/>
              </w:rPr>
              <w:t>Gloves, boots, apron (± mask) used every time</w:t>
            </w:r>
          </w:p>
        </w:tc>
        <w:tc>
          <w:tcPr>
            <w:tcW w:type="dxa" w:w="1512"/>
            <w:vAlign w:val="top"/>
          </w:tcPr>
          <w:p>
            <w:pPr>
              <w:spacing w:after="40" w:before="0" w:line="259" w:lineRule="auto"/>
            </w:pPr>
            <w:r>
              <w:rPr>
                <w:rFonts w:ascii="Calibri" w:hAnsi="Calibri"/>
                <w:b w:val="0"/>
                <w:i w:val="0"/>
                <w:color w:val="212121"/>
                <w:sz w:val="19"/>
              </w:rPr>
              <w:t>Bare-handed handling of carcasses, hides or wool</w:t>
            </w:r>
          </w:p>
        </w:tc>
        <w:tc>
          <w:tcPr>
            <w:tcW w:type="dxa" w:w="1468"/>
            <w:vAlign w:val="top"/>
          </w:tcPr>
          <w:p>
            <w:pPr>
              <w:spacing w:after="40" w:before="0" w:line="259" w:lineRule="auto"/>
            </w:pPr>
            <w:r>
              <w:rPr>
                <w:rFonts w:ascii="Calibri" w:hAnsi="Calibri"/>
                <w:b w:val="0"/>
                <w:i w:val="0"/>
                <w:color w:val="212121"/>
                <w:sz w:val="19"/>
              </w:rPr>
              <w:t>PPE breaks the skin- and inhalation-inoculation route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Hand-washing with soap after animal contact</w:t>
            </w:r>
          </w:p>
        </w:tc>
        <w:tc>
          <w:tcPr>
            <w:tcW w:type="dxa" w:w="1655"/>
            <w:vAlign w:val="top"/>
          </w:tcPr>
          <w:p>
            <w:pPr>
              <w:spacing w:after="40" w:before="0" w:line="259" w:lineRule="auto"/>
            </w:pPr>
            <w:r>
              <w:rPr>
                <w:rFonts w:ascii="Calibri" w:hAnsi="Calibri"/>
                <w:b w:val="0"/>
                <w:i w:val="0"/>
                <w:color w:val="212121"/>
                <w:sz w:val="19"/>
              </w:rPr>
              <w:t>All animal handlers</w:t>
            </w:r>
          </w:p>
        </w:tc>
        <w:tc>
          <w:tcPr>
            <w:tcW w:type="dxa" w:w="1512"/>
            <w:vAlign w:val="top"/>
          </w:tcPr>
          <w:p>
            <w:pPr>
              <w:spacing w:after="40" w:before="0" w:line="259" w:lineRule="auto"/>
            </w:pPr>
            <w:r>
              <w:rPr>
                <w:rFonts w:ascii="Calibri" w:hAnsi="Calibri"/>
                <w:b w:val="0"/>
                <w:i w:val="0"/>
                <w:color w:val="212121"/>
                <w:sz w:val="19"/>
              </w:rPr>
              <w:t>Always, before eating/touching face</w:t>
            </w:r>
          </w:p>
        </w:tc>
        <w:tc>
          <w:tcPr>
            <w:tcW w:type="dxa" w:w="1512"/>
            <w:vAlign w:val="top"/>
          </w:tcPr>
          <w:p>
            <w:pPr>
              <w:spacing w:after="40" w:before="0" w:line="259" w:lineRule="auto"/>
            </w:pPr>
            <w:r>
              <w:rPr>
                <w:rFonts w:ascii="Calibri" w:hAnsi="Calibri"/>
                <w:b w:val="0"/>
                <w:i w:val="0"/>
                <w:color w:val="212121"/>
                <w:sz w:val="19"/>
              </w:rPr>
              <w:t>No washing after carcass/hide contact</w:t>
            </w:r>
          </w:p>
        </w:tc>
        <w:tc>
          <w:tcPr>
            <w:tcW w:type="dxa" w:w="1468"/>
            <w:vAlign w:val="top"/>
          </w:tcPr>
          <w:p>
            <w:pPr>
              <w:spacing w:after="40" w:before="0" w:line="259" w:lineRule="auto"/>
            </w:pPr>
            <w:r>
              <w:rPr>
                <w:rFonts w:ascii="Calibri" w:hAnsi="Calibri"/>
                <w:b w:val="0"/>
                <w:i w:val="0"/>
                <w:color w:val="212121"/>
                <w:sz w:val="19"/>
              </w:rPr>
              <w:t>Reduces self-inoculation of exposed skin and mucosa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Covering of skin cuts/abrasions before animal work</w:t>
            </w:r>
          </w:p>
        </w:tc>
        <w:tc>
          <w:tcPr>
            <w:tcW w:type="dxa" w:w="1655"/>
            <w:vAlign w:val="top"/>
          </w:tcPr>
          <w:p>
            <w:pPr>
              <w:spacing w:after="40" w:before="0" w:line="259" w:lineRule="auto"/>
            </w:pPr>
            <w:r>
              <w:rPr>
                <w:rFonts w:ascii="Calibri" w:hAnsi="Calibri"/>
                <w:b w:val="0"/>
                <w:i w:val="0"/>
                <w:color w:val="212121"/>
                <w:sz w:val="19"/>
              </w:rPr>
              <w:t>Workers with cuts, abrasions, dermatitis</w:t>
            </w:r>
          </w:p>
        </w:tc>
        <w:tc>
          <w:tcPr>
            <w:tcW w:type="dxa" w:w="1512"/>
            <w:vAlign w:val="top"/>
          </w:tcPr>
          <w:p>
            <w:pPr>
              <w:spacing w:after="40" w:before="0" w:line="259" w:lineRule="auto"/>
            </w:pPr>
            <w:r>
              <w:rPr>
                <w:rFonts w:ascii="Calibri" w:hAnsi="Calibri"/>
                <w:b w:val="0"/>
                <w:i w:val="0"/>
                <w:color w:val="212121"/>
                <w:sz w:val="19"/>
              </w:rPr>
              <w:t>All breaks occluded before work</w:t>
            </w:r>
          </w:p>
        </w:tc>
        <w:tc>
          <w:tcPr>
            <w:tcW w:type="dxa" w:w="1512"/>
            <w:vAlign w:val="top"/>
          </w:tcPr>
          <w:p>
            <w:pPr>
              <w:spacing w:after="40" w:before="0" w:line="259" w:lineRule="auto"/>
            </w:pPr>
            <w:r>
              <w:rPr>
                <w:rFonts w:ascii="Calibri" w:hAnsi="Calibri"/>
                <w:b w:val="0"/>
                <w:i w:val="0"/>
                <w:color w:val="212121"/>
                <w:sz w:val="19"/>
              </w:rPr>
              <w:t>Open cuts exposed during handling</w:t>
            </w:r>
          </w:p>
        </w:tc>
        <w:tc>
          <w:tcPr>
            <w:tcW w:type="dxa" w:w="1468"/>
            <w:vAlign w:val="top"/>
          </w:tcPr>
          <w:p>
            <w:pPr>
              <w:spacing w:after="60" w:line="259" w:lineRule="auto"/>
            </w:pPr>
            <w:r>
              <w:rPr>
                <w:rFonts w:ascii="Calibri" w:hAnsi="Calibri"/>
                <w:b w:val="0"/>
                <w:i w:val="0"/>
                <w:color w:val="212121"/>
                <w:sz w:val="19"/>
              </w:rPr>
              <w:t>Broken skin is the portal for cutaneous anthrax</w:t>
            </w:r>
          </w:p>
          <w:p>
            <w:pPr>
              <w:spacing w:after="40" w:line="252" w:lineRule="auto"/>
            </w:pPr>
            <w:hyperlink r:id="rId10">
              <w:r>
                <w:rPr>
                  <w:rFonts w:ascii="Calibri" w:hAnsi="Calibri" w:cs="Calibri"/>
                  <w:sz w:val="18"/>
                  <w:color w:val="1155CC"/>
                  <w:u w:val="single"/>
                </w:rPr>
                <w:t xml:space="preserve">https://ijdvl.com/cutaneous-anthrax-an-indian-perspective/</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Safe carcass disposal (deep burial with lime / incineration; carcass not opened)</w:t>
            </w:r>
          </w:p>
        </w:tc>
        <w:tc>
          <w:tcPr>
            <w:tcW w:type="dxa" w:w="1655"/>
            <w:vAlign w:val="top"/>
          </w:tcPr>
          <w:p>
            <w:pPr>
              <w:spacing w:after="40" w:before="0" w:line="259" w:lineRule="auto"/>
            </w:pPr>
            <w:r>
              <w:rPr>
                <w:rFonts w:ascii="Calibri" w:hAnsi="Calibri"/>
                <w:b w:val="0"/>
                <w:i w:val="0"/>
                <w:color w:val="212121"/>
                <w:sz w:val="19"/>
              </w:rPr>
              <w:t>Livestock owners, community</w:t>
            </w:r>
          </w:p>
        </w:tc>
        <w:tc>
          <w:tcPr>
            <w:tcW w:type="dxa" w:w="1512"/>
            <w:vAlign w:val="top"/>
          </w:tcPr>
          <w:p>
            <w:pPr>
              <w:spacing w:after="40" w:before="0" w:line="259" w:lineRule="auto"/>
            </w:pPr>
            <w:r>
              <w:rPr>
                <w:rFonts w:ascii="Calibri" w:hAnsi="Calibri"/>
                <w:b w:val="0"/>
                <w:i w:val="0"/>
                <w:color w:val="212121"/>
                <w:sz w:val="19"/>
              </w:rPr>
              <w:t>Report death; bury ≥1.8 m with lime or incinerate; never open</w:t>
            </w:r>
          </w:p>
        </w:tc>
        <w:tc>
          <w:tcPr>
            <w:tcW w:type="dxa" w:w="1512"/>
            <w:vAlign w:val="top"/>
          </w:tcPr>
          <w:p>
            <w:pPr>
              <w:spacing w:after="40" w:before="0" w:line="259" w:lineRule="auto"/>
            </w:pPr>
            <w:r>
              <w:rPr>
                <w:rFonts w:ascii="Calibri" w:hAnsi="Calibri"/>
                <w:b w:val="0"/>
                <w:i w:val="0"/>
                <w:color w:val="212121"/>
                <w:sz w:val="19"/>
              </w:rPr>
              <w:t>Opening, skinning or leaving carcass exposed</w:t>
            </w:r>
          </w:p>
        </w:tc>
        <w:tc>
          <w:tcPr>
            <w:tcW w:type="dxa" w:w="1468"/>
            <w:vAlign w:val="top"/>
          </w:tcPr>
          <w:p>
            <w:pPr>
              <w:spacing w:after="40" w:before="0" w:line="259" w:lineRule="auto"/>
            </w:pPr>
            <w:r>
              <w:rPr>
                <w:rFonts w:ascii="Calibri" w:hAnsi="Calibri"/>
                <w:b w:val="0"/>
                <w:i w:val="0"/>
                <w:color w:val="212121"/>
                <w:sz w:val="19"/>
              </w:rPr>
              <w:t>Opening a carcass sporulates the bacillus and contaminates soil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Livestock anthrax vaccination coverage in locality</w:t>
            </w:r>
          </w:p>
        </w:tc>
        <w:tc>
          <w:tcPr>
            <w:tcW w:type="dxa" w:w="1655"/>
            <w:vAlign w:val="top"/>
          </w:tcPr>
          <w:p>
            <w:pPr>
              <w:spacing w:after="40" w:before="0" w:line="259" w:lineRule="auto"/>
            </w:pPr>
            <w:r>
              <w:rPr>
                <w:rFonts w:ascii="Calibri" w:hAnsi="Calibri"/>
                <w:b w:val="0"/>
                <w:i w:val="0"/>
                <w:color w:val="212121"/>
                <w:sz w:val="19"/>
              </w:rPr>
              <w:t>Endemic-village herds</w:t>
            </w:r>
          </w:p>
        </w:tc>
        <w:tc>
          <w:tcPr>
            <w:tcW w:type="dxa" w:w="1512"/>
            <w:vAlign w:val="top"/>
          </w:tcPr>
          <w:p>
            <w:pPr>
              <w:spacing w:after="40" w:before="0" w:line="259" w:lineRule="auto"/>
            </w:pPr>
            <w:r>
              <w:rPr>
                <w:rFonts w:ascii="Calibri" w:hAnsi="Calibri"/>
                <w:b w:val="0"/>
                <w:i w:val="0"/>
                <w:color w:val="212121"/>
                <w:sz w:val="19"/>
              </w:rPr>
              <w:t>Annual pre-season vaccination of at-risk herds</w:t>
            </w:r>
          </w:p>
        </w:tc>
        <w:tc>
          <w:tcPr>
            <w:tcW w:type="dxa" w:w="1512"/>
            <w:vAlign w:val="top"/>
          </w:tcPr>
          <w:p>
            <w:pPr>
              <w:spacing w:after="40" w:before="0" w:line="259" w:lineRule="auto"/>
            </w:pPr>
            <w:r>
              <w:rPr>
                <w:rFonts w:ascii="Calibri" w:hAnsi="Calibri"/>
                <w:b w:val="0"/>
                <w:i w:val="0"/>
                <w:color w:val="212121"/>
                <w:sz w:val="19"/>
              </w:rPr>
              <w:t>Unvaccinated herds in an endemic zone</w:t>
            </w:r>
          </w:p>
        </w:tc>
        <w:tc>
          <w:tcPr>
            <w:tcW w:type="dxa" w:w="1468"/>
            <w:vAlign w:val="top"/>
          </w:tcPr>
          <w:p>
            <w:pPr>
              <w:spacing w:after="40" w:before="0" w:line="259" w:lineRule="auto"/>
            </w:pPr>
            <w:r>
              <w:rPr>
                <w:rFonts w:ascii="Calibri" w:hAnsi="Calibri"/>
                <w:b w:val="0"/>
                <w:i w:val="0"/>
                <w:color w:val="212121"/>
                <w:sz w:val="19"/>
              </w:rPr>
              <w:t>Animal vaccination is the key upstream control that prevents human cases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Meat sourcing / inspection</w:t>
            </w:r>
          </w:p>
        </w:tc>
        <w:tc>
          <w:tcPr>
            <w:tcW w:type="dxa" w:w="1655"/>
            <w:vAlign w:val="top"/>
          </w:tcPr>
          <w:p>
            <w:pPr>
              <w:spacing w:after="40" w:before="0" w:line="259" w:lineRule="auto"/>
            </w:pPr>
            <w:r>
              <w:rPr>
                <w:rFonts w:ascii="Calibri" w:hAnsi="Calibri"/>
                <w:b w:val="0"/>
                <w:i w:val="0"/>
                <w:color w:val="212121"/>
                <w:sz w:val="19"/>
              </w:rPr>
              <w:t>Meat-eating households</w:t>
            </w:r>
          </w:p>
        </w:tc>
        <w:tc>
          <w:tcPr>
            <w:tcW w:type="dxa" w:w="1512"/>
            <w:vAlign w:val="top"/>
          </w:tcPr>
          <w:p>
            <w:pPr>
              <w:spacing w:after="40" w:before="0" w:line="259" w:lineRule="auto"/>
            </w:pPr>
            <w:r>
              <w:rPr>
                <w:rFonts w:ascii="Calibri" w:hAnsi="Calibri"/>
                <w:b w:val="0"/>
                <w:i w:val="0"/>
                <w:color w:val="212121"/>
                <w:sz w:val="19"/>
              </w:rPr>
              <w:t>Inspected/certified meat, thoroughly cooked</w:t>
            </w:r>
          </w:p>
        </w:tc>
        <w:tc>
          <w:tcPr>
            <w:tcW w:type="dxa" w:w="1512"/>
            <w:vAlign w:val="top"/>
          </w:tcPr>
          <w:p>
            <w:pPr>
              <w:spacing w:after="40" w:before="0" w:line="259" w:lineRule="auto"/>
            </w:pPr>
            <w:r>
              <w:rPr>
                <w:rFonts w:ascii="Calibri" w:hAnsi="Calibri"/>
                <w:b w:val="0"/>
                <w:i w:val="0"/>
                <w:color w:val="212121"/>
                <w:sz w:val="19"/>
              </w:rPr>
              <w:t>Uninspected home-slaughter of a sick animal</w:t>
            </w:r>
          </w:p>
        </w:tc>
        <w:tc>
          <w:tcPr>
            <w:tcW w:type="dxa" w:w="1468"/>
            <w:vAlign w:val="top"/>
          </w:tcPr>
          <w:p>
            <w:pPr>
              <w:spacing w:after="40" w:before="0" w:line="259" w:lineRule="auto"/>
            </w:pPr>
            <w:r>
              <w:rPr>
                <w:rFonts w:ascii="Calibri" w:hAnsi="Calibri"/>
                <w:b w:val="0"/>
                <w:i w:val="0"/>
                <w:color w:val="212121"/>
                <w:sz w:val="19"/>
              </w:rPr>
              <w:t>Thorough cooking and inspection reduce GI anthrax risk</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Daily hours of direct animal / hide contact (occupational dose)</w:t>
            </w:r>
          </w:p>
        </w:tc>
        <w:tc>
          <w:tcPr>
            <w:tcW w:type="dxa" w:w="1655"/>
            <w:vAlign w:val="top"/>
          </w:tcPr>
          <w:p>
            <w:pPr>
              <w:spacing w:after="40" w:before="0" w:line="259" w:lineRule="auto"/>
            </w:pPr>
            <w:r>
              <w:rPr>
                <w:rFonts w:ascii="Calibri" w:hAnsi="Calibri"/>
                <w:b w:val="0"/>
                <w:i w:val="0"/>
                <w:color w:val="212121"/>
                <w:sz w:val="19"/>
              </w:rPr>
              <w:t>Herders, tannery &amp; abattoir workers</w:t>
            </w:r>
          </w:p>
        </w:tc>
        <w:tc>
          <w:tcPr>
            <w:tcW w:type="dxa" w:w="1512"/>
            <w:vAlign w:val="top"/>
          </w:tcPr>
          <w:p>
            <w:pPr>
              <w:spacing w:after="40" w:before="0" w:line="259" w:lineRule="auto"/>
            </w:pPr>
            <w:r>
              <w:rPr>
                <w:rFonts w:ascii="Calibri" w:hAnsi="Calibri"/>
                <w:b w:val="0"/>
                <w:i w:val="0"/>
                <w:color w:val="212121"/>
                <w:sz w:val="19"/>
              </w:rPr>
              <w:t>Minimised with rotation and PPE</w:t>
            </w:r>
          </w:p>
        </w:tc>
        <w:tc>
          <w:tcPr>
            <w:tcW w:type="dxa" w:w="1512"/>
            <w:vAlign w:val="top"/>
          </w:tcPr>
          <w:p>
            <w:pPr>
              <w:spacing w:after="40" w:before="0" w:line="259" w:lineRule="auto"/>
            </w:pPr>
            <w:r>
              <w:rPr>
                <w:rFonts w:ascii="Calibri" w:hAnsi="Calibri"/>
                <w:b w:val="0"/>
                <w:i w:val="0"/>
                <w:color w:val="212121"/>
                <w:sz w:val="19"/>
              </w:rPr>
              <w:t>Prolonged daily bare contact in an outbreak</w:t>
            </w:r>
          </w:p>
        </w:tc>
        <w:tc>
          <w:tcPr>
            <w:tcW w:type="dxa" w:w="1468"/>
            <w:vAlign w:val="top"/>
          </w:tcPr>
          <w:p>
            <w:pPr>
              <w:spacing w:after="60" w:line="259" w:lineRule="auto"/>
            </w:pPr>
            <w:r>
              <w:rPr>
                <w:rFonts w:ascii="Calibri" w:hAnsi="Calibri"/>
                <w:b w:val="0"/>
                <w:i w:val="0"/>
                <w:color w:val="212121"/>
                <w:sz w:val="19"/>
              </w:rPr>
              <w:t>Proxy for cumulative spore exposure</w:t>
            </w:r>
          </w:p>
          <w:p>
            <w:pPr>
              <w:spacing w:after="40" w:line="252" w:lineRule="auto"/>
            </w:pPr>
            <w:hyperlink r:id="rId11">
              <w:r>
                <w:rPr>
                  <w:rFonts w:ascii="Calibri" w:hAnsi="Calibri" w:cs="Calibri"/>
                  <w:sz w:val="18"/>
                  <w:color w:val="1155CC"/>
                  <w:u w:val="single"/>
                </w:rPr>
                <w:t xml:space="preserve">https://pmc.ncbi.nlm.nih.gov/articles/PMC10288098/</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Episodic heavy drinking around communal slaughter/feasts</w:t>
            </w:r>
          </w:p>
        </w:tc>
        <w:tc>
          <w:tcPr>
            <w:tcW w:type="dxa" w:w="1655"/>
            <w:vAlign w:val="top"/>
          </w:tcPr>
          <w:p>
            <w:pPr>
              <w:spacing w:after="40" w:before="0" w:line="259" w:lineRule="auto"/>
            </w:pPr>
            <w:r>
              <w:rPr>
                <w:rFonts w:ascii="Calibri" w:hAnsi="Calibri"/>
                <w:b w:val="0"/>
                <w:i w:val="0"/>
                <w:color w:val="212121"/>
                <w:sz w:val="19"/>
              </w:rPr>
              <w:t>Community feast participants</w:t>
            </w:r>
          </w:p>
        </w:tc>
        <w:tc>
          <w:tcPr>
            <w:tcW w:type="dxa" w:w="1512"/>
            <w:vAlign w:val="top"/>
          </w:tcPr>
          <w:p>
            <w:pPr>
              <w:spacing w:after="40" w:before="0" w:line="259" w:lineRule="auto"/>
            </w:pPr>
            <w:r>
              <w:rPr>
                <w:rFonts w:ascii="Calibri" w:hAnsi="Calibri"/>
                <w:b w:val="0"/>
                <w:i w:val="0"/>
                <w:color w:val="212121"/>
                <w:sz w:val="19"/>
              </w:rPr>
              <w:t>Avoid intoxication during slaughter/handling</w:t>
            </w:r>
          </w:p>
        </w:tc>
        <w:tc>
          <w:tcPr>
            <w:tcW w:type="dxa" w:w="1512"/>
            <w:vAlign w:val="top"/>
          </w:tcPr>
          <w:p>
            <w:pPr>
              <w:spacing w:after="40" w:before="0" w:line="259" w:lineRule="auto"/>
            </w:pPr>
            <w:r>
              <w:rPr>
                <w:rFonts w:ascii="Calibri" w:hAnsi="Calibri"/>
                <w:b w:val="0"/>
                <w:i w:val="0"/>
                <w:color w:val="212121"/>
                <w:sz w:val="19"/>
              </w:rPr>
              <w:t>Heavy drinking during fallen-animal feasts</w:t>
            </w:r>
          </w:p>
        </w:tc>
        <w:tc>
          <w:tcPr>
            <w:tcW w:type="dxa" w:w="1468"/>
            <w:vAlign w:val="top"/>
          </w:tcPr>
          <w:p>
            <w:pPr>
              <w:spacing w:after="40" w:before="0" w:line="259" w:lineRule="auto"/>
            </w:pPr>
            <w:r>
              <w:rPr>
                <w:rFonts w:ascii="Calibri" w:hAnsi="Calibri"/>
                <w:b w:val="0"/>
                <w:i w:val="0"/>
                <w:color w:val="212121"/>
                <w:sz w:val="19"/>
              </w:rPr>
              <w:t>Impairs judgement/hygiene and may blunt immunity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Gram stain (vesicle fluid, eschar margin, blood, CSF)</w:t>
            </w:r>
          </w:p>
        </w:tc>
        <w:tc>
          <w:tcPr>
            <w:tcW w:type="dxa" w:w="892"/>
            <w:vAlign w:val="top"/>
          </w:tcPr>
          <w:p>
            <w:pPr>
              <w:spacing w:after="40" w:before="0" w:line="259" w:lineRule="auto"/>
            </w:pPr>
            <w:r>
              <w:rPr>
                <w:rFonts w:ascii="Calibri" w:hAnsi="Calibri"/>
                <w:b w:val="0"/>
                <w:i w:val="0"/>
                <w:color w:val="212121"/>
                <w:sz w:val="16"/>
              </w:rPr>
              <w:t>Direct microscopy</w:t>
            </w:r>
          </w:p>
        </w:tc>
        <w:tc>
          <w:tcPr>
            <w:tcW w:type="dxa" w:w="950"/>
            <w:vAlign w:val="top"/>
          </w:tcPr>
          <w:p>
            <w:pPr>
              <w:spacing w:after="40" w:before="0" w:line="259" w:lineRule="auto"/>
            </w:pPr>
            <w:r>
              <w:rPr>
                <w:rFonts w:ascii="Calibri" w:hAnsi="Calibri"/>
                <w:b w:val="0"/>
                <w:i w:val="0"/>
                <w:color w:val="212121"/>
                <w:sz w:val="16"/>
              </w:rPr>
              <w:t>No organisms</w:t>
            </w:r>
          </w:p>
        </w:tc>
        <w:tc>
          <w:tcPr>
            <w:tcW w:type="dxa" w:w="950"/>
            <w:vAlign w:val="top"/>
          </w:tcPr>
          <w:p>
            <w:pPr>
              <w:spacing w:after="40" w:before="0" w:line="259" w:lineRule="auto"/>
            </w:pPr>
            <w:r>
              <w:rPr>
                <w:rFonts w:ascii="Calibri" w:hAnsi="Calibri"/>
                <w:b w:val="0"/>
                <w:i w:val="0"/>
                <w:color w:val="212121"/>
                <w:sz w:val="16"/>
              </w:rPr>
              <w:t>Broad gram-positive “boxcar”/bamboo-stick bacilli in chains</w:t>
            </w:r>
          </w:p>
        </w:tc>
        <w:tc>
          <w:tcPr>
            <w:tcW w:type="dxa" w:w="1036"/>
            <w:vAlign w:val="top"/>
          </w:tcPr>
          <w:p>
            <w:pPr>
              <w:spacing w:after="40" w:before="0" w:line="259" w:lineRule="auto"/>
            </w:pPr>
            <w:r>
              <w:rPr>
                <w:rFonts w:ascii="Calibri" w:hAnsi="Calibri"/>
                <w:b w:val="0"/>
                <w:i w:val="0"/>
                <w:color w:val="212121"/>
                <w:sz w:val="16"/>
              </w:rPr>
              <w:t>Rapid presumptive evidence of B. anthracis</w:t>
            </w:r>
          </w:p>
        </w:tc>
        <w:tc>
          <w:tcPr>
            <w:tcW w:type="dxa" w:w="1036"/>
            <w:vAlign w:val="top"/>
          </w:tcPr>
          <w:p>
            <w:pPr>
              <w:spacing w:after="40" w:before="0" w:line="259" w:lineRule="auto"/>
            </w:pPr>
            <w:r>
              <w:rPr>
                <w:rFonts w:ascii="Calibri" w:hAnsi="Calibri"/>
                <w:b w:val="0"/>
                <w:i w:val="0"/>
                <w:color w:val="212121"/>
                <w:sz w:val="16"/>
              </w:rPr>
              <w:t>Cutaneous, systemic &amp; suspected outbreak cases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 / presumptive</w:t>
            </w:r>
          </w:p>
        </w:tc>
        <w:tc>
          <w:tcPr>
            <w:tcW w:type="dxa" w:w="720"/>
            <w:vAlign w:val="top"/>
          </w:tcPr>
          <w:p>
            <w:pPr>
              <w:spacing w:after="40" w:before="0" w:line="259" w:lineRule="auto"/>
            </w:pPr>
            <w:r>
              <w:rPr>
                <w:rFonts w:ascii="Calibri" w:hAnsi="Calibri"/>
                <w:b w:val="0"/>
                <w:i w:val="0"/>
                <w:color w:val="212121"/>
                <w:sz w:val="16"/>
              </w:rPr>
              <w:t>Collect before antibiotics where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Culture (wound, blood, CSF, sputum)</w:t>
            </w:r>
          </w:p>
        </w:tc>
        <w:tc>
          <w:tcPr>
            <w:tcW w:type="dxa" w:w="892"/>
            <w:vAlign w:val="top"/>
          </w:tcPr>
          <w:p>
            <w:pPr>
              <w:spacing w:after="40" w:before="0" w:line="259" w:lineRule="auto"/>
            </w:pPr>
            <w:r>
              <w:rPr>
                <w:rFonts w:ascii="Calibri" w:hAnsi="Calibri"/>
                <w:b w:val="0"/>
                <w:i w:val="0"/>
                <w:color w:val="212121"/>
                <w:sz w:val="16"/>
              </w:rPr>
              <w:t>Bacterial culture &amp; identification</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Non-haemolytic, non-motile “medusa-head” colonies on sheep blood agar</w:t>
            </w:r>
          </w:p>
        </w:tc>
        <w:tc>
          <w:tcPr>
            <w:tcW w:type="dxa" w:w="1036"/>
            <w:vAlign w:val="top"/>
          </w:tcPr>
          <w:p>
            <w:pPr>
              <w:spacing w:after="40" w:before="0" w:line="259" w:lineRule="auto"/>
            </w:pPr>
            <w:r>
              <w:rPr>
                <w:rFonts w:ascii="Calibri" w:hAnsi="Calibri"/>
                <w:b w:val="0"/>
                <w:i w:val="0"/>
                <w:color w:val="212121"/>
                <w:sz w:val="16"/>
              </w:rPr>
              <w:t>Definitive isolation of B. anthracis</w:t>
            </w:r>
          </w:p>
        </w:tc>
        <w:tc>
          <w:tcPr>
            <w:tcW w:type="dxa" w:w="1036"/>
            <w:vAlign w:val="top"/>
          </w:tcPr>
          <w:p>
            <w:pPr>
              <w:spacing w:after="40" w:before="0" w:line="259" w:lineRule="auto"/>
            </w:pPr>
            <w:r>
              <w:rPr>
                <w:rFonts w:ascii="Calibri" w:hAnsi="Calibri"/>
                <w:b w:val="0"/>
                <w:i w:val="0"/>
                <w:color w:val="212121"/>
                <w:sz w:val="16"/>
              </w:rPr>
              <w:t>All suspected forms; systemic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Handle in a biosafety cabinet; alert the laboratory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PCR for pagA / lef (pXO1) and capB/C (pXO2)</w:t>
            </w:r>
          </w:p>
        </w:tc>
        <w:tc>
          <w:tcPr>
            <w:tcW w:type="dxa" w:w="892"/>
            <w:vAlign w:val="top"/>
          </w:tcPr>
          <w:p>
            <w:pPr>
              <w:spacing w:after="40" w:before="0" w:line="259" w:lineRule="auto"/>
            </w:pPr>
            <w:r>
              <w:rPr>
                <w:rFonts w:ascii="Calibri" w:hAnsi="Calibri"/>
                <w:b w:val="0"/>
                <w:i w:val="0"/>
                <w:color w:val="212121"/>
                <w:sz w:val="16"/>
              </w:rPr>
              <w:t>Nucleic-acid amplification</w:t>
            </w:r>
          </w:p>
        </w:tc>
        <w:tc>
          <w:tcPr>
            <w:tcW w:type="dxa" w:w="950"/>
            <w:vAlign w:val="top"/>
          </w:tcPr>
          <w:p>
            <w:pPr>
              <w:spacing w:after="40" w:before="0" w:line="259" w:lineRule="auto"/>
            </w:pPr>
            <w:r>
              <w:rPr>
                <w:rFonts w:ascii="Calibri" w:hAnsi="Calibri"/>
                <w:b w:val="0"/>
                <w:i w:val="0"/>
                <w:color w:val="212121"/>
                <w:sz w:val="16"/>
              </w:rPr>
              <w:t>Targets not detected</w:t>
            </w:r>
          </w:p>
        </w:tc>
        <w:tc>
          <w:tcPr>
            <w:tcW w:type="dxa" w:w="950"/>
            <w:vAlign w:val="top"/>
          </w:tcPr>
          <w:p>
            <w:pPr>
              <w:spacing w:after="40" w:before="0" w:line="259" w:lineRule="auto"/>
            </w:pPr>
            <w:r>
              <w:rPr>
                <w:rFonts w:ascii="Calibri" w:hAnsi="Calibri"/>
                <w:b w:val="0"/>
                <w:i w:val="0"/>
                <w:color w:val="212121"/>
                <w:sz w:val="16"/>
              </w:rPr>
              <w:t>B. anthracis virulence genes detected</w:t>
            </w:r>
          </w:p>
        </w:tc>
        <w:tc>
          <w:tcPr>
            <w:tcW w:type="dxa" w:w="1036"/>
            <w:vAlign w:val="top"/>
          </w:tcPr>
          <w:p>
            <w:pPr>
              <w:spacing w:after="40" w:before="0" w:line="259" w:lineRule="auto"/>
            </w:pPr>
            <w:r>
              <w:rPr>
                <w:rFonts w:ascii="Calibri" w:hAnsi="Calibri"/>
                <w:b w:val="0"/>
                <w:i w:val="0"/>
                <w:color w:val="212121"/>
                <w:sz w:val="16"/>
              </w:rPr>
              <w:t>Confirms species and toxigenic/capsular virulence</w:t>
            </w:r>
          </w:p>
        </w:tc>
        <w:tc>
          <w:tcPr>
            <w:tcW w:type="dxa" w:w="1036"/>
            <w:vAlign w:val="top"/>
          </w:tcPr>
          <w:p>
            <w:pPr>
              <w:spacing w:after="40" w:before="0" w:line="259" w:lineRule="auto"/>
            </w:pPr>
            <w:r>
              <w:rPr>
                <w:rFonts w:ascii="Calibri" w:hAnsi="Calibri"/>
                <w:b w:val="0"/>
                <w:i w:val="0"/>
                <w:color w:val="212121"/>
                <w:sz w:val="16"/>
              </w:rPr>
              <w:t>Confirmatory &amp; culture-negative (post-antibiotic)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Useful when culture is negative after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Neutrophilic leucocytosis; thrombocytopenia in sepsis</w:t>
            </w:r>
          </w:p>
        </w:tc>
        <w:tc>
          <w:tcPr>
            <w:tcW w:type="dxa" w:w="1036"/>
            <w:vAlign w:val="top"/>
          </w:tcPr>
          <w:p>
            <w:pPr>
              <w:spacing w:after="40" w:before="0" w:line="259" w:lineRule="auto"/>
            </w:pPr>
            <w:r>
              <w:rPr>
                <w:rFonts w:ascii="Calibri" w:hAnsi="Calibri"/>
                <w:b w:val="0"/>
                <w:i w:val="0"/>
                <w:color w:val="212121"/>
                <w:sz w:val="16"/>
              </w:rPr>
              <w:t>Supports systemic infection and severity</w:t>
            </w:r>
          </w:p>
        </w:tc>
        <w:tc>
          <w:tcPr>
            <w:tcW w:type="dxa" w:w="1036"/>
            <w:vAlign w:val="top"/>
          </w:tcPr>
          <w:p>
            <w:pPr>
              <w:spacing w:after="40" w:before="0" w:line="259" w:lineRule="auto"/>
            </w:pPr>
            <w:r>
              <w:rPr>
                <w:rFonts w:ascii="Calibri" w:hAnsi="Calibri"/>
                <w:b w:val="0"/>
                <w:i w:val="0"/>
                <w:color w:val="212121"/>
                <w:sz w:val="16"/>
              </w:rPr>
              <w:t>Systemic / inhalational / GI anthrax</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trends guide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histopathology</w:t>
            </w:r>
          </w:p>
        </w:tc>
        <w:tc>
          <w:tcPr>
            <w:tcW w:type="dxa" w:w="1036"/>
            <w:vAlign w:val="top"/>
          </w:tcPr>
          <w:p>
            <w:pPr>
              <w:spacing w:after="40" w:before="0" w:line="259" w:lineRule="auto"/>
            </w:pPr>
            <w:r>
              <w:rPr>
                <w:rFonts w:ascii="Calibri" w:hAnsi="Calibri"/>
                <w:b w:val="0"/>
                <w:i w:val="0"/>
                <w:color w:val="212121"/>
                <w:sz w:val="16"/>
              </w:rPr>
              <w:t>Anti-protective-antigen (anti-PA) IgG ELISA; tissue IHC</w:t>
            </w:r>
          </w:p>
        </w:tc>
        <w:tc>
          <w:tcPr>
            <w:tcW w:type="dxa" w:w="892"/>
            <w:vAlign w:val="top"/>
          </w:tcPr>
          <w:p>
            <w:pPr>
              <w:spacing w:after="40" w:before="0" w:line="259" w:lineRule="auto"/>
            </w:pPr>
            <w:r>
              <w:rPr>
                <w:rFonts w:ascii="Calibri" w:hAnsi="Calibri"/>
                <w:b w:val="0"/>
                <w:i w:val="0"/>
                <w:color w:val="212121"/>
                <w:sz w:val="16"/>
              </w:rPr>
              <w:t>Serology / immunohistochemistry</w:t>
            </w:r>
          </w:p>
        </w:tc>
        <w:tc>
          <w:tcPr>
            <w:tcW w:type="dxa" w:w="950"/>
            <w:vAlign w:val="top"/>
          </w:tcPr>
          <w:p>
            <w:pPr>
              <w:spacing w:after="40" w:before="0" w:line="259" w:lineRule="auto"/>
            </w:pPr>
            <w:r>
              <w:rPr>
                <w:rFonts w:ascii="Calibri" w:hAnsi="Calibri"/>
                <w:b w:val="0"/>
                <w:i w:val="0"/>
                <w:color w:val="212121"/>
                <w:sz w:val="16"/>
              </w:rPr>
              <w:t>No significant anti-PA IgG</w:t>
            </w:r>
          </w:p>
        </w:tc>
        <w:tc>
          <w:tcPr>
            <w:tcW w:type="dxa" w:w="950"/>
            <w:vAlign w:val="top"/>
          </w:tcPr>
          <w:p>
            <w:pPr>
              <w:spacing w:after="40" w:before="0" w:line="259" w:lineRule="auto"/>
            </w:pPr>
            <w:r>
              <w:rPr>
                <w:rFonts w:ascii="Calibri" w:hAnsi="Calibri"/>
                <w:b w:val="0"/>
                <w:i w:val="0"/>
                <w:color w:val="212121"/>
                <w:sz w:val="16"/>
              </w:rPr>
              <w:t>Rising/high anti-PA IgG or positive tissue staining</w:t>
            </w:r>
          </w:p>
        </w:tc>
        <w:tc>
          <w:tcPr>
            <w:tcW w:type="dxa" w:w="1036"/>
            <w:vAlign w:val="top"/>
          </w:tcPr>
          <w:p>
            <w:pPr>
              <w:spacing w:after="40" w:before="0" w:line="259" w:lineRule="auto"/>
            </w:pPr>
            <w:r>
              <w:rPr>
                <w:rFonts w:ascii="Calibri" w:hAnsi="Calibri"/>
                <w:b w:val="0"/>
                <w:i w:val="0"/>
                <w:color w:val="212121"/>
                <w:sz w:val="16"/>
              </w:rPr>
              <w:t>Retrospective or confirmatory diagnosis</w:t>
            </w:r>
          </w:p>
        </w:tc>
        <w:tc>
          <w:tcPr>
            <w:tcW w:type="dxa" w:w="1036"/>
            <w:vAlign w:val="top"/>
          </w:tcPr>
          <w:p>
            <w:pPr>
              <w:spacing w:after="40" w:before="0" w:line="259" w:lineRule="auto"/>
            </w:pPr>
            <w:r>
              <w:rPr>
                <w:rFonts w:ascii="Calibri" w:hAnsi="Calibri"/>
                <w:b w:val="0"/>
                <w:i w:val="0"/>
                <w:color w:val="212121"/>
                <w:sz w:val="16"/>
              </w:rPr>
              <w:t>Late-presenting / treated cases; outbreak confirmation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 / retrospective</w:t>
            </w:r>
          </w:p>
        </w:tc>
        <w:tc>
          <w:tcPr>
            <w:tcW w:type="dxa" w:w="720"/>
            <w:vAlign w:val="top"/>
          </w:tcPr>
          <w:p>
            <w:pPr>
              <w:spacing w:after="40" w:before="0" w:line="259" w:lineRule="auto"/>
            </w:pPr>
            <w:r>
              <w:rPr>
                <w:rFonts w:ascii="Calibri" w:hAnsi="Calibri"/>
                <w:b w:val="0"/>
                <w:i w:val="0"/>
                <w:color w:val="212121"/>
                <w:sz w:val="16"/>
              </w:rPr>
              <w:t>Paired sera improve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CSF cell count, protein, Gram stain, culture</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Clear CSF, no organisms</w:t>
            </w:r>
          </w:p>
        </w:tc>
        <w:tc>
          <w:tcPr>
            <w:tcW w:type="dxa" w:w="950"/>
            <w:vAlign w:val="top"/>
          </w:tcPr>
          <w:p>
            <w:pPr>
              <w:spacing w:after="40" w:before="0" w:line="259" w:lineRule="auto"/>
            </w:pPr>
            <w:r>
              <w:rPr>
                <w:rFonts w:ascii="Calibri" w:hAnsi="Calibri"/>
                <w:b w:val="0"/>
                <w:i w:val="0"/>
                <w:color w:val="212121"/>
                <w:sz w:val="16"/>
              </w:rPr>
              <w:t>Haemorrhagic CSF with gram-positive bacilli</w:t>
            </w:r>
          </w:p>
        </w:tc>
        <w:tc>
          <w:tcPr>
            <w:tcW w:type="dxa" w:w="1036"/>
            <w:vAlign w:val="top"/>
          </w:tcPr>
          <w:p>
            <w:pPr>
              <w:spacing w:after="40" w:before="0" w:line="259" w:lineRule="auto"/>
            </w:pPr>
            <w:r>
              <w:rPr>
                <w:rFonts w:ascii="Calibri" w:hAnsi="Calibri"/>
                <w:b w:val="0"/>
                <w:i w:val="0"/>
                <w:color w:val="212121"/>
                <w:sz w:val="16"/>
              </w:rPr>
              <w:t>Diagnoses anthrax meningitis (very high mortality)</w:t>
            </w:r>
          </w:p>
        </w:tc>
        <w:tc>
          <w:tcPr>
            <w:tcW w:type="dxa" w:w="1036"/>
            <w:vAlign w:val="top"/>
          </w:tcPr>
          <w:p>
            <w:pPr>
              <w:spacing w:after="40" w:before="0" w:line="259" w:lineRule="auto"/>
            </w:pPr>
            <w:r>
              <w:rPr>
                <w:rFonts w:ascii="Calibri" w:hAnsi="Calibri"/>
                <w:b w:val="0"/>
                <w:i w:val="0"/>
                <w:color w:val="212121"/>
                <w:sz w:val="16"/>
              </w:rPr>
              <w:t>Systemic cases with meningism/altered sensorium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Do not delay antibiotics for the tap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 / CT thorax</w:t>
            </w:r>
          </w:p>
        </w:tc>
        <w:tc>
          <w:tcPr>
            <w:tcW w:type="dxa" w:w="892"/>
            <w:vAlign w:val="top"/>
          </w:tcPr>
          <w:p>
            <w:pPr>
              <w:spacing w:after="40" w:before="0" w:line="259" w:lineRule="auto"/>
            </w:pPr>
            <w:r>
              <w:rPr>
                <w:rFonts w:ascii="Calibri" w:hAnsi="Calibri"/>
                <w:b w:val="0"/>
                <w:i w:val="0"/>
                <w:color w:val="212121"/>
                <w:sz w:val="16"/>
              </w:rPr>
              <w:t>Chest imaging</w:t>
            </w:r>
          </w:p>
        </w:tc>
        <w:tc>
          <w:tcPr>
            <w:tcW w:type="dxa" w:w="950"/>
            <w:vAlign w:val="top"/>
          </w:tcPr>
          <w:p>
            <w:pPr>
              <w:spacing w:after="40" w:before="0" w:line="259" w:lineRule="auto"/>
            </w:pPr>
            <w:r>
              <w:rPr>
                <w:rFonts w:ascii="Calibri" w:hAnsi="Calibri"/>
                <w:b w:val="0"/>
                <w:i w:val="0"/>
                <w:color w:val="212121"/>
                <w:sz w:val="16"/>
              </w:rPr>
              <w:t>Clear mediastinum &amp; lung fields</w:t>
            </w:r>
          </w:p>
        </w:tc>
        <w:tc>
          <w:tcPr>
            <w:tcW w:type="dxa" w:w="950"/>
            <w:vAlign w:val="top"/>
          </w:tcPr>
          <w:p>
            <w:pPr>
              <w:spacing w:after="40" w:before="0" w:line="259" w:lineRule="auto"/>
            </w:pPr>
            <w:r>
              <w:rPr>
                <w:rFonts w:ascii="Calibri" w:hAnsi="Calibri"/>
                <w:b w:val="0"/>
                <w:i w:val="0"/>
                <w:color w:val="212121"/>
                <w:sz w:val="16"/>
              </w:rPr>
              <w:t>Widened mediastinum, pleural effusions, hilar oedema</w:t>
            </w:r>
          </w:p>
        </w:tc>
        <w:tc>
          <w:tcPr>
            <w:tcW w:type="dxa" w:w="1036"/>
            <w:vAlign w:val="top"/>
          </w:tcPr>
          <w:p>
            <w:pPr>
              <w:spacing w:after="40" w:before="0" w:line="259" w:lineRule="auto"/>
            </w:pPr>
            <w:r>
              <w:rPr>
                <w:rFonts w:ascii="Calibri" w:hAnsi="Calibri"/>
                <w:b w:val="0"/>
                <w:i w:val="0"/>
                <w:color w:val="212121"/>
                <w:sz w:val="16"/>
              </w:rPr>
              <w:t>Supports inhalational anthrax / haemorrhagic mediastinitis</w:t>
            </w:r>
          </w:p>
        </w:tc>
        <w:tc>
          <w:tcPr>
            <w:tcW w:type="dxa" w:w="1036"/>
            <w:vAlign w:val="top"/>
          </w:tcPr>
          <w:p>
            <w:pPr>
              <w:spacing w:after="40" w:before="0" w:line="259" w:lineRule="auto"/>
            </w:pPr>
            <w:r>
              <w:rPr>
                <w:rFonts w:ascii="Calibri" w:hAnsi="Calibri"/>
                <w:b w:val="0"/>
                <w:i w:val="0"/>
                <w:color w:val="212121"/>
                <w:sz w:val="16"/>
              </w:rPr>
              <w:t>Inhalational (woolsorter, aerosol) exposure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Absence of typical pneumonia consolidation is characteristic</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Painless black-eschar skin lesion with disproportionate swelling</w:t>
            </w:r>
          </w:p>
        </w:tc>
        <w:tc>
          <w:tcPr>
            <w:tcW w:type="dxa" w:w="950"/>
            <w:vAlign w:val="top"/>
          </w:tcPr>
          <w:p>
            <w:pPr>
              <w:spacing w:after="40" w:before="0" w:line="259" w:lineRule="auto"/>
            </w:pPr>
            <w:r>
              <w:rPr>
                <w:rFonts w:ascii="Calibri" w:hAnsi="Calibri"/>
                <w:b w:val="0"/>
                <w:i w:val="0"/>
                <w:color w:val="212121"/>
                <w:sz w:val="16"/>
              </w:rPr>
              <w:t>No lesion</w:t>
            </w:r>
          </w:p>
        </w:tc>
        <w:tc>
          <w:tcPr>
            <w:tcW w:type="dxa" w:w="950"/>
            <w:vAlign w:val="top"/>
          </w:tcPr>
          <w:p>
            <w:pPr>
              <w:spacing w:after="40" w:before="0" w:line="259" w:lineRule="auto"/>
            </w:pPr>
            <w:r>
              <w:rPr>
                <w:rFonts w:ascii="Calibri" w:hAnsi="Calibri"/>
                <w:b w:val="0"/>
                <w:i w:val="0"/>
                <w:color w:val="212121"/>
                <w:sz w:val="16"/>
              </w:rPr>
              <w:t>Painless ulcer/eschar with marked non-pitting oedema</w:t>
            </w:r>
          </w:p>
        </w:tc>
        <w:tc>
          <w:tcPr>
            <w:tcW w:type="dxa" w:w="1036"/>
            <w:vAlign w:val="top"/>
          </w:tcPr>
          <w:p>
            <w:pPr>
              <w:spacing w:after="40" w:before="0" w:line="259" w:lineRule="auto"/>
            </w:pPr>
            <w:r>
              <w:rPr>
                <w:rFonts w:ascii="Calibri" w:hAnsi="Calibri"/>
                <w:b w:val="0"/>
                <w:i w:val="0"/>
                <w:color w:val="212121"/>
                <w:sz w:val="16"/>
              </w:rPr>
              <w:t>Cardinal presentation of cutaneous anthrax</w:t>
            </w:r>
          </w:p>
        </w:tc>
        <w:tc>
          <w:tcPr>
            <w:tcW w:type="dxa" w:w="1036"/>
            <w:vAlign w:val="top"/>
          </w:tcPr>
          <w:p>
            <w:pPr>
              <w:spacing w:after="40" w:before="0" w:line="259" w:lineRule="auto"/>
            </w:pPr>
            <w:r>
              <w:rPr>
                <w:rFonts w:ascii="Calibri" w:hAnsi="Calibri"/>
                <w:b w:val="0"/>
                <w:i w:val="0"/>
                <w:color w:val="212121"/>
                <w:sz w:val="16"/>
              </w:rPr>
              <w:t>Cutaneous cases on exposed skin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Painlessness distinguishes it from pyogenic boils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 occupational history</w:t>
            </w:r>
          </w:p>
        </w:tc>
        <w:tc>
          <w:tcPr>
            <w:tcW w:type="dxa" w:w="979"/>
            <w:vAlign w:val="top"/>
          </w:tcPr>
          <w:p>
            <w:pPr>
              <w:spacing w:after="40" w:before="0" w:line="259" w:lineRule="auto"/>
            </w:pPr>
            <w:r>
              <w:rPr>
                <w:rFonts w:ascii="Calibri" w:hAnsi="Calibri"/>
                <w:b w:val="0"/>
                <w:i w:val="0"/>
                <w:color w:val="212121"/>
                <w:sz w:val="16"/>
              </w:rPr>
              <w:t>Contact with sick/dead livestock, carcass handling, dead-animal meat, endemic residence</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Any qualifying exposure in an endemic area</w:t>
            </w:r>
          </w:p>
        </w:tc>
        <w:tc>
          <w:tcPr>
            <w:tcW w:type="dxa" w:w="1036"/>
            <w:vAlign w:val="top"/>
          </w:tcPr>
          <w:p>
            <w:pPr>
              <w:spacing w:after="40" w:before="0" w:line="259" w:lineRule="auto"/>
            </w:pPr>
            <w:r>
              <w:rPr>
                <w:rFonts w:ascii="Calibri" w:hAnsi="Calibri"/>
                <w:b w:val="0"/>
                <w:i w:val="0"/>
                <w:color w:val="212121"/>
                <w:sz w:val="16"/>
              </w:rPr>
              <w:t>Establishes epidemiologic plausibility</w:t>
            </w:r>
          </w:p>
        </w:tc>
        <w:tc>
          <w:tcPr>
            <w:tcW w:type="dxa" w:w="1036"/>
            <w:vAlign w:val="top"/>
          </w:tcPr>
          <w:p>
            <w:pPr>
              <w:spacing w:after="40" w:before="0" w:line="259" w:lineRule="auto"/>
            </w:pPr>
            <w:r>
              <w:rPr>
                <w:rFonts w:ascii="Calibri" w:hAnsi="Calibri"/>
                <w:b w:val="0"/>
                <w:i w:val="0"/>
                <w:color w:val="212121"/>
                <w:sz w:val="16"/>
              </w:rPr>
              <w:t>Farmers, butchers, tribal households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Screening / prognostic</w:t>
            </w:r>
          </w:p>
        </w:tc>
        <w:tc>
          <w:tcPr>
            <w:tcW w:type="dxa" w:w="720"/>
            <w:vAlign w:val="top"/>
          </w:tcPr>
          <w:p>
            <w:pPr>
              <w:spacing w:after="40" w:before="0" w:line="259" w:lineRule="auto"/>
            </w:pPr>
            <w:r>
              <w:rPr>
                <w:rFonts w:ascii="Calibri" w:hAnsi="Calibri"/>
                <w:b w:val="0"/>
                <w:i w:val="0"/>
                <w:color w:val="212121"/>
                <w:sz w:val="16"/>
              </w:rPr>
              <w:t>Animal handling is present in nearly all Indian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Lesion characterisation</w:t>
            </w:r>
          </w:p>
        </w:tc>
        <w:tc>
          <w:tcPr>
            <w:tcW w:type="dxa" w:w="979"/>
            <w:vAlign w:val="top"/>
          </w:tcPr>
          <w:p>
            <w:pPr>
              <w:spacing w:after="40" w:before="0" w:line="259" w:lineRule="auto"/>
            </w:pPr>
            <w:r>
              <w:rPr>
                <w:rFonts w:ascii="Calibri" w:hAnsi="Calibri"/>
                <w:b w:val="0"/>
                <w:i w:val="0"/>
                <w:color w:val="212121"/>
                <w:sz w:val="16"/>
              </w:rPr>
              <w:t>Site, satellite vesicles, gelatinous oedema, regional lymphadenopathy</w:t>
            </w:r>
          </w:p>
        </w:tc>
        <w:tc>
          <w:tcPr>
            <w:tcW w:type="dxa" w:w="950"/>
            <w:vAlign w:val="top"/>
          </w:tcPr>
          <w:p>
            <w:pPr>
              <w:spacing w:after="40" w:before="0" w:line="259" w:lineRule="auto"/>
            </w:pPr>
            <w:r>
              <w:rPr>
                <w:rFonts w:ascii="Calibri" w:hAnsi="Calibri"/>
                <w:b w:val="0"/>
                <w:i w:val="0"/>
                <w:color w:val="212121"/>
                <w:sz w:val="16"/>
              </w:rPr>
              <w:t>Normal skin</w:t>
            </w:r>
          </w:p>
        </w:tc>
        <w:tc>
          <w:tcPr>
            <w:tcW w:type="dxa" w:w="950"/>
            <w:vAlign w:val="top"/>
          </w:tcPr>
          <w:p>
            <w:pPr>
              <w:spacing w:after="40" w:before="0" w:line="259" w:lineRule="auto"/>
            </w:pPr>
            <w:r>
              <w:rPr>
                <w:rFonts w:ascii="Calibri" w:hAnsi="Calibri"/>
                <w:b w:val="0"/>
                <w:i w:val="0"/>
                <w:color w:val="212121"/>
                <w:sz w:val="16"/>
              </w:rPr>
              <w:t>Central eschar, ring of satellite vesicles, non-pitting oedema, tender nodes</w:t>
            </w:r>
          </w:p>
        </w:tc>
        <w:tc>
          <w:tcPr>
            <w:tcW w:type="dxa" w:w="1036"/>
            <w:vAlign w:val="top"/>
          </w:tcPr>
          <w:p>
            <w:pPr>
              <w:spacing w:after="40" w:before="0" w:line="259" w:lineRule="auto"/>
            </w:pPr>
            <w:r>
              <w:rPr>
                <w:rFonts w:ascii="Calibri" w:hAnsi="Calibri"/>
                <w:b w:val="0"/>
                <w:i w:val="0"/>
                <w:color w:val="212121"/>
                <w:sz w:val="16"/>
              </w:rPr>
              <w:t>Confirms clinical cutaneous anthrax and extent</w:t>
            </w:r>
          </w:p>
        </w:tc>
        <w:tc>
          <w:tcPr>
            <w:tcW w:type="dxa" w:w="1036"/>
            <w:vAlign w:val="top"/>
          </w:tcPr>
          <w:p>
            <w:pPr>
              <w:spacing w:after="40" w:before="0" w:line="259" w:lineRule="auto"/>
            </w:pPr>
            <w:r>
              <w:rPr>
                <w:rFonts w:ascii="Calibri" w:hAnsi="Calibri"/>
                <w:b w:val="0"/>
                <w:i w:val="0"/>
                <w:color w:val="212121"/>
                <w:sz w:val="16"/>
              </w:rPr>
              <w:t>&gt;90% on face/neck/arms/hands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 not incise or debride the eschar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Systemic examination</w:t>
            </w:r>
          </w:p>
        </w:tc>
        <w:tc>
          <w:tcPr>
            <w:tcW w:type="dxa" w:w="950"/>
            <w:vAlign w:val="top"/>
          </w:tcPr>
          <w:p>
            <w:pPr>
              <w:spacing w:after="40" w:before="0" w:line="259" w:lineRule="auto"/>
            </w:pPr>
            <w:r>
              <w:rPr>
                <w:rFonts w:ascii="Calibri" w:hAnsi="Calibri"/>
                <w:b w:val="0"/>
                <w:i w:val="0"/>
                <w:color w:val="212121"/>
                <w:sz w:val="16"/>
              </w:rPr>
              <w:t>Assessment for systemic/toxaemic spread</w:t>
            </w:r>
          </w:p>
        </w:tc>
        <w:tc>
          <w:tcPr>
            <w:tcW w:type="dxa" w:w="979"/>
            <w:vAlign w:val="top"/>
          </w:tcPr>
          <w:p>
            <w:pPr>
              <w:spacing w:after="40" w:before="0" w:line="259" w:lineRule="auto"/>
            </w:pPr>
            <w:r>
              <w:rPr>
                <w:rFonts w:ascii="Calibri" w:hAnsi="Calibri"/>
                <w:b w:val="0"/>
                <w:i w:val="0"/>
                <w:color w:val="212121"/>
                <w:sz w:val="16"/>
              </w:rPr>
              <w:t>Fever, respiratory distress, meningism, abdominal signs, shock</w:t>
            </w:r>
          </w:p>
        </w:tc>
        <w:tc>
          <w:tcPr>
            <w:tcW w:type="dxa" w:w="950"/>
            <w:vAlign w:val="top"/>
          </w:tcPr>
          <w:p>
            <w:pPr>
              <w:spacing w:after="40" w:before="0" w:line="259" w:lineRule="auto"/>
            </w:pPr>
            <w:r>
              <w:rPr>
                <w:rFonts w:ascii="Calibri" w:hAnsi="Calibri"/>
                <w:b w:val="0"/>
                <w:i w:val="0"/>
                <w:color w:val="212121"/>
                <w:sz w:val="16"/>
              </w:rPr>
              <w:t>Stable, afebrile</w:t>
            </w:r>
          </w:p>
        </w:tc>
        <w:tc>
          <w:tcPr>
            <w:tcW w:type="dxa" w:w="950"/>
            <w:vAlign w:val="top"/>
          </w:tcPr>
          <w:p>
            <w:pPr>
              <w:spacing w:after="40" w:before="0" w:line="259" w:lineRule="auto"/>
            </w:pPr>
            <w:r>
              <w:rPr>
                <w:rFonts w:ascii="Calibri" w:hAnsi="Calibri"/>
                <w:b w:val="0"/>
                <w:i w:val="0"/>
                <w:color w:val="212121"/>
                <w:sz w:val="16"/>
              </w:rPr>
              <w:t>High fever, dyspnoea, neck stiffness, peritonism, hypotension</w:t>
            </w:r>
          </w:p>
        </w:tc>
        <w:tc>
          <w:tcPr>
            <w:tcW w:type="dxa" w:w="1036"/>
            <w:vAlign w:val="top"/>
          </w:tcPr>
          <w:p>
            <w:pPr>
              <w:spacing w:after="40" w:before="0" w:line="259" w:lineRule="auto"/>
            </w:pPr>
            <w:r>
              <w:rPr>
                <w:rFonts w:ascii="Calibri" w:hAnsi="Calibri"/>
                <w:b w:val="0"/>
                <w:i w:val="0"/>
                <w:color w:val="212121"/>
                <w:sz w:val="16"/>
              </w:rPr>
              <w:t>Identifies progression to systemic anthrax needing ICU care</w:t>
            </w:r>
          </w:p>
        </w:tc>
        <w:tc>
          <w:tcPr>
            <w:tcW w:type="dxa" w:w="1036"/>
            <w:vAlign w:val="top"/>
          </w:tcPr>
          <w:p>
            <w:pPr>
              <w:spacing w:after="40" w:before="0" w:line="259" w:lineRule="auto"/>
            </w:pPr>
            <w:r>
              <w:rPr>
                <w:rFonts w:ascii="Calibri" w:hAnsi="Calibri"/>
                <w:b w:val="0"/>
                <w:i w:val="0"/>
                <w:color w:val="212121"/>
                <w:sz w:val="16"/>
              </w:rPr>
              <w:t>Inhalational, GI, meningeal, septic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 / triage</w:t>
            </w:r>
          </w:p>
        </w:tc>
        <w:tc>
          <w:tcPr>
            <w:tcW w:type="dxa" w:w="720"/>
            <w:vAlign w:val="top"/>
          </w:tcPr>
          <w:p>
            <w:pPr>
              <w:spacing w:after="40" w:before="0" w:line="259" w:lineRule="auto"/>
            </w:pPr>
            <w:r>
              <w:rPr>
                <w:rFonts w:ascii="Calibri" w:hAnsi="Calibri"/>
                <w:b w:val="0"/>
                <w:i w:val="0"/>
                <w:color w:val="212121"/>
                <w:sz w:val="16"/>
              </w:rPr>
              <w:t>Malignant head-neck oedema may obstruct the airway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Immunisation &amp; prophylaxis history</w:t>
            </w:r>
          </w:p>
        </w:tc>
        <w:tc>
          <w:tcPr>
            <w:tcW w:type="dxa" w:w="979"/>
            <w:vAlign w:val="top"/>
          </w:tcPr>
          <w:p>
            <w:pPr>
              <w:spacing w:after="40" w:before="0" w:line="259" w:lineRule="auto"/>
            </w:pPr>
            <w:r>
              <w:rPr>
                <w:rFonts w:ascii="Calibri" w:hAnsi="Calibri"/>
                <w:b w:val="0"/>
                <w:i w:val="0"/>
                <w:color w:val="212121"/>
                <w:sz w:val="16"/>
              </w:rPr>
              <w:t>Livestock vaccination status; occupational/worker vaccination; prior antibiotic PEP</w:t>
            </w:r>
          </w:p>
        </w:tc>
        <w:tc>
          <w:tcPr>
            <w:tcW w:type="dxa" w:w="950"/>
            <w:vAlign w:val="top"/>
          </w:tcPr>
          <w:p>
            <w:pPr>
              <w:spacing w:after="40" w:before="0" w:line="259" w:lineRule="auto"/>
            </w:pPr>
            <w:r>
              <w:rPr>
                <w:rFonts w:ascii="Calibri" w:hAnsi="Calibri"/>
                <w:b w:val="0"/>
                <w:i w:val="0"/>
                <w:color w:val="212121"/>
                <w:sz w:val="16"/>
              </w:rPr>
              <w:t>Vaccinated herds; PEP where indicated</w:t>
            </w:r>
          </w:p>
        </w:tc>
        <w:tc>
          <w:tcPr>
            <w:tcW w:type="dxa" w:w="950"/>
            <w:vAlign w:val="top"/>
          </w:tcPr>
          <w:p>
            <w:pPr>
              <w:spacing w:after="40" w:before="0" w:line="259" w:lineRule="auto"/>
            </w:pPr>
            <w:r>
              <w:rPr>
                <w:rFonts w:ascii="Calibri" w:hAnsi="Calibri"/>
                <w:b w:val="0"/>
                <w:i w:val="0"/>
                <w:color w:val="212121"/>
                <w:sz w:val="16"/>
              </w:rPr>
              <w:t>Unvaccinated herds; no PEP after exposure</w:t>
            </w:r>
          </w:p>
        </w:tc>
        <w:tc>
          <w:tcPr>
            <w:tcW w:type="dxa" w:w="1036"/>
            <w:vAlign w:val="top"/>
          </w:tcPr>
          <w:p>
            <w:pPr>
              <w:spacing w:after="40" w:before="0" w:line="259" w:lineRule="auto"/>
            </w:pPr>
            <w:r>
              <w:rPr>
                <w:rFonts w:ascii="Calibri" w:hAnsi="Calibri"/>
                <w:b w:val="0"/>
                <w:i w:val="0"/>
                <w:color w:val="212121"/>
                <w:sz w:val="16"/>
              </w:rPr>
              <w:t>Guides prevention and post-exposure management</w:t>
            </w:r>
          </w:p>
        </w:tc>
        <w:tc>
          <w:tcPr>
            <w:tcW w:type="dxa" w:w="1036"/>
            <w:vAlign w:val="top"/>
          </w:tcPr>
          <w:p>
            <w:pPr>
              <w:spacing w:after="40" w:before="0" w:line="259" w:lineRule="auto"/>
            </w:pPr>
            <w:r>
              <w:rPr>
                <w:rFonts w:ascii="Calibri" w:hAnsi="Calibri"/>
                <w:b w:val="0"/>
                <w:i w:val="0"/>
                <w:color w:val="212121"/>
                <w:sz w:val="16"/>
              </w:rPr>
              <w:t>Endemic-village residents; at-risk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Animal vaccination is the key upstream control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Epidemiology</w:t>
            </w:r>
          </w:p>
        </w:tc>
        <w:tc>
          <w:tcPr>
            <w:tcW w:type="dxa" w:w="950"/>
            <w:vAlign w:val="top"/>
          </w:tcPr>
          <w:p>
            <w:pPr>
              <w:spacing w:after="40" w:before="0" w:line="259" w:lineRule="auto"/>
            </w:pPr>
            <w:r>
              <w:rPr>
                <w:rFonts w:ascii="Calibri" w:hAnsi="Calibri"/>
                <w:b w:val="0"/>
                <w:i w:val="0"/>
                <w:color w:val="212121"/>
                <w:sz w:val="16"/>
              </w:rPr>
              <w:t>Cluster / linkage assessment</w:t>
            </w:r>
          </w:p>
        </w:tc>
        <w:tc>
          <w:tcPr>
            <w:tcW w:type="dxa" w:w="979"/>
            <w:vAlign w:val="top"/>
          </w:tcPr>
          <w:p>
            <w:pPr>
              <w:spacing w:after="40" w:before="0" w:line="259" w:lineRule="auto"/>
            </w:pPr>
            <w:r>
              <w:rPr>
                <w:rFonts w:ascii="Calibri" w:hAnsi="Calibri"/>
                <w:b w:val="0"/>
                <w:i w:val="0"/>
                <w:color w:val="212121"/>
                <w:sz w:val="16"/>
              </w:rPr>
              <w:t>Recent livestock deaths in village; other human cases</w:t>
            </w:r>
          </w:p>
        </w:tc>
        <w:tc>
          <w:tcPr>
            <w:tcW w:type="dxa" w:w="950"/>
            <w:vAlign w:val="top"/>
          </w:tcPr>
          <w:p>
            <w:pPr>
              <w:spacing w:after="40" w:before="0" w:line="259" w:lineRule="auto"/>
            </w:pPr>
            <w:r>
              <w:rPr>
                <w:rFonts w:ascii="Calibri" w:hAnsi="Calibri"/>
                <w:b w:val="0"/>
                <w:i w:val="0"/>
                <w:color w:val="212121"/>
                <w:sz w:val="16"/>
              </w:rPr>
              <w:t>No linked deaths or cases</w:t>
            </w:r>
          </w:p>
        </w:tc>
        <w:tc>
          <w:tcPr>
            <w:tcW w:type="dxa" w:w="950"/>
            <w:vAlign w:val="top"/>
          </w:tcPr>
          <w:p>
            <w:pPr>
              <w:spacing w:after="40" w:before="0" w:line="259" w:lineRule="auto"/>
            </w:pPr>
            <w:r>
              <w:rPr>
                <w:rFonts w:ascii="Calibri" w:hAnsi="Calibri"/>
                <w:b w:val="0"/>
                <w:i w:val="0"/>
                <w:color w:val="212121"/>
                <w:sz w:val="16"/>
              </w:rPr>
              <w:t>Recent animal deaths / clustered human cases</w:t>
            </w:r>
          </w:p>
        </w:tc>
        <w:tc>
          <w:tcPr>
            <w:tcW w:type="dxa" w:w="1036"/>
            <w:vAlign w:val="top"/>
          </w:tcPr>
          <w:p>
            <w:pPr>
              <w:spacing w:after="40" w:before="0" w:line="259" w:lineRule="auto"/>
            </w:pPr>
            <w:r>
              <w:rPr>
                <w:rFonts w:ascii="Calibri" w:hAnsi="Calibri"/>
                <w:b w:val="0"/>
                <w:i w:val="0"/>
                <w:color w:val="212121"/>
                <w:sz w:val="16"/>
              </w:rPr>
              <w:t>Triggers outbreak investigation and One Health response</w:t>
            </w:r>
          </w:p>
        </w:tc>
        <w:tc>
          <w:tcPr>
            <w:tcW w:type="dxa" w:w="1036"/>
            <w:vAlign w:val="top"/>
          </w:tcPr>
          <w:p>
            <w:pPr>
              <w:spacing w:after="40" w:before="0" w:line="259" w:lineRule="auto"/>
            </w:pPr>
            <w:r>
              <w:rPr>
                <w:rFonts w:ascii="Calibri" w:hAnsi="Calibri"/>
                <w:b w:val="0"/>
                <w:i w:val="0"/>
                <w:color w:val="212121"/>
                <w:sz w:val="16"/>
              </w:rPr>
              <w:t>Community / outbreak setting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Public-health</w:t>
            </w:r>
          </w:p>
        </w:tc>
        <w:tc>
          <w:tcPr>
            <w:tcW w:type="dxa" w:w="720"/>
            <w:vAlign w:val="top"/>
          </w:tcPr>
          <w:p>
            <w:pPr>
              <w:spacing w:after="40" w:before="0" w:line="259" w:lineRule="auto"/>
            </w:pPr>
            <w:r>
              <w:rPr>
                <w:rFonts w:ascii="Calibri" w:hAnsi="Calibri"/>
                <w:b w:val="0"/>
                <w:i w:val="0"/>
                <w:color w:val="212121"/>
                <w:sz w:val="16"/>
              </w:rPr>
              <w:t>Notify veterinary and public-health authorities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Painless itchy papule / vesicle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initial cutaneous lesion: a small, painless, pruritic bump that blisters over 1–2 days.</w:t>
            </w:r>
          </w:p>
        </w:tc>
      </w:tr>
      <w:tr>
        <w:trPr>
          <w:cantSplit/>
        </w:trPr>
        <w:tc>
          <w:tcPr>
            <w:tcW w:type="dxa" w:w="2304"/>
            <w:vAlign w:val="top"/>
          </w:tcPr>
          <w:p>
            <w:pPr>
              <w:spacing w:after="40" w:before="0" w:line="259" w:lineRule="auto"/>
            </w:pPr>
            <w:r>
              <w:rPr>
                <w:rFonts w:ascii="Calibri" w:hAnsi="Calibri"/>
                <w:b/>
                <w:i w:val="0"/>
                <w:color w:val="212121"/>
                <w:sz w:val="19"/>
              </w:rPr>
              <w:t>Black eschar (malignant pustule)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vesicle ulcerates and dries into a characteristic depressed, coal-black scab — the hallmark of cutaneous anthrax.</w:t>
            </w:r>
          </w:p>
        </w:tc>
      </w:tr>
      <w:tr>
        <w:trPr>
          <w:cantSplit/>
        </w:trPr>
        <w:tc>
          <w:tcPr>
            <w:tcW w:type="dxa" w:w="2304"/>
            <w:vAlign w:val="top"/>
          </w:tcPr>
          <w:p>
            <w:pPr>
              <w:spacing w:after="40" w:before="0" w:line="259" w:lineRule="auto"/>
            </w:pPr>
            <w:r>
              <w:rPr>
                <w:rFonts w:ascii="Calibri" w:hAnsi="Calibri"/>
                <w:b/>
                <w:i w:val="0"/>
                <w:color w:val="212121"/>
                <w:sz w:val="19"/>
              </w:rPr>
              <w:t>Marked local swelling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Disproportionate, non-pitting, gelatinous oedema surrounds the lesion, often far larger than the ulcer itself.</w:t>
            </w:r>
          </w:p>
        </w:tc>
      </w:tr>
      <w:tr>
        <w:trPr>
          <w:cantSplit/>
        </w:trPr>
        <w:tc>
          <w:tcPr>
            <w:tcW w:type="dxa" w:w="2304"/>
            <w:vAlign w:val="top"/>
          </w:tcPr>
          <w:p>
            <w:pPr>
              <w:spacing w:after="40" w:before="0" w:line="259" w:lineRule="auto"/>
            </w:pPr>
            <w:r>
              <w:rPr>
                <w:rFonts w:ascii="Calibri" w:hAnsi="Calibri"/>
                <w:b/>
                <w:i w:val="0"/>
                <w:color w:val="212121"/>
                <w:sz w:val="19"/>
              </w:rPr>
              <w:t>Low-grade fever &amp;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upset accompanies about a third of cutaneous cases and most systemic disease.</w:t>
            </w:r>
          </w:p>
        </w:tc>
      </w:tr>
      <w:tr>
        <w:trPr>
          <w:cantSplit/>
        </w:trPr>
        <w:tc>
          <w:tcPr>
            <w:tcW w:type="dxa" w:w="2304"/>
            <w:vAlign w:val="top"/>
          </w:tcPr>
          <w:p>
            <w:pPr>
              <w:spacing w:after="40" w:before="0" w:line="259" w:lineRule="auto"/>
            </w:pPr>
            <w:r>
              <w:rPr>
                <w:rFonts w:ascii="Calibri" w:hAnsi="Calibri"/>
                <w:b/>
                <w:i w:val="0"/>
                <w:color w:val="212121"/>
                <w:sz w:val="19"/>
              </w:rPr>
              <w:t>Regional lymph node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Tender enlargement of draining nodes with lymphangitis reflects local spread.</w:t>
            </w:r>
          </w:p>
        </w:tc>
      </w:tr>
      <w:tr>
        <w:trPr>
          <w:cantSplit/>
        </w:trPr>
        <w:tc>
          <w:tcPr>
            <w:tcW w:type="dxa" w:w="2304"/>
            <w:vAlign w:val="top"/>
          </w:tcPr>
          <w:p>
            <w:pPr>
              <w:spacing w:after="40" w:before="0" w:line="259" w:lineRule="auto"/>
            </w:pPr>
            <w:r>
              <w:rPr>
                <w:rFonts w:ascii="Calibri" w:hAnsi="Calibri"/>
                <w:b/>
                <w:i w:val="0"/>
                <w:color w:val="212121"/>
                <w:sz w:val="19"/>
              </w:rPr>
              <w:t>Headache &amp; body aches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constitutional symptoms in early systemic and inhalational disease.</w:t>
            </w:r>
          </w:p>
        </w:tc>
      </w:tr>
      <w:tr>
        <w:trPr>
          <w:cantSplit/>
        </w:trPr>
        <w:tc>
          <w:tcPr>
            <w:tcW w:type="dxa" w:w="2304"/>
            <w:vAlign w:val="top"/>
          </w:tcPr>
          <w:p>
            <w:pPr>
              <w:spacing w:after="40" w:before="0" w:line="259" w:lineRule="auto"/>
            </w:pPr>
            <w:r>
              <w:rPr>
                <w:rFonts w:ascii="Calibri" w:hAnsi="Calibri"/>
                <w:b/>
                <w:i w:val="0"/>
                <w:color w:val="212121"/>
                <w:sz w:val="19"/>
              </w:rPr>
              <w:t>Abdominal pain, nausea &amp;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Colicky pain, anorexia and vomiting mark gastrointestinal anthrax after eating infected meat.</w:t>
            </w:r>
          </w:p>
        </w:tc>
      </w:tr>
      <w:tr>
        <w:trPr>
          <w:cantSplit/>
        </w:trPr>
        <w:tc>
          <w:tcPr>
            <w:tcW w:type="dxa" w:w="2304"/>
            <w:vAlign w:val="top"/>
          </w:tcPr>
          <w:p>
            <w:pPr>
              <w:spacing w:after="40" w:before="0" w:line="259" w:lineRule="auto"/>
            </w:pPr>
            <w:r>
              <w:rPr>
                <w:rFonts w:ascii="Calibri" w:hAnsi="Calibri"/>
                <w:b/>
                <w:i w:val="0"/>
                <w:color w:val="212121"/>
                <w:sz w:val="19"/>
              </w:rPr>
              <w:t>Bloody 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Haemorrhagic enteritis with bloody stools indicates intestinal anthrax.</w:t>
            </w:r>
          </w:p>
        </w:tc>
      </w:tr>
      <w:tr>
        <w:trPr>
          <w:cantSplit/>
        </w:trPr>
        <w:tc>
          <w:tcPr>
            <w:tcW w:type="dxa" w:w="2304"/>
            <w:vAlign w:val="top"/>
          </w:tcPr>
          <w:p>
            <w:pPr>
              <w:spacing w:after="40" w:before="0" w:line="259" w:lineRule="auto"/>
            </w:pPr>
            <w:r>
              <w:rPr>
                <w:rFonts w:ascii="Calibri" w:hAnsi="Calibri"/>
                <w:b/>
                <w:i w:val="0"/>
                <w:color w:val="212121"/>
                <w:sz w:val="19"/>
              </w:rPr>
              <w:t>Severe sore throat &amp; dysphagia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Oropharyngeal anthrax causes a throat ulcer, painful swallowing and neck swelling.</w:t>
            </w:r>
          </w:p>
        </w:tc>
      </w:tr>
      <w:tr>
        <w:trPr>
          <w:cantSplit/>
        </w:trPr>
        <w:tc>
          <w:tcPr>
            <w:tcW w:type="dxa" w:w="2304"/>
            <w:vAlign w:val="top"/>
          </w:tcPr>
          <w:p>
            <w:pPr>
              <w:spacing w:after="40" w:before="0" w:line="259" w:lineRule="auto"/>
            </w:pPr>
            <w:r>
              <w:rPr>
                <w:rFonts w:ascii="Calibri" w:hAnsi="Calibri"/>
                <w:b/>
                <w:i w:val="0"/>
                <w:color w:val="212121"/>
                <w:sz w:val="19"/>
              </w:rPr>
              <w:t>Dry cough, chest tightness,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The prodrome and rapid second phase of inhalational (woolsorter's) anthrax.</w:t>
            </w:r>
          </w:p>
        </w:tc>
      </w:tr>
      <w:tr>
        <w:trPr>
          <w:cantSplit/>
        </w:trPr>
        <w:tc>
          <w:tcPr>
            <w:tcW w:type="dxa" w:w="2304"/>
            <w:vAlign w:val="top"/>
          </w:tcPr>
          <w:p>
            <w:pPr>
              <w:spacing w:after="40" w:before="0" w:line="259" w:lineRule="auto"/>
            </w:pPr>
            <w:r>
              <w:rPr>
                <w:rFonts w:ascii="Calibri" w:hAnsi="Calibri"/>
                <w:b/>
                <w:i w:val="0"/>
                <w:color w:val="212121"/>
                <w:sz w:val="19"/>
              </w:rPr>
              <w:t>Drenching sweats &amp; myalgia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Prominent in the inhalational prodrome, often mistaken for influenza.</w:t>
            </w:r>
          </w:p>
        </w:tc>
      </w:tr>
      <w:tr>
        <w:trPr>
          <w:cantSplit/>
        </w:trPr>
        <w:tc>
          <w:tcPr>
            <w:tcW w:type="dxa" w:w="2304"/>
            <w:vAlign w:val="top"/>
          </w:tcPr>
          <w:p>
            <w:pPr>
              <w:spacing w:after="40" w:before="0" w:line="259" w:lineRule="auto"/>
            </w:pPr>
            <w:r>
              <w:rPr>
                <w:rFonts w:ascii="Calibri" w:hAnsi="Calibri"/>
                <w:b/>
                <w:i w:val="0"/>
                <w:color w:val="212121"/>
                <w:sz w:val="19"/>
              </w:rPr>
              <w:t>Deep painful limb swelling &amp; necrosis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Injectional anthrax at heroin injection sites with extensive soft-tissue necrosis.</w:t>
            </w:r>
          </w:p>
        </w:tc>
      </w:tr>
      <w:tr>
        <w:trPr>
          <w:cantSplit/>
        </w:trPr>
        <w:tc>
          <w:tcPr>
            <w:tcW w:type="dxa" w:w="2304"/>
            <w:vAlign w:val="top"/>
          </w:tcPr>
          <w:p>
            <w:pPr>
              <w:spacing w:after="40" w:before="0" w:line="259" w:lineRule="auto"/>
            </w:pPr>
            <w:r>
              <w:rPr>
                <w:rFonts w:ascii="Calibri" w:hAnsi="Calibri"/>
                <w:b/>
                <w:i w:val="0"/>
                <w:color w:val="212121"/>
                <w:sz w:val="19"/>
              </w:rPr>
              <w:t>Severe breathlessness &amp; collapse (shock)</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Fulminant systemic toxaemia with respiratory failure and circulatory shock.</w:t>
            </w:r>
          </w:p>
        </w:tc>
      </w:tr>
      <w:tr>
        <w:trPr>
          <w:cantSplit/>
        </w:trPr>
        <w:tc>
          <w:tcPr>
            <w:tcW w:type="dxa" w:w="2304"/>
            <w:vAlign w:val="top"/>
          </w:tcPr>
          <w:p>
            <w:pPr>
              <w:spacing w:after="40" w:before="0" w:line="259" w:lineRule="auto"/>
            </w:pPr>
            <w:r>
              <w:rPr>
                <w:rFonts w:ascii="Calibri" w:hAnsi="Calibri"/>
                <w:b/>
                <w:i w:val="0"/>
                <w:color w:val="212121"/>
                <w:sz w:val="19"/>
              </w:rPr>
              <w:t>Severe headache with altered sensorium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haemorrhagic anthrax meningitis, a near-uniformly fatal complication.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Central black eschar with painless ulcer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Depressed coal-black necrotic scab on exposed skin; classically non-tender.</w:t>
            </w:r>
          </w:p>
        </w:tc>
      </w:tr>
      <w:tr>
        <w:trPr>
          <w:cantSplit/>
        </w:trPr>
        <w:tc>
          <w:tcPr>
            <w:tcW w:type="dxa" w:w="3456"/>
            <w:vAlign w:val="top"/>
          </w:tcPr>
          <w:p>
            <w:pPr>
              <w:spacing w:after="40" w:before="0" w:line="259" w:lineRule="auto"/>
            </w:pPr>
            <w:r>
              <w:rPr>
                <w:rFonts w:ascii="Calibri" w:hAnsi="Calibri"/>
                <w:b/>
                <w:i w:val="0"/>
                <w:color w:val="212121"/>
                <w:sz w:val="19"/>
              </w:rPr>
              <w:t>Ring of satellite vesicles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secondary vesicles encircling the primary lesion — highly suggestive of anthrax.</w:t>
            </w:r>
          </w:p>
        </w:tc>
      </w:tr>
      <w:tr>
        <w:trPr>
          <w:cantSplit/>
        </w:trPr>
        <w:tc>
          <w:tcPr>
            <w:tcW w:type="dxa" w:w="3456"/>
            <w:vAlign w:val="top"/>
          </w:tcPr>
          <w:p>
            <w:pPr>
              <w:spacing w:after="40" w:before="0" w:line="259" w:lineRule="auto"/>
            </w:pPr>
            <w:r>
              <w:rPr>
                <w:rFonts w:ascii="Calibri" w:hAnsi="Calibri"/>
                <w:b/>
                <w:i w:val="0"/>
                <w:color w:val="212121"/>
                <w:sz w:val="19"/>
              </w:rPr>
              <w:t>Non-pitting gelatinous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Extensive brawny, non-pitting swelling out of proportion to the ulcer.</w:t>
            </w:r>
          </w:p>
        </w:tc>
      </w:tr>
      <w:tr>
        <w:trPr>
          <w:cantSplit/>
        </w:trPr>
        <w:tc>
          <w:tcPr>
            <w:tcW w:type="dxa" w:w="3456"/>
            <w:vAlign w:val="top"/>
          </w:tcPr>
          <w:p>
            <w:pPr>
              <w:spacing w:after="40" w:before="0" w:line="259" w:lineRule="auto"/>
            </w:pPr>
            <w:r>
              <w:rPr>
                <w:rFonts w:ascii="Calibri" w:hAnsi="Calibri"/>
                <w:b/>
                <w:i w:val="0"/>
                <w:color w:val="212121"/>
                <w:sz w:val="19"/>
              </w:rPr>
              <w:t>Regional lymphadenopathy &amp; lymphangitis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 draining nodes with red streaking indicate local dissemination.</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about a third of cutaneous cases and most systemic disease.</w:t>
            </w:r>
          </w:p>
        </w:tc>
      </w:tr>
      <w:tr>
        <w:trPr>
          <w:cantSplit/>
        </w:trPr>
        <w:tc>
          <w:tcPr>
            <w:tcW w:type="dxa" w:w="3456"/>
            <w:vAlign w:val="top"/>
          </w:tcPr>
          <w:p>
            <w:pPr>
              <w:spacing w:after="40" w:before="0" w:line="259" w:lineRule="auto"/>
            </w:pPr>
            <w:r>
              <w:rPr>
                <w:rFonts w:ascii="Calibri" w:hAnsi="Calibri"/>
                <w:b/>
                <w:i w:val="0"/>
                <w:color w:val="212121"/>
                <w:sz w:val="19"/>
              </w:rPr>
              <w:t>Extensive “malignant oedema” of head/neck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Massive facial or cervical swelling that can compromise the airway.</w:t>
            </w:r>
          </w:p>
        </w:tc>
      </w:tr>
      <w:tr>
        <w:trPr>
          <w:cantSplit/>
        </w:trPr>
        <w:tc>
          <w:tcPr>
            <w:tcW w:type="dxa" w:w="3456"/>
            <w:vAlign w:val="top"/>
          </w:tcPr>
          <w:p>
            <w:pPr>
              <w:spacing w:after="40" w:before="0" w:line="259" w:lineRule="auto"/>
            </w:pPr>
            <w:r>
              <w:rPr>
                <w:rFonts w:ascii="Calibri" w:hAnsi="Calibri"/>
                <w:b/>
                <w:i w:val="0"/>
                <w:color w:val="212121"/>
                <w:sz w:val="19"/>
              </w:rPr>
              <w:t>Oropharyngeal ulcer with cervical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Throat ulceration, dysphagia and neck oedema in the oropharyngeal variant.</w:t>
            </w:r>
          </w:p>
        </w:tc>
      </w:tr>
      <w:tr>
        <w:trPr>
          <w:cantSplit/>
        </w:trPr>
        <w:tc>
          <w:tcPr>
            <w:tcW w:type="dxa" w:w="3456"/>
            <w:vAlign w:val="top"/>
          </w:tcPr>
          <w:p>
            <w:pPr>
              <w:spacing w:after="40" w:before="0" w:line="259" w:lineRule="auto"/>
            </w:pPr>
            <w:r>
              <w:rPr>
                <w:rFonts w:ascii="Calibri" w:hAnsi="Calibri"/>
                <w:b/>
                <w:i w:val="0"/>
                <w:color w:val="212121"/>
                <w:sz w:val="19"/>
              </w:rPr>
              <w:t>Abdominal tenderness with ascites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Peritoneal signs and haemorrhagic ascites in intestinal anthrax.</w:t>
            </w:r>
          </w:p>
        </w:tc>
      </w:tr>
      <w:tr>
        <w:trPr>
          <w:cantSplit/>
        </w:trPr>
        <w:tc>
          <w:tcPr>
            <w:tcW w:type="dxa" w:w="3456"/>
            <w:vAlign w:val="top"/>
          </w:tcPr>
          <w:p>
            <w:pPr>
              <w:spacing w:after="40" w:before="0" w:line="259" w:lineRule="auto"/>
            </w:pPr>
            <w:r>
              <w:rPr>
                <w:rFonts w:ascii="Calibri" w:hAnsi="Calibri"/>
                <w:b/>
                <w:i w:val="0"/>
                <w:color w:val="212121"/>
                <w:sz w:val="19"/>
              </w:rPr>
              <w:t>Widened mediastinum on chest X-ray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Radiographic hallmark of inhalational anthrax with haemorrhagic mediastinitis.</w:t>
            </w:r>
          </w:p>
        </w:tc>
      </w:tr>
      <w:tr>
        <w:trPr>
          <w:cantSplit/>
        </w:trPr>
        <w:tc>
          <w:tcPr>
            <w:tcW w:type="dxa" w:w="3456"/>
            <w:vAlign w:val="top"/>
          </w:tcPr>
          <w:p>
            <w:pPr>
              <w:spacing w:after="40" w:before="0" w:line="259" w:lineRule="auto"/>
            </w:pPr>
            <w:r>
              <w:rPr>
                <w:rFonts w:ascii="Calibri" w:hAnsi="Calibri"/>
                <w:b/>
                <w:i w:val="0"/>
                <w:color w:val="212121"/>
                <w:sz w:val="19"/>
              </w:rPr>
              <w:t>Respiratory distress, hypoxia, 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Rapid decompensation in the second phase of inhalational disease.</w:t>
            </w:r>
          </w:p>
        </w:tc>
      </w:tr>
      <w:tr>
        <w:trPr>
          <w:cantSplit/>
        </w:trPr>
        <w:tc>
          <w:tcPr>
            <w:tcW w:type="dxa" w:w="3456"/>
            <w:vAlign w:val="top"/>
          </w:tcPr>
          <w:p>
            <w:pPr>
              <w:spacing w:after="40" w:before="0" w:line="259" w:lineRule="auto"/>
            </w:pPr>
            <w:r>
              <w:rPr>
                <w:rFonts w:ascii="Calibri" w:hAnsi="Calibri"/>
                <w:b/>
                <w:i w:val="0"/>
                <w:color w:val="212121"/>
                <w:sz w:val="19"/>
              </w:rPr>
              <w:t>Meningismus with haemorrhagic CSF</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Neck stiffness and blood-stained CSF in anthrax meningitis.</w:t>
            </w:r>
          </w:p>
        </w:tc>
      </w:tr>
      <w:tr>
        <w:trPr>
          <w:cantSplit/>
        </w:trPr>
        <w:tc>
          <w:tcPr>
            <w:tcW w:type="dxa" w:w="3456"/>
            <w:vAlign w:val="top"/>
          </w:tcPr>
          <w:p>
            <w:pPr>
              <w:spacing w:after="40" w:before="0" w:line="259" w:lineRule="auto"/>
            </w:pPr>
            <w:r>
              <w:rPr>
                <w:rFonts w:ascii="Calibri" w:hAnsi="Calibri"/>
                <w:b/>
                <w:i w:val="0"/>
                <w:color w:val="212121"/>
                <w:sz w:val="19"/>
              </w:rPr>
              <w:t>Hypotension &amp; septic shock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Toxin-driven vascular collapse in fulminant systemic anthrax.</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local malignant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vesiculation and ulceration with black eschar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Regional lymphangitis and painful lymphadenopathy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soft-tissue necrosis</w:t>
            </w:r>
          </w:p>
        </w:tc>
        <w:tc>
          <w:tcPr>
            <w:tcW w:type="dxa" w:w="2980"/>
            <w:vAlign w:val="top"/>
          </w:tcPr>
          <w:p>
            <w:pPr>
              <w:spacing w:after="40" w:before="0" w:line="259" w:lineRule="auto"/>
            </w:pPr>
            <w:r>
              <w:rPr>
                <w:rFonts w:ascii="Calibri" w:hAnsi="Calibri"/>
                <w:b w:val="0"/>
                <w:i w:val="0"/>
                <w:color w:val="212121"/>
                <w:sz w:val="19"/>
              </w:rPr>
              <w:t>Direct local effects of spore germination and toxin release at the site of inoculation.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toxaemia (systemic anthrax)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and septic shock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Haemorrhagic anthrax meningitis / meningoencephalitis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Haemorrhagic mediastinitis and ARDS (inhalational)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haemorrhage, bowel perforation and peritonitis (GI form)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intravascular coagulation (DIC)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Compartment syndrome and airway obstruction from massive oedema</w:t>
            </w:r>
          </w:p>
        </w:tc>
        <w:tc>
          <w:tcPr>
            <w:tcW w:type="dxa" w:w="2980"/>
            <w:vAlign w:val="top"/>
          </w:tcPr>
          <w:p>
            <w:pPr>
              <w:spacing w:after="40" w:before="0" w:line="259" w:lineRule="auto"/>
            </w:pPr>
            <w:r>
              <w:rPr>
                <w:rFonts w:ascii="Calibri" w:hAnsi="Calibri"/>
                <w:b w:val="0"/>
                <w:i w:val="0"/>
                <w:color w:val="212121"/>
                <w:sz w:val="19"/>
              </w:rPr>
              <w:t>Consequences of toxin-mediated vascular injury and haematogenous/toxaemic dissemination.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(high case-fatality in inhalational, GI, injectional and meningeal forms)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scarring, disfigurement and contractures from healed eschars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Neurological sequelae after anthrax 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Multi-organ dysfunction in survivors of severe sepsis</w:t>
            </w:r>
          </w:p>
        </w:tc>
        <w:tc>
          <w:tcPr>
            <w:tcW w:type="dxa" w:w="2980"/>
            <w:vAlign w:val="top"/>
          </w:tcPr>
          <w:p>
            <w:pPr>
              <w:spacing w:after="40" w:before="0" w:line="259" w:lineRule="auto"/>
            </w:pPr>
            <w:r>
              <w:rPr>
                <w:rFonts w:ascii="Calibri" w:hAnsi="Calibri"/>
                <w:b w:val="0"/>
                <w:i w:val="0"/>
                <w:color w:val="212121"/>
                <w:sz w:val="19"/>
              </w:rPr>
              <w:t>Irreversible, disabling or fatal outcomes of untreated or late-treated systemic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Anthrax meningitis / meningoencephalitis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Haemorrhagic meningitis complicating systemic anthrax; mortality is extremely high (roughly 50–90%) even with triple antibiotics.</w:t>
            </w:r>
          </w:p>
        </w:tc>
      </w:tr>
      <w:tr>
        <w:trPr>
          <w:cantSplit/>
        </w:trPr>
        <w:tc>
          <w:tcPr>
            <w:tcW w:type="dxa" w:w="2232"/>
            <w:vAlign w:val="top"/>
          </w:tcPr>
          <w:p>
            <w:pPr>
              <w:spacing w:after="40" w:before="0" w:line="259" w:lineRule="auto"/>
            </w:pPr>
            <w:r>
              <w:rPr>
                <w:rFonts w:ascii="Calibri" w:hAnsi="Calibri"/>
                <w:b/>
                <w:i w:val="0"/>
                <w:color w:val="212121"/>
                <w:sz w:val="19"/>
              </w:rPr>
              <w:t>Sepsis and septic shock</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Toxin-driven vascular leak and vasodilatation produce refractory shock in systemic anthrax.</w:t>
            </w:r>
          </w:p>
        </w:tc>
      </w:tr>
      <w:tr>
        <w:trPr>
          <w:cantSplit/>
        </w:trPr>
        <w:tc>
          <w:tcPr>
            <w:tcW w:type="dxa" w:w="2232"/>
            <w:vAlign w:val="top"/>
          </w:tcPr>
          <w:p>
            <w:pPr>
              <w:spacing w:after="40" w:before="0" w:line="259" w:lineRule="auto"/>
            </w:pPr>
            <w:r>
              <w:rPr>
                <w:rFonts w:ascii="Calibri" w:hAnsi="Calibri"/>
                <w:b/>
                <w:i w:val="0"/>
                <w:color w:val="212121"/>
                <w:sz w:val="19"/>
              </w:rPr>
              <w:t>Disseminated intravascular coagulation (DIC)</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Anthrax toxins amplify sepsis-induced coagulopathy and endothelial dysfunction, causing bleeding and thrombosis.</w:t>
            </w:r>
          </w:p>
        </w:tc>
      </w:tr>
      <w:tr>
        <w:trPr>
          <w:cantSplit/>
        </w:trPr>
        <w:tc>
          <w:tcPr>
            <w:tcW w:type="dxa" w:w="2232"/>
            <w:vAlign w:val="top"/>
          </w:tcPr>
          <w:p>
            <w:pPr>
              <w:spacing w:after="40" w:before="0" w:line="259" w:lineRule="auto"/>
            </w:pPr>
            <w:r>
              <w:rPr>
                <w:rFonts w:ascii="Calibri" w:hAnsi="Calibri"/>
                <w:b/>
                <w:i w:val="0"/>
                <w:color w:val="212121"/>
                <w:sz w:val="19"/>
              </w:rPr>
              <w:t>Haemorrhagic mediastinitis &amp; ARDS (respiratory failure)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Hallmark of inhalational anthrax; mediastinal haemorrhage, pleural effusions and lung injury drive 85–90% untreated mortality.</w:t>
            </w:r>
          </w:p>
        </w:tc>
      </w:tr>
      <w:tr>
        <w:trPr>
          <w:cantSplit/>
        </w:trPr>
        <w:tc>
          <w:tcPr>
            <w:tcW w:type="dxa" w:w="2232"/>
            <w:vAlign w:val="top"/>
          </w:tcPr>
          <w:p>
            <w:pPr>
              <w:spacing w:after="40" w:before="0" w:line="259" w:lineRule="auto"/>
            </w:pPr>
            <w:r>
              <w:rPr>
                <w:rFonts w:ascii="Calibri" w:hAnsi="Calibri"/>
                <w:b/>
                <w:i w:val="0"/>
                <w:color w:val="212121"/>
                <w:sz w:val="19"/>
              </w:rPr>
              <w:t>Secondary bacterial soft-tissue infection / cellulitis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Necrotic eschars and injectional lesions can be superinfected, complicating wound management.</w:t>
            </w:r>
          </w:p>
        </w:tc>
      </w:tr>
      <w:tr>
        <w:trPr>
          <w:cantSplit/>
        </w:trPr>
        <w:tc>
          <w:tcPr>
            <w:tcW w:type="dxa" w:w="2232"/>
            <w:vAlign w:val="top"/>
          </w:tcPr>
          <w:p>
            <w:pPr>
              <w:spacing w:after="40" w:before="0" w:line="259" w:lineRule="auto"/>
            </w:pPr>
            <w:r>
              <w:rPr>
                <w:rFonts w:ascii="Calibri" w:hAnsi="Calibri"/>
                <w:b/>
                <w:i w:val="0"/>
                <w:color w:val="212121"/>
                <w:sz w:val="19"/>
              </w:rPr>
              <w:t>Compartment syndrome / airway obstruction (malignant oedema)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Massive non-pitting oedema of a limb or the head-neck may compress tissue planes or the airway, needing urgent intervention.</w:t>
            </w:r>
          </w:p>
        </w:tc>
      </w:tr>
      <w:tr>
        <w:trPr>
          <w:cantSplit/>
        </w:trPr>
        <w:tc>
          <w:tcPr>
            <w:tcW w:type="dxa" w:w="2232"/>
            <w:vAlign w:val="top"/>
          </w:tcPr>
          <w:p>
            <w:pPr>
              <w:spacing w:after="40" w:before="0" w:line="259" w:lineRule="auto"/>
            </w:pPr>
            <w:r>
              <w:rPr>
                <w:rFonts w:ascii="Calibri" w:hAnsi="Calibri"/>
                <w:b/>
                <w:i w:val="0"/>
                <w:color w:val="212121"/>
                <w:sz w:val="19"/>
              </w:rPr>
              <w:t>Injection drug use (heroin)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Injecting spore-contaminated heroin causes injectional anthrax; ongoing drug use complicates diagnosis, adherence and outcome.</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Impaired cell-mediated immunity may accelerate local spread and systemic dissemination and alters monitoring and prognosis.</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undernutrition</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Common in the poor tribal populations where Indian anthrax clusters; impairs healing and immune response, worsening severity.</w:t>
            </w:r>
          </w:p>
        </w:tc>
      </w:tr>
      <w:tr>
        <w:trPr>
          <w:cantSplit/>
        </w:trPr>
        <w:tc>
          <w:tcPr>
            <w:tcW w:type="dxa" w:w="2232"/>
            <w:vAlign w:val="top"/>
          </w:tcPr>
          <w:p>
            <w:pPr>
              <w:spacing w:after="40" w:before="0" w:line="259" w:lineRule="auto"/>
            </w:pPr>
            <w:r>
              <w:rPr>
                <w:rFonts w:ascii="Calibri" w:hAnsi="Calibri"/>
                <w:b/>
                <w:i w:val="0"/>
                <w:color w:val="212121"/>
                <w:sz w:val="19"/>
              </w:rPr>
              <w:t>Tetanus / other zoonotic wound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Carcass-related skin wounds can co-inoculate other soil organisms, prompting tetanus prophylaxis alongside anthrax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slaughter, skin, butcher, bury or eat an animal that has died suddenly or of unknown cause — report it to the veterinary service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a painless skin sore with a black centre and marked swelling after animal contact, and seek care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opening a dead animal's carcass releases spores that contaminate soil for years; leave carcasses unopened.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annual anthrax vaccination of cattle, buffalo, sheep and goats in endemic villages as the key upstream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prompt reporting of livestock deaths and a One Health response linking human health, veterinary and public-health teams.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Dispel myths that consuming fallen livestock is safe if cooked — spores and toxins pose real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Livestock farmers &amp; herders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 rural endemic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Butchers &amp; carcass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Village health &amp; veterinary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residents of endemic districts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protective equipment — gloves, boots, apron and, for dusty wool/hide/bone-meal work, a mask — whenever handling animals or animal products.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Cover all cuts, abrasions and dermatitis with occlusive dressings before any animal or carcass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Dispose of carcasses safely: deep burial (at least ~1.8 m) with lime, or incineration, without opening or skinning.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Disinfect tools, surfaces and contaminated ground after slaughter or a suspected anthrax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occupational anthrax vaccination and safe-handling training to high-risk workers (tannery, wool, abattoir, veterinary, laboratory).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Slaughter &amp; abattoir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Tannery, wool &amp; hide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Veterinary &amp; laboratory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Carcass-disposal teams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care at the first painless ulcer or swelling — early antibiotics (e.g., ciprofloxacin or doxycycline) cut cutaneous mortality to under 1%.</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incise, squeeze, excise or debride the eschar, as this promotes systemic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and rest an oedematous limb; monitor head-and-neck oedema for airway compromise.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urgently to hospital/ICU for any systemic signs (high fever, breathlessness, neck stiffness, abdominal signs, shock) for IV combination therapy and, where indicated, antitoxin.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post-exposure prophylaxis (antibiotics ± vaccine) to people with a shared high-risk exposure during an outbreak.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cutaneous anthrax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Suspected systemic / inhalational / GI anthrax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Exposed household &amp; occupational contacts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eat or prepare meat from a sick or dead animal; obtain meat only from healthy, inspected 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all meat thoroughly and avoid tasting raw or undercooked meat during preparation.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communal feasts organised around a fallen animal, a recurring source of gastrointestinal-anthrax clusters.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raw meat, utensils and hands clean and separate to prevent cross-contamination.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Discard and safely dispose of any meat linked to an animal that died suddenly.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Meat-eating households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&amp; rural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 feast organisers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and sleep during and after treatment to support immune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pain and anxiety so that sleep is not disrupted during hospital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anthrax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systemic cases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smoking, which impairs airway defences and may worsen inhalational (woolsorter's) anthrax.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in wool, hide or bone-meal processing areas where spore-laden dust may be inhaled.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smoking cessation with dust control and respiratory protection at the workplace.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Wool / hide / bone-meal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Tannery &amp; abattoir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celebratory drinking around communal slaughter and feasting on fallen livestock.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handle or butcher animals while intoxicated, when hygiene and judgement are impaired.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alcohol excess, which can blunt immune defences during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 feast participants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animal handlers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reassuring community messaging during outbreaks to reduce fear, stigma and misinformation.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affected families to encourage prompt, safe care-seeking rather than concealment.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bereaved or disfigured patients, addressing anxiety and social stigma from visible eschar scars.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trusted local and tribal leaders to sustain safe carcass-disposal and reporting behaviours.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Outbreak-affected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disfiguring scars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&amp; rural households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mcpublichealth.biomedcentral.com/articles/10.1186/s12889-019-6787-0" TargetMode="External"/><Relationship Id="rId10" Type="http://schemas.openxmlformats.org/officeDocument/2006/relationships/hyperlink" Target="https://ijdvl.com/cutaneous-anthrax-an-indian-perspective/" TargetMode="External"/><Relationship Id="rId11" Type="http://schemas.openxmlformats.org/officeDocument/2006/relationships/hyperlink" Target="https://pmc.ncbi.nlm.nih.gov/articles/PMC10288098/" TargetMode="External"/><Relationship Id="rId12" Type="http://schemas.openxmlformats.org/officeDocument/2006/relationships/hyperlink" Target="https://nams-annals.in/cutaneous-anthraxstill-a-reality-in-india/" TargetMode="External"/><Relationship Id="rId13" Type="http://schemas.openxmlformats.org/officeDocument/2006/relationships/hyperlink" Target="https://www.cdc.gov/anthrax/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