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Plague</w:t>
      </w:r>
    </w:p>
    <w:p>
      <w:pPr>
        <w:spacing w:before="0" w:after="160"/>
      </w:pPr>
      <w:r>
        <w:rPr>
          <w:rFonts w:ascii="Calibri" w:hAnsi="Calibri"/>
          <w:b/>
          <w:i w:val="0"/>
          <w:color w:val="212121"/>
          <w:sz w:val="22"/>
        </w:rPr>
        <w:t xml:space="preserve">AKA </w:t>
      </w:r>
      <w:r>
        <w:rPr>
          <w:rFonts w:ascii="Calibri" w:hAnsi="Calibri"/>
          <w:b w:val="0"/>
          <w:i w:val="0"/>
          <w:color w:val="212121"/>
          <w:sz w:val="22"/>
        </w:rPr>
        <w:t>i.e., Bubonic plague, Pneumonic plague, Septicemic plague, Yersinia pestis infection, the “Black Death”, Pestis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Plague is a severe, rapidly progressive zoonotic infection caused by the gram-negative coccobacillus Yersinia pestis, maintained in nature among wild rodents and transmitted chiefly by the bite of infected fleas. It presents in three principal clinical forms — bubonic (painful regional lymphadenopathy or ‘buboes’), septicemic (overwhelming bloodstream infection with disseminated intravascular coagulation and acral gangrene), and pneumonic (fulminant pneumonia that is the only person-to-person transmissible form). Untreated plague carries very high case-fatality, but prompt antibiotic therapy is curative, making early recognition a medical emergency. Historically responsible for the ‘Black Death’, plague remains a WHO-notifiable, epidemic-prone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bore the heaviest burden of the third plague pandemic, with an estimated 10–12 million deaths recorded in British India between 1896 and the mid-20th century. After decades of quiescence, plague re-emerged in August–October 1994 as a bubonic outbreak in Beed (Maharashtra) and a pneumonic outbreak in Surat (Gujarat), producing 693 suspected cases and 56 deaths across five states and Delhi; roughly 78% of Surat’s confirmed cases arose in urban slums and about 300,000 residents fled the city. Localized outbreaks later reported from Himachal Pradesh (2002) and Uttarakhand (2004) confirmed that natural (sylvatic) foci persist in the Deccan Plateau and the Western Himalayas, even though India currently reports no endemic human plague. Globally about 600 human cases are notified each year, concentrated in the Democratic Republic of the Congo, Madagascar and Peru.</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Plague is a clinical and epidemiological diagnosis confirmed by laboratory isolation or detection of Yersinia pestis. WHO case classification distinguishes suspected, presumptive and confirmed cases, but treatment must never wait for confirmation: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Suspected case: a compatible acute illness (sudden fever with a tender bubo, or fulminant pneumonia, or unexplained sepsis) in a person with an epidemiological link to a plague focus — flea exposure, a rodent die-off, handling of wild animals, or contact with a pneumonic case.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Presumptive case: a suspected case plus bipolar, ‘safety-pin’ gram-negative coccobacilli on Wright/Giemsa or Gram stain of bubo aspirate, blood or sputum, and/or a positive F1-antigen rapid diagnostic (dipstick)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Confirmed case: isolation of Y. pestis in culture from bubo aspirate, blood or sputum (gold standard), OR a ≥ 4-fold rise in anti-F1 antibody titre between paired sera, OR detection of Y. pestis nucleic acid (e.g., pla / caf1 genes) by PCR.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Specimens (bubo aspirate, blood, sputum, CSF) should be collected before, and empirical antibiotics started immediately after, sampling — therapy is begun on clinical suspicion alone.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Plague is classified primarily by clinical form, which reflects the route of infection and the organ predominantly involved:</w:t>
      </w:r>
    </w:p>
    <w:p>
      <w:pPr>
        <w:spacing w:before="0" w:after="80"/>
      </w:pPr>
      <w:r>
        <w:rPr>
          <w:rFonts w:ascii="Calibri" w:hAnsi="Calibri"/>
          <w:b w:val="0"/>
          <w:i w:val="0"/>
          <w:color w:val="212121"/>
          <w:sz w:val="21"/>
        </w:rPr>
        <w:t>(1) Bubonic plague — the commonest form (~80–90% of cases), following a flea bite; regional lymph nodes become acutely swollen, tender ‘buboes’, typically inguinal, axillary or cervical, after a 2–8 day incubation.</w:t>
      </w:r>
    </w:p>
    <w:p>
      <w:pPr>
        <w:spacing w:before="0" w:after="80"/>
      </w:pPr>
      <w:r>
        <w:rPr>
          <w:rFonts w:ascii="Calibri" w:hAnsi="Calibri"/>
          <w:b w:val="0"/>
          <w:i w:val="0"/>
          <w:color w:val="212121"/>
          <w:sz w:val="21"/>
        </w:rPr>
        <w:t>(2) Septicemic plague — bloodstream infection that may arise primarily (without a bubo) or secondarily from untreated bubonic disease; it causes rapid sepsis, disseminated intravascular coagulation and acral gangrene (the historical ‘black death’).</w:t>
      </w:r>
    </w:p>
    <w:p>
      <w:pPr>
        <w:spacing w:before="0" w:after="80"/>
      </w:pPr>
      <w:r>
        <w:rPr>
          <w:rFonts w:ascii="Calibri" w:hAnsi="Calibri"/>
          <w:b w:val="0"/>
          <w:i w:val="0"/>
          <w:color w:val="212121"/>
          <w:sz w:val="21"/>
        </w:rPr>
        <w:t>(3) Pneumonic plague — the most lethal and the only person-to-person transmissible form; primary pneumonic plague follows inhalation of respiratory droplets, secondary pneumonic plague follows haematogenous seeding of the lungs. Incubation is 1–4 days and, untreated, mortality approaches 100%.</w:t>
      </w:r>
    </w:p>
    <w:p>
      <w:pPr>
        <w:spacing w:before="0" w:after="80"/>
      </w:pPr>
      <w:r>
        <w:rPr>
          <w:rFonts w:ascii="Calibri" w:hAnsi="Calibri"/>
          <w:b w:val="0"/>
          <w:i w:val="0"/>
          <w:color w:val="212121"/>
          <w:sz w:val="21"/>
        </w:rPr>
        <w:t>(4) Less common localized forms — pharyngeal plague (after ingestion or inhalation), plague meningitis, and gastrointestinal or cutaneous (‘pestis minor’) presentations.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Yersinia pestis: A non-motile, gram-negative coccobacillus (family Enterobacteriaceae) showing characteristic bipolar ‘safety-pin’ staining; virulence depends on the F1 capsular antigen, the pla plasminogen activator, and a type-III secretion system delivering Yop effectors that disable phagocytes.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Flea vector: The oriental rat flea (Xenopsylla cheopis) and related fleas transmit the bacillus; Y. pestis forms a biofilm that blocks the flea’s proventriculus, so the ‘blocked’ flea regurgitates bacteria into the bite wound during feeding.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Rodent reservoir: Sylvatic rodents (rats, gerbils, marmots, ground squirrels) maintain the organism in enzootic foci, while commensal rats (Rattus rattus) bridge infection to humans in peridomestic settings.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Epizootic amplification: A die-off of susceptible rodents (epizootic) forces infected fleas to seek alternative hosts, driving human spillover — the ecological trigger behind most outbreaks, including India’s 1994 epidemic.</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Direct contact and inhalation: Handling infected animal tissues (hunting, skinning, butchering wild game) or inhaling droplets from a coughing pneumonic patient or an infected cat provide non-vector routes of infection.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and social factors: Overcrowding, poor sanitation, rodent-infested housing, food-grain storage and warm, humid conditions favour vector abundance and human exposure.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Most human plague occurs in working-age adults through occupational and peridomestic contact with rodents and fleas in enzootic foci; the flea bite inoculates Y. pestis, which drains to regional nodes and, if untreated, disseminates.</w:t>
            </w:r>
          </w:p>
          <w:p>
            <w:pPr>
              <w:spacing w:after="40" w:before="60" w:line="259" w:lineRule="auto"/>
            </w:pPr>
            <w:r>
              <w:rPr>
                <w:rFonts w:ascii="Calibri" w:hAnsi="Calibri"/>
                <w:b w:val="0"/>
                <w:i w:val="0"/>
                <w:color w:val="212121"/>
                <w:sz w:val="19"/>
              </w:rPr>
              <w:t>Over the first decade of the 21st century, 21,725 human cases and 1,612 deaths were reported globally (case-fatality ~7.4%), predominantly among rural working-age populations in endemic foci.</w:t>
            </w:r>
          </w:p>
          <w:p>
            <w:pPr>
              <w:spacing w:after="40" w:line="252" w:lineRule="auto"/>
            </w:pPr>
            <w:hyperlink r:id="rId9">
              <w:r>
                <w:rPr>
                  <w:rFonts w:ascii="Calibri" w:hAnsi="Calibri" w:cs="Calibri"/>
                  <w:sz w:val="18"/>
                  <w:color w:val="1155CC"/>
                  <w:u w:val="single"/>
                </w:rPr>
                <w:t xml:space="preserve">ncbi.nlm.nih.gov/books/NBK549855 — Plague (StatPearls)</w:t>
              </w:r>
            </w:hyperlink>
          </w:p>
          <w:p>
            <w:pPr>
              <w:spacing w:before="60" w:after="40"/>
            </w:pPr>
            <w:r>
              <w:rPr>
                <w:rFonts w:ascii="Calibri" w:hAnsi="Calibri"/>
                <w:b w:val="0"/>
                <w:i w:val="0"/>
                <w:color w:val="5A5A5A"/>
                <w:sz w:val="18"/>
              </w:rPr>
              <w:t>#zoonosis  #fleabite  #occupationalexposure  #endemicfoci  #Yersiniapestis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tolerate fulminant sepsis poorly; blunted immunity and comorbidities (cardiac, pulmonary, renal, diabetes) raise the risk of septic shock, DIC and death once infection is established.</w:t>
            </w:r>
          </w:p>
          <w:p>
            <w:pPr>
              <w:spacing w:after="40" w:before="60" w:line="259" w:lineRule="auto"/>
            </w:pPr>
            <w:r>
              <w:rPr>
                <w:rFonts w:ascii="Calibri" w:hAnsi="Calibri"/>
                <w:b w:val="0"/>
                <w:i w:val="0"/>
                <w:color w:val="212121"/>
                <w:sz w:val="19"/>
              </w:rPr>
              <w:t>Untreated plague carries very high case-fatality, and delayed presentation in frail elderly patients further worsens outcomes.</w:t>
            </w:r>
          </w:p>
          <w:p>
            <w:pPr>
              <w:spacing w:before="60" w:after="40"/>
            </w:pPr>
            <w:r>
              <w:rPr>
                <w:rFonts w:ascii="Calibri" w:hAnsi="Calibri"/>
                <w:b w:val="0"/>
                <w:i w:val="0"/>
                <w:color w:val="5A5A5A"/>
                <w:sz w:val="18"/>
              </w:rPr>
              <w:t>#elderly  #comorbidity  #septicshock  #highCFR  #frailty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w:t>
            </w:r>
          </w:p>
        </w:tc>
        <w:tc>
          <w:tcPr>
            <w:tcW w:type="dxa" w:w="4276"/>
            <w:vAlign w:val="top"/>
          </w:tcPr>
          <w:p>
            <w:pPr>
              <w:spacing w:after="60" w:line="259" w:lineRule="auto"/>
            </w:pPr>
            <w:r>
              <w:rPr>
                <w:rFonts w:ascii="Calibri" w:hAnsi="Calibri"/>
                <w:b w:val="0"/>
                <w:i w:val="0"/>
                <w:color w:val="212121"/>
                <w:sz w:val="19"/>
              </w:rPr>
              <w:t>Children in endemic villages acquire infection through play near rodent burrows, contact with sick pets and shared crowded sleeping spaces; plague is frequently reported in the young in active foci.</w:t>
            </w:r>
          </w:p>
          <w:p>
            <w:pPr>
              <w:spacing w:after="40" w:before="60" w:line="259" w:lineRule="auto"/>
            </w:pPr>
            <w:r>
              <w:rPr>
                <w:rFonts w:ascii="Calibri" w:hAnsi="Calibri"/>
                <w:b w:val="0"/>
                <w:i w:val="0"/>
                <w:color w:val="212121"/>
                <w:sz w:val="19"/>
              </w:rPr>
              <w:t>In natural foci, a substantial share of cases occurs in children and adolescents owing to peridomestic rodent and flea exposure.</w:t>
            </w:r>
          </w:p>
          <w:p>
            <w:pPr>
              <w:spacing w:before="60" w:after="40"/>
            </w:pPr>
            <w:r>
              <w:rPr>
                <w:rFonts w:ascii="Calibri" w:hAnsi="Calibri"/>
                <w:b w:val="0"/>
                <w:i w:val="0"/>
                <w:color w:val="5A5A5A"/>
                <w:sz w:val="18"/>
              </w:rPr>
              <w:t>#children  #peridomestic  #rodentburrows  #householdexposure  #play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A male predominance is generally observed, reflecting greater occupational exposure through hunting, trapping, herding, farming and forestry rather than any intrinsic biological susceptibility.</w:t>
            </w:r>
          </w:p>
          <w:p>
            <w:pPr>
              <w:spacing w:after="40" w:before="60" w:line="259" w:lineRule="auto"/>
            </w:pPr>
            <w:r>
              <w:rPr>
                <w:rFonts w:ascii="Calibri" w:hAnsi="Calibri"/>
                <w:b w:val="0"/>
                <w:i w:val="0"/>
                <w:color w:val="212121"/>
                <w:sz w:val="19"/>
              </w:rPr>
              <w:t>Case series consistently show more males, attributable to outdoor, animal-contact occupations.</w:t>
            </w:r>
          </w:p>
          <w:p>
            <w:pPr>
              <w:spacing w:after="40" w:line="252" w:lineRule="auto"/>
            </w:pPr>
            <w:hyperlink r:id="rId10">
              <w:r>
                <w:rPr>
                  <w:rFonts w:ascii="Calibri" w:hAnsi="Calibri" w:cs="Calibri"/>
                  <w:sz w:val="18"/>
                  <w:color w:val="1155CC"/>
                  <w:u w:val="single"/>
                </w:rPr>
                <w:t xml:space="preserve">cdc.gov — About plague (handling infected animals)</w:t>
              </w:r>
            </w:hyperlink>
          </w:p>
          <w:p>
            <w:pPr>
              <w:spacing w:before="60" w:after="40"/>
            </w:pPr>
            <w:r>
              <w:rPr>
                <w:rFonts w:ascii="Calibri" w:hAnsi="Calibri"/>
                <w:b w:val="0"/>
                <w:i w:val="0"/>
                <w:color w:val="5A5A5A"/>
                <w:sz w:val="18"/>
              </w:rPr>
              <w:t>#male  #hunters  #herders  #occupational  #outdoorwork</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Rural populations of Indian natural foci (Deccan Plateau; Western Himalayas)</w:t>
            </w:r>
          </w:p>
        </w:tc>
        <w:tc>
          <w:tcPr>
            <w:tcW w:type="dxa" w:w="4276"/>
            <w:vAlign w:val="top"/>
          </w:tcPr>
          <w:p>
            <w:pPr>
              <w:spacing w:after="60" w:line="259" w:lineRule="auto"/>
            </w:pPr>
            <w:r>
              <w:rPr>
                <w:rFonts w:ascii="Calibri" w:hAnsi="Calibri"/>
                <w:b w:val="0"/>
                <w:i w:val="0"/>
                <w:color w:val="212121"/>
                <w:sz w:val="19"/>
              </w:rPr>
              <w:t>Sylvatic Y. pestis persists in the Deccan Plateau (e.g., Kolar, Karnataka) and the Western Himalayas (Himachal Pradesh, Uttarakhand); rural residents living close to rodents and fleas are at risk during epizootics.</w:t>
            </w:r>
          </w:p>
          <w:p>
            <w:pPr>
              <w:spacing w:after="40" w:before="60" w:line="259" w:lineRule="auto"/>
            </w:pPr>
            <w:r>
              <w:rPr>
                <w:rFonts w:ascii="Calibri" w:hAnsi="Calibri"/>
                <w:b w:val="0"/>
                <w:i w:val="0"/>
                <w:color w:val="212121"/>
                <w:sz w:val="19"/>
              </w:rPr>
              <w:t>The 1994 Indian epidemic produced 693 suspected cases and 56 deaths across five states and Delhi, with the bubonic focus in Beed (Maharashtra) and pneumonic cases in Surat (Gujarat).</w:t>
            </w:r>
          </w:p>
          <w:p>
            <w:pPr>
              <w:spacing w:after="40" w:line="252" w:lineRule="auto"/>
            </w:pPr>
            <w:hyperlink r:id="rId11">
              <w:r>
                <w:rPr>
                  <w:rFonts w:ascii="Calibri" w:hAnsi="Calibri" w:cs="Calibri"/>
                  <w:sz w:val="18"/>
                  <w:color w:val="1155CC"/>
                  <w:u w:val="single"/>
                </w:rPr>
                <w:t xml:space="preserve">en.wikipedia.org — 1994 plague in India</w:t>
              </w:r>
            </w:hyperlink>
          </w:p>
          <w:p>
            <w:pPr>
              <w:spacing w:before="60" w:after="40"/>
            </w:pPr>
            <w:r>
              <w:rPr>
                <w:rFonts w:ascii="Calibri" w:hAnsi="Calibri"/>
                <w:b w:val="0"/>
                <w:i w:val="0"/>
                <w:color w:val="5A5A5A"/>
                <w:sz w:val="18"/>
              </w:rPr>
              <w:t>#DeccanPlateau  #WesternHimalayas  #sylvaticfoci  #ruralIndia  #epizootic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Endemic country / travel</w:t>
            </w:r>
          </w:p>
        </w:tc>
        <w:tc>
          <w:tcPr>
            <w:tcW w:type="dxa" w:w="2160"/>
            <w:vAlign w:val="top"/>
          </w:tcPr>
          <w:p>
            <w:pPr>
              <w:spacing w:after="40" w:before="0" w:line="259" w:lineRule="auto"/>
            </w:pPr>
            <w:r>
              <w:rPr>
                <w:rFonts w:ascii="Calibri" w:hAnsi="Calibri"/>
                <w:b w:val="0"/>
                <w:i w:val="0"/>
                <w:color w:val="212121"/>
                <w:sz w:val="19"/>
              </w:rPr>
              <w:t>Residents of and travellers to global endemic foci</w:t>
            </w:r>
          </w:p>
        </w:tc>
        <w:tc>
          <w:tcPr>
            <w:tcW w:type="dxa" w:w="4276"/>
            <w:vAlign w:val="top"/>
          </w:tcPr>
          <w:p>
            <w:pPr>
              <w:spacing w:after="60" w:line="259" w:lineRule="auto"/>
            </w:pPr>
            <w:r>
              <w:rPr>
                <w:rFonts w:ascii="Calibri" w:hAnsi="Calibri"/>
                <w:b w:val="0"/>
                <w:i w:val="0"/>
                <w:color w:val="212121"/>
                <w:sz w:val="19"/>
              </w:rPr>
              <w:t>Ongoing transmission is concentrated in a few endemic countries; unprotected exposure to fleas, rodents or pneumonic cases in these regions is the principal geographic risk, including for travellers.</w:t>
            </w:r>
          </w:p>
          <w:p>
            <w:pPr>
              <w:spacing w:after="40" w:before="60" w:line="259" w:lineRule="auto"/>
            </w:pPr>
            <w:r>
              <w:rPr>
                <w:rFonts w:ascii="Calibri" w:hAnsi="Calibri"/>
                <w:b w:val="0"/>
                <w:i w:val="0"/>
                <w:color w:val="212121"/>
                <w:sz w:val="19"/>
              </w:rPr>
              <w:t>The three most endemic countries are the Democratic Republic of the Congo, Madagascar and Peru; Madagascar reports cases nearly every year during the September–April epidemic season.</w:t>
            </w:r>
          </w:p>
          <w:p>
            <w:pPr>
              <w:spacing w:after="40" w:line="252" w:lineRule="auto"/>
            </w:pPr>
            <w:hyperlink r:id="rId12">
              <w:r>
                <w:rPr>
                  <w:rFonts w:ascii="Calibri" w:hAnsi="Calibri" w:cs="Calibri"/>
                  <w:sz w:val="18"/>
                  <w:color w:val="1155CC"/>
                  <w:u w:val="single"/>
                </w:rPr>
                <w:t xml:space="preserve">who.int — Plague fact sheet</w:t>
              </w:r>
            </w:hyperlink>
          </w:p>
          <w:p>
            <w:pPr>
              <w:spacing w:before="60" w:after="40"/>
            </w:pPr>
            <w:r>
              <w:rPr>
                <w:rFonts w:ascii="Calibri" w:hAnsi="Calibri"/>
                <w:b w:val="0"/>
                <w:i w:val="0"/>
                <w:color w:val="5A5A5A"/>
                <w:sz w:val="18"/>
              </w:rPr>
              <w:t>#Madagascar  #DRCongo  #Peru  #travelmedicine  #endemic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 environment</w:t>
            </w:r>
          </w:p>
        </w:tc>
        <w:tc>
          <w:tcPr>
            <w:tcW w:type="dxa" w:w="2160"/>
            <w:vAlign w:val="top"/>
          </w:tcPr>
          <w:p>
            <w:pPr>
              <w:spacing w:after="40" w:before="0" w:line="259" w:lineRule="auto"/>
            </w:pPr>
            <w:r>
              <w:rPr>
                <w:rFonts w:ascii="Calibri" w:hAnsi="Calibri"/>
                <w:b w:val="0"/>
                <w:i w:val="0"/>
                <w:color w:val="212121"/>
                <w:sz w:val="19"/>
              </w:rPr>
              <w:t>Overcrowded urban slum dwellers</w:t>
            </w:r>
          </w:p>
        </w:tc>
        <w:tc>
          <w:tcPr>
            <w:tcW w:type="dxa" w:w="4276"/>
            <w:vAlign w:val="top"/>
          </w:tcPr>
          <w:p>
            <w:pPr>
              <w:spacing w:after="60" w:line="259" w:lineRule="auto"/>
            </w:pPr>
            <w:r>
              <w:rPr>
                <w:rFonts w:ascii="Calibri" w:hAnsi="Calibri"/>
                <w:b w:val="0"/>
                <w:i w:val="0"/>
                <w:color w:val="212121"/>
                <w:sz w:val="19"/>
              </w:rPr>
              <w:t>High commensal-rat density, poor sanitation, open drains and crowding amplify flea contact and, once pneumonic cases appear, accelerate person-to-person spread through crowded households and gatherings.</w:t>
            </w:r>
          </w:p>
          <w:p>
            <w:pPr>
              <w:spacing w:after="40" w:before="60" w:line="259" w:lineRule="auto"/>
            </w:pPr>
            <w:r>
              <w:rPr>
                <w:rFonts w:ascii="Calibri" w:hAnsi="Calibri"/>
                <w:b w:val="0"/>
                <w:i w:val="0"/>
                <w:color w:val="212121"/>
                <w:sz w:val="19"/>
              </w:rPr>
              <w:t>During the 1994 Surat outbreak an estimated 78% of confirmed cases arose in the city’s slums, and about 300,000 residents fled within days.</w:t>
            </w:r>
          </w:p>
          <w:p>
            <w:pPr>
              <w:spacing w:after="40" w:line="252" w:lineRule="auto"/>
            </w:pPr>
            <w:hyperlink r:id="rId11">
              <w:r>
                <w:rPr>
                  <w:rFonts w:ascii="Calibri" w:hAnsi="Calibri" w:cs="Calibri"/>
                  <w:sz w:val="18"/>
                  <w:color w:val="1155CC"/>
                  <w:u w:val="single"/>
                </w:rPr>
                <w:t xml:space="preserve">en.wikipedia.org — 1994 plague in India</w:t>
              </w:r>
            </w:hyperlink>
          </w:p>
          <w:p>
            <w:pPr>
              <w:spacing w:before="60" w:after="40"/>
            </w:pPr>
            <w:r>
              <w:rPr>
                <w:rFonts w:ascii="Calibri" w:hAnsi="Calibri"/>
                <w:b w:val="0"/>
                <w:i w:val="0"/>
                <w:color w:val="5A5A5A"/>
                <w:sz w:val="18"/>
              </w:rPr>
              <w:t>#slums  #overcrowding  #sanitation  #Surat1994  #commensalrats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Hunters, trappers, herders, farmers, veterinarians, field biologists</w:t>
            </w:r>
          </w:p>
        </w:tc>
        <w:tc>
          <w:tcPr>
            <w:tcW w:type="dxa" w:w="4276"/>
            <w:vAlign w:val="top"/>
          </w:tcPr>
          <w:p>
            <w:pPr>
              <w:spacing w:after="60" w:line="259" w:lineRule="auto"/>
            </w:pPr>
            <w:r>
              <w:rPr>
                <w:rFonts w:ascii="Calibri" w:hAnsi="Calibri"/>
                <w:b w:val="0"/>
                <w:i w:val="0"/>
                <w:color w:val="212121"/>
                <w:sz w:val="19"/>
              </w:rPr>
              <w:t>Skinning, butchering or handling infected wild animals and their tissues transmits Y. pestis through cuts and mucosae, while fieldwork increases flea-bite exposure in enzootic terrain.</w:t>
            </w:r>
          </w:p>
          <w:p>
            <w:pPr>
              <w:spacing w:after="40" w:before="60" w:line="259" w:lineRule="auto"/>
            </w:pPr>
            <w:r>
              <w:rPr>
                <w:rFonts w:ascii="Calibri" w:hAnsi="Calibri"/>
                <w:b w:val="0"/>
                <w:i w:val="0"/>
                <w:color w:val="212121"/>
                <w:sz w:val="19"/>
              </w:rPr>
              <w:t>Wearing gloves when handling or skinning potentially infected animals is advised specifically to prevent contact transmission.</w:t>
            </w:r>
          </w:p>
          <w:p>
            <w:pPr>
              <w:spacing w:after="40" w:line="252" w:lineRule="auto"/>
            </w:pPr>
            <w:hyperlink r:id="rId13">
              <w:r>
                <w:rPr>
                  <w:rFonts w:ascii="Calibri" w:hAnsi="Calibri" w:cs="Calibri"/>
                  <w:sz w:val="18"/>
                  <w:color w:val="1155CC"/>
                  <w:u w:val="single"/>
                </w:rPr>
                <w:t xml:space="preserve">cdc.gov — Plague prevention</w:t>
              </w:r>
            </w:hyperlink>
          </w:p>
          <w:p>
            <w:pPr>
              <w:spacing w:before="60" w:after="40"/>
            </w:pPr>
            <w:r>
              <w:rPr>
                <w:rFonts w:ascii="Calibri" w:hAnsi="Calibri"/>
                <w:b w:val="0"/>
                <w:i w:val="0"/>
                <w:color w:val="5A5A5A"/>
                <w:sz w:val="18"/>
              </w:rPr>
              <w:t>#hunters  #skinning  #veterinary  #fieldwork  #directcontact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Housing / sanitation</w:t>
            </w:r>
          </w:p>
        </w:tc>
        <w:tc>
          <w:tcPr>
            <w:tcW w:type="dxa" w:w="2160"/>
            <w:vAlign w:val="top"/>
          </w:tcPr>
          <w:p>
            <w:pPr>
              <w:spacing w:after="40" w:before="0" w:line="259" w:lineRule="auto"/>
            </w:pPr>
            <w:r>
              <w:rPr>
                <w:rFonts w:ascii="Calibri" w:hAnsi="Calibri"/>
                <w:b w:val="0"/>
                <w:i w:val="0"/>
                <w:color w:val="212121"/>
                <w:sz w:val="19"/>
              </w:rPr>
              <w:t>Residents of rodent-infested housing</w:t>
            </w:r>
          </w:p>
        </w:tc>
        <w:tc>
          <w:tcPr>
            <w:tcW w:type="dxa" w:w="4276"/>
            <w:vAlign w:val="top"/>
          </w:tcPr>
          <w:p>
            <w:pPr>
              <w:spacing w:after="60" w:line="259" w:lineRule="auto"/>
            </w:pPr>
            <w:r>
              <w:rPr>
                <w:rFonts w:ascii="Calibri" w:hAnsi="Calibri"/>
                <w:b w:val="0"/>
                <w:i w:val="0"/>
                <w:color w:val="212121"/>
                <w:sz w:val="19"/>
              </w:rPr>
              <w:t>Homes and outbuildings that harbour rats and their fleas place occupants in continuous contact with the vector; rodent-proofing and removing harbourage are the core preventive measures.</w:t>
            </w:r>
          </w:p>
          <w:p>
            <w:pPr>
              <w:spacing w:after="40" w:before="60" w:line="259" w:lineRule="auto"/>
            </w:pPr>
            <w:r>
              <w:rPr>
                <w:rFonts w:ascii="Calibri" w:hAnsi="Calibri"/>
                <w:b w:val="0"/>
                <w:i w:val="0"/>
                <w:color w:val="212121"/>
                <w:sz w:val="19"/>
              </w:rPr>
              <w:t>Making homes and outbuildings rodent-proof and removing brush, rock piles, junk and animal-food supplies reduces rodent and flea contact.</w:t>
            </w:r>
          </w:p>
          <w:p>
            <w:pPr>
              <w:spacing w:after="40" w:line="252" w:lineRule="auto"/>
            </w:pPr>
            <w:hyperlink r:id="rId13">
              <w:r>
                <w:rPr>
                  <w:rFonts w:ascii="Calibri" w:hAnsi="Calibri" w:cs="Calibri"/>
                  <w:sz w:val="18"/>
                  <w:color w:val="1155CC"/>
                  <w:u w:val="single"/>
                </w:rPr>
                <w:t xml:space="preserve">cdc.gov — Plague prevention (rodent-proofing)</w:t>
              </w:r>
            </w:hyperlink>
          </w:p>
          <w:p>
            <w:pPr>
              <w:spacing w:before="60" w:after="40"/>
            </w:pPr>
            <w:r>
              <w:rPr>
                <w:rFonts w:ascii="Calibri" w:hAnsi="Calibri"/>
                <w:b w:val="0"/>
                <w:i w:val="0"/>
                <w:color w:val="5A5A5A"/>
                <w:sz w:val="18"/>
              </w:rPr>
              <w:t>#rodentinfestation  #housing  #peridomestic  #fleaexposure  #sanitation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Outdoor recreation</w:t>
            </w:r>
          </w:p>
        </w:tc>
        <w:tc>
          <w:tcPr>
            <w:tcW w:type="dxa" w:w="2160"/>
            <w:vAlign w:val="top"/>
          </w:tcPr>
          <w:p>
            <w:pPr>
              <w:spacing w:after="40" w:before="0" w:line="259" w:lineRule="auto"/>
            </w:pPr>
            <w:r>
              <w:rPr>
                <w:rFonts w:ascii="Calibri" w:hAnsi="Calibri"/>
                <w:b w:val="0"/>
                <w:i w:val="0"/>
                <w:color w:val="212121"/>
                <w:sz w:val="19"/>
              </w:rPr>
              <w:t>Campers, hikers and outdoor workers in endemic areas</w:t>
            </w:r>
          </w:p>
        </w:tc>
        <w:tc>
          <w:tcPr>
            <w:tcW w:type="dxa" w:w="4276"/>
            <w:vAlign w:val="top"/>
          </w:tcPr>
          <w:p>
            <w:pPr>
              <w:spacing w:after="60" w:line="259" w:lineRule="auto"/>
            </w:pPr>
            <w:r>
              <w:rPr>
                <w:rFonts w:ascii="Calibri" w:hAnsi="Calibri"/>
                <w:b w:val="0"/>
                <w:i w:val="0"/>
                <w:color w:val="212121"/>
                <w:sz w:val="19"/>
              </w:rPr>
              <w:t>Recreational or occupational activity near rodent burrows and carcasses in endemic terrain exposes people to infected fleas; repellents and protective clothing reduce the risk.</w:t>
            </w:r>
          </w:p>
          <w:p>
            <w:pPr>
              <w:spacing w:after="40" w:before="60" w:line="259" w:lineRule="auto"/>
            </w:pPr>
            <w:r>
              <w:rPr>
                <w:rFonts w:ascii="Calibri" w:hAnsi="Calibri"/>
                <w:b w:val="0"/>
                <w:i w:val="0"/>
                <w:color w:val="212121"/>
                <w:sz w:val="19"/>
              </w:rPr>
              <w:t>DEET can be applied to skin and clothing and permethrin to clothing to reduce flea bites during camping and hiking in endemic areas.</w:t>
            </w:r>
          </w:p>
          <w:p>
            <w:pPr>
              <w:spacing w:after="40" w:line="252" w:lineRule="auto"/>
            </w:pPr>
            <w:hyperlink r:id="rId13">
              <w:r>
                <w:rPr>
                  <w:rFonts w:ascii="Calibri" w:hAnsi="Calibri" w:cs="Calibri"/>
                  <w:sz w:val="18"/>
                  <w:color w:val="1155CC"/>
                  <w:u w:val="single"/>
                </w:rPr>
                <w:t xml:space="preserve">cdc.gov — Plague prevention (repellents)</w:t>
              </w:r>
            </w:hyperlink>
          </w:p>
          <w:p>
            <w:pPr>
              <w:spacing w:before="60" w:after="40"/>
            </w:pPr>
            <w:r>
              <w:rPr>
                <w:rFonts w:ascii="Calibri" w:hAnsi="Calibri"/>
                <w:b w:val="0"/>
                <w:i w:val="0"/>
                <w:color w:val="5A5A5A"/>
                <w:sz w:val="18"/>
              </w:rPr>
              <w:t>#camping  #hiking  #DEET  #permethrin  #outdoorexposure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Pet ownership</w:t>
            </w:r>
          </w:p>
        </w:tc>
        <w:tc>
          <w:tcPr>
            <w:tcW w:type="dxa" w:w="2160"/>
            <w:vAlign w:val="top"/>
          </w:tcPr>
          <w:p>
            <w:pPr>
              <w:spacing w:after="40" w:before="0" w:line="259" w:lineRule="auto"/>
            </w:pPr>
            <w:r>
              <w:rPr>
                <w:rFonts w:ascii="Calibri" w:hAnsi="Calibri"/>
                <w:b w:val="0"/>
                <w:i w:val="0"/>
                <w:color w:val="212121"/>
                <w:sz w:val="19"/>
              </w:rPr>
              <w:t>Owners of free-roaming cats and dogs in endemic areas</w:t>
            </w:r>
          </w:p>
        </w:tc>
        <w:tc>
          <w:tcPr>
            <w:tcW w:type="dxa" w:w="4276"/>
            <w:vAlign w:val="top"/>
          </w:tcPr>
          <w:p>
            <w:pPr>
              <w:spacing w:after="60" w:line="259" w:lineRule="auto"/>
            </w:pPr>
            <w:r>
              <w:rPr>
                <w:rFonts w:ascii="Calibri" w:hAnsi="Calibri"/>
                <w:b w:val="0"/>
                <w:i w:val="0"/>
                <w:color w:val="212121"/>
                <w:sz w:val="19"/>
              </w:rPr>
              <w:t>Free-roaming pets carry infected fleas into the home, and cats in particular can develop pneumonic plague and transmit it directly to owners and veterinarians via respiratory droplets.</w:t>
            </w:r>
          </w:p>
          <w:p>
            <w:pPr>
              <w:spacing w:after="40" w:before="60" w:line="259" w:lineRule="auto"/>
            </w:pPr>
            <w:r>
              <w:rPr>
                <w:rFonts w:ascii="Calibri" w:hAnsi="Calibri"/>
                <w:b w:val="0"/>
                <w:i w:val="0"/>
                <w:color w:val="212121"/>
                <w:sz w:val="19"/>
              </w:rPr>
              <w:t>Guidance advises not letting free-roaming dogs or cats sleep on the bed and keeping fleas off pets with flea-control products in endemic areas.</w:t>
            </w:r>
          </w:p>
          <w:p>
            <w:pPr>
              <w:spacing w:after="40" w:line="252" w:lineRule="auto"/>
            </w:pPr>
            <w:hyperlink r:id="rId13">
              <w:r>
                <w:rPr>
                  <w:rFonts w:ascii="Calibri" w:hAnsi="Calibri" w:cs="Calibri"/>
                  <w:sz w:val="18"/>
                  <w:color w:val="1155CC"/>
                  <w:u w:val="single"/>
                </w:rPr>
                <w:t xml:space="preserve">cdc.gov — Plague prevention (pets)</w:t>
              </w:r>
            </w:hyperlink>
          </w:p>
          <w:p>
            <w:pPr>
              <w:spacing w:before="60" w:after="40"/>
            </w:pPr>
            <w:r>
              <w:rPr>
                <w:rFonts w:ascii="Calibri" w:hAnsi="Calibri"/>
                <w:b w:val="0"/>
                <w:i w:val="0"/>
                <w:color w:val="5A5A5A"/>
                <w:sz w:val="18"/>
              </w:rPr>
              <w:t>#pets  #cats  #flea  #zoonotic  #pneumonicrisk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Close contact</w:t>
            </w:r>
          </w:p>
        </w:tc>
        <w:tc>
          <w:tcPr>
            <w:tcW w:type="dxa" w:w="2160"/>
            <w:vAlign w:val="top"/>
          </w:tcPr>
          <w:p>
            <w:pPr>
              <w:spacing w:after="40" w:before="0" w:line="259" w:lineRule="auto"/>
            </w:pPr>
            <w:r>
              <w:rPr>
                <w:rFonts w:ascii="Calibri" w:hAnsi="Calibri"/>
                <w:b w:val="0"/>
                <w:i w:val="0"/>
                <w:color w:val="212121"/>
                <w:sz w:val="19"/>
              </w:rPr>
              <w:t>Household and health-care contacts of pneumonic cases</w:t>
            </w:r>
          </w:p>
        </w:tc>
        <w:tc>
          <w:tcPr>
            <w:tcW w:type="dxa" w:w="4276"/>
            <w:vAlign w:val="top"/>
          </w:tcPr>
          <w:p>
            <w:pPr>
              <w:spacing w:after="60" w:line="259" w:lineRule="auto"/>
            </w:pPr>
            <w:r>
              <w:rPr>
                <w:rFonts w:ascii="Calibri" w:hAnsi="Calibri"/>
                <w:b w:val="0"/>
                <w:i w:val="0"/>
                <w:color w:val="212121"/>
                <w:sz w:val="19"/>
              </w:rPr>
              <w:t>Pneumonic plague spreads person-to-person through inhaled respiratory droplets, so unprotected household members, caregivers and health workers are at direct risk during outbreaks.</w:t>
            </w:r>
          </w:p>
          <w:p>
            <w:pPr>
              <w:spacing w:after="40" w:before="60" w:line="259" w:lineRule="auto"/>
            </w:pPr>
            <w:r>
              <w:rPr>
                <w:rFonts w:ascii="Calibri" w:hAnsi="Calibri"/>
                <w:b w:val="0"/>
                <w:i w:val="0"/>
                <w:color w:val="212121"/>
                <w:sz w:val="19"/>
              </w:rPr>
              <w:t>Pneumonic plague is the only form transmissible between people; effective treatment must be given within 24 hours of first symptoms to reduce the risk of death.</w:t>
            </w:r>
          </w:p>
          <w:p>
            <w:pPr>
              <w:spacing w:after="40" w:line="252" w:lineRule="auto"/>
            </w:pPr>
            <w:hyperlink r:id="rId14">
              <w:r>
                <w:rPr>
                  <w:rFonts w:ascii="Calibri" w:hAnsi="Calibri" w:cs="Calibri"/>
                  <w:sz w:val="18"/>
                  <w:color w:val="1155CC"/>
                  <w:u w:val="single"/>
                </w:rPr>
                <w:t xml:space="preserve">en.wikipedia.org — Pneumonic plague</w:t>
              </w:r>
            </w:hyperlink>
          </w:p>
          <w:p>
            <w:pPr>
              <w:spacing w:before="60" w:after="40"/>
            </w:pPr>
            <w:r>
              <w:rPr>
                <w:rFonts w:ascii="Calibri" w:hAnsi="Calibri"/>
                <w:b w:val="0"/>
                <w:i w:val="0"/>
                <w:color w:val="5A5A5A"/>
                <w:sz w:val="18"/>
              </w:rPr>
              <w:t>#persontoperson  #droplet  #healthworkers  #contacttracing  #PEP</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Wild-game handling / consumption</w:t>
            </w:r>
          </w:p>
        </w:tc>
        <w:tc>
          <w:tcPr>
            <w:tcW w:type="dxa" w:w="2160"/>
            <w:vAlign w:val="top"/>
          </w:tcPr>
          <w:p>
            <w:pPr>
              <w:spacing w:after="40" w:before="0" w:line="259" w:lineRule="auto"/>
            </w:pPr>
            <w:r>
              <w:rPr>
                <w:rFonts w:ascii="Calibri" w:hAnsi="Calibri"/>
                <w:b w:val="0"/>
                <w:i w:val="0"/>
                <w:color w:val="212121"/>
                <w:sz w:val="19"/>
              </w:rPr>
              <w:t>Handlers and consumers of wild game / bushmeat</w:t>
            </w:r>
          </w:p>
        </w:tc>
        <w:tc>
          <w:tcPr>
            <w:tcW w:type="dxa" w:w="4276"/>
            <w:vAlign w:val="top"/>
          </w:tcPr>
          <w:p>
            <w:pPr>
              <w:spacing w:after="60" w:line="259" w:lineRule="auto"/>
            </w:pPr>
            <w:r>
              <w:rPr>
                <w:rFonts w:ascii="Calibri" w:hAnsi="Calibri"/>
                <w:b w:val="0"/>
                <w:i w:val="0"/>
                <w:color w:val="212121"/>
                <w:sz w:val="19"/>
              </w:rPr>
              <w:t>Butchering or eating infected marmots, hares and wild rodents transmits Y. pestis through skin cuts, mucosal contact and, rarely, the gastrointestinal route producing pharyngeal or GI plague.</w:t>
            </w:r>
          </w:p>
          <w:p>
            <w:pPr>
              <w:spacing w:after="40" w:before="60" w:line="259" w:lineRule="auto"/>
            </w:pPr>
            <w:r>
              <w:rPr>
                <w:rFonts w:ascii="Calibri" w:hAnsi="Calibri"/>
                <w:b w:val="0"/>
                <w:i w:val="0"/>
                <w:color w:val="212121"/>
                <w:sz w:val="19"/>
              </w:rPr>
              <w:t>Direct contact with infected tissues — including handling infected animals — is an established route of human infection.</w:t>
            </w:r>
          </w:p>
          <w:p>
            <w:pPr>
              <w:spacing w:after="40" w:line="252" w:lineRule="auto"/>
            </w:pPr>
            <w:hyperlink r:id="rId12">
              <w:r>
                <w:rPr>
                  <w:rFonts w:ascii="Calibri" w:hAnsi="Calibri" w:cs="Calibri"/>
                  <w:sz w:val="18"/>
                  <w:color w:val="1155CC"/>
                  <w:u w:val="single"/>
                </w:rPr>
                <w:t xml:space="preserve">who.int — Plague fact sheet (transmission)</w:t>
              </w:r>
            </w:hyperlink>
          </w:p>
          <w:p>
            <w:pPr>
              <w:spacing w:before="60" w:after="40"/>
            </w:pPr>
            <w:r>
              <w:rPr>
                <w:rFonts w:ascii="Calibri" w:hAnsi="Calibri"/>
                <w:b w:val="0"/>
                <w:i w:val="0"/>
                <w:color w:val="5A5A5A"/>
                <w:sz w:val="18"/>
              </w:rPr>
              <w:t>#bushmeat  #wildgame  #marmot  #gastrointestinal  #directcontact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Food storage</w:t>
            </w:r>
          </w:p>
        </w:tc>
        <w:tc>
          <w:tcPr>
            <w:tcW w:type="dxa" w:w="2160"/>
            <w:vAlign w:val="top"/>
          </w:tcPr>
          <w:p>
            <w:pPr>
              <w:spacing w:after="40" w:before="0" w:line="259" w:lineRule="auto"/>
            </w:pPr>
            <w:r>
              <w:rPr>
                <w:rFonts w:ascii="Calibri" w:hAnsi="Calibri"/>
                <w:b w:val="0"/>
                <w:i w:val="0"/>
                <w:color w:val="212121"/>
                <w:sz w:val="19"/>
              </w:rPr>
              <w:t>Rural households storing food grain indoors</w:t>
            </w:r>
          </w:p>
        </w:tc>
        <w:tc>
          <w:tcPr>
            <w:tcW w:type="dxa" w:w="4276"/>
            <w:vAlign w:val="top"/>
          </w:tcPr>
          <w:p>
            <w:pPr>
              <w:spacing w:after="60" w:line="259" w:lineRule="auto"/>
            </w:pPr>
            <w:r>
              <w:rPr>
                <w:rFonts w:ascii="Calibri" w:hAnsi="Calibri"/>
                <w:b w:val="0"/>
                <w:i w:val="0"/>
                <w:color w:val="212121"/>
                <w:sz w:val="19"/>
              </w:rPr>
              <w:t>Unprotected indoor grain and food stores attract commensal rats into dwellings, bringing infected fleas into close, sustained contact with the household.</w:t>
            </w:r>
          </w:p>
          <w:p>
            <w:pPr>
              <w:spacing w:after="40" w:before="60" w:line="259" w:lineRule="auto"/>
            </w:pPr>
            <w:r>
              <w:rPr>
                <w:rFonts w:ascii="Calibri" w:hAnsi="Calibri"/>
                <w:b w:val="0"/>
                <w:i w:val="0"/>
                <w:color w:val="212121"/>
                <w:sz w:val="19"/>
              </w:rPr>
              <w:t>Removing animal-food supplies and rodent attractants and rodent-proofing stores are recommended to break the rat–flea–human chain.</w:t>
            </w:r>
          </w:p>
          <w:p>
            <w:pPr>
              <w:spacing w:after="40" w:line="252" w:lineRule="auto"/>
            </w:pPr>
            <w:hyperlink r:id="rId13">
              <w:r>
                <w:rPr>
                  <w:rFonts w:ascii="Calibri" w:hAnsi="Calibri" w:cs="Calibri"/>
                  <w:sz w:val="18"/>
                  <w:color w:val="1155CC"/>
                  <w:u w:val="single"/>
                </w:rPr>
                <w:t xml:space="preserve">cdc.gov — Plague prevention (remove food supplies)</w:t>
              </w:r>
            </w:hyperlink>
          </w:p>
          <w:p>
            <w:pPr>
              <w:spacing w:before="60" w:after="40"/>
            </w:pPr>
            <w:r>
              <w:rPr>
                <w:rFonts w:ascii="Calibri" w:hAnsi="Calibri"/>
                <w:b w:val="0"/>
                <w:i w:val="0"/>
                <w:color w:val="5A5A5A"/>
                <w:sz w:val="18"/>
              </w:rPr>
              <w:t>#grainstorage  #rodentattractant  #rurdomestic  #foodhygiene  #peridomestic</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genetics / family clustering</w:t>
            </w:r>
          </w:p>
        </w:tc>
        <w:tc>
          <w:tcPr>
            <w:tcW w:type="dxa" w:w="2160"/>
            <w:vAlign w:val="top"/>
          </w:tcPr>
          <w:p>
            <w:pPr>
              <w:spacing w:after="40" w:before="0" w:line="259" w:lineRule="auto"/>
            </w:pPr>
            <w:r>
              <w:rPr>
                <w:rFonts w:ascii="Calibri" w:hAnsi="Calibri"/>
                <w:b w:val="0"/>
                <w:i w:val="0"/>
                <w:color w:val="212121"/>
                <w:sz w:val="19"/>
              </w:rPr>
              <w:t>Household clusters of cases</w:t>
            </w:r>
          </w:p>
        </w:tc>
        <w:tc>
          <w:tcPr>
            <w:tcW w:type="dxa" w:w="4276"/>
            <w:vAlign w:val="top"/>
          </w:tcPr>
          <w:p>
            <w:pPr>
              <w:spacing w:after="60" w:line="259" w:lineRule="auto"/>
            </w:pPr>
            <w:r>
              <w:rPr>
                <w:rFonts w:ascii="Calibri" w:hAnsi="Calibri"/>
                <w:b w:val="0"/>
                <w:i w:val="0"/>
                <w:color w:val="212121"/>
                <w:sz w:val="19"/>
              </w:rPr>
              <w:t>Plague has no strong single-gene predisposition; familial and household clustering reflects shared environmental exposure and, for pneumonic disease, direct person-to-person transmission rather than heredity.</w:t>
            </w:r>
          </w:p>
          <w:p>
            <w:pPr>
              <w:spacing w:after="40" w:before="60" w:line="259" w:lineRule="auto"/>
            </w:pPr>
            <w:r>
              <w:rPr>
                <w:rFonts w:ascii="Calibri" w:hAnsi="Calibri"/>
                <w:b w:val="0"/>
                <w:i w:val="0"/>
                <w:color w:val="212121"/>
                <w:sz w:val="19"/>
              </w:rPr>
              <w:t>Clustering within families and villages during outbreaks is driven by common exposure and pneumonic spread, not by inherited susceptibility.</w:t>
            </w:r>
          </w:p>
          <w:p>
            <w:pPr>
              <w:spacing w:before="60" w:after="40"/>
            </w:pPr>
            <w:r>
              <w:rPr>
                <w:rFonts w:ascii="Calibri" w:hAnsi="Calibri"/>
                <w:b w:val="0"/>
                <w:i w:val="0"/>
                <w:color w:val="5A5A5A"/>
                <w:sz w:val="18"/>
              </w:rPr>
              <w:t>#householdcluster  #sharedexposure  #nogeneticpredisposition  #outbreak  #transmission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 immunocompromise</w:t>
            </w:r>
          </w:p>
        </w:tc>
        <w:tc>
          <w:tcPr>
            <w:tcW w:type="dxa" w:w="2160"/>
            <w:vAlign w:val="top"/>
          </w:tcPr>
          <w:p>
            <w:pPr>
              <w:spacing w:after="40" w:before="0" w:line="259" w:lineRule="auto"/>
            </w:pPr>
            <w:r>
              <w:rPr>
                <w:rFonts w:ascii="Calibri" w:hAnsi="Calibri"/>
                <w:b w:val="0"/>
                <w:i w:val="0"/>
                <w:color w:val="212121"/>
                <w:sz w:val="19"/>
              </w:rPr>
              <w:t>People living with HIV or other immunosuppression</w:t>
            </w:r>
          </w:p>
        </w:tc>
        <w:tc>
          <w:tcPr>
            <w:tcW w:type="dxa" w:w="4276"/>
            <w:vAlign w:val="top"/>
          </w:tcPr>
          <w:p>
            <w:pPr>
              <w:spacing w:after="60" w:line="259" w:lineRule="auto"/>
            </w:pPr>
            <w:r>
              <w:rPr>
                <w:rFonts w:ascii="Calibri" w:hAnsi="Calibri"/>
                <w:b w:val="0"/>
                <w:i w:val="0"/>
                <w:color w:val="212121"/>
                <w:sz w:val="19"/>
              </w:rPr>
              <w:t>Impaired cell-mediated immunity predisposes to more severe, disseminated and rapidly progressive plague and complicates management, including in high-HIV-burden endemic regions.</w:t>
            </w:r>
          </w:p>
          <w:p>
            <w:pPr>
              <w:spacing w:after="40" w:before="60" w:line="259" w:lineRule="auto"/>
            </w:pPr>
            <w:r>
              <w:rPr>
                <w:rFonts w:ascii="Calibri" w:hAnsi="Calibri"/>
                <w:b w:val="0"/>
                <w:i w:val="0"/>
                <w:color w:val="212121"/>
                <w:sz w:val="19"/>
              </w:rPr>
              <w:t>Immunosuppression is associated with more severe disease; treatment and monitoring must be intensified.</w:t>
            </w:r>
          </w:p>
          <w:p>
            <w:pPr>
              <w:spacing w:before="60" w:after="40"/>
            </w:pPr>
            <w:r>
              <w:rPr>
                <w:rFonts w:ascii="Calibri" w:hAnsi="Calibri"/>
                <w:b w:val="0"/>
                <w:i w:val="0"/>
                <w:color w:val="5A5A5A"/>
                <w:sz w:val="18"/>
              </w:rPr>
              <w:t>#HIV  #immunocompromise  #severe  #disseminated  #endemicoverlap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diabetes</w:t>
            </w:r>
          </w:p>
        </w:tc>
        <w:tc>
          <w:tcPr>
            <w:tcW w:type="dxa" w:w="4276"/>
            <w:vAlign w:val="top"/>
          </w:tcPr>
          <w:p>
            <w:pPr>
              <w:spacing w:after="60" w:line="259" w:lineRule="auto"/>
            </w:pPr>
            <w:r>
              <w:rPr>
                <w:rFonts w:ascii="Calibri" w:hAnsi="Calibri"/>
                <w:b w:val="0"/>
                <w:i w:val="0"/>
                <w:color w:val="212121"/>
                <w:sz w:val="19"/>
              </w:rPr>
              <w:t>Hyperglycaemia and diabetes-related immune dysfunction impair bacterial clearance and wound healing, worsening the severity of septicemic and pneumonic plague and its complications.</w:t>
            </w:r>
          </w:p>
          <w:p>
            <w:pPr>
              <w:spacing w:after="40" w:before="60" w:line="259" w:lineRule="auto"/>
            </w:pPr>
            <w:r>
              <w:rPr>
                <w:rFonts w:ascii="Calibri" w:hAnsi="Calibri"/>
                <w:b w:val="0"/>
                <w:i w:val="0"/>
                <w:color w:val="212121"/>
                <w:sz w:val="19"/>
              </w:rPr>
              <w:t>Diabetes is a recognised host factor that adversely affects the course of severe bacterial infection.</w:t>
            </w:r>
          </w:p>
          <w:p>
            <w:pPr>
              <w:spacing w:before="60" w:after="40"/>
            </w:pPr>
            <w:r>
              <w:rPr>
                <w:rFonts w:ascii="Calibri" w:hAnsi="Calibri"/>
                <w:b w:val="0"/>
                <w:i w:val="0"/>
                <w:color w:val="5A5A5A"/>
                <w:sz w:val="18"/>
              </w:rPr>
              <w:t>#diabetes  #immunedysfunction  #severity  #woundhealing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Protein-energy malnutrition</w:t>
            </w:r>
          </w:p>
        </w:tc>
        <w:tc>
          <w:tcPr>
            <w:tcW w:type="dxa" w:w="2160"/>
            <w:vAlign w:val="top"/>
          </w:tcPr>
          <w:p>
            <w:pPr>
              <w:spacing w:after="40" w:before="0" w:line="259" w:lineRule="auto"/>
            </w:pPr>
            <w:r>
              <w:rPr>
                <w:rFonts w:ascii="Calibri" w:hAnsi="Calibri"/>
                <w:b w:val="0"/>
                <w:i w:val="0"/>
                <w:color w:val="212121"/>
                <w:sz w:val="19"/>
              </w:rPr>
              <w:t>Malnourished rural and slum populations</w:t>
            </w:r>
          </w:p>
        </w:tc>
        <w:tc>
          <w:tcPr>
            <w:tcW w:type="dxa" w:w="4276"/>
            <w:vAlign w:val="top"/>
          </w:tcPr>
          <w:p>
            <w:pPr>
              <w:spacing w:after="60" w:line="259" w:lineRule="auto"/>
            </w:pPr>
            <w:r>
              <w:rPr>
                <w:rFonts w:ascii="Calibri" w:hAnsi="Calibri"/>
                <w:b w:val="0"/>
                <w:i w:val="0"/>
                <w:color w:val="212121"/>
                <w:sz w:val="19"/>
              </w:rPr>
              <w:t>Undernutrition, common in endemic rural and slum India, weakens innate and adaptive immunity and is associated with higher case-fatality in severe infections such as plague.</w:t>
            </w:r>
          </w:p>
          <w:p>
            <w:pPr>
              <w:spacing w:after="40" w:before="60" w:line="259" w:lineRule="auto"/>
            </w:pPr>
            <w:r>
              <w:rPr>
                <w:rFonts w:ascii="Calibri" w:hAnsi="Calibri"/>
                <w:b w:val="0"/>
                <w:i w:val="0"/>
                <w:color w:val="212121"/>
                <w:sz w:val="19"/>
              </w:rPr>
              <w:t>Malnutrition impairs host defence and is linked to worse outcomes in serious bacterial disease.</w:t>
            </w:r>
          </w:p>
          <w:p>
            <w:pPr>
              <w:spacing w:before="60" w:after="40"/>
            </w:pPr>
            <w:r>
              <w:rPr>
                <w:rFonts w:ascii="Calibri" w:hAnsi="Calibri"/>
                <w:b w:val="0"/>
                <w:i w:val="0"/>
                <w:color w:val="5A5A5A"/>
                <w:sz w:val="18"/>
              </w:rPr>
              <w:t>#malnutrition  #undernutrition  #immunity  #ruralIndia  #highCFR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lung disease</w:t>
            </w:r>
          </w:p>
        </w:tc>
        <w:tc>
          <w:tcPr>
            <w:tcW w:type="dxa" w:w="2160"/>
            <w:vAlign w:val="top"/>
          </w:tcPr>
          <w:p>
            <w:pPr>
              <w:spacing w:after="40" w:before="0" w:line="259" w:lineRule="auto"/>
            </w:pPr>
            <w:r>
              <w:rPr>
                <w:rFonts w:ascii="Calibri" w:hAnsi="Calibri"/>
                <w:b w:val="0"/>
                <w:i w:val="0"/>
                <w:color w:val="212121"/>
                <w:sz w:val="19"/>
              </w:rPr>
              <w:t>Patients with COPD or chronic respiratory disease</w:t>
            </w:r>
          </w:p>
        </w:tc>
        <w:tc>
          <w:tcPr>
            <w:tcW w:type="dxa" w:w="4276"/>
            <w:vAlign w:val="top"/>
          </w:tcPr>
          <w:p>
            <w:pPr>
              <w:spacing w:after="60" w:line="259" w:lineRule="auto"/>
            </w:pPr>
            <w:r>
              <w:rPr>
                <w:rFonts w:ascii="Calibri" w:hAnsi="Calibri"/>
                <w:b w:val="0"/>
                <w:i w:val="0"/>
                <w:color w:val="212121"/>
                <w:sz w:val="19"/>
              </w:rPr>
              <w:t>Reduced pulmonary reserve worsens the outcome of pneumonic plague and complicates oxygenation and ventilation, while smoking-related lung damage further lowers resilience.</w:t>
            </w:r>
          </w:p>
          <w:p>
            <w:pPr>
              <w:spacing w:after="40" w:before="60" w:line="259" w:lineRule="auto"/>
            </w:pPr>
            <w:r>
              <w:rPr>
                <w:rFonts w:ascii="Calibri" w:hAnsi="Calibri"/>
                <w:b w:val="0"/>
                <w:i w:val="0"/>
                <w:color w:val="212121"/>
                <w:sz w:val="19"/>
              </w:rPr>
              <w:t>Pre-existing chronic lung disease reduces respiratory reserve and worsens pneumonic-plague outcomes.</w:t>
            </w:r>
          </w:p>
          <w:p>
            <w:pPr>
              <w:spacing w:before="60" w:after="40"/>
            </w:pPr>
            <w:r>
              <w:rPr>
                <w:rFonts w:ascii="Calibri" w:hAnsi="Calibri"/>
                <w:b w:val="0"/>
                <w:i w:val="0"/>
                <w:color w:val="5A5A5A"/>
                <w:sz w:val="18"/>
              </w:rPr>
              <w:t>#COPD  #chroniclung  #pneumonic  #respiratoryreserve  #smoking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fitness does not prevent plague, but outdoor occupational and recreational activity in endemic foci (hunting, herding, trekking) raises exposure to infected fleas and animals.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Storing grain and food that attracts peridomestic rodents, and handling or eating infected wild game (marmots, hares, rodents), are recognised exposure routes; food hygiene reduces rat–flea contact.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to susceptibility, but sleeping arrangements that allow flea-bearing pets or rodents close to sleepers (pets on the bed, bedding on the floor) can increase flea-bite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and COPD lower pulmonary reserve and are associated with worse pneumonic-plague outcomes, though they do not cause infection.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heavy alcohol use impairs immune defence and nutrition and is associated with more severe disease; alcoholism is a noted risk factor in fatal plague case series.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role in acquisition; outbreaks generate community anxiety, stigma and panic (the mass exodus from Surat in 1994) rather than mental illness being a risk factor.</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Plague is not water-borne; water quality has no direct role in transmission.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known relationship with plague risk or outcome.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Environmental sanitation, rodent-proofing, flea control and personal protective measures are the cornerstone of prevention; poor hygiene and rodent-infested housing markedly increase exposure.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determinants are flea bites, contact with infected rodents or wild-animal tissues, epizootic rodent die-offs, and close contact with a coughing pneumonic patient.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Time from symptom onset to first antibiotic dose</w:t>
            </w:r>
          </w:p>
        </w:tc>
        <w:tc>
          <w:tcPr>
            <w:tcW w:type="dxa" w:w="1655"/>
            <w:vAlign w:val="top"/>
          </w:tcPr>
          <w:p>
            <w:pPr>
              <w:spacing w:after="40" w:before="0" w:line="259" w:lineRule="auto"/>
            </w:pPr>
            <w:r>
              <w:rPr>
                <w:rFonts w:ascii="Calibri" w:hAnsi="Calibri"/>
                <w:b w:val="0"/>
                <w:i w:val="0"/>
                <w:color w:val="212121"/>
                <w:sz w:val="19"/>
              </w:rPr>
              <w:t>Pneumonic / septicemic cases</w:t>
            </w:r>
          </w:p>
        </w:tc>
        <w:tc>
          <w:tcPr>
            <w:tcW w:type="dxa" w:w="1512"/>
            <w:vAlign w:val="top"/>
          </w:tcPr>
          <w:p>
            <w:pPr>
              <w:spacing w:after="40" w:before="0" w:line="259" w:lineRule="auto"/>
            </w:pPr>
            <w:r>
              <w:rPr>
                <w:rFonts w:ascii="Calibri" w:hAnsi="Calibri"/>
                <w:b w:val="0"/>
                <w:i w:val="0"/>
                <w:color w:val="212121"/>
                <w:sz w:val="19"/>
              </w:rPr>
              <w:t>&lt; 24 hours</w:t>
            </w:r>
          </w:p>
        </w:tc>
        <w:tc>
          <w:tcPr>
            <w:tcW w:type="dxa" w:w="1512"/>
            <w:vAlign w:val="top"/>
          </w:tcPr>
          <w:p>
            <w:pPr>
              <w:spacing w:after="40" w:before="0" w:line="259" w:lineRule="auto"/>
            </w:pPr>
            <w:r>
              <w:rPr>
                <w:rFonts w:ascii="Calibri" w:hAnsi="Calibri"/>
                <w:b w:val="0"/>
                <w:i w:val="0"/>
                <w:color w:val="212121"/>
                <w:sz w:val="19"/>
              </w:rPr>
              <w:t>&gt; 24 hours</w:t>
            </w:r>
          </w:p>
        </w:tc>
        <w:tc>
          <w:tcPr>
            <w:tcW w:type="dxa" w:w="1468"/>
            <w:vAlign w:val="top"/>
          </w:tcPr>
          <w:p>
            <w:pPr>
              <w:spacing w:after="60" w:line="259" w:lineRule="auto"/>
            </w:pPr>
            <w:r>
              <w:rPr>
                <w:rFonts w:ascii="Calibri" w:hAnsi="Calibri"/>
                <w:b w:val="0"/>
                <w:i w:val="0"/>
                <w:color w:val="212121"/>
                <w:sz w:val="19"/>
              </w:rPr>
              <w:t>Delay beyond 24 h in pneumonic plague sharply raises mortality toward ~100%.</w:t>
            </w:r>
          </w:p>
          <w:p>
            <w:pPr>
              <w:spacing w:after="40" w:line="252" w:lineRule="auto"/>
            </w:pPr>
            <w:hyperlink r:id="rId14">
              <w:r>
                <w:rPr>
                  <w:rFonts w:ascii="Calibri" w:hAnsi="Calibri" w:cs="Calibri"/>
                  <w:sz w:val="18"/>
                  <w:color w:val="1155CC"/>
                  <w:u w:val="single"/>
                </w:rPr>
                <w:t xml:space="preserve">https://en.wikipedia.org/wiki/Pneumonic_plague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Incubation surveillance window after exposure</w:t>
            </w:r>
          </w:p>
        </w:tc>
        <w:tc>
          <w:tcPr>
            <w:tcW w:type="dxa" w:w="1655"/>
            <w:vAlign w:val="top"/>
          </w:tcPr>
          <w:p>
            <w:pPr>
              <w:spacing w:after="40" w:before="0" w:line="259" w:lineRule="auto"/>
            </w:pPr>
            <w:r>
              <w:rPr>
                <w:rFonts w:ascii="Calibri" w:hAnsi="Calibri"/>
                <w:b w:val="0"/>
                <w:i w:val="0"/>
                <w:color w:val="212121"/>
                <w:sz w:val="19"/>
              </w:rPr>
              <w:t>Exposed contacts</w:t>
            </w:r>
          </w:p>
        </w:tc>
        <w:tc>
          <w:tcPr>
            <w:tcW w:type="dxa" w:w="1512"/>
            <w:vAlign w:val="top"/>
          </w:tcPr>
          <w:p>
            <w:pPr>
              <w:spacing w:after="40" w:before="0" w:line="259" w:lineRule="auto"/>
            </w:pPr>
            <w:r>
              <w:rPr>
                <w:rFonts w:ascii="Calibri" w:hAnsi="Calibri"/>
                <w:b w:val="0"/>
                <w:i w:val="0"/>
                <w:color w:val="212121"/>
                <w:sz w:val="19"/>
              </w:rPr>
              <w:t>Watch 7 days (pneumonic 1–4 days)</w:t>
            </w:r>
          </w:p>
        </w:tc>
        <w:tc>
          <w:tcPr>
            <w:tcW w:type="dxa" w:w="1512"/>
            <w:vAlign w:val="top"/>
          </w:tcPr>
          <w:p>
            <w:pPr>
              <w:spacing w:after="40" w:before="0" w:line="259" w:lineRule="auto"/>
            </w:pPr>
            <w:r>
              <w:rPr>
                <w:rFonts w:ascii="Calibri" w:hAnsi="Calibri"/>
                <w:b w:val="0"/>
                <w:i w:val="0"/>
                <w:color w:val="212121"/>
                <w:sz w:val="19"/>
              </w:rPr>
              <w:t>Fever or cough within window</w:t>
            </w:r>
          </w:p>
        </w:tc>
        <w:tc>
          <w:tcPr>
            <w:tcW w:type="dxa" w:w="1468"/>
            <w:vAlign w:val="top"/>
          </w:tcPr>
          <w:p>
            <w:pPr>
              <w:spacing w:after="60" w:line="259" w:lineRule="auto"/>
            </w:pPr>
            <w:r>
              <w:rPr>
                <w:rFonts w:ascii="Calibri" w:hAnsi="Calibri"/>
                <w:b w:val="0"/>
                <w:i w:val="0"/>
                <w:color w:val="212121"/>
                <w:sz w:val="19"/>
              </w:rPr>
              <w:t>Basis for contact tracing and daily fever watch.</w:t>
            </w:r>
          </w:p>
          <w:p>
            <w:pPr>
              <w:spacing w:after="40" w:line="252" w:lineRule="auto"/>
            </w:pPr>
            <w:hyperlink r:id="rId12">
              <w:r>
                <w:rPr>
                  <w:rFonts w:ascii="Calibri" w:hAnsi="Calibri" w:cs="Calibri"/>
                  <w:sz w:val="18"/>
                  <w:color w:val="1155CC"/>
                  <w:u w:val="single"/>
                </w:rPr>
                <w:t xml:space="preserve">https://www.who.int/news-room/fact-sheets/detail/plague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Post-exposure prophylaxis initiation</w:t>
            </w:r>
          </w:p>
        </w:tc>
        <w:tc>
          <w:tcPr>
            <w:tcW w:type="dxa" w:w="1655"/>
            <w:vAlign w:val="top"/>
          </w:tcPr>
          <w:p>
            <w:pPr>
              <w:spacing w:after="40" w:before="0" w:line="259" w:lineRule="auto"/>
            </w:pPr>
            <w:r>
              <w:rPr>
                <w:rFonts w:ascii="Calibri" w:hAnsi="Calibri"/>
                <w:b w:val="0"/>
                <w:i w:val="0"/>
                <w:color w:val="212121"/>
                <w:sz w:val="19"/>
              </w:rPr>
              <w:t>Close contacts of pneumonic cases</w:t>
            </w:r>
          </w:p>
        </w:tc>
        <w:tc>
          <w:tcPr>
            <w:tcW w:type="dxa" w:w="1512"/>
            <w:vAlign w:val="top"/>
          </w:tcPr>
          <w:p>
            <w:pPr>
              <w:spacing w:after="40" w:before="0" w:line="259" w:lineRule="auto"/>
            </w:pPr>
            <w:r>
              <w:rPr>
                <w:rFonts w:ascii="Calibri" w:hAnsi="Calibri"/>
                <w:b w:val="0"/>
                <w:i w:val="0"/>
                <w:color w:val="212121"/>
                <w:sz w:val="19"/>
              </w:rPr>
              <w:t>Within 7 days of exposure</w:t>
            </w:r>
          </w:p>
        </w:tc>
        <w:tc>
          <w:tcPr>
            <w:tcW w:type="dxa" w:w="1512"/>
            <w:vAlign w:val="top"/>
          </w:tcPr>
          <w:p>
            <w:pPr>
              <w:spacing w:after="40" w:before="0" w:line="259" w:lineRule="auto"/>
            </w:pPr>
            <w:r>
              <w:rPr>
                <w:rFonts w:ascii="Calibri" w:hAnsi="Calibri"/>
                <w:b w:val="0"/>
                <w:i w:val="0"/>
                <w:color w:val="212121"/>
                <w:sz w:val="19"/>
              </w:rPr>
              <w:t>Symptomatic before / without prophylaxis</w:t>
            </w:r>
          </w:p>
        </w:tc>
        <w:tc>
          <w:tcPr>
            <w:tcW w:type="dxa" w:w="1468"/>
            <w:vAlign w:val="top"/>
          </w:tcPr>
          <w:p>
            <w:pPr>
              <w:spacing w:after="40" w:before="0" w:line="259" w:lineRule="auto"/>
            </w:pPr>
            <w:r>
              <w:rPr>
                <w:rFonts w:ascii="Calibri" w:hAnsi="Calibri"/>
                <w:b w:val="0"/>
                <w:i w:val="0"/>
                <w:color w:val="212121"/>
                <w:sz w:val="19"/>
              </w:rPr>
              <w:t>Doxycycline or ciprofloxacin for close contacts of pneumonic plague.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temperature (sudden fever)</w:t>
            </w:r>
          </w:p>
        </w:tc>
        <w:tc>
          <w:tcPr>
            <w:tcW w:type="dxa" w:w="1655"/>
            <w:vAlign w:val="top"/>
          </w:tcPr>
          <w:p>
            <w:pPr>
              <w:spacing w:after="40" w:before="0" w:line="259" w:lineRule="auto"/>
            </w:pPr>
            <w:r>
              <w:rPr>
                <w:rFonts w:ascii="Calibri" w:hAnsi="Calibri"/>
                <w:b w:val="0"/>
                <w:i w:val="0"/>
                <w:color w:val="212121"/>
                <w:sz w:val="19"/>
              </w:rPr>
              <w:t>Exposed / symptomatic persons</w:t>
            </w:r>
          </w:p>
        </w:tc>
        <w:tc>
          <w:tcPr>
            <w:tcW w:type="dxa" w:w="1512"/>
            <w:vAlign w:val="top"/>
          </w:tcPr>
          <w:p>
            <w:pPr>
              <w:spacing w:after="40" w:before="0" w:line="259" w:lineRule="auto"/>
            </w:pPr>
            <w:r>
              <w:rPr>
                <w:rFonts w:ascii="Calibri" w:hAnsi="Calibri"/>
                <w:b w:val="0"/>
                <w:i w:val="0"/>
                <w:color w:val="212121"/>
                <w:sz w:val="19"/>
              </w:rPr>
              <w:t>&lt; 37.5 °C</w:t>
            </w:r>
          </w:p>
        </w:tc>
        <w:tc>
          <w:tcPr>
            <w:tcW w:type="dxa" w:w="1512"/>
            <w:vAlign w:val="top"/>
          </w:tcPr>
          <w:p>
            <w:pPr>
              <w:spacing w:after="40" w:before="0" w:line="259" w:lineRule="auto"/>
            </w:pPr>
            <w:r>
              <w:rPr>
                <w:rFonts w:ascii="Calibri" w:hAnsi="Calibri"/>
                <w:b w:val="0"/>
                <w:i w:val="0"/>
                <w:color w:val="212121"/>
                <w:sz w:val="19"/>
              </w:rPr>
              <w:t>≥ 38 °C (100.4 °F) of abrupt onset</w:t>
            </w:r>
          </w:p>
        </w:tc>
        <w:tc>
          <w:tcPr>
            <w:tcW w:type="dxa" w:w="1468"/>
            <w:vAlign w:val="top"/>
          </w:tcPr>
          <w:p>
            <w:pPr>
              <w:spacing w:after="40" w:before="0" w:line="259" w:lineRule="auto"/>
            </w:pPr>
            <w:r>
              <w:rPr>
                <w:rFonts w:ascii="Calibri" w:hAnsi="Calibri"/>
                <w:b w:val="0"/>
                <w:i w:val="0"/>
                <w:color w:val="212121"/>
                <w:sz w:val="19"/>
              </w:rPr>
              <w:t>Abrupt high fever with a bubo or exposure history triggers presumptive treatment.</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Respiratory (droplet) isolation of pneumonic cases</w:t>
            </w:r>
          </w:p>
        </w:tc>
        <w:tc>
          <w:tcPr>
            <w:tcW w:type="dxa" w:w="1655"/>
            <w:vAlign w:val="top"/>
          </w:tcPr>
          <w:p>
            <w:pPr>
              <w:spacing w:after="40" w:before="0" w:line="259" w:lineRule="auto"/>
            </w:pPr>
            <w:r>
              <w:rPr>
                <w:rFonts w:ascii="Calibri" w:hAnsi="Calibri"/>
                <w:b w:val="0"/>
                <w:i w:val="0"/>
                <w:color w:val="212121"/>
                <w:sz w:val="19"/>
              </w:rPr>
              <w:t>Confirmed / suspected pneumonic</w:t>
            </w:r>
          </w:p>
        </w:tc>
        <w:tc>
          <w:tcPr>
            <w:tcW w:type="dxa" w:w="1512"/>
            <w:vAlign w:val="top"/>
          </w:tcPr>
          <w:p>
            <w:pPr>
              <w:spacing w:after="40" w:before="0" w:line="259" w:lineRule="auto"/>
            </w:pPr>
            <w:r>
              <w:rPr>
                <w:rFonts w:ascii="Calibri" w:hAnsi="Calibri"/>
                <w:b w:val="0"/>
                <w:i w:val="0"/>
                <w:color w:val="212121"/>
                <w:sz w:val="19"/>
              </w:rPr>
              <w:t>Until ≥ 48 h of effective antibiotics and improving</w:t>
            </w:r>
          </w:p>
        </w:tc>
        <w:tc>
          <w:tcPr>
            <w:tcW w:type="dxa" w:w="1512"/>
            <w:vAlign w:val="top"/>
          </w:tcPr>
          <w:p>
            <w:pPr>
              <w:spacing w:after="40" w:before="0" w:line="259" w:lineRule="auto"/>
            </w:pPr>
            <w:r>
              <w:rPr>
                <w:rFonts w:ascii="Calibri" w:hAnsi="Calibri"/>
                <w:b w:val="0"/>
                <w:i w:val="0"/>
                <w:color w:val="212121"/>
                <w:sz w:val="19"/>
              </w:rPr>
              <w:t>Unprotected contact</w:t>
            </w:r>
          </w:p>
        </w:tc>
        <w:tc>
          <w:tcPr>
            <w:tcW w:type="dxa" w:w="1468"/>
            <w:vAlign w:val="top"/>
          </w:tcPr>
          <w:p>
            <w:pPr>
              <w:spacing w:after="40" w:before="0" w:line="259" w:lineRule="auto"/>
            </w:pPr>
            <w:r>
              <w:rPr>
                <w:rFonts w:ascii="Calibri" w:hAnsi="Calibri"/>
                <w:b w:val="0"/>
                <w:i w:val="0"/>
                <w:color w:val="212121"/>
                <w:sz w:val="19"/>
              </w:rPr>
              <w:t>Droplet precautions prevent person-to-person spread.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Flea index (Xenopsylla cheopis per rodent host)</w:t>
            </w:r>
          </w:p>
        </w:tc>
        <w:tc>
          <w:tcPr>
            <w:tcW w:type="dxa" w:w="1655"/>
            <w:vAlign w:val="top"/>
          </w:tcPr>
          <w:p>
            <w:pPr>
              <w:spacing w:after="40" w:before="0" w:line="259" w:lineRule="auto"/>
            </w:pPr>
            <w:r>
              <w:rPr>
                <w:rFonts w:ascii="Calibri" w:hAnsi="Calibri"/>
                <w:b w:val="0"/>
                <w:i w:val="0"/>
                <w:color w:val="212121"/>
                <w:sz w:val="19"/>
              </w:rPr>
              <w:t>Endemic-area vector surveillance</w:t>
            </w:r>
          </w:p>
        </w:tc>
        <w:tc>
          <w:tcPr>
            <w:tcW w:type="dxa" w:w="1512"/>
            <w:vAlign w:val="top"/>
          </w:tcPr>
          <w:p>
            <w:pPr>
              <w:spacing w:after="40" w:before="0" w:line="259" w:lineRule="auto"/>
            </w:pPr>
            <w:r>
              <w:rPr>
                <w:rFonts w:ascii="Calibri" w:hAnsi="Calibri"/>
                <w:b w:val="0"/>
                <w:i w:val="0"/>
                <w:color w:val="212121"/>
                <w:sz w:val="19"/>
              </w:rPr>
              <w:t>&lt; 1 (specific flea index)</w:t>
            </w:r>
          </w:p>
        </w:tc>
        <w:tc>
          <w:tcPr>
            <w:tcW w:type="dxa" w:w="1512"/>
            <w:vAlign w:val="top"/>
          </w:tcPr>
          <w:p>
            <w:pPr>
              <w:spacing w:after="40" w:before="0" w:line="259" w:lineRule="auto"/>
            </w:pPr>
            <w:r>
              <w:rPr>
                <w:rFonts w:ascii="Calibri" w:hAnsi="Calibri"/>
                <w:b w:val="0"/>
                <w:i w:val="0"/>
                <w:color w:val="212121"/>
                <w:sz w:val="19"/>
              </w:rPr>
              <w:t>≥ 1</w:t>
            </w:r>
          </w:p>
        </w:tc>
        <w:tc>
          <w:tcPr>
            <w:tcW w:type="dxa" w:w="1468"/>
            <w:vAlign w:val="top"/>
          </w:tcPr>
          <w:p>
            <w:pPr>
              <w:spacing w:after="40" w:before="0" w:line="259" w:lineRule="auto"/>
            </w:pPr>
            <w:r>
              <w:rPr>
                <w:rFonts w:ascii="Calibri" w:hAnsi="Calibri"/>
                <w:b w:val="0"/>
                <w:i w:val="0"/>
                <w:color w:val="212121"/>
                <w:sz w:val="19"/>
              </w:rPr>
              <w:t>A rising flea index signals epizootic risk and the need for vector control.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Rodent-proofing of dwelling and grain stores</w:t>
            </w:r>
          </w:p>
        </w:tc>
        <w:tc>
          <w:tcPr>
            <w:tcW w:type="dxa" w:w="1655"/>
            <w:vAlign w:val="top"/>
          </w:tcPr>
          <w:p>
            <w:pPr>
              <w:spacing w:after="40" w:before="0" w:line="259" w:lineRule="auto"/>
            </w:pPr>
            <w:r>
              <w:rPr>
                <w:rFonts w:ascii="Calibri" w:hAnsi="Calibri"/>
                <w:b w:val="0"/>
                <w:i w:val="0"/>
                <w:color w:val="212121"/>
                <w:sz w:val="19"/>
              </w:rPr>
              <w:t>Households in foci</w:t>
            </w:r>
          </w:p>
        </w:tc>
        <w:tc>
          <w:tcPr>
            <w:tcW w:type="dxa" w:w="1512"/>
            <w:vAlign w:val="top"/>
          </w:tcPr>
          <w:p>
            <w:pPr>
              <w:spacing w:after="40" w:before="0" w:line="259" w:lineRule="auto"/>
            </w:pPr>
            <w:r>
              <w:rPr>
                <w:rFonts w:ascii="Calibri" w:hAnsi="Calibri"/>
                <w:b w:val="0"/>
                <w:i w:val="0"/>
                <w:color w:val="212121"/>
                <w:sz w:val="19"/>
              </w:rPr>
              <w:t>Sealed, harbourage removed, food stored off the ground</w:t>
            </w:r>
          </w:p>
        </w:tc>
        <w:tc>
          <w:tcPr>
            <w:tcW w:type="dxa" w:w="1512"/>
            <w:vAlign w:val="top"/>
          </w:tcPr>
          <w:p>
            <w:pPr>
              <w:spacing w:after="40" w:before="0" w:line="259" w:lineRule="auto"/>
            </w:pPr>
            <w:r>
              <w:rPr>
                <w:rFonts w:ascii="Calibri" w:hAnsi="Calibri"/>
                <w:b w:val="0"/>
                <w:i w:val="0"/>
                <w:color w:val="212121"/>
                <w:sz w:val="19"/>
              </w:rPr>
              <w:t>Active rodent infestation indoors</w:t>
            </w:r>
          </w:p>
        </w:tc>
        <w:tc>
          <w:tcPr>
            <w:tcW w:type="dxa" w:w="1468"/>
            <w:vAlign w:val="top"/>
          </w:tcPr>
          <w:p>
            <w:pPr>
              <w:spacing w:after="60" w:line="259" w:lineRule="auto"/>
            </w:pPr>
            <w:r>
              <w:rPr>
                <w:rFonts w:ascii="Calibri" w:hAnsi="Calibri"/>
                <w:b w:val="0"/>
                <w:i w:val="0"/>
                <w:color w:val="212121"/>
                <w:sz w:val="19"/>
              </w:rPr>
              <w:t>Peridomestic rats bridge sylvatic infection to humans.</w:t>
            </w:r>
          </w:p>
          <w:p>
            <w:pPr>
              <w:spacing w:after="40" w:line="252" w:lineRule="auto"/>
            </w:pPr>
            <w:hyperlink r:id="rId13">
              <w:r>
                <w:rPr>
                  <w:rFonts w:ascii="Calibri" w:hAnsi="Calibri" w:cs="Calibri"/>
                  <w:sz w:val="18"/>
                  <w:color w:val="1155CC"/>
                  <w:u w:val="single"/>
                </w:rPr>
                <w:t xml:space="preserve">https://www.cdc.gov/plague/prevention/index.html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Personal protection during outdoor exposure</w:t>
            </w:r>
          </w:p>
        </w:tc>
        <w:tc>
          <w:tcPr>
            <w:tcW w:type="dxa" w:w="1655"/>
            <w:vAlign w:val="top"/>
          </w:tcPr>
          <w:p>
            <w:pPr>
              <w:spacing w:after="40" w:before="0" w:line="259" w:lineRule="auto"/>
            </w:pPr>
            <w:r>
              <w:rPr>
                <w:rFonts w:ascii="Calibri" w:hAnsi="Calibri"/>
                <w:b w:val="0"/>
                <w:i w:val="0"/>
                <w:color w:val="212121"/>
                <w:sz w:val="19"/>
              </w:rPr>
              <w:t>Field / recreational exposure in foci</w:t>
            </w:r>
          </w:p>
        </w:tc>
        <w:tc>
          <w:tcPr>
            <w:tcW w:type="dxa" w:w="1512"/>
            <w:vAlign w:val="top"/>
          </w:tcPr>
          <w:p>
            <w:pPr>
              <w:spacing w:after="40" w:before="0" w:line="259" w:lineRule="auto"/>
            </w:pPr>
            <w:r>
              <w:rPr>
                <w:rFonts w:ascii="Calibri" w:hAnsi="Calibri"/>
                <w:b w:val="0"/>
                <w:i w:val="0"/>
                <w:color w:val="212121"/>
                <w:sz w:val="19"/>
              </w:rPr>
              <w:t>DEET on skin, permethrin on clothing, gloves for animal handling</w:t>
            </w:r>
          </w:p>
        </w:tc>
        <w:tc>
          <w:tcPr>
            <w:tcW w:type="dxa" w:w="1512"/>
            <w:vAlign w:val="top"/>
          </w:tcPr>
          <w:p>
            <w:pPr>
              <w:spacing w:after="40" w:before="0" w:line="259" w:lineRule="auto"/>
            </w:pPr>
            <w:r>
              <w:rPr>
                <w:rFonts w:ascii="Calibri" w:hAnsi="Calibri"/>
                <w:b w:val="0"/>
                <w:i w:val="0"/>
                <w:color w:val="212121"/>
                <w:sz w:val="19"/>
              </w:rPr>
              <w:t>Unprotected flea or animal contact</w:t>
            </w:r>
          </w:p>
        </w:tc>
        <w:tc>
          <w:tcPr>
            <w:tcW w:type="dxa" w:w="1468"/>
            <w:vAlign w:val="top"/>
          </w:tcPr>
          <w:p>
            <w:pPr>
              <w:spacing w:after="60" w:line="259" w:lineRule="auto"/>
            </w:pPr>
            <w:r>
              <w:rPr>
                <w:rFonts w:ascii="Calibri" w:hAnsi="Calibri"/>
                <w:b w:val="0"/>
                <w:i w:val="0"/>
                <w:color w:val="212121"/>
                <w:sz w:val="19"/>
              </w:rPr>
              <w:t>Reduces flea-bite and direct-contact transmission.</w:t>
            </w:r>
          </w:p>
          <w:p>
            <w:pPr>
              <w:spacing w:after="40" w:line="252" w:lineRule="auto"/>
            </w:pPr>
            <w:hyperlink r:id="rId13">
              <w:r>
                <w:rPr>
                  <w:rFonts w:ascii="Calibri" w:hAnsi="Calibri" w:cs="Calibri"/>
                  <w:sz w:val="18"/>
                  <w:color w:val="1155CC"/>
                  <w:u w:val="single"/>
                </w:rPr>
                <w:t xml:space="preserve">https://www.cdc.gov/plague/prevention/index.html</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Bubo aspirate / blood / sputum smear</w:t>
            </w:r>
          </w:p>
        </w:tc>
        <w:tc>
          <w:tcPr>
            <w:tcW w:type="dxa" w:w="892"/>
            <w:vAlign w:val="top"/>
          </w:tcPr>
          <w:p>
            <w:pPr>
              <w:spacing w:after="40" w:before="0" w:line="259" w:lineRule="auto"/>
            </w:pPr>
            <w:r>
              <w:rPr>
                <w:rFonts w:ascii="Calibri" w:hAnsi="Calibri"/>
                <w:b w:val="0"/>
                <w:i w:val="0"/>
                <w:color w:val="212121"/>
                <w:sz w:val="16"/>
              </w:rPr>
              <w:t>Gram and Wright/Giemsa stain</w:t>
            </w:r>
          </w:p>
        </w:tc>
        <w:tc>
          <w:tcPr>
            <w:tcW w:type="dxa" w:w="950"/>
            <w:vAlign w:val="top"/>
          </w:tcPr>
          <w:p>
            <w:pPr>
              <w:spacing w:after="40" w:before="0" w:line="259" w:lineRule="auto"/>
            </w:pPr>
            <w:r>
              <w:rPr>
                <w:rFonts w:ascii="Calibri" w:hAnsi="Calibri"/>
                <w:b w:val="0"/>
                <w:i w:val="0"/>
                <w:color w:val="212121"/>
                <w:sz w:val="16"/>
              </w:rPr>
              <w:t>No organisms</w:t>
            </w:r>
          </w:p>
        </w:tc>
        <w:tc>
          <w:tcPr>
            <w:tcW w:type="dxa" w:w="950"/>
            <w:vAlign w:val="top"/>
          </w:tcPr>
          <w:p>
            <w:pPr>
              <w:spacing w:after="40" w:before="0" w:line="259" w:lineRule="auto"/>
            </w:pPr>
            <w:r>
              <w:rPr>
                <w:rFonts w:ascii="Calibri" w:hAnsi="Calibri"/>
                <w:b w:val="0"/>
                <w:i w:val="0"/>
                <w:color w:val="212121"/>
                <w:sz w:val="16"/>
              </w:rPr>
              <w:t>Bipolar ‘safety-pin’ gram-negative coccobacilli</w:t>
            </w:r>
          </w:p>
        </w:tc>
        <w:tc>
          <w:tcPr>
            <w:tcW w:type="dxa" w:w="1036"/>
            <w:vAlign w:val="top"/>
          </w:tcPr>
          <w:p>
            <w:pPr>
              <w:spacing w:after="40" w:before="0" w:line="259" w:lineRule="auto"/>
            </w:pPr>
            <w:r>
              <w:rPr>
                <w:rFonts w:ascii="Calibri" w:hAnsi="Calibri"/>
                <w:b w:val="0"/>
                <w:i w:val="0"/>
                <w:color w:val="212121"/>
                <w:sz w:val="16"/>
              </w:rPr>
              <w:t>Presumptive plague; guides immediate empirical therapy</w:t>
            </w:r>
          </w:p>
        </w:tc>
        <w:tc>
          <w:tcPr>
            <w:tcW w:type="dxa" w:w="1036"/>
            <w:vAlign w:val="top"/>
          </w:tcPr>
          <w:p>
            <w:pPr>
              <w:spacing w:after="40" w:before="0" w:line="259" w:lineRule="auto"/>
            </w:pPr>
            <w:r>
              <w:rPr>
                <w:rFonts w:ascii="Calibri" w:hAnsi="Calibri"/>
                <w:b w:val="0"/>
                <w:i w:val="0"/>
                <w:color w:val="212121"/>
                <w:sz w:val="16"/>
              </w:rPr>
              <w:t>Suspected bubonic, pneumonic or septicemic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Rapid presumptive</w:t>
            </w:r>
          </w:p>
        </w:tc>
        <w:tc>
          <w:tcPr>
            <w:tcW w:type="dxa" w:w="720"/>
            <w:vAlign w:val="top"/>
          </w:tcPr>
          <w:p>
            <w:pPr>
              <w:spacing w:after="40" w:before="0" w:line="259" w:lineRule="auto"/>
            </w:pPr>
            <w:r>
              <w:rPr>
                <w:rFonts w:ascii="Calibri" w:hAnsi="Calibri"/>
                <w:b w:val="0"/>
                <w:i w:val="0"/>
                <w:color w:val="212121"/>
                <w:sz w:val="16"/>
              </w:rPr>
              <w:t>Bipolar staining is characteristic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Culture (bubo aspirate, blood, sputum, CSF)</w:t>
            </w:r>
          </w:p>
        </w:tc>
        <w:tc>
          <w:tcPr>
            <w:tcW w:type="dxa" w:w="892"/>
            <w:vAlign w:val="top"/>
          </w:tcPr>
          <w:p>
            <w:pPr>
              <w:spacing w:after="40" w:before="0" w:line="259" w:lineRule="auto"/>
            </w:pPr>
            <w:r>
              <w:rPr>
                <w:rFonts w:ascii="Calibri" w:hAnsi="Calibri"/>
                <w:b w:val="0"/>
                <w:i w:val="0"/>
                <w:color w:val="212121"/>
                <w:sz w:val="16"/>
              </w:rPr>
              <w:t>Bacterial 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Isolation of Yersinia pestis</w:t>
            </w:r>
          </w:p>
        </w:tc>
        <w:tc>
          <w:tcPr>
            <w:tcW w:type="dxa" w:w="1036"/>
            <w:vAlign w:val="top"/>
          </w:tcPr>
          <w:p>
            <w:pPr>
              <w:spacing w:after="40" w:before="0" w:line="259" w:lineRule="auto"/>
            </w:pPr>
            <w:r>
              <w:rPr>
                <w:rFonts w:ascii="Calibri" w:hAnsi="Calibri"/>
                <w:b w:val="0"/>
                <w:i w:val="0"/>
                <w:color w:val="212121"/>
                <w:sz w:val="16"/>
              </w:rPr>
              <w:t>Confirmatory gold standard</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Grows on blood and MacConkey agar; alert the laboratory (biosafety)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Rapid antigen</w:t>
            </w:r>
          </w:p>
        </w:tc>
        <w:tc>
          <w:tcPr>
            <w:tcW w:type="dxa" w:w="1036"/>
            <w:vAlign w:val="top"/>
          </w:tcPr>
          <w:p>
            <w:pPr>
              <w:spacing w:after="40" w:before="0" w:line="259" w:lineRule="auto"/>
            </w:pPr>
            <w:r>
              <w:rPr>
                <w:rFonts w:ascii="Calibri" w:hAnsi="Calibri"/>
                <w:b w:val="0"/>
                <w:i w:val="0"/>
                <w:color w:val="212121"/>
                <w:sz w:val="16"/>
              </w:rPr>
              <w:t>F1 capsular antigen</w:t>
            </w:r>
          </w:p>
        </w:tc>
        <w:tc>
          <w:tcPr>
            <w:tcW w:type="dxa" w:w="892"/>
            <w:vAlign w:val="top"/>
          </w:tcPr>
          <w:p>
            <w:pPr>
              <w:spacing w:after="40" w:before="0" w:line="259" w:lineRule="auto"/>
            </w:pPr>
            <w:r>
              <w:rPr>
                <w:rFonts w:ascii="Calibri" w:hAnsi="Calibri"/>
                <w:b w:val="0"/>
                <w:i w:val="0"/>
                <w:color w:val="212121"/>
                <w:sz w:val="16"/>
              </w:rPr>
              <w:t>Rapid diagnostic dipstick (RDT)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F1 antigen</w:t>
            </w:r>
          </w:p>
        </w:tc>
        <w:tc>
          <w:tcPr>
            <w:tcW w:type="dxa" w:w="1036"/>
            <w:vAlign w:val="top"/>
          </w:tcPr>
          <w:p>
            <w:pPr>
              <w:spacing w:after="40" w:before="0" w:line="259" w:lineRule="auto"/>
            </w:pPr>
            <w:r>
              <w:rPr>
                <w:rFonts w:ascii="Calibri" w:hAnsi="Calibri"/>
                <w:b w:val="0"/>
                <w:i w:val="0"/>
                <w:color w:val="212121"/>
                <w:sz w:val="16"/>
              </w:rPr>
              <w:t>Presumptive field diagnosis within minutes</w:t>
            </w:r>
          </w:p>
        </w:tc>
        <w:tc>
          <w:tcPr>
            <w:tcW w:type="dxa" w:w="1036"/>
            <w:vAlign w:val="top"/>
          </w:tcPr>
          <w:p>
            <w:pPr>
              <w:spacing w:after="40" w:before="0" w:line="259" w:lineRule="auto"/>
            </w:pPr>
            <w:r>
              <w:rPr>
                <w:rFonts w:ascii="Calibri" w:hAnsi="Calibri"/>
                <w:b w:val="0"/>
                <w:i w:val="0"/>
                <w:color w:val="212121"/>
                <w:sz w:val="16"/>
              </w:rPr>
              <w:t>Outbreak and field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Point-of-care</w:t>
            </w:r>
          </w:p>
        </w:tc>
        <w:tc>
          <w:tcPr>
            <w:tcW w:type="dxa" w:w="720"/>
            <w:vAlign w:val="top"/>
          </w:tcPr>
          <w:p>
            <w:pPr>
              <w:spacing w:after="40" w:before="0" w:line="259" w:lineRule="auto"/>
            </w:pPr>
            <w:r>
              <w:rPr>
                <w:rFonts w:ascii="Calibri" w:hAnsi="Calibri"/>
                <w:b w:val="0"/>
                <w:i w:val="0"/>
                <w:color w:val="212121"/>
                <w:sz w:val="16"/>
              </w:rPr>
              <w:t>WHO-validated dipstick from bubo pus, blood or sputum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Y. pestis nucleic acid (pla / caf1)</w:t>
            </w:r>
          </w:p>
        </w:tc>
        <w:tc>
          <w:tcPr>
            <w:tcW w:type="dxa" w:w="892"/>
            <w:vAlign w:val="top"/>
          </w:tcPr>
          <w:p>
            <w:pPr>
              <w:spacing w:after="40" w:before="0" w:line="259" w:lineRule="auto"/>
            </w:pPr>
            <w:r>
              <w:rPr>
                <w:rFonts w:ascii="Calibri" w:hAnsi="Calibri"/>
                <w:b w:val="0"/>
                <w:i w:val="0"/>
                <w:color w:val="212121"/>
                <w:sz w:val="16"/>
              </w:rPr>
              <w:t>Polymerase chain reaction (PCR)</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Detected</w:t>
            </w:r>
          </w:p>
        </w:tc>
        <w:tc>
          <w:tcPr>
            <w:tcW w:type="dxa" w:w="1036"/>
            <w:vAlign w:val="top"/>
          </w:tcPr>
          <w:p>
            <w:pPr>
              <w:spacing w:after="40" w:before="0" w:line="259" w:lineRule="auto"/>
            </w:pPr>
            <w:r>
              <w:rPr>
                <w:rFonts w:ascii="Calibri" w:hAnsi="Calibri"/>
                <w:b w:val="0"/>
                <w:i w:val="0"/>
                <w:color w:val="212121"/>
                <w:sz w:val="16"/>
              </w:rPr>
              <w:t>Rapid, highly specific confirmation</w:t>
            </w:r>
          </w:p>
        </w:tc>
        <w:tc>
          <w:tcPr>
            <w:tcW w:type="dxa" w:w="1036"/>
            <w:vAlign w:val="top"/>
          </w:tcPr>
          <w:p>
            <w:pPr>
              <w:spacing w:after="40" w:before="0" w:line="259" w:lineRule="auto"/>
            </w:pPr>
            <w:r>
              <w:rPr>
                <w:rFonts w:ascii="Calibri" w:hAnsi="Calibri"/>
                <w:b w:val="0"/>
                <w:i w:val="0"/>
                <w:color w:val="212121"/>
                <w:sz w:val="16"/>
              </w:rPr>
              <w:t>Reference-laboratory confirmation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Useful when culture is negative or the patient is pre-treated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Anti-F1 antibody</w:t>
            </w:r>
          </w:p>
        </w:tc>
        <w:tc>
          <w:tcPr>
            <w:tcW w:type="dxa" w:w="892"/>
            <w:vAlign w:val="top"/>
          </w:tcPr>
          <w:p>
            <w:pPr>
              <w:spacing w:after="40" w:before="0" w:line="259" w:lineRule="auto"/>
            </w:pPr>
            <w:r>
              <w:rPr>
                <w:rFonts w:ascii="Calibri" w:hAnsi="Calibri"/>
                <w:b w:val="0"/>
                <w:i w:val="0"/>
                <w:color w:val="212121"/>
                <w:sz w:val="16"/>
              </w:rPr>
              <w:t>ELISA / passive haemagglutination</w:t>
            </w:r>
          </w:p>
        </w:tc>
        <w:tc>
          <w:tcPr>
            <w:tcW w:type="dxa" w:w="950"/>
            <w:vAlign w:val="top"/>
          </w:tcPr>
          <w:p>
            <w:pPr>
              <w:spacing w:after="40" w:before="0" w:line="259" w:lineRule="auto"/>
            </w:pPr>
            <w:r>
              <w:rPr>
                <w:rFonts w:ascii="Calibri" w:hAnsi="Calibri"/>
                <w:b w:val="0"/>
                <w:i w:val="0"/>
                <w:color w:val="212121"/>
                <w:sz w:val="16"/>
              </w:rPr>
              <w:t>No significant titre / no rise</w:t>
            </w:r>
          </w:p>
        </w:tc>
        <w:tc>
          <w:tcPr>
            <w:tcW w:type="dxa" w:w="950"/>
            <w:vAlign w:val="top"/>
          </w:tcPr>
          <w:p>
            <w:pPr>
              <w:spacing w:after="40" w:before="0" w:line="259" w:lineRule="auto"/>
            </w:pPr>
            <w:r>
              <w:rPr>
                <w:rFonts w:ascii="Calibri" w:hAnsi="Calibri"/>
                <w:b w:val="0"/>
                <w:i w:val="0"/>
                <w:color w:val="212121"/>
                <w:sz w:val="16"/>
              </w:rPr>
              <w:t>≥ 4-fold rise or seroconversion in paired sera</w:t>
            </w:r>
          </w:p>
        </w:tc>
        <w:tc>
          <w:tcPr>
            <w:tcW w:type="dxa" w:w="1036"/>
            <w:vAlign w:val="top"/>
          </w:tcPr>
          <w:p>
            <w:pPr>
              <w:spacing w:after="40" w:before="0" w:line="259" w:lineRule="auto"/>
            </w:pPr>
            <w:r>
              <w:rPr>
                <w:rFonts w:ascii="Calibri" w:hAnsi="Calibri"/>
                <w:b w:val="0"/>
                <w:i w:val="0"/>
                <w:color w:val="212121"/>
                <w:sz w:val="16"/>
              </w:rPr>
              <w:t>Retrospective or confirmatory diagnosis</w:t>
            </w:r>
          </w:p>
        </w:tc>
        <w:tc>
          <w:tcPr>
            <w:tcW w:type="dxa" w:w="1036"/>
            <w:vAlign w:val="top"/>
          </w:tcPr>
          <w:p>
            <w:pPr>
              <w:spacing w:after="40" w:before="0" w:line="259" w:lineRule="auto"/>
            </w:pPr>
            <w:r>
              <w:rPr>
                <w:rFonts w:ascii="Calibri" w:hAnsi="Calibri"/>
                <w:b w:val="0"/>
                <w:i w:val="0"/>
                <w:color w:val="212121"/>
                <w:sz w:val="16"/>
              </w:rPr>
              <w:t>Convalescent patients, surveillance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(delayed)</w:t>
            </w:r>
          </w:p>
        </w:tc>
        <w:tc>
          <w:tcPr>
            <w:tcW w:type="dxa" w:w="720"/>
            <w:vAlign w:val="top"/>
          </w:tcPr>
          <w:p>
            <w:pPr>
              <w:spacing w:after="40" w:before="0" w:line="259" w:lineRule="auto"/>
            </w:pPr>
            <w:r>
              <w:rPr>
                <w:rFonts w:ascii="Calibri" w:hAnsi="Calibri"/>
                <w:b w:val="0"/>
                <w:i w:val="0"/>
                <w:color w:val="212121"/>
                <w:sz w:val="16"/>
              </w:rPr>
              <w:t>A single high titre is supportive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White cell count and platelets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WBC 4,000–11,000 /µL; platelets 150,000–450,000 /µL</w:t>
            </w:r>
          </w:p>
        </w:tc>
        <w:tc>
          <w:tcPr>
            <w:tcW w:type="dxa" w:w="950"/>
            <w:vAlign w:val="top"/>
          </w:tcPr>
          <w:p>
            <w:pPr>
              <w:spacing w:after="40" w:before="0" w:line="259" w:lineRule="auto"/>
            </w:pPr>
            <w:r>
              <w:rPr>
                <w:rFonts w:ascii="Calibri" w:hAnsi="Calibri"/>
                <w:b w:val="0"/>
                <w:i w:val="0"/>
                <w:color w:val="212121"/>
                <w:sz w:val="16"/>
              </w:rPr>
              <w:t>Marked neutrophilic leucocytosis with left shift; thrombocytopenia in DIC</w:t>
            </w:r>
          </w:p>
        </w:tc>
        <w:tc>
          <w:tcPr>
            <w:tcW w:type="dxa" w:w="1036"/>
            <w:vAlign w:val="top"/>
          </w:tcPr>
          <w:p>
            <w:pPr>
              <w:spacing w:after="40" w:before="0" w:line="259" w:lineRule="auto"/>
            </w:pPr>
            <w:r>
              <w:rPr>
                <w:rFonts w:ascii="Calibri" w:hAnsi="Calibri"/>
                <w:b w:val="0"/>
                <w:i w:val="0"/>
                <w:color w:val="212121"/>
                <w:sz w:val="16"/>
              </w:rPr>
              <w:t>Severity and coagulopathy marker</w:t>
            </w:r>
          </w:p>
        </w:tc>
        <w:tc>
          <w:tcPr>
            <w:tcW w:type="dxa" w:w="1036"/>
            <w:vAlign w:val="top"/>
          </w:tcPr>
          <w:p>
            <w:pPr>
              <w:spacing w:after="40" w:before="0" w:line="259" w:lineRule="auto"/>
            </w:pPr>
            <w:r>
              <w:rPr>
                <w:rFonts w:ascii="Calibri" w:hAnsi="Calibri"/>
                <w:b w:val="0"/>
                <w:i w:val="0"/>
                <w:color w:val="212121"/>
                <w:sz w:val="16"/>
              </w:rPr>
              <w:t>All cases, especially septicemic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leukemoid reaction may occur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Chest radiograph</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Patchy or lobar consolidation, rapidly progressive bilateral infiltrates</w:t>
            </w:r>
          </w:p>
        </w:tc>
        <w:tc>
          <w:tcPr>
            <w:tcW w:type="dxa" w:w="1036"/>
            <w:vAlign w:val="top"/>
          </w:tcPr>
          <w:p>
            <w:pPr>
              <w:spacing w:after="40" w:before="0" w:line="259" w:lineRule="auto"/>
            </w:pPr>
            <w:r>
              <w:rPr>
                <w:rFonts w:ascii="Calibri" w:hAnsi="Calibri"/>
                <w:b w:val="0"/>
                <w:i w:val="0"/>
                <w:color w:val="212121"/>
                <w:sz w:val="16"/>
              </w:rPr>
              <w:t>Pneumonic plague / ARDS</w:t>
            </w:r>
          </w:p>
        </w:tc>
        <w:tc>
          <w:tcPr>
            <w:tcW w:type="dxa" w:w="1036"/>
            <w:vAlign w:val="top"/>
          </w:tcPr>
          <w:p>
            <w:pPr>
              <w:spacing w:after="40" w:before="0" w:line="259" w:lineRule="auto"/>
            </w:pPr>
            <w:r>
              <w:rPr>
                <w:rFonts w:ascii="Calibri" w:hAnsi="Calibri"/>
                <w:b w:val="0"/>
                <w:i w:val="0"/>
                <w:color w:val="212121"/>
                <w:sz w:val="16"/>
              </w:rPr>
              <w:t>Patients with cough or dyspnoea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(pneumonic)</w:t>
            </w:r>
          </w:p>
        </w:tc>
        <w:tc>
          <w:tcPr>
            <w:tcW w:type="dxa" w:w="720"/>
            <w:vAlign w:val="top"/>
          </w:tcPr>
          <w:p>
            <w:pPr>
              <w:spacing w:after="40" w:before="0" w:line="259" w:lineRule="auto"/>
            </w:pPr>
            <w:r>
              <w:rPr>
                <w:rFonts w:ascii="Calibri" w:hAnsi="Calibri"/>
                <w:b w:val="0"/>
                <w:i w:val="0"/>
                <w:color w:val="212121"/>
                <w:sz w:val="16"/>
              </w:rPr>
              <w:t>Radiographic progression is typically rapid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Sudden fever, chills, headache, prostration ± a painful lump or breathlessness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Acute febrile illness of abrupt onset</w:t>
            </w:r>
          </w:p>
        </w:tc>
        <w:tc>
          <w:tcPr>
            <w:tcW w:type="dxa" w:w="1036"/>
            <w:vAlign w:val="top"/>
          </w:tcPr>
          <w:p>
            <w:pPr>
              <w:spacing w:after="40" w:before="0" w:line="259" w:lineRule="auto"/>
            </w:pPr>
            <w:r>
              <w:rPr>
                <w:rFonts w:ascii="Calibri" w:hAnsi="Calibri"/>
                <w:b w:val="0"/>
                <w:i w:val="0"/>
                <w:color w:val="212121"/>
                <w:sz w:val="16"/>
              </w:rPr>
              <w:t>Systemic infection — screen for plague in an endemic setting</w:t>
            </w:r>
          </w:p>
        </w:tc>
        <w:tc>
          <w:tcPr>
            <w:tcW w:type="dxa" w:w="1036"/>
            <w:vAlign w:val="top"/>
          </w:tcPr>
          <w:p>
            <w:pPr>
              <w:spacing w:after="40" w:before="0" w:line="259" w:lineRule="auto"/>
            </w:pPr>
            <w:r>
              <w:rPr>
                <w:rFonts w:ascii="Calibri" w:hAnsi="Calibri"/>
                <w:b w:val="0"/>
                <w:i w:val="0"/>
                <w:color w:val="212121"/>
                <w:sz w:val="16"/>
              </w:rPr>
              <w:t>Residents of / travellers to foci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Progression over hours is typical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Epidemiological exposure</w:t>
            </w:r>
          </w:p>
        </w:tc>
        <w:tc>
          <w:tcPr>
            <w:tcW w:type="dxa" w:w="979"/>
            <w:vAlign w:val="top"/>
          </w:tcPr>
          <w:p>
            <w:pPr>
              <w:spacing w:after="40" w:before="0" w:line="259" w:lineRule="auto"/>
            </w:pPr>
            <w:r>
              <w:rPr>
                <w:rFonts w:ascii="Calibri" w:hAnsi="Calibri"/>
                <w:b w:val="0"/>
                <w:i w:val="0"/>
                <w:color w:val="212121"/>
                <w:sz w:val="16"/>
              </w:rPr>
              <w:t>Flea bite, rodent die-off, handling wild animals, travel to a focus, contact with a pneumonic case</w:t>
            </w:r>
          </w:p>
        </w:tc>
        <w:tc>
          <w:tcPr>
            <w:tcW w:type="dxa" w:w="950"/>
            <w:vAlign w:val="top"/>
          </w:tcPr>
          <w:p>
            <w:pPr>
              <w:spacing w:after="40" w:before="0" w:line="259" w:lineRule="auto"/>
            </w:pPr>
            <w:r>
              <w:rPr>
                <w:rFonts w:ascii="Calibri" w:hAnsi="Calibri"/>
                <w:b w:val="0"/>
                <w:i w:val="0"/>
                <w:color w:val="212121"/>
                <w:sz w:val="16"/>
              </w:rPr>
              <w:t>No exposure</w:t>
            </w:r>
          </w:p>
        </w:tc>
        <w:tc>
          <w:tcPr>
            <w:tcW w:type="dxa" w:w="950"/>
            <w:vAlign w:val="top"/>
          </w:tcPr>
          <w:p>
            <w:pPr>
              <w:spacing w:after="40" w:before="0" w:line="259" w:lineRule="auto"/>
            </w:pPr>
            <w:r>
              <w:rPr>
                <w:rFonts w:ascii="Calibri" w:hAnsi="Calibri"/>
                <w:b w:val="0"/>
                <w:i w:val="0"/>
                <w:color w:val="212121"/>
                <w:sz w:val="16"/>
              </w:rPr>
              <w:t>≥ 1 exposure in the prior 1–7 days</w:t>
            </w:r>
          </w:p>
        </w:tc>
        <w:tc>
          <w:tcPr>
            <w:tcW w:type="dxa" w:w="1036"/>
            <w:vAlign w:val="top"/>
          </w:tcPr>
          <w:p>
            <w:pPr>
              <w:spacing w:after="40" w:before="0" w:line="259" w:lineRule="auto"/>
            </w:pPr>
            <w:r>
              <w:rPr>
                <w:rFonts w:ascii="Calibri" w:hAnsi="Calibri"/>
                <w:b w:val="0"/>
                <w:i w:val="0"/>
                <w:color w:val="212121"/>
                <w:sz w:val="16"/>
              </w:rPr>
              <w:t>Establishes the epidemiological link required by the case definition</w:t>
            </w:r>
          </w:p>
        </w:tc>
        <w:tc>
          <w:tcPr>
            <w:tcW w:type="dxa" w:w="1036"/>
            <w:vAlign w:val="top"/>
          </w:tcPr>
          <w:p>
            <w:pPr>
              <w:spacing w:after="40" w:before="0" w:line="259" w:lineRule="auto"/>
            </w:pPr>
            <w:r>
              <w:rPr>
                <w:rFonts w:ascii="Calibri" w:hAnsi="Calibri"/>
                <w:b w:val="0"/>
                <w:i w:val="0"/>
                <w:color w:val="212121"/>
                <w:sz w:val="16"/>
              </w:rPr>
              <w:t>Hunters, herders, foci residents, contacts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anchor</w:t>
            </w:r>
          </w:p>
        </w:tc>
        <w:tc>
          <w:tcPr>
            <w:tcW w:type="dxa" w:w="720"/>
            <w:vAlign w:val="top"/>
          </w:tcPr>
          <w:p>
            <w:pPr>
              <w:spacing w:after="40" w:before="0" w:line="259" w:lineRule="auto"/>
            </w:pPr>
            <w:r>
              <w:rPr>
                <w:rFonts w:ascii="Calibri" w:hAnsi="Calibri"/>
                <w:b w:val="0"/>
                <w:i w:val="0"/>
                <w:color w:val="212121"/>
                <w:sz w:val="16"/>
              </w:rPr>
              <w:t>Guides presumptive therapy and contact tracing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and behavioural history</w:t>
            </w:r>
          </w:p>
        </w:tc>
        <w:tc>
          <w:tcPr>
            <w:tcW w:type="dxa" w:w="979"/>
            <w:vAlign w:val="top"/>
          </w:tcPr>
          <w:p>
            <w:pPr>
              <w:spacing w:after="40" w:before="0" w:line="259" w:lineRule="auto"/>
            </w:pPr>
            <w:r>
              <w:rPr>
                <w:rFonts w:ascii="Calibri" w:hAnsi="Calibri"/>
                <w:b w:val="0"/>
                <w:i w:val="0"/>
                <w:color w:val="212121"/>
                <w:sz w:val="16"/>
              </w:rPr>
              <w:t>Hunting, trapping, herding, farming, veterinary or field work</w:t>
            </w:r>
          </w:p>
        </w:tc>
        <w:tc>
          <w:tcPr>
            <w:tcW w:type="dxa" w:w="950"/>
            <w:vAlign w:val="top"/>
          </w:tcPr>
          <w:p>
            <w:pPr>
              <w:spacing w:after="40" w:before="0" w:line="259" w:lineRule="auto"/>
            </w:pPr>
            <w:r>
              <w:rPr>
                <w:rFonts w:ascii="Calibri" w:hAnsi="Calibri"/>
                <w:b w:val="0"/>
                <w:i w:val="0"/>
                <w:color w:val="212121"/>
                <w:sz w:val="16"/>
              </w:rPr>
              <w:t>No high-risk exposure</w:t>
            </w:r>
          </w:p>
        </w:tc>
        <w:tc>
          <w:tcPr>
            <w:tcW w:type="dxa" w:w="950"/>
            <w:vAlign w:val="top"/>
          </w:tcPr>
          <w:p>
            <w:pPr>
              <w:spacing w:after="40" w:before="0" w:line="259" w:lineRule="auto"/>
            </w:pPr>
            <w:r>
              <w:rPr>
                <w:rFonts w:ascii="Calibri" w:hAnsi="Calibri"/>
                <w:b w:val="0"/>
                <w:i w:val="0"/>
                <w:color w:val="212121"/>
                <w:sz w:val="16"/>
              </w:rPr>
              <w:t>Occupational animal or flea contact</w:t>
            </w:r>
          </w:p>
        </w:tc>
        <w:tc>
          <w:tcPr>
            <w:tcW w:type="dxa" w:w="1036"/>
            <w:vAlign w:val="top"/>
          </w:tcPr>
          <w:p>
            <w:pPr>
              <w:spacing w:after="40" w:before="0" w:line="259" w:lineRule="auto"/>
            </w:pPr>
            <w:r>
              <w:rPr>
                <w:rFonts w:ascii="Calibri" w:hAnsi="Calibri"/>
                <w:b w:val="0"/>
                <w:i w:val="0"/>
                <w:color w:val="212121"/>
                <w:sz w:val="16"/>
              </w:rPr>
              <w:t>Identifies the at-risk group</w:t>
            </w:r>
          </w:p>
        </w:tc>
        <w:tc>
          <w:tcPr>
            <w:tcW w:type="dxa" w:w="1036"/>
            <w:vAlign w:val="top"/>
          </w:tcPr>
          <w:p>
            <w:pPr>
              <w:spacing w:after="40" w:before="0" w:line="259" w:lineRule="auto"/>
            </w:pPr>
            <w:r>
              <w:rPr>
                <w:rFonts w:ascii="Calibri" w:hAnsi="Calibri"/>
                <w:b w:val="0"/>
                <w:i w:val="0"/>
                <w:color w:val="212121"/>
                <w:sz w:val="16"/>
              </w:rPr>
              <w:t>Rural and occupationally exposed people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Note pet illness and rodent die-offs at home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Regional lymph node examination</w:t>
            </w:r>
          </w:p>
        </w:tc>
        <w:tc>
          <w:tcPr>
            <w:tcW w:type="dxa" w:w="979"/>
            <w:vAlign w:val="top"/>
          </w:tcPr>
          <w:p>
            <w:pPr>
              <w:spacing w:after="40" w:before="0" w:line="259" w:lineRule="auto"/>
            </w:pPr>
            <w:r>
              <w:rPr>
                <w:rFonts w:ascii="Calibri" w:hAnsi="Calibri"/>
                <w:b w:val="0"/>
                <w:i w:val="0"/>
                <w:color w:val="212121"/>
                <w:sz w:val="16"/>
              </w:rPr>
              <w:t>Bubo — tender, matted, erythematous node (inguinal, axillary or cervical)</w:t>
            </w:r>
          </w:p>
        </w:tc>
        <w:tc>
          <w:tcPr>
            <w:tcW w:type="dxa" w:w="950"/>
            <w:vAlign w:val="top"/>
          </w:tcPr>
          <w:p>
            <w:pPr>
              <w:spacing w:after="40" w:before="0" w:line="259" w:lineRule="auto"/>
            </w:pPr>
            <w:r>
              <w:rPr>
                <w:rFonts w:ascii="Calibri" w:hAnsi="Calibri"/>
                <w:b w:val="0"/>
                <w:i w:val="0"/>
                <w:color w:val="212121"/>
                <w:sz w:val="16"/>
              </w:rPr>
              <w:t>No adenopathy</w:t>
            </w:r>
          </w:p>
        </w:tc>
        <w:tc>
          <w:tcPr>
            <w:tcW w:type="dxa" w:w="950"/>
            <w:vAlign w:val="top"/>
          </w:tcPr>
          <w:p>
            <w:pPr>
              <w:spacing w:after="40" w:before="0" w:line="259" w:lineRule="auto"/>
            </w:pPr>
            <w:r>
              <w:rPr>
                <w:rFonts w:ascii="Calibri" w:hAnsi="Calibri"/>
                <w:b w:val="0"/>
                <w:i w:val="0"/>
                <w:color w:val="212121"/>
                <w:sz w:val="16"/>
              </w:rPr>
              <w:t>Acute, exquisitely tender bubo</w:t>
            </w:r>
          </w:p>
        </w:tc>
        <w:tc>
          <w:tcPr>
            <w:tcW w:type="dxa" w:w="1036"/>
            <w:vAlign w:val="top"/>
          </w:tcPr>
          <w:p>
            <w:pPr>
              <w:spacing w:after="40" w:before="0" w:line="259" w:lineRule="auto"/>
            </w:pPr>
            <w:r>
              <w:rPr>
                <w:rFonts w:ascii="Calibri" w:hAnsi="Calibri"/>
                <w:b w:val="0"/>
                <w:i w:val="0"/>
                <w:color w:val="212121"/>
                <w:sz w:val="16"/>
              </w:rPr>
              <w:t>Hallmark of bubonic plague</w:t>
            </w:r>
          </w:p>
        </w:tc>
        <w:tc>
          <w:tcPr>
            <w:tcW w:type="dxa" w:w="1036"/>
            <w:vAlign w:val="top"/>
          </w:tcPr>
          <w:p>
            <w:pPr>
              <w:spacing w:after="40" w:before="0" w:line="259" w:lineRule="auto"/>
            </w:pPr>
            <w:r>
              <w:rPr>
                <w:rFonts w:ascii="Calibri" w:hAnsi="Calibri"/>
                <w:b w:val="0"/>
                <w:i w:val="0"/>
                <w:color w:val="212121"/>
                <w:sz w:val="16"/>
              </w:rPr>
              <w:t>Bubonic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Often too painful to palpate; may have surrounding oedema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Cardiorespiratory and sepsis assessment</w:t>
            </w:r>
          </w:p>
        </w:tc>
        <w:tc>
          <w:tcPr>
            <w:tcW w:type="dxa" w:w="979"/>
            <w:vAlign w:val="top"/>
          </w:tcPr>
          <w:p>
            <w:pPr>
              <w:spacing w:after="40" w:before="0" w:line="259" w:lineRule="auto"/>
            </w:pPr>
            <w:r>
              <w:rPr>
                <w:rFonts w:ascii="Calibri" w:hAnsi="Calibri"/>
                <w:b w:val="0"/>
                <w:i w:val="0"/>
                <w:color w:val="212121"/>
                <w:sz w:val="16"/>
              </w:rPr>
              <w:t>Blood pressure, heart rate, respiratory rate, SpO2, mental status</w:t>
            </w:r>
          </w:p>
        </w:tc>
        <w:tc>
          <w:tcPr>
            <w:tcW w:type="dxa" w:w="950"/>
            <w:vAlign w:val="top"/>
          </w:tcPr>
          <w:p>
            <w:pPr>
              <w:spacing w:after="40" w:before="0" w:line="259" w:lineRule="auto"/>
            </w:pPr>
            <w:r>
              <w:rPr>
                <w:rFonts w:ascii="Calibri" w:hAnsi="Calibri"/>
                <w:b w:val="0"/>
                <w:i w:val="0"/>
                <w:color w:val="212121"/>
                <w:sz w:val="16"/>
              </w:rPr>
              <w:t>Stable vitals, alert</w:t>
            </w:r>
          </w:p>
        </w:tc>
        <w:tc>
          <w:tcPr>
            <w:tcW w:type="dxa" w:w="950"/>
            <w:vAlign w:val="top"/>
          </w:tcPr>
          <w:p>
            <w:pPr>
              <w:spacing w:after="40" w:before="0" w:line="259" w:lineRule="auto"/>
            </w:pPr>
            <w:r>
              <w:rPr>
                <w:rFonts w:ascii="Calibri" w:hAnsi="Calibri"/>
                <w:b w:val="0"/>
                <w:i w:val="0"/>
                <w:color w:val="212121"/>
                <w:sz w:val="16"/>
              </w:rPr>
              <w:t>Hypotension, tachypnoea, hypoxia, altered sensorium</w:t>
            </w:r>
          </w:p>
        </w:tc>
        <w:tc>
          <w:tcPr>
            <w:tcW w:type="dxa" w:w="1036"/>
            <w:vAlign w:val="top"/>
          </w:tcPr>
          <w:p>
            <w:pPr>
              <w:spacing w:after="40" w:before="0" w:line="259" w:lineRule="auto"/>
            </w:pPr>
            <w:r>
              <w:rPr>
                <w:rFonts w:ascii="Calibri" w:hAnsi="Calibri"/>
                <w:b w:val="0"/>
                <w:i w:val="0"/>
                <w:color w:val="212121"/>
                <w:sz w:val="16"/>
              </w:rPr>
              <w:t>Septic shock or pneumonic involvement</w:t>
            </w:r>
          </w:p>
        </w:tc>
        <w:tc>
          <w:tcPr>
            <w:tcW w:type="dxa" w:w="1036"/>
            <w:vAlign w:val="top"/>
          </w:tcPr>
          <w:p>
            <w:pPr>
              <w:spacing w:after="40" w:before="0" w:line="259" w:lineRule="auto"/>
            </w:pPr>
            <w:r>
              <w:rPr>
                <w:rFonts w:ascii="Calibri" w:hAnsi="Calibri"/>
                <w:b w:val="0"/>
                <w:i w:val="0"/>
                <w:color w:val="212121"/>
                <w:sz w:val="16"/>
              </w:rPr>
              <w:t>Septicemic and pneumonic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Triage</w:t>
            </w:r>
          </w:p>
        </w:tc>
        <w:tc>
          <w:tcPr>
            <w:tcW w:type="dxa" w:w="720"/>
            <w:vAlign w:val="top"/>
          </w:tcPr>
          <w:p>
            <w:pPr>
              <w:spacing w:after="40" w:before="0" w:line="259" w:lineRule="auto"/>
            </w:pPr>
            <w:r>
              <w:rPr>
                <w:rFonts w:ascii="Calibri" w:hAnsi="Calibri"/>
                <w:b w:val="0"/>
                <w:i w:val="0"/>
                <w:color w:val="212121"/>
                <w:sz w:val="16"/>
              </w:rPr>
              <w:t>Mandates emergency escalation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 and extremity examination</w:t>
            </w:r>
          </w:p>
        </w:tc>
        <w:tc>
          <w:tcPr>
            <w:tcW w:type="dxa" w:w="979"/>
            <w:vAlign w:val="top"/>
          </w:tcPr>
          <w:p>
            <w:pPr>
              <w:spacing w:after="40" w:before="0" w:line="259" w:lineRule="auto"/>
            </w:pPr>
            <w:r>
              <w:rPr>
                <w:rFonts w:ascii="Calibri" w:hAnsi="Calibri"/>
                <w:b w:val="0"/>
                <w:i w:val="0"/>
                <w:color w:val="212121"/>
                <w:sz w:val="16"/>
              </w:rPr>
              <w:t>Acral cyanosis, purpura, gangrene, petechiae, flea-bite eschar</w:t>
            </w:r>
          </w:p>
        </w:tc>
        <w:tc>
          <w:tcPr>
            <w:tcW w:type="dxa" w:w="950"/>
            <w:vAlign w:val="top"/>
          </w:tcPr>
          <w:p>
            <w:pPr>
              <w:spacing w:after="40" w:before="0" w:line="259" w:lineRule="auto"/>
            </w:pPr>
            <w:r>
              <w:rPr>
                <w:rFonts w:ascii="Calibri" w:hAnsi="Calibri"/>
                <w:b w:val="0"/>
                <w:i w:val="0"/>
                <w:color w:val="212121"/>
                <w:sz w:val="16"/>
              </w:rPr>
              <w:t>Normal skin</w:t>
            </w:r>
          </w:p>
        </w:tc>
        <w:tc>
          <w:tcPr>
            <w:tcW w:type="dxa" w:w="950"/>
            <w:vAlign w:val="top"/>
          </w:tcPr>
          <w:p>
            <w:pPr>
              <w:spacing w:after="40" w:before="0" w:line="259" w:lineRule="auto"/>
            </w:pPr>
            <w:r>
              <w:rPr>
                <w:rFonts w:ascii="Calibri" w:hAnsi="Calibri"/>
                <w:b w:val="0"/>
                <w:i w:val="0"/>
                <w:color w:val="212121"/>
                <w:sz w:val="16"/>
              </w:rPr>
              <w:t>Necrotic or haemorrhagic lesions</w:t>
            </w:r>
          </w:p>
        </w:tc>
        <w:tc>
          <w:tcPr>
            <w:tcW w:type="dxa" w:w="1036"/>
            <w:vAlign w:val="top"/>
          </w:tcPr>
          <w:p>
            <w:pPr>
              <w:spacing w:after="40" w:before="0" w:line="259" w:lineRule="auto"/>
            </w:pPr>
            <w:r>
              <w:rPr>
                <w:rFonts w:ascii="Calibri" w:hAnsi="Calibri"/>
                <w:b w:val="0"/>
                <w:i w:val="0"/>
                <w:color w:val="212121"/>
                <w:sz w:val="16"/>
              </w:rPr>
              <w:t>DIC / advanced septicemic plague</w:t>
            </w:r>
          </w:p>
        </w:tc>
        <w:tc>
          <w:tcPr>
            <w:tcW w:type="dxa" w:w="1036"/>
            <w:vAlign w:val="top"/>
          </w:tcPr>
          <w:p>
            <w:pPr>
              <w:spacing w:after="40" w:before="0" w:line="259" w:lineRule="auto"/>
            </w:pPr>
            <w:r>
              <w:rPr>
                <w:rFonts w:ascii="Calibri" w:hAnsi="Calibri"/>
                <w:b w:val="0"/>
                <w:i w:val="0"/>
                <w:color w:val="212121"/>
                <w:sz w:val="16"/>
              </w:rPr>
              <w:t>Septicemic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The blackening of tissues gives the ‘black death’ its name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Sudden high fever with chills / 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Abrupt onset of fever, chills, weakness, headache and body aches is the shared prodrome of all forms.</w:t>
            </w:r>
          </w:p>
        </w:tc>
      </w:tr>
      <w:tr>
        <w:trPr>
          <w:cantSplit/>
        </w:trPr>
        <w:tc>
          <w:tcPr>
            <w:tcW w:type="dxa" w:w="2304"/>
            <w:vAlign w:val="top"/>
          </w:tcPr>
          <w:p>
            <w:pPr>
              <w:spacing w:after="40" w:before="0" w:line="259" w:lineRule="auto"/>
            </w:pPr>
            <w:r>
              <w:rPr>
                <w:rFonts w:ascii="Calibri" w:hAnsi="Calibri"/>
                <w:b/>
                <w:i w:val="0"/>
                <w:color w:val="212121"/>
                <w:sz w:val="19"/>
              </w:rPr>
              <w:t>Severe 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early systemic symptom of Y. pestis toxaemia.</w:t>
            </w:r>
          </w:p>
        </w:tc>
      </w:tr>
      <w:tr>
        <w:trPr>
          <w:cantSplit/>
        </w:trPr>
        <w:tc>
          <w:tcPr>
            <w:tcW w:type="dxa" w:w="2304"/>
            <w:vAlign w:val="top"/>
          </w:tcPr>
          <w:p>
            <w:pPr>
              <w:spacing w:after="40" w:before="0" w:line="259" w:lineRule="auto"/>
            </w:pPr>
            <w:r>
              <w:rPr>
                <w:rFonts w:ascii="Calibri" w:hAnsi="Calibri"/>
                <w:b/>
                <w:i w:val="0"/>
                <w:color w:val="212121"/>
                <w:sz w:val="19"/>
              </w:rPr>
              <w:t>Generalized myalgia and body aches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muscle pain accompanying the febrile onset.</w:t>
            </w:r>
          </w:p>
        </w:tc>
      </w:tr>
      <w:tr>
        <w:trPr>
          <w:cantSplit/>
        </w:trPr>
        <w:tc>
          <w:tcPr>
            <w:tcW w:type="dxa" w:w="2304"/>
            <w:vAlign w:val="top"/>
          </w:tcPr>
          <w:p>
            <w:pPr>
              <w:spacing w:after="40" w:before="0" w:line="259" w:lineRule="auto"/>
            </w:pPr>
            <w:r>
              <w:rPr>
                <w:rFonts w:ascii="Calibri" w:hAnsi="Calibri"/>
                <w:b/>
                <w:i w:val="0"/>
                <w:color w:val="212121"/>
                <w:sz w:val="19"/>
              </w:rPr>
              <w:t>Profound malaise, weakness and prostration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Rapid systemic collapse out of proportion to duration of illness.</w:t>
            </w:r>
          </w:p>
        </w:tc>
      </w:tr>
      <w:tr>
        <w:trPr>
          <w:cantSplit/>
        </w:trPr>
        <w:tc>
          <w:tcPr>
            <w:tcW w:type="dxa" w:w="2304"/>
            <w:vAlign w:val="top"/>
          </w:tcPr>
          <w:p>
            <w:pPr>
              <w:spacing w:after="40" w:before="0" w:line="259" w:lineRule="auto"/>
            </w:pPr>
            <w:r>
              <w:rPr>
                <w:rFonts w:ascii="Calibri" w:hAnsi="Calibri"/>
                <w:b/>
                <w:i w:val="0"/>
                <w:color w:val="212121"/>
                <w:sz w:val="19"/>
              </w:rPr>
              <w:t>Painful, tender swollen lymph node (bubo)</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Cardinal feature of bubonic plague; inguinal &gt; axillary &gt; cervical, developing within a day or two of fever.</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early gastrointestinal accompaniment of systemic infection.</w:t>
            </w:r>
          </w:p>
        </w:tc>
      </w:tr>
      <w:tr>
        <w:trPr>
          <w:cantSplit/>
        </w:trPr>
        <w:tc>
          <w:tcPr>
            <w:tcW w:type="dxa" w:w="2304"/>
            <w:vAlign w:val="top"/>
          </w:tcPr>
          <w:p>
            <w:pPr>
              <w:spacing w:after="40" w:before="0" w:line="259" w:lineRule="auto"/>
            </w:pPr>
            <w:r>
              <w:rPr>
                <w:rFonts w:ascii="Calibri" w:hAnsi="Calibri"/>
                <w:b/>
                <w:i w:val="0"/>
                <w:color w:val="212121"/>
                <w:sz w:val="19"/>
              </w:rPr>
              <w:t>Cough with breathlessness and chest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Feature of pneumonic plague; a rapidly developing pneumonia with dyspnoea and pleuritic pain.</w:t>
            </w:r>
          </w:p>
        </w:tc>
      </w:tr>
      <w:tr>
        <w:trPr>
          <w:cantSplit/>
        </w:trPr>
        <w:tc>
          <w:tcPr>
            <w:tcW w:type="dxa" w:w="2304"/>
            <w:vAlign w:val="top"/>
          </w:tcPr>
          <w:p>
            <w:pPr>
              <w:spacing w:after="40" w:before="0" w:line="259" w:lineRule="auto"/>
            </w:pPr>
            <w:r>
              <w:rPr>
                <w:rFonts w:ascii="Calibri" w:hAnsi="Calibri"/>
                <w:b/>
                <w:i w:val="0"/>
                <w:color w:val="212121"/>
                <w:sz w:val="19"/>
              </w:rPr>
              <w:t>Abdominal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septicemic plague and with mesenteric involvement.</w:t>
            </w:r>
          </w:p>
        </w:tc>
      </w:tr>
      <w:tr>
        <w:trPr>
          <w:cantSplit/>
        </w:trPr>
        <w:tc>
          <w:tcPr>
            <w:tcW w:type="dxa" w:w="2304"/>
            <w:vAlign w:val="top"/>
          </w:tcPr>
          <w:p>
            <w:pPr>
              <w:spacing w:after="40" w:before="0" w:line="259" w:lineRule="auto"/>
            </w:pPr>
            <w:r>
              <w:rPr>
                <w:rFonts w:ascii="Calibri" w:hAnsi="Calibri"/>
                <w:b/>
                <w:i w:val="0"/>
                <w:color w:val="212121"/>
                <w:sz w:val="19"/>
              </w:rPr>
              <w:t>Blood-stained or watery sputum (haemoptysis)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Highly infectious sign of advancing pneumonic plague.</w:t>
            </w:r>
          </w:p>
        </w:tc>
      </w:tr>
      <w:tr>
        <w:trPr>
          <w:cantSplit/>
        </w:trPr>
        <w:tc>
          <w:tcPr>
            <w:tcW w:type="dxa" w:w="2304"/>
            <w:vAlign w:val="top"/>
          </w:tcPr>
          <w:p>
            <w:pPr>
              <w:spacing w:after="40" w:before="0" w:line="259" w:lineRule="auto"/>
            </w:pPr>
            <w:r>
              <w:rPr>
                <w:rFonts w:ascii="Calibri" w:hAnsi="Calibri"/>
                <w:b/>
                <w:i w:val="0"/>
                <w:color w:val="212121"/>
                <w:sz w:val="19"/>
              </w:rPr>
              <w:t>Diarrhoea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septicemic and gastrointestinal disease.</w:t>
            </w:r>
          </w:p>
        </w:tc>
      </w:tr>
      <w:tr>
        <w:trPr>
          <w:cantSplit/>
        </w:trPr>
        <w:tc>
          <w:tcPr>
            <w:tcW w:type="dxa" w:w="2304"/>
            <w:vAlign w:val="top"/>
          </w:tcPr>
          <w:p>
            <w:pPr>
              <w:spacing w:after="40" w:before="0" w:line="259" w:lineRule="auto"/>
            </w:pPr>
            <w:r>
              <w:rPr>
                <w:rFonts w:ascii="Calibri" w:hAnsi="Calibri"/>
                <w:b/>
                <w:i w:val="0"/>
                <w:color w:val="212121"/>
                <w:sz w:val="19"/>
              </w:rPr>
              <w:t>Sore throat and painful swallowing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Pharyngeal plague after ingestion or inhalation, with cervical adenitis.</w:t>
            </w:r>
          </w:p>
        </w:tc>
      </w:tr>
      <w:tr>
        <w:trPr>
          <w:cantSplit/>
        </w:trPr>
        <w:tc>
          <w:tcPr>
            <w:tcW w:type="dxa" w:w="2304"/>
            <w:vAlign w:val="top"/>
          </w:tcPr>
          <w:p>
            <w:pPr>
              <w:spacing w:after="40" w:before="0" w:line="259" w:lineRule="auto"/>
            </w:pPr>
            <w:r>
              <w:rPr>
                <w:rFonts w:ascii="Calibri" w:hAnsi="Calibri"/>
                <w:b/>
                <w:i w:val="0"/>
                <w:color w:val="212121"/>
                <w:sz w:val="19"/>
              </w:rPr>
              <w:t>Confusion, restlessness or delirium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sepsis, hypoperfusion or plague meningitis.</w:t>
            </w:r>
          </w:p>
        </w:tc>
      </w:tr>
      <w:tr>
        <w:trPr>
          <w:cantSplit/>
        </w:trPr>
        <w:tc>
          <w:tcPr>
            <w:tcW w:type="dxa" w:w="2304"/>
            <w:vAlign w:val="top"/>
          </w:tcPr>
          <w:p>
            <w:pPr>
              <w:spacing w:after="40" w:before="0" w:line="259" w:lineRule="auto"/>
            </w:pPr>
            <w:r>
              <w:rPr>
                <w:rFonts w:ascii="Calibri" w:hAnsi="Calibri"/>
                <w:b/>
                <w:i w:val="0"/>
                <w:color w:val="212121"/>
                <w:sz w:val="19"/>
              </w:rPr>
              <w:t>Neck stiffness and photophobia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plague meningitis, a late complication of inadequately treated disease.</w:t>
            </w:r>
          </w:p>
        </w:tc>
      </w:tr>
      <w:tr>
        <w:trPr>
          <w:cantSplit/>
        </w:trPr>
        <w:tc>
          <w:tcPr>
            <w:tcW w:type="dxa" w:w="2304"/>
            <w:vAlign w:val="top"/>
          </w:tcPr>
          <w:p>
            <w:pPr>
              <w:spacing w:after="40" w:before="0" w:line="259" w:lineRule="auto"/>
            </w:pPr>
            <w:r>
              <w:rPr>
                <w:rFonts w:ascii="Calibri" w:hAnsi="Calibri"/>
                <w:b/>
                <w:i w:val="0"/>
                <w:color w:val="212121"/>
                <w:sz w:val="19"/>
              </w:rPr>
              <w:t>Skin papule, pustule or eschar at the bite site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 local lesion at the point of flea inoculation.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Bubo — firm, exquisitely tender, matted regional lymphadenopathy with overlying erythema/oedema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physical sign of bubonic plague.</w:t>
            </w:r>
          </w:p>
        </w:tc>
      </w:tr>
      <w:tr>
        <w:trPr>
          <w:cantSplit/>
        </w:trPr>
        <w:tc>
          <w:tcPr>
            <w:tcW w:type="dxa" w:w="3456"/>
            <w:vAlign w:val="top"/>
          </w:tcPr>
          <w:p>
            <w:pPr>
              <w:spacing w:after="40" w:before="0" w:line="259" w:lineRule="auto"/>
            </w:pPr>
            <w:r>
              <w:rPr>
                <w:rFonts w:ascii="Calibri" w:hAnsi="Calibri"/>
                <w:b/>
                <w:i w:val="0"/>
                <w:color w:val="212121"/>
                <w:sz w:val="19"/>
              </w:rPr>
              <w:t>High fever with tachycardia and tachypnoea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markers of systemic Y. pestis infection.</w:t>
            </w:r>
          </w:p>
        </w:tc>
      </w:tr>
      <w:tr>
        <w:trPr>
          <w:cantSplit/>
        </w:trPr>
        <w:tc>
          <w:tcPr>
            <w:tcW w:type="dxa" w:w="3456"/>
            <w:vAlign w:val="top"/>
          </w:tcPr>
          <w:p>
            <w:pPr>
              <w:spacing w:after="40" w:before="0" w:line="259" w:lineRule="auto"/>
            </w:pPr>
            <w:r>
              <w:rPr>
                <w:rFonts w:ascii="Calibri" w:hAnsi="Calibri"/>
                <w:b/>
                <w:i w:val="0"/>
                <w:color w:val="212121"/>
                <w:sz w:val="19"/>
              </w:rPr>
              <w:t>Pulmonary crackles, consolidation and blood-tinged sputum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pneumonic plague on auscultation.</w:t>
            </w:r>
          </w:p>
        </w:tc>
      </w:tr>
      <w:tr>
        <w:trPr>
          <w:cantSplit/>
        </w:trPr>
        <w:tc>
          <w:tcPr>
            <w:tcW w:type="dxa" w:w="3456"/>
            <w:vAlign w:val="top"/>
          </w:tcPr>
          <w:p>
            <w:pPr>
              <w:spacing w:after="40" w:before="0" w:line="259" w:lineRule="auto"/>
            </w:pPr>
            <w:r>
              <w:rPr>
                <w:rFonts w:ascii="Calibri" w:hAnsi="Calibri"/>
                <w:b/>
                <w:i w:val="0"/>
                <w:color w:val="212121"/>
                <w:sz w:val="19"/>
              </w:rPr>
              <w:t>Hypotension and shock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Distributive septic shock in septicemic and advanced disease.</w:t>
            </w:r>
          </w:p>
        </w:tc>
      </w:tr>
      <w:tr>
        <w:trPr>
          <w:cantSplit/>
        </w:trPr>
        <w:tc>
          <w:tcPr>
            <w:tcW w:type="dxa" w:w="3456"/>
            <w:vAlign w:val="top"/>
          </w:tcPr>
          <w:p>
            <w:pPr>
              <w:spacing w:after="40" w:before="0" w:line="259" w:lineRule="auto"/>
            </w:pPr>
            <w:r>
              <w:rPr>
                <w:rFonts w:ascii="Calibri" w:hAnsi="Calibri"/>
                <w:b/>
                <w:i w:val="0"/>
                <w:color w:val="212121"/>
                <w:sz w:val="19"/>
              </w:rPr>
              <w:t>Acral cyanosis with digital and nasal necrosis / gangrene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Microvascular thrombosis and DIC — the historical ‘black death’ appearance.</w:t>
            </w:r>
          </w:p>
        </w:tc>
      </w:tr>
      <w:tr>
        <w:trPr>
          <w:cantSplit/>
        </w:trPr>
        <w:tc>
          <w:tcPr>
            <w:tcW w:type="dxa" w:w="3456"/>
            <w:vAlign w:val="top"/>
          </w:tcPr>
          <w:p>
            <w:pPr>
              <w:spacing w:after="40" w:before="0" w:line="259" w:lineRule="auto"/>
            </w:pPr>
            <w:r>
              <w:rPr>
                <w:rFonts w:ascii="Calibri" w:hAnsi="Calibri"/>
                <w:b/>
                <w:i w:val="0"/>
                <w:color w:val="212121"/>
                <w:sz w:val="19"/>
              </w:rPr>
              <w:t>Petechiae, purpura and mucosal bleeding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Manifestations of disseminated intravascular coagulation.</w:t>
            </w:r>
          </w:p>
        </w:tc>
      </w:tr>
      <w:tr>
        <w:trPr>
          <w:cantSplit/>
        </w:trPr>
        <w:tc>
          <w:tcPr>
            <w:tcW w:type="dxa" w:w="3456"/>
            <w:vAlign w:val="top"/>
          </w:tcPr>
          <w:p>
            <w:pPr>
              <w:spacing w:after="40" w:before="0" w:line="259" w:lineRule="auto"/>
            </w:pPr>
            <w:r>
              <w:rPr>
                <w:rFonts w:ascii="Calibri" w:hAnsi="Calibri"/>
                <w:b/>
                <w:i w:val="0"/>
                <w:color w:val="212121"/>
                <w:sz w:val="19"/>
              </w:rPr>
              <w:t>Hepatosplenomegaly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reticuloendothelial involvement in disseminated infection.</w:t>
            </w:r>
          </w:p>
        </w:tc>
      </w:tr>
      <w:tr>
        <w:trPr>
          <w:cantSplit/>
        </w:trPr>
        <w:tc>
          <w:tcPr>
            <w:tcW w:type="dxa" w:w="3456"/>
            <w:vAlign w:val="top"/>
          </w:tcPr>
          <w:p>
            <w:pPr>
              <w:spacing w:after="40" w:before="0" w:line="259" w:lineRule="auto"/>
            </w:pPr>
            <w:r>
              <w:rPr>
                <w:rFonts w:ascii="Calibri" w:hAnsi="Calibri"/>
                <w:b/>
                <w:i w:val="0"/>
                <w:color w:val="212121"/>
                <w:sz w:val="19"/>
              </w:rPr>
              <w:t>Altered sensorium / meningism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Points to sepsis-related encephalopathy or plague meningitis.</w:t>
            </w:r>
          </w:p>
        </w:tc>
      </w:tr>
      <w:tr>
        <w:trPr>
          <w:cantSplit/>
        </w:trPr>
        <w:tc>
          <w:tcPr>
            <w:tcW w:type="dxa" w:w="3456"/>
            <w:vAlign w:val="top"/>
          </w:tcPr>
          <w:p>
            <w:pPr>
              <w:spacing w:after="40" w:before="0" w:line="259" w:lineRule="auto"/>
            </w:pPr>
            <w:r>
              <w:rPr>
                <w:rFonts w:ascii="Calibri" w:hAnsi="Calibri"/>
                <w:b/>
                <w:i w:val="0"/>
                <w:color w:val="212121"/>
                <w:sz w:val="19"/>
              </w:rPr>
              <w:t>Pharyngeal injection with cervical adenitis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Physical correlate of pharyngeal plague.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bubonic disease to secondary septicemic plague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pneumonic plague from haematogenous seeding of the lungs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 shock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respiratory distress syndrome (ARDS)</w:t>
            </w:r>
          </w:p>
        </w:tc>
        <w:tc>
          <w:tcPr>
            <w:tcW w:type="dxa" w:w="2980"/>
            <w:vAlign w:val="top"/>
          </w:tcPr>
          <w:p>
            <w:pPr>
              <w:spacing w:after="40" w:before="0" w:line="259" w:lineRule="auto"/>
            </w:pPr>
            <w:r>
              <w:rPr>
                <w:rFonts w:ascii="Calibri" w:hAnsi="Calibri"/>
                <w:b w:val="0"/>
                <w:i w:val="0"/>
                <w:color w:val="212121"/>
                <w:sz w:val="19"/>
              </w:rPr>
              <w:t>Acute consequences of Y. pestis dissemination from the initial focus.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Disseminated intravascular coagulation (DIC) with widespread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Acral and peripheral gangrene requiring debridement or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Plague meningitis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Multi-organ dysfunction and acute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pneumonia, pleural effusion or empyema</w:t>
            </w:r>
          </w:p>
        </w:tc>
        <w:tc>
          <w:tcPr>
            <w:tcW w:type="dxa" w:w="2980"/>
            <w:vAlign w:val="top"/>
          </w:tcPr>
          <w:p>
            <w:pPr>
              <w:spacing w:after="40" w:before="0" w:line="259" w:lineRule="auto"/>
            </w:pPr>
            <w:r>
              <w:rPr>
                <w:rFonts w:ascii="Calibri" w:hAnsi="Calibri"/>
                <w:b w:val="0"/>
                <w:i w:val="0"/>
                <w:color w:val="212121"/>
                <w:sz w:val="19"/>
              </w:rPr>
              <w:t>Results of overwhelming bacteraemia, endotoxaemia and microvascular thrombosis.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 very high case-fatality when treatment is delayed (untreated bubonic 50–90%, pneumonic ~100%)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Limb loss and long-term disability after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Post-sepsis syndrome and prolonged convalescence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Community epidemic or nosocomial spread of pneumonic plague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impairment / pulmonary fibrosis after severe pneumonia</w:t>
            </w:r>
          </w:p>
        </w:tc>
        <w:tc>
          <w:tcPr>
            <w:tcW w:type="dxa" w:w="2980"/>
            <w:vAlign w:val="top"/>
          </w:tcPr>
          <w:p>
            <w:pPr>
              <w:spacing w:after="40" w:before="0" w:line="259" w:lineRule="auto"/>
            </w:pPr>
            <w:r>
              <w:rPr>
                <w:rFonts w:ascii="Calibri" w:hAnsi="Calibri"/>
                <w:b w:val="0"/>
                <w:i w:val="0"/>
                <w:color w:val="212121"/>
                <w:sz w:val="19"/>
              </w:rPr>
              <w:t>Long-term and population-level outcomes of severe or delayed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Secondary pneumonic plague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Untreated bubonic or septicemic plague can seed the lungs, producing a transmissible pneumonic form that drives outbreaks.</w:t>
            </w:r>
          </w:p>
        </w:tc>
      </w:tr>
      <w:tr>
        <w:trPr>
          <w:cantSplit/>
        </w:trPr>
        <w:tc>
          <w:tcPr>
            <w:tcW w:type="dxa" w:w="2232"/>
            <w:vAlign w:val="top"/>
          </w:tcPr>
          <w:p>
            <w:pPr>
              <w:spacing w:after="40" w:before="0" w:line="259" w:lineRule="auto"/>
            </w:pPr>
            <w:r>
              <w:rPr>
                <w:rFonts w:ascii="Calibri" w:hAnsi="Calibri"/>
                <w:b/>
                <w:i w:val="0"/>
                <w:color w:val="212121"/>
                <w:sz w:val="19"/>
              </w:rPr>
              <w:t>Septic shock</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Overwhelming Y. pestis bacteraemia and endotoxaemia precipitate distributive shock, a leading cause of death.</w:t>
            </w:r>
          </w:p>
        </w:tc>
      </w:tr>
      <w:tr>
        <w:trPr>
          <w:cantSplit/>
        </w:trPr>
        <w:tc>
          <w:tcPr>
            <w:tcW w:type="dxa" w:w="2232"/>
            <w:vAlign w:val="top"/>
          </w:tcPr>
          <w:p>
            <w:pPr>
              <w:spacing w:after="40" w:before="0" w:line="259" w:lineRule="auto"/>
            </w:pPr>
            <w:r>
              <w:rPr>
                <w:rFonts w:ascii="Calibri" w:hAnsi="Calibri"/>
                <w:b/>
                <w:i w:val="0"/>
                <w:color w:val="212121"/>
                <w:sz w:val="19"/>
              </w:rPr>
              <w:t>Disseminated intravascular coagulation (DIC)</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Endotoxaemia activates the clotting cascade, causing microthrombi, consumptive coagulopathy, haemorrhage and acral gangrene.</w:t>
            </w:r>
          </w:p>
        </w:tc>
      </w:tr>
      <w:tr>
        <w:trPr>
          <w:cantSplit/>
        </w:trPr>
        <w:tc>
          <w:tcPr>
            <w:tcW w:type="dxa" w:w="2232"/>
            <w:vAlign w:val="top"/>
          </w:tcPr>
          <w:p>
            <w:pPr>
              <w:spacing w:after="40" w:before="0" w:line="259" w:lineRule="auto"/>
            </w:pPr>
            <w:r>
              <w:rPr>
                <w:rFonts w:ascii="Calibri" w:hAnsi="Calibri"/>
                <w:b/>
                <w:i w:val="0"/>
                <w:color w:val="212121"/>
                <w:sz w:val="19"/>
              </w:rPr>
              <w:t>Plague meningitis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 late complication, especially after delayed or inadequate therapy or with cervical/axillary buboes.</w:t>
            </w:r>
          </w:p>
        </w:tc>
      </w:tr>
      <w:tr>
        <w:trPr>
          <w:cantSplit/>
        </w:trPr>
        <w:tc>
          <w:tcPr>
            <w:tcW w:type="dxa" w:w="2232"/>
            <w:vAlign w:val="top"/>
          </w:tcPr>
          <w:p>
            <w:pPr>
              <w:spacing w:after="40" w:before="0" w:line="259" w:lineRule="auto"/>
            </w:pPr>
            <w:r>
              <w:rPr>
                <w:rFonts w:ascii="Calibri" w:hAnsi="Calibri"/>
                <w:b/>
                <w:i w:val="0"/>
                <w:color w:val="212121"/>
                <w:sz w:val="19"/>
              </w:rPr>
              <w:t>Acute respiratory distress syndrome (ARDS)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Pneumonic plague and sepsis frequently progress to diffuse alveolar damage and respiratory failure.</w:t>
            </w:r>
          </w:p>
        </w:tc>
      </w:tr>
      <w:tr>
        <w:trPr>
          <w:cantSplit/>
        </w:trPr>
        <w:tc>
          <w:tcPr>
            <w:tcW w:type="dxa" w:w="2232"/>
            <w:vAlign w:val="top"/>
          </w:tcPr>
          <w:p>
            <w:pPr>
              <w:spacing w:after="40" w:before="0" w:line="259" w:lineRule="auto"/>
            </w:pPr>
            <w:r>
              <w:rPr>
                <w:rFonts w:ascii="Calibri" w:hAnsi="Calibri"/>
                <w:b/>
                <w:i w:val="0"/>
                <w:color w:val="212121"/>
                <w:sz w:val="19"/>
              </w:rPr>
              <w:t>HIV / AIDS and immunocompromise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cell-mediated immunity predisposes to more severe, disseminated disease and complicates management.</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Hyperglycaemia and immune dysfunction worsen infection severity, wound healing and outcomes.</w:t>
            </w:r>
          </w:p>
        </w:tc>
      </w:tr>
      <w:tr>
        <w:trPr>
          <w:cantSplit/>
        </w:trPr>
        <w:tc>
          <w:tcPr>
            <w:tcW w:type="dxa" w:w="2232"/>
            <w:vAlign w:val="top"/>
          </w:tcPr>
          <w:p>
            <w:pPr>
              <w:spacing w:after="40" w:before="0" w:line="259" w:lineRule="auto"/>
            </w:pPr>
            <w:r>
              <w:rPr>
                <w:rFonts w:ascii="Calibri" w:hAnsi="Calibri"/>
                <w:b/>
                <w:i w:val="0"/>
                <w:color w:val="212121"/>
                <w:sz w:val="19"/>
              </w:rPr>
              <w:t>Protein-energy malnutrition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endemic rural and slum India; impairs host defence and raises case-fatality.</w:t>
            </w:r>
          </w:p>
        </w:tc>
      </w:tr>
      <w:tr>
        <w:trPr>
          <w:cantSplit/>
        </w:trPr>
        <w:tc>
          <w:tcPr>
            <w:tcW w:type="dxa" w:w="2232"/>
            <w:vAlign w:val="top"/>
          </w:tcPr>
          <w:p>
            <w:pPr>
              <w:spacing w:after="40" w:before="0" w:line="259" w:lineRule="auto"/>
            </w:pPr>
            <w:r>
              <w:rPr>
                <w:rFonts w:ascii="Calibri" w:hAnsi="Calibri"/>
                <w:b/>
                <w:i w:val="0"/>
                <w:color w:val="212121"/>
                <w:sz w:val="19"/>
              </w:rPr>
              <w:t>Chronic obstructive pulmonary disease / chronic lung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Reduced pulmonary reserve worsens pneumonic-plague outcomes and complicates ventilation.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whether you live in or are travelling to an endemic focus (Deccan Plateau, Western Himalayas, or DR Congo, Madagascar, Peru).</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touching sick or dead rodents and wild animals; report unusual rodent die-offs to local health authorities.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care immediately for sudden fever with a painful swelling, or fever with breathlessness, after possible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pneumonic plague spreads person-to-person and that early antibiotics are life-saving.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flea-bite avoidance and rodent control around the home and workplace.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foci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Hunters, herders and farmers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 endemic countries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slum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Health-care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antibiotics on clinical suspicion — do not wait for laboratory confirmation.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10–14 day antibiotic course even after fever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Isolate pneumonic cases under droplet precautions until at least 48 hours of effective therapy and clinical improvement.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post-exposure prophylaxis (doxycycline or ciprofloxacin) to close contacts of pneumonic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Notify the authorities — plague is a WHO-notifiable disease — and support contact tracing.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and suspected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Close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 facilities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Outbreak-response teams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DEET to exposed skin and permethrin to clothing during outdoor activity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gloves and protective clothing when handling, skinning or butchering animals.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rodent burrows, nests and carcasses while hiking, camping or working in the field.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footwear and tuck clothing when moving through rodent-infested terrain.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Campers and hikers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Field and forest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Hunters and trappers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Farmers and herders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bed rest during the acute febrile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activity gradually during convalescence.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early mobilisation and physiotherapy after severe sepsis, ICU care or amputation.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Post-ICU / post-sepsis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Amputees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Store food and grain in rodent-proof containers raised off the ground.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pet food, refuse and other rodent attractants from around dwellings.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butcher or eat sick or dead wild game such as marmots, hares and rodents.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all meat thoroughly.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Hunters and game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foci</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let free-roaming pets sleep on the bed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insecticide-treated bed nets and keep bedding off the floor.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dogs and cats regularly with flea-control products.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foci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Pet owners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households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to preserve pulmonary reserve; smokers and COPD patients fare worse with pneumonic plague.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indoor biomass and tobacco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COPD / chronic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at risk of pneumonic plague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 heavy use impairs immunity and is linked to more severe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nutrition and hydration to support host defence.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accurate risk communication to prevent panic and mass flight (as seen in Surat, 1994).</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to isolated or quarantined patients and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Counter stigma directed at patients, contacts and affected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bereaved families during outbreaks.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Outbreak-affected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Quarantined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and families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49855/" TargetMode="External"/><Relationship Id="rId10" Type="http://schemas.openxmlformats.org/officeDocument/2006/relationships/hyperlink" Target="https://www.cdc.gov/plague/about/index.html" TargetMode="External"/><Relationship Id="rId11" Type="http://schemas.openxmlformats.org/officeDocument/2006/relationships/hyperlink" Target="https://en.wikipedia.org/wiki/1994_plague_in_India" TargetMode="External"/><Relationship Id="rId12" Type="http://schemas.openxmlformats.org/officeDocument/2006/relationships/hyperlink" Target="https://www.who.int/news-room/fact-sheets/detail/plague" TargetMode="External"/><Relationship Id="rId13" Type="http://schemas.openxmlformats.org/officeDocument/2006/relationships/hyperlink" Target="https://www.cdc.gov/plague/prevention/index.html" TargetMode="External"/><Relationship Id="rId14" Type="http://schemas.openxmlformats.org/officeDocument/2006/relationships/hyperlink" Target="https://en.wikipedia.org/wiki/Pneumonic_plag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