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Mpox</w:t>
      </w:r>
    </w:p>
    <w:p>
      <w:pPr>
        <w:spacing w:before="0" w:after="160"/>
      </w:pPr>
      <w:r>
        <w:rPr>
          <w:rFonts w:ascii="Calibri" w:hAnsi="Calibri"/>
          <w:b/>
          <w:i w:val="0"/>
          <w:color w:val="212121"/>
          <w:sz w:val="22"/>
        </w:rPr>
        <w:t xml:space="preserve">AKA </w:t>
      </w:r>
      <w:r>
        <w:rPr>
          <w:rFonts w:ascii="Calibri" w:hAnsi="Calibri"/>
          <w:b w:val="0"/>
          <w:i w:val="0"/>
          <w:color w:val="212121"/>
          <w:sz w:val="22"/>
        </w:rPr>
        <w:t>i.e., Monkeypox, Monkeypox virus disease (MPXV infection), formerly “monkey pox”</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Mpox (formerly monkeypox) is an acute viral zoonotic illness caused by the monkeypox virus (MPXV), an enveloped double-stranded DNA virus of the genus Orthopoxvirus, family Poxviridae. It classically presents with fever, prominent lymphadenopathy and a deep-seated, umbilicated vesiculo-pustular rash, and spreads through close (including sexual) skin-to-skin contact, respiratory particles, contaminated fomites, needlestick, mother-to-child transmission and animal exposure. WHO declared mpox a Public Health Emergency of International Concern (PHEIC) twice — in July 2022 (clade IIb global outbreak) and again in August 2024 (clade Ib upsurge in the Democratic Republic of the Congo and neighbouring countries).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recorded its first mpox case on 14 July 2022 in Kollam, Kerala (imported from the UAE) and its first locally transmitted case in Delhi on 24 July 2022. India has since reported more than 30 confirmed cases across Kerala, Delhi, Uttar Pradesh, Bihar and Telangana, with one death — a 22-year-old man from Thrissur, Kerala, the first mpox death in India and in Asia. Globally, over 100,000 laboratory-confirmed cases and more than 220 deaths were reported across 120+ countries between January 2022 and August 2024.</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Mpox is confirmed by detecting monkeypox virus DNA, interpreted alongside a compatible clinical picture and an epidemiological link.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Real-time PCR detection of MPXV DNA from a swab of the skin lesion (roof, fluid or crust) is the confirmatory gold standard;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Where skin lesions are absent, throat or anorectal swabs may be tested — blood is NOT recommended as viraemia is brief;</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Generic Orthopoxvirus PCR followed by MPXV-specific and clade-specific PCR (clade I vs clade II) to characterise the virus;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compatible clinical syndrome — acute deep-seated rash with fever and lymphadenopathy — plus an epidemiological link (recent sexual/close contact, contact with a confirmed case, travel to an outbreak area, or animal exposure);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Adjuncts used in reference/research settings only: viral culture, electron microscopy and anti-orthopoxvirus IgM/IgG serology (not for routine diagnosis).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Mpox is classified genetically into two clades (each with subclades) and epidemiologically by pattern of spread:</w:t>
      </w:r>
    </w:p>
    <w:p>
      <w:pPr>
        <w:spacing w:before="0" w:after="80"/>
      </w:pPr>
      <w:r>
        <w:rPr>
          <w:rFonts w:ascii="Calibri" w:hAnsi="Calibri"/>
          <w:b w:val="0"/>
          <w:i w:val="0"/>
          <w:color w:val="212121"/>
          <w:sz w:val="21"/>
        </w:rPr>
        <w:t>(1) Clade I (formerly Congo Basin/Central African clade) — historically the more virulent lineage, with case-fatality estimated between 1% and 10%; it comprises clade Ia and the newer clade Ib, which emerged in the Democratic Republic of the Congo and drove the August 2024 PHEIC through sexual and household transmission (clade Ib CFR ~5%, and ~7.4% in the first nine weeks of 2024);</w:t>
      </w:r>
    </w:p>
    <w:p>
      <w:pPr>
        <w:spacing w:before="0" w:after="80"/>
      </w:pPr>
      <w:r>
        <w:rPr>
          <w:rFonts w:ascii="Calibri" w:hAnsi="Calibri"/>
          <w:b w:val="0"/>
          <w:i w:val="0"/>
          <w:color w:val="212121"/>
          <w:sz w:val="21"/>
        </w:rPr>
        <w:t>(2) Clade II (formerly West African clade) — generally milder, with case-fatality below 0.2%; it comprises clade IIa and clade IIb;</w:t>
      </w:r>
    </w:p>
    <w:p>
      <w:pPr>
        <w:spacing w:before="0" w:after="80"/>
      </w:pPr>
      <w:r>
        <w:rPr>
          <w:rFonts w:ascii="Calibri" w:hAnsi="Calibri"/>
          <w:b w:val="0"/>
          <w:i w:val="0"/>
          <w:color w:val="212121"/>
          <w:sz w:val="21"/>
        </w:rPr>
        <w:t>(3) Clade IIb — the lineage responsible for the 2022–2023 global multi-country outbreak (99,518 confirmed cases, 207 deaths, CFR &lt;0.2%), which spread predominantly through sexual networks among men who have sex with men;</w:t>
      </w:r>
    </w:p>
    <w:p>
      <w:pPr>
        <w:spacing w:before="0" w:after="80"/>
      </w:pPr>
      <w:r>
        <w:rPr>
          <w:rFonts w:ascii="Calibri" w:hAnsi="Calibri"/>
          <w:b w:val="0"/>
          <w:i w:val="0"/>
          <w:color w:val="212121"/>
          <w:sz w:val="21"/>
        </w:rPr>
        <w:t>(4) Epidemiologically, mpox is also described as endemic/zoonotic (sporadic animal-to-human spillover in West and Central Africa) versus outbreak-associated sustained human-to-human transmission.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Monkeypox virus (MPXV): The direct causative Orthopoxvirus, transmitted by close skin-to-skin and sexual contact, respiratory particles at close range, fomites, needlestick, vertically, and via infected animals.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Close and sexual contact: Prolonged skin-to-skin contact — including sexual contact with lesions — is the dominant route in the 2022–2024 human outbreaks.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Zoonotic (animal) exposure: Bites/scratches from, or handling and eating bushmeat of, infected rodents and primates causes spillover in endemic African regions.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Contaminated fomites: Shared bedding, towels, clothing and surfaces contaminated with lesion material can transmit the virus.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Waning population immunity: Cessation of routine smallpox vaccination after 1980 left younger cohorts without cross-protective orthopoxvirus immunity.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Immunosuppression: Uncontrolled HIV and other immunocompromising states predispose to acquisition and to severe, disseminated disease.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Travel and dense contact networks: International travel to/from outbreak areas and participation in high-density sexual/social networks amplify transmission.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and middle-aged adults (especially men)</w:t>
            </w:r>
          </w:p>
        </w:tc>
        <w:tc>
          <w:tcPr>
            <w:tcW w:type="dxa" w:w="4276"/>
            <w:vAlign w:val="top"/>
          </w:tcPr>
          <w:p>
            <w:pPr>
              <w:spacing w:after="60" w:line="259" w:lineRule="auto"/>
            </w:pPr>
            <w:r>
              <w:rPr>
                <w:rFonts w:ascii="Calibri" w:hAnsi="Calibri"/>
                <w:b w:val="0"/>
                <w:i w:val="0"/>
                <w:color w:val="212121"/>
                <w:sz w:val="19"/>
              </w:rPr>
              <w:t>Bear the bulk of the 2022–2024 human-to-human outbreak because transmission is driven by close and sexual contact within sexually active networks.</w:t>
            </w:r>
          </w:p>
          <w:p>
            <w:pPr>
              <w:spacing w:after="40" w:before="60" w:line="259" w:lineRule="auto"/>
            </w:pPr>
            <w:r>
              <w:rPr>
                <w:rFonts w:ascii="Calibri" w:hAnsi="Calibri"/>
                <w:b w:val="0"/>
                <w:i w:val="0"/>
                <w:color w:val="212121"/>
                <w:sz w:val="19"/>
              </w:rPr>
              <w:t>In the 2022–2023 clade IIb outbreak roughly 99% of cases were in men, most of them young and middle-aged.</w:t>
            </w:r>
          </w:p>
          <w:p>
            <w:pPr>
              <w:spacing w:after="40" w:line="252" w:lineRule="auto"/>
            </w:pPr>
            <w:hyperlink r:id="rId9">
              <w:r>
                <w:rPr>
                  <w:rFonts w:ascii="Calibri" w:hAnsi="Calibri" w:cs="Calibri"/>
                  <w:sz w:val="18"/>
                  <w:color w:val="1155CC"/>
                  <w:u w:val="single"/>
                </w:rPr>
                <w:t xml:space="preserve">en.wikipedia.org — 2022–23 mpox outbreak</w:t>
              </w:r>
            </w:hyperlink>
          </w:p>
          <w:p>
            <w:pPr>
              <w:spacing w:before="60" w:after="40"/>
            </w:pPr>
            <w:r>
              <w:rPr>
                <w:rFonts w:ascii="Calibri" w:hAnsi="Calibri"/>
                <w:b w:val="0"/>
                <w:i w:val="0"/>
                <w:color w:val="5A5A5A"/>
                <w:sz w:val="18"/>
              </w:rPr>
              <w:t>#mpox  #adults  #sexualtransmission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(&lt; 15 years)</w:t>
            </w:r>
          </w:p>
        </w:tc>
        <w:tc>
          <w:tcPr>
            <w:tcW w:type="dxa" w:w="4276"/>
            <w:vAlign w:val="top"/>
          </w:tcPr>
          <w:p>
            <w:pPr>
              <w:spacing w:after="60" w:line="259" w:lineRule="auto"/>
            </w:pPr>
            <w:r>
              <w:rPr>
                <w:rFonts w:ascii="Calibri" w:hAnsi="Calibri"/>
                <w:b w:val="0"/>
                <w:i w:val="0"/>
                <w:color w:val="212121"/>
                <w:sz w:val="19"/>
              </w:rPr>
              <w:t>Immunologically naive and lacking smallpox-derived cross-immunity; they develop more extensive disease and have historically borne much of clade I mortality in endemic settings.</w:t>
            </w:r>
          </w:p>
          <w:p>
            <w:pPr>
              <w:spacing w:after="40" w:before="60" w:line="259" w:lineRule="auto"/>
            </w:pPr>
            <w:r>
              <w:rPr>
                <w:rFonts w:ascii="Calibri" w:hAnsi="Calibri"/>
                <w:b w:val="0"/>
                <w:i w:val="0"/>
                <w:color w:val="212121"/>
                <w:sz w:val="19"/>
              </w:rPr>
              <w:t>Clade I disease (endemic in DRC) carries a case-fatality historically estimated at 1–10%, with children disproportionately affected.</w:t>
            </w:r>
          </w:p>
          <w:p>
            <w:pPr>
              <w:spacing w:after="40" w:line="252" w:lineRule="auto"/>
            </w:pPr>
            <w:hyperlink r:id="rId10">
              <w:r>
                <w:rPr>
                  <w:rFonts w:ascii="Calibri" w:hAnsi="Calibri" w:cs="Calibri"/>
                  <w:sz w:val="18"/>
                  <w:color w:val="1155CC"/>
                  <w:u w:val="single"/>
                </w:rPr>
                <w:t xml:space="preserve">en.wikipedia.org — Mpox (case fatality by clade)</w:t>
              </w:r>
            </w:hyperlink>
          </w:p>
          <w:p>
            <w:pPr>
              <w:spacing w:before="60" w:after="40"/>
            </w:pPr>
            <w:r>
              <w:rPr>
                <w:rFonts w:ascii="Calibri" w:hAnsi="Calibri"/>
                <w:b w:val="0"/>
                <w:i w:val="0"/>
                <w:color w:val="5A5A5A"/>
                <w:sz w:val="18"/>
              </w:rPr>
              <w:t>#children  #severe  #cladeI</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and immunosenescent adults</w:t>
            </w:r>
          </w:p>
        </w:tc>
        <w:tc>
          <w:tcPr>
            <w:tcW w:type="dxa" w:w="4276"/>
            <w:vAlign w:val="top"/>
          </w:tcPr>
          <w:p>
            <w:pPr>
              <w:spacing w:after="60" w:line="259" w:lineRule="auto"/>
            </w:pPr>
            <w:r>
              <w:rPr>
                <w:rFonts w:ascii="Calibri" w:hAnsi="Calibri"/>
                <w:b w:val="0"/>
                <w:i w:val="0"/>
                <w:color w:val="212121"/>
                <w:sz w:val="19"/>
              </w:rPr>
              <w:t>Age-related decline in immune function and accumulated comorbidity raise the risk of severe, prolonged or disseminated mpox.</w:t>
            </w:r>
          </w:p>
          <w:p>
            <w:pPr>
              <w:spacing w:after="40" w:before="60" w:line="259" w:lineRule="auto"/>
            </w:pPr>
            <w:r>
              <w:rPr>
                <w:rFonts w:ascii="Calibri" w:hAnsi="Calibri"/>
                <w:b w:val="0"/>
                <w:i w:val="0"/>
                <w:color w:val="212121"/>
                <w:sz w:val="19"/>
              </w:rPr>
              <w:t>Older adults and those with weakened immune systems are listed by WHO among those at higher risk of severe illness and death.</w:t>
            </w:r>
          </w:p>
          <w:p>
            <w:pPr>
              <w:spacing w:after="40" w:line="252" w:lineRule="auto"/>
            </w:pPr>
            <w:hyperlink r:id="rId11">
              <w:r>
                <w:rPr>
                  <w:rFonts w:ascii="Calibri" w:hAnsi="Calibri" w:cs="Calibri"/>
                  <w:sz w:val="18"/>
                  <w:color w:val="1155CC"/>
                  <w:u w:val="single"/>
                </w:rPr>
                <w:t xml:space="preserve">who.int — mpox fact sheet</w:t>
              </w:r>
            </w:hyperlink>
          </w:p>
          <w:p>
            <w:pPr>
              <w:spacing w:before="60" w:after="40"/>
            </w:pPr>
            <w:r>
              <w:rPr>
                <w:rFonts w:ascii="Calibri" w:hAnsi="Calibri"/>
                <w:b w:val="0"/>
                <w:i w:val="0"/>
                <w:color w:val="5A5A5A"/>
                <w:sz w:val="18"/>
              </w:rPr>
              <w:t>#elderly  #immunosenescence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 men who have sex with men (MSM)</w:t>
            </w:r>
          </w:p>
        </w:tc>
        <w:tc>
          <w:tcPr>
            <w:tcW w:type="dxa" w:w="4276"/>
            <w:vAlign w:val="top"/>
          </w:tcPr>
          <w:p>
            <w:pPr>
              <w:spacing w:after="60" w:line="259" w:lineRule="auto"/>
            </w:pPr>
            <w:r>
              <w:rPr>
                <w:rFonts w:ascii="Calibri" w:hAnsi="Calibri"/>
                <w:b w:val="0"/>
                <w:i w:val="0"/>
                <w:color w:val="212121"/>
                <w:sz w:val="19"/>
              </w:rPr>
              <w:t>The 2022–2024 outbreaks spread mainly through sexual contact within MSM networks with multiple partners, concentrating risk in this group.</w:t>
            </w:r>
          </w:p>
          <w:p>
            <w:pPr>
              <w:spacing w:after="40" w:before="60" w:line="259" w:lineRule="auto"/>
            </w:pPr>
            <w:r>
              <w:rPr>
                <w:rFonts w:ascii="Calibri" w:hAnsi="Calibri"/>
                <w:b w:val="0"/>
                <w:i w:val="0"/>
                <w:color w:val="212121"/>
                <w:sz w:val="19"/>
              </w:rPr>
              <w:t>About 98% of cases in the 2022–23 outbreak were among men who have sex with men, frequently with multiple partners (median 5 partners in the prior 3 months).</w:t>
            </w:r>
          </w:p>
          <w:p>
            <w:pPr>
              <w:spacing w:after="40" w:line="252" w:lineRule="auto"/>
            </w:pPr>
            <w:hyperlink r:id="rId9">
              <w:r>
                <w:rPr>
                  <w:rFonts w:ascii="Calibri" w:hAnsi="Calibri" w:cs="Calibri"/>
                  <w:sz w:val="18"/>
                  <w:color w:val="1155CC"/>
                  <w:u w:val="single"/>
                </w:rPr>
                <w:t xml:space="preserve">en.wikipedia.org — 2022–23 mpox outbreak</w:t>
              </w:r>
            </w:hyperlink>
          </w:p>
          <w:p>
            <w:pPr>
              <w:spacing w:before="60" w:after="40"/>
            </w:pPr>
            <w:r>
              <w:rPr>
                <w:rFonts w:ascii="Calibri" w:hAnsi="Calibri"/>
                <w:b w:val="0"/>
                <w:i w:val="0"/>
                <w:color w:val="5A5A5A"/>
                <w:sz w:val="18"/>
              </w:rPr>
              <w:t>#male  #msm  #network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Sex workers and their clients</w:t>
            </w:r>
          </w:p>
        </w:tc>
        <w:tc>
          <w:tcPr>
            <w:tcW w:type="dxa" w:w="4276"/>
            <w:vAlign w:val="top"/>
          </w:tcPr>
          <w:p>
            <w:pPr>
              <w:spacing w:after="60" w:line="259" w:lineRule="auto"/>
            </w:pPr>
            <w:r>
              <w:rPr>
                <w:rFonts w:ascii="Calibri" w:hAnsi="Calibri"/>
                <w:b w:val="0"/>
                <w:i w:val="0"/>
                <w:color w:val="212121"/>
                <w:sz w:val="19"/>
              </w:rPr>
              <w:t>Frequent new sexual contacts within dense networks increase the probability of exposure to an infectious partner's lesions.</w:t>
            </w:r>
          </w:p>
          <w:p>
            <w:pPr>
              <w:spacing w:after="40" w:before="60" w:line="259" w:lineRule="auto"/>
            </w:pPr>
            <w:r>
              <w:rPr>
                <w:rFonts w:ascii="Calibri" w:hAnsi="Calibri"/>
                <w:b w:val="0"/>
                <w:i w:val="0"/>
                <w:color w:val="212121"/>
                <w:sz w:val="19"/>
              </w:rPr>
              <w:t>WHO lists sex workers and their clients, and people with multiple sexual partners, among those at higher risk of acquiring mpox.</w:t>
            </w:r>
          </w:p>
          <w:p>
            <w:pPr>
              <w:spacing w:after="40" w:line="252" w:lineRule="auto"/>
            </w:pPr>
            <w:hyperlink r:id="rId11">
              <w:r>
                <w:rPr>
                  <w:rFonts w:ascii="Calibri" w:hAnsi="Calibri" w:cs="Calibri"/>
                  <w:sz w:val="18"/>
                  <w:color w:val="1155CC"/>
                  <w:u w:val="single"/>
                </w:rPr>
                <w:t xml:space="preserve">who.int — mpox fact sheet</w:t>
              </w:r>
            </w:hyperlink>
          </w:p>
          <w:p>
            <w:pPr>
              <w:spacing w:before="60" w:after="40"/>
            </w:pPr>
            <w:r>
              <w:rPr>
                <w:rFonts w:ascii="Calibri" w:hAnsi="Calibri"/>
                <w:b w:val="0"/>
                <w:i w:val="0"/>
                <w:color w:val="5A5A5A"/>
                <w:sz w:val="18"/>
              </w:rPr>
              <w:t>#sexwork  #highriskcontact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Endemic region</w:t>
            </w:r>
          </w:p>
        </w:tc>
        <w:tc>
          <w:tcPr>
            <w:tcW w:type="dxa" w:w="2160"/>
            <w:vAlign w:val="top"/>
          </w:tcPr>
          <w:p>
            <w:pPr>
              <w:spacing w:after="40" w:before="0" w:line="259" w:lineRule="auto"/>
            </w:pPr>
            <w:r>
              <w:rPr>
                <w:rFonts w:ascii="Calibri" w:hAnsi="Calibri"/>
                <w:b w:val="0"/>
                <w:i w:val="0"/>
                <w:color w:val="212121"/>
                <w:sz w:val="19"/>
              </w:rPr>
              <w:t>Central &amp; West Africa (zoonotic reservoir)</w:t>
            </w:r>
          </w:p>
        </w:tc>
        <w:tc>
          <w:tcPr>
            <w:tcW w:type="dxa" w:w="4276"/>
            <w:vAlign w:val="top"/>
          </w:tcPr>
          <w:p>
            <w:pPr>
              <w:spacing w:after="60" w:line="259" w:lineRule="auto"/>
            </w:pPr>
            <w:r>
              <w:rPr>
                <w:rFonts w:ascii="Calibri" w:hAnsi="Calibri"/>
                <w:b w:val="0"/>
                <w:i w:val="0"/>
                <w:color w:val="212121"/>
                <w:sz w:val="19"/>
              </w:rPr>
              <w:t>MPXV circulates in wild rodents and primates; recurrent animal-to-human spillover plus human spread makes the region the historic epicentre, with the DRC driving the clade Ib upsurge.</w:t>
            </w:r>
          </w:p>
          <w:p>
            <w:pPr>
              <w:spacing w:after="40" w:before="60" w:line="259" w:lineRule="auto"/>
            </w:pPr>
            <w:r>
              <w:rPr>
                <w:rFonts w:ascii="Calibri" w:hAnsi="Calibri"/>
                <w:b w:val="0"/>
                <w:i w:val="0"/>
                <w:color w:val="212121"/>
                <w:sz w:val="19"/>
              </w:rPr>
              <w:t>WHO declared the August 2024 PHEIC over a clade Ib upsurge centred on the DRC (15,600+ cases and 537 deaths in 2024) that spread to neighbouring countries.</w:t>
            </w:r>
          </w:p>
          <w:p>
            <w:pPr>
              <w:spacing w:after="40" w:line="252" w:lineRule="auto"/>
            </w:pPr>
            <w:hyperlink r:id="rId12">
              <w:r>
                <w:rPr>
                  <w:rFonts w:ascii="Calibri" w:hAnsi="Calibri" w:cs="Calibri"/>
                  <w:sz w:val="18"/>
                  <w:color w:val="1155CC"/>
                  <w:u w:val="single"/>
                </w:rPr>
                <w:t xml:space="preserve">who.int — mpox PHEIC declaration (Aug 2024)</w:t>
              </w:r>
            </w:hyperlink>
          </w:p>
          <w:p>
            <w:pPr>
              <w:spacing w:before="60" w:after="40"/>
            </w:pPr>
            <w:r>
              <w:rPr>
                <w:rFonts w:ascii="Calibri" w:hAnsi="Calibri"/>
                <w:b w:val="0"/>
                <w:i w:val="0"/>
                <w:color w:val="5A5A5A"/>
                <w:sz w:val="18"/>
              </w:rPr>
              <w:t>#endemic  #zoonotic  #DRC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Kerala &amp; major urban travel hubs</w:t>
            </w:r>
          </w:p>
        </w:tc>
        <w:tc>
          <w:tcPr>
            <w:tcW w:type="dxa" w:w="4276"/>
            <w:vAlign w:val="top"/>
          </w:tcPr>
          <w:p>
            <w:pPr>
              <w:spacing w:after="60" w:line="259" w:lineRule="auto"/>
            </w:pPr>
            <w:r>
              <w:rPr>
                <w:rFonts w:ascii="Calibri" w:hAnsi="Calibri"/>
                <w:b w:val="0"/>
                <w:i w:val="0"/>
                <w:color w:val="212121"/>
                <w:sz w:val="19"/>
              </w:rPr>
              <w:t>India's cases have clustered around returning international travellers and their contacts, with the earliest cases in Kerala and the first indigenous case in Delhi.</w:t>
            </w:r>
          </w:p>
          <w:p>
            <w:pPr>
              <w:spacing w:after="40" w:before="60" w:line="259" w:lineRule="auto"/>
            </w:pPr>
            <w:r>
              <w:rPr>
                <w:rFonts w:ascii="Calibri" w:hAnsi="Calibri"/>
                <w:b w:val="0"/>
                <w:i w:val="0"/>
                <w:color w:val="212121"/>
                <w:sz w:val="19"/>
              </w:rPr>
              <w:t>India's cases have been reported across Kerala, Delhi, Uttar Pradesh, Bihar and Telangana, beginning with an imported case in Kollam, Kerala on 14 July 2022.</w:t>
            </w:r>
          </w:p>
          <w:p>
            <w:pPr>
              <w:spacing w:after="40" w:line="252" w:lineRule="auto"/>
            </w:pPr>
            <w:hyperlink r:id="rId13">
              <w:r>
                <w:rPr>
                  <w:rFonts w:ascii="Calibri" w:hAnsi="Calibri" w:cs="Calibri"/>
                  <w:sz w:val="18"/>
                  <w:color w:val="1155CC"/>
                  <w:u w:val="single"/>
                </w:rPr>
                <w:t xml:space="preserve">en.wikipedia.org — 2022–23 mpox outbreak in India</w:t>
              </w:r>
            </w:hyperlink>
          </w:p>
          <w:p>
            <w:pPr>
              <w:spacing w:before="60" w:after="40"/>
            </w:pPr>
            <w:r>
              <w:rPr>
                <w:rFonts w:ascii="Calibri" w:hAnsi="Calibri"/>
                <w:b w:val="0"/>
                <w:i w:val="0"/>
                <w:color w:val="5A5A5A"/>
                <w:sz w:val="18"/>
              </w:rPr>
              <w:t>#india  #kerala  #imported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Travel</w:t>
            </w:r>
          </w:p>
        </w:tc>
        <w:tc>
          <w:tcPr>
            <w:tcW w:type="dxa" w:w="2160"/>
            <w:vAlign w:val="top"/>
          </w:tcPr>
          <w:p>
            <w:pPr>
              <w:spacing w:after="40" w:before="0" w:line="259" w:lineRule="auto"/>
            </w:pPr>
            <w:r>
              <w:rPr>
                <w:rFonts w:ascii="Calibri" w:hAnsi="Calibri"/>
                <w:b w:val="0"/>
                <w:i w:val="0"/>
                <w:color w:val="212121"/>
                <w:sz w:val="19"/>
              </w:rPr>
              <w:t>International travellers to/from outbreak areas</w:t>
            </w:r>
          </w:p>
        </w:tc>
        <w:tc>
          <w:tcPr>
            <w:tcW w:type="dxa" w:w="4276"/>
            <w:vAlign w:val="top"/>
          </w:tcPr>
          <w:p>
            <w:pPr>
              <w:spacing w:after="60" w:line="259" w:lineRule="auto"/>
            </w:pPr>
            <w:r>
              <w:rPr>
                <w:rFonts w:ascii="Calibri" w:hAnsi="Calibri"/>
                <w:b w:val="0"/>
                <w:i w:val="0"/>
                <w:color w:val="212121"/>
                <w:sz w:val="19"/>
              </w:rPr>
              <w:t>Travel seeds cases into new regions; India's index and early cases were imported before limited local transmission occurred.</w:t>
            </w:r>
          </w:p>
          <w:p>
            <w:pPr>
              <w:spacing w:after="40" w:before="60" w:line="259" w:lineRule="auto"/>
            </w:pPr>
            <w:r>
              <w:rPr>
                <w:rFonts w:ascii="Calibri" w:hAnsi="Calibri"/>
                <w:b w:val="0"/>
                <w:i w:val="0"/>
                <w:color w:val="212121"/>
                <w:sz w:val="19"/>
              </w:rPr>
              <w:t>India's first case (14 July 2022) was imported from the UAE; the first locally transmitted case followed in Delhi on 24 July 2022.</w:t>
            </w:r>
          </w:p>
          <w:p>
            <w:pPr>
              <w:spacing w:after="40" w:line="252" w:lineRule="auto"/>
            </w:pPr>
            <w:hyperlink r:id="rId13">
              <w:r>
                <w:rPr>
                  <w:rFonts w:ascii="Calibri" w:hAnsi="Calibri" w:cs="Calibri"/>
                  <w:sz w:val="18"/>
                  <w:color w:val="1155CC"/>
                  <w:u w:val="single"/>
                </w:rPr>
                <w:t xml:space="preserve">en.wikipedia.org — 2022–23 mpox outbreak in India</w:t>
              </w:r>
            </w:hyperlink>
          </w:p>
          <w:p>
            <w:pPr>
              <w:spacing w:before="60" w:after="40"/>
            </w:pPr>
            <w:r>
              <w:rPr>
                <w:rFonts w:ascii="Calibri" w:hAnsi="Calibri"/>
                <w:b w:val="0"/>
                <w:i w:val="0"/>
                <w:color w:val="5A5A5A"/>
                <w:sz w:val="18"/>
              </w:rPr>
              <w:t>#travel  #imported  #surveillance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Sexual behaviour</w:t>
            </w:r>
          </w:p>
        </w:tc>
        <w:tc>
          <w:tcPr>
            <w:tcW w:type="dxa" w:w="2160"/>
            <w:vAlign w:val="top"/>
          </w:tcPr>
          <w:p>
            <w:pPr>
              <w:spacing w:after="40" w:before="0" w:line="259" w:lineRule="auto"/>
            </w:pPr>
            <w:r>
              <w:rPr>
                <w:rFonts w:ascii="Calibri" w:hAnsi="Calibri"/>
                <w:b w:val="0"/>
                <w:i w:val="0"/>
                <w:color w:val="212121"/>
                <w:sz w:val="19"/>
              </w:rPr>
              <w:t>Multiple/new sexual partners; sex-on-premises attendance</w:t>
            </w:r>
          </w:p>
        </w:tc>
        <w:tc>
          <w:tcPr>
            <w:tcW w:type="dxa" w:w="4276"/>
            <w:vAlign w:val="top"/>
          </w:tcPr>
          <w:p>
            <w:pPr>
              <w:spacing w:after="60" w:line="259" w:lineRule="auto"/>
            </w:pPr>
            <w:r>
              <w:rPr>
                <w:rFonts w:ascii="Calibri" w:hAnsi="Calibri"/>
                <w:b w:val="0"/>
                <w:i w:val="0"/>
                <w:color w:val="212121"/>
                <w:sz w:val="19"/>
              </w:rPr>
              <w:t>Multiple concurrent partners and attendance at sex venues raise the likelihood of skin-to-skin contact with an infectious partner.</w:t>
            </w:r>
          </w:p>
          <w:p>
            <w:pPr>
              <w:spacing w:after="40" w:before="60" w:line="259" w:lineRule="auto"/>
            </w:pPr>
            <w:r>
              <w:rPr>
                <w:rFonts w:ascii="Calibri" w:hAnsi="Calibri"/>
                <w:b w:val="0"/>
                <w:i w:val="0"/>
                <w:color w:val="212121"/>
                <w:sz w:val="19"/>
              </w:rPr>
              <w:t>In one series 32% of cases had attended sex-on-premises venues in the previous month and 29% had a concomitant sexually transmitted infection.</w:t>
            </w:r>
          </w:p>
          <w:p>
            <w:pPr>
              <w:spacing w:after="40" w:line="252" w:lineRule="auto"/>
            </w:pPr>
            <w:hyperlink r:id="rId9">
              <w:r>
                <w:rPr>
                  <w:rFonts w:ascii="Calibri" w:hAnsi="Calibri" w:cs="Calibri"/>
                  <w:sz w:val="18"/>
                  <w:color w:val="1155CC"/>
                  <w:u w:val="single"/>
                </w:rPr>
                <w:t xml:space="preserve">en.wikipedia.org — 2022–23 mpox outbreak</w:t>
              </w:r>
            </w:hyperlink>
          </w:p>
          <w:p>
            <w:pPr>
              <w:spacing w:before="60" w:after="40"/>
            </w:pPr>
            <w:r>
              <w:rPr>
                <w:rFonts w:ascii="Calibri" w:hAnsi="Calibri"/>
                <w:b w:val="0"/>
                <w:i w:val="0"/>
                <w:color w:val="5A5A5A"/>
                <w:sz w:val="18"/>
              </w:rPr>
              <w:t>#sexualcontact  #chemsex  #venues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Close contact</w:t>
            </w:r>
          </w:p>
        </w:tc>
        <w:tc>
          <w:tcPr>
            <w:tcW w:type="dxa" w:w="2160"/>
            <w:vAlign w:val="top"/>
          </w:tcPr>
          <w:p>
            <w:pPr>
              <w:spacing w:after="40" w:before="0" w:line="259" w:lineRule="auto"/>
            </w:pPr>
            <w:r>
              <w:rPr>
                <w:rFonts w:ascii="Calibri" w:hAnsi="Calibri"/>
                <w:b w:val="0"/>
                <w:i w:val="0"/>
                <w:color w:val="212121"/>
                <w:sz w:val="19"/>
              </w:rPr>
              <w:t>Household &amp; skin-to-skin contacts of cases</w:t>
            </w:r>
          </w:p>
        </w:tc>
        <w:tc>
          <w:tcPr>
            <w:tcW w:type="dxa" w:w="4276"/>
            <w:vAlign w:val="top"/>
          </w:tcPr>
          <w:p>
            <w:pPr>
              <w:spacing w:after="60" w:line="259" w:lineRule="auto"/>
            </w:pPr>
            <w:r>
              <w:rPr>
                <w:rFonts w:ascii="Calibri" w:hAnsi="Calibri"/>
                <w:b w:val="0"/>
                <w:i w:val="0"/>
                <w:color w:val="212121"/>
                <w:sz w:val="19"/>
              </w:rPr>
              <w:t>Living with or providing close care to a case — sharing bed, towels or clothing — enables direct and fomite transmission.</w:t>
            </w:r>
          </w:p>
          <w:p>
            <w:pPr>
              <w:spacing w:after="40" w:before="60" w:line="259" w:lineRule="auto"/>
            </w:pPr>
            <w:r>
              <w:rPr>
                <w:rFonts w:ascii="Calibri" w:hAnsi="Calibri"/>
                <w:b w:val="0"/>
                <w:i w:val="0"/>
                <w:color w:val="212121"/>
                <w:sz w:val="19"/>
              </w:rPr>
              <w:t>WHO lists household contacts of cases among those at higher risk of acquiring mpox.</w:t>
            </w:r>
          </w:p>
          <w:p>
            <w:pPr>
              <w:spacing w:after="40" w:line="252" w:lineRule="auto"/>
            </w:pPr>
            <w:hyperlink r:id="rId11">
              <w:r>
                <w:rPr>
                  <w:rFonts w:ascii="Calibri" w:hAnsi="Calibri" w:cs="Calibri"/>
                  <w:sz w:val="18"/>
                  <w:color w:val="1155CC"/>
                  <w:u w:val="single"/>
                </w:rPr>
                <w:t xml:space="preserve">who.int — mpox fact sheet</w:t>
              </w:r>
            </w:hyperlink>
          </w:p>
          <w:p>
            <w:pPr>
              <w:spacing w:before="60" w:after="40"/>
            </w:pPr>
            <w:r>
              <w:rPr>
                <w:rFonts w:ascii="Calibri" w:hAnsi="Calibri"/>
                <w:b w:val="0"/>
                <w:i w:val="0"/>
                <w:color w:val="5A5A5A"/>
                <w:sz w:val="18"/>
              </w:rPr>
              <w:t>#householdcontact  #skintoskin  #fomites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Healthcare &amp; laboratory workers</w:t>
            </w:r>
          </w:p>
        </w:tc>
        <w:tc>
          <w:tcPr>
            <w:tcW w:type="dxa" w:w="4276"/>
            <w:vAlign w:val="top"/>
          </w:tcPr>
          <w:p>
            <w:pPr>
              <w:spacing w:after="60" w:line="259" w:lineRule="auto"/>
            </w:pPr>
            <w:r>
              <w:rPr>
                <w:rFonts w:ascii="Calibri" w:hAnsi="Calibri"/>
                <w:b w:val="0"/>
                <w:i w:val="0"/>
                <w:color w:val="212121"/>
                <w:sz w:val="19"/>
              </w:rPr>
              <w:t>Unprotected clinical contact with lesions or contaminated sharps, and lab handling of specimens, create occupational exposure risk.</w:t>
            </w:r>
          </w:p>
          <w:p>
            <w:pPr>
              <w:spacing w:after="40" w:before="60" w:line="259" w:lineRule="auto"/>
            </w:pPr>
            <w:r>
              <w:rPr>
                <w:rFonts w:ascii="Calibri" w:hAnsi="Calibri"/>
                <w:b w:val="0"/>
                <w:i w:val="0"/>
                <w:color w:val="212121"/>
                <w:sz w:val="19"/>
              </w:rPr>
              <w:t>WHO lists health workers among those at higher risk of exposure, including through needle-stick injuries in healthcare settings.</w:t>
            </w:r>
          </w:p>
          <w:p>
            <w:pPr>
              <w:spacing w:after="40" w:line="252" w:lineRule="auto"/>
            </w:pPr>
            <w:hyperlink r:id="rId11">
              <w:r>
                <w:rPr>
                  <w:rFonts w:ascii="Calibri" w:hAnsi="Calibri" w:cs="Calibri"/>
                  <w:sz w:val="18"/>
                  <w:color w:val="1155CC"/>
                  <w:u w:val="single"/>
                </w:rPr>
                <w:t xml:space="preserve">who.int — mpox fact sheet</w:t>
              </w:r>
            </w:hyperlink>
          </w:p>
          <w:p>
            <w:pPr>
              <w:spacing w:before="60" w:after="40"/>
            </w:pPr>
            <w:r>
              <w:rPr>
                <w:rFonts w:ascii="Calibri" w:hAnsi="Calibri"/>
                <w:b w:val="0"/>
                <w:i w:val="0"/>
                <w:color w:val="5A5A5A"/>
                <w:sz w:val="18"/>
              </w:rPr>
              <w:t>#healthcareworkers  #PPE  #needlestick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Bushmeat / wild game handlers and consumers</w:t>
            </w:r>
          </w:p>
        </w:tc>
        <w:tc>
          <w:tcPr>
            <w:tcW w:type="dxa" w:w="4276"/>
            <w:vAlign w:val="top"/>
          </w:tcPr>
          <w:p>
            <w:pPr>
              <w:spacing w:after="60" w:line="259" w:lineRule="auto"/>
            </w:pPr>
            <w:r>
              <w:rPr>
                <w:rFonts w:ascii="Calibri" w:hAnsi="Calibri"/>
                <w:b w:val="0"/>
                <w:i w:val="0"/>
                <w:color w:val="212121"/>
                <w:sz w:val="19"/>
              </w:rPr>
              <w:t>Hunting, preparing or eating infected rodents and primates in endemic areas causes zoonotic spillover into humans.</w:t>
            </w:r>
          </w:p>
          <w:p>
            <w:pPr>
              <w:spacing w:after="40" w:before="60" w:line="259" w:lineRule="auto"/>
            </w:pPr>
            <w:r>
              <w:rPr>
                <w:rFonts w:ascii="Calibri" w:hAnsi="Calibri"/>
                <w:b w:val="0"/>
                <w:i w:val="0"/>
                <w:color w:val="212121"/>
                <w:sz w:val="19"/>
              </w:rPr>
              <w:t>WHO identifies animal-to-human transmission via bites, scratches and handling or eating infected animals as a route of infection.</w:t>
            </w:r>
          </w:p>
          <w:p>
            <w:pPr>
              <w:spacing w:after="40" w:line="252" w:lineRule="auto"/>
            </w:pPr>
            <w:hyperlink r:id="rId11">
              <w:r>
                <w:rPr>
                  <w:rFonts w:ascii="Calibri" w:hAnsi="Calibri" w:cs="Calibri"/>
                  <w:sz w:val="18"/>
                  <w:color w:val="1155CC"/>
                  <w:u w:val="single"/>
                </w:rPr>
                <w:t xml:space="preserve">who.int — mpox fact sheet</w:t>
              </w:r>
            </w:hyperlink>
          </w:p>
          <w:p>
            <w:pPr>
              <w:spacing w:before="60" w:after="40"/>
            </w:pPr>
            <w:r>
              <w:rPr>
                <w:rFonts w:ascii="Calibri" w:hAnsi="Calibri"/>
                <w:b w:val="0"/>
                <w:i w:val="0"/>
                <w:color w:val="5A5A5A"/>
                <w:sz w:val="18"/>
              </w:rPr>
              <w:t>#bushmeat  #zoonosis  #spillover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immune status</w:t>
            </w:r>
          </w:p>
        </w:tc>
        <w:tc>
          <w:tcPr>
            <w:tcW w:type="dxa" w:w="2160"/>
            <w:vAlign w:val="top"/>
          </w:tcPr>
          <w:p>
            <w:pPr>
              <w:spacing w:after="40" w:before="0" w:line="259" w:lineRule="auto"/>
            </w:pPr>
            <w:r>
              <w:rPr>
                <w:rFonts w:ascii="Calibri" w:hAnsi="Calibri"/>
                <w:b w:val="0"/>
                <w:i w:val="0"/>
                <w:color w:val="212121"/>
                <w:sz w:val="19"/>
              </w:rPr>
              <w:t>Unvaccinated cohorts born after 1980; inborn immunodeficiency</w:t>
            </w:r>
          </w:p>
        </w:tc>
        <w:tc>
          <w:tcPr>
            <w:tcW w:type="dxa" w:w="4276"/>
            <w:vAlign w:val="top"/>
          </w:tcPr>
          <w:p>
            <w:pPr>
              <w:spacing w:after="60" w:line="259" w:lineRule="auto"/>
            </w:pPr>
            <w:r>
              <w:rPr>
                <w:rFonts w:ascii="Calibri" w:hAnsi="Calibri"/>
                <w:b w:val="0"/>
                <w:i w:val="0"/>
                <w:color w:val="212121"/>
                <w:sz w:val="19"/>
              </w:rPr>
              <w:t>Ending routine smallpox vaccination after 1980 left younger people without cross-protective orthopoxvirus immunity, and rare inherited immune defects increase severity.</w:t>
            </w:r>
          </w:p>
          <w:p>
            <w:pPr>
              <w:spacing w:after="40" w:before="60" w:line="259" w:lineRule="auto"/>
            </w:pPr>
            <w:r>
              <w:rPr>
                <w:rFonts w:ascii="Calibri" w:hAnsi="Calibri"/>
                <w:b w:val="0"/>
                <w:i w:val="0"/>
                <w:color w:val="212121"/>
                <w:sz w:val="19"/>
              </w:rPr>
              <w:t>Lymphadenopathy and susceptibility are more pronounced in those without prior smallpox (orthopoxvirus) immunity following the post-1980 halt in vaccination.</w:t>
            </w:r>
          </w:p>
          <w:p>
            <w:pPr>
              <w:spacing w:after="40" w:line="252" w:lineRule="auto"/>
            </w:pPr>
            <w:hyperlink r:id="rId10">
              <w:r>
                <w:rPr>
                  <w:rFonts w:ascii="Calibri" w:hAnsi="Calibri" w:cs="Calibri"/>
                  <w:sz w:val="18"/>
                  <w:color w:val="1155CC"/>
                  <w:u w:val="single"/>
                </w:rPr>
                <w:t xml:space="preserve">en.wikipedia.org — Mpox</w:t>
              </w:r>
            </w:hyperlink>
          </w:p>
          <w:p>
            <w:pPr>
              <w:spacing w:before="60" w:after="40"/>
            </w:pPr>
            <w:r>
              <w:rPr>
                <w:rFonts w:ascii="Calibri" w:hAnsi="Calibri"/>
                <w:b w:val="0"/>
                <w:i w:val="0"/>
                <w:color w:val="5A5A5A"/>
                <w:sz w:val="18"/>
              </w:rPr>
              <w:t>#waningimmunity  #smallpoxvaccine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HIV/AIDS</w:t>
            </w:r>
          </w:p>
        </w:tc>
        <w:tc>
          <w:tcPr>
            <w:tcW w:type="dxa" w:w="2160"/>
            <w:vAlign w:val="top"/>
          </w:tcPr>
          <w:p>
            <w:pPr>
              <w:spacing w:after="40" w:before="0" w:line="259" w:lineRule="auto"/>
            </w:pPr>
            <w:r>
              <w:rPr>
                <w:rFonts w:ascii="Calibri" w:hAnsi="Calibri"/>
                <w:b w:val="0"/>
                <w:i w:val="0"/>
                <w:color w:val="212121"/>
                <w:sz w:val="19"/>
              </w:rPr>
              <w:t>People with uncontrolled HIV</w:t>
            </w:r>
          </w:p>
        </w:tc>
        <w:tc>
          <w:tcPr>
            <w:tcW w:type="dxa" w:w="4276"/>
            <w:vAlign w:val="top"/>
          </w:tcPr>
          <w:p>
            <w:pPr>
              <w:spacing w:after="60" w:line="259" w:lineRule="auto"/>
            </w:pPr>
            <w:r>
              <w:rPr>
                <w:rFonts w:ascii="Calibri" w:hAnsi="Calibri"/>
                <w:b w:val="0"/>
                <w:i w:val="0"/>
                <w:color w:val="212121"/>
                <w:sz w:val="19"/>
              </w:rPr>
              <w:t>Impaired cell-mediated immunity permits severe, necrotising, disseminated and prolonged disease with higher mortality.</w:t>
            </w:r>
          </w:p>
          <w:p>
            <w:pPr>
              <w:spacing w:after="40" w:before="60" w:line="259" w:lineRule="auto"/>
            </w:pPr>
            <w:r>
              <w:rPr>
                <w:rFonts w:ascii="Calibri" w:hAnsi="Calibri"/>
                <w:b w:val="0"/>
                <w:i w:val="0"/>
                <w:color w:val="212121"/>
                <w:sz w:val="19"/>
              </w:rPr>
              <w:t>About 41% of cases in the 2022–23 outbreak were living with HIV (96% of them on antiretroviral therapy); uncontrolled HIV predicts severe mpox.</w:t>
            </w:r>
          </w:p>
          <w:p>
            <w:pPr>
              <w:spacing w:after="40" w:line="252" w:lineRule="auto"/>
            </w:pPr>
            <w:hyperlink r:id="rId9">
              <w:r>
                <w:rPr>
                  <w:rFonts w:ascii="Calibri" w:hAnsi="Calibri" w:cs="Calibri"/>
                  <w:sz w:val="18"/>
                  <w:color w:val="1155CC"/>
                  <w:u w:val="single"/>
                </w:rPr>
                <w:t xml:space="preserve">en.wikipedia.org — 2022–23 mpox outbreak</w:t>
              </w:r>
            </w:hyperlink>
          </w:p>
          <w:p>
            <w:pPr>
              <w:spacing w:before="60" w:after="40"/>
            </w:pPr>
            <w:r>
              <w:rPr>
                <w:rFonts w:ascii="Calibri" w:hAnsi="Calibri"/>
                <w:b w:val="0"/>
                <w:i w:val="0"/>
                <w:color w:val="5A5A5A"/>
                <w:sz w:val="18"/>
              </w:rPr>
              <w:t>#HIV  #immunocompromised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Transplant, chemotherapy or high-dose steroid recipients</w:t>
            </w:r>
          </w:p>
        </w:tc>
        <w:tc>
          <w:tcPr>
            <w:tcW w:type="dxa" w:w="4276"/>
            <w:vAlign w:val="top"/>
          </w:tcPr>
          <w:p>
            <w:pPr>
              <w:spacing w:after="60" w:line="259" w:lineRule="auto"/>
            </w:pPr>
            <w:r>
              <w:rPr>
                <w:rFonts w:ascii="Calibri" w:hAnsi="Calibri"/>
                <w:b w:val="0"/>
                <w:i w:val="0"/>
                <w:color w:val="212121"/>
                <w:sz w:val="19"/>
              </w:rPr>
              <w:t>Iatrogenic or disease-related immunosuppression predisposes to extensive, slow-healing lesions and systemic complications.</w:t>
            </w:r>
          </w:p>
          <w:p>
            <w:pPr>
              <w:spacing w:after="40" w:before="60" w:line="259" w:lineRule="auto"/>
            </w:pPr>
            <w:r>
              <w:rPr>
                <w:rFonts w:ascii="Calibri" w:hAnsi="Calibri"/>
                <w:b w:val="0"/>
                <w:i w:val="0"/>
                <w:color w:val="212121"/>
                <w:sz w:val="19"/>
              </w:rPr>
              <w:t>WHO lists people with weakened immune systems among those at higher risk of severe illness and death from mpox.</w:t>
            </w:r>
          </w:p>
          <w:p>
            <w:pPr>
              <w:spacing w:after="40" w:line="252" w:lineRule="auto"/>
            </w:pPr>
            <w:hyperlink r:id="rId11">
              <w:r>
                <w:rPr>
                  <w:rFonts w:ascii="Calibri" w:hAnsi="Calibri" w:cs="Calibri"/>
                  <w:sz w:val="18"/>
                  <w:color w:val="1155CC"/>
                  <w:u w:val="single"/>
                </w:rPr>
                <w:t xml:space="preserve">who.int — mpox fact sheet</w:t>
              </w:r>
            </w:hyperlink>
          </w:p>
          <w:p>
            <w:pPr>
              <w:spacing w:before="60" w:after="40"/>
            </w:pPr>
            <w:r>
              <w:rPr>
                <w:rFonts w:ascii="Calibri" w:hAnsi="Calibri"/>
                <w:b w:val="0"/>
                <w:i w:val="0"/>
                <w:color w:val="5A5A5A"/>
                <w:sz w:val="18"/>
              </w:rPr>
              <w:t>#immunosuppression  #severe  #disseminated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Mpox in pregnancy can be transmitted vertically and is associated with fetal loss, stillbirth and congenital mpox, as well as more severe maternal disease.</w:t>
            </w:r>
          </w:p>
          <w:p>
            <w:pPr>
              <w:spacing w:after="40" w:before="60" w:line="259" w:lineRule="auto"/>
            </w:pPr>
            <w:r>
              <w:rPr>
                <w:rFonts w:ascii="Calibri" w:hAnsi="Calibri"/>
                <w:b w:val="0"/>
                <w:i w:val="0"/>
                <w:color w:val="212121"/>
                <w:sz w:val="19"/>
              </w:rPr>
              <w:t>WHO notes mpox can pass to the fetus during pregnancy or to the newborn during/after birth, and lists pregnant people at higher risk of severe outcomes.</w:t>
            </w:r>
          </w:p>
          <w:p>
            <w:pPr>
              <w:spacing w:after="40" w:line="252" w:lineRule="auto"/>
            </w:pPr>
            <w:hyperlink r:id="rId11">
              <w:r>
                <w:rPr>
                  <w:rFonts w:ascii="Calibri" w:hAnsi="Calibri" w:cs="Calibri"/>
                  <w:sz w:val="18"/>
                  <w:color w:val="1155CC"/>
                  <w:u w:val="single"/>
                </w:rPr>
                <w:t xml:space="preserve">who.int — mpox fact sheet</w:t>
              </w:r>
            </w:hyperlink>
          </w:p>
          <w:p>
            <w:pPr>
              <w:spacing w:before="60" w:after="40"/>
            </w:pPr>
            <w:r>
              <w:rPr>
                <w:rFonts w:ascii="Calibri" w:hAnsi="Calibri"/>
                <w:b w:val="0"/>
                <w:i w:val="0"/>
                <w:color w:val="5A5A5A"/>
                <w:sz w:val="18"/>
              </w:rPr>
              <w:t>#pregnancy  #vertical  #congenital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Skin-barrier disease</w:t>
            </w:r>
          </w:p>
        </w:tc>
        <w:tc>
          <w:tcPr>
            <w:tcW w:type="dxa" w:w="2160"/>
            <w:vAlign w:val="top"/>
          </w:tcPr>
          <w:p>
            <w:pPr>
              <w:spacing w:after="40" w:before="0" w:line="259" w:lineRule="auto"/>
            </w:pPr>
            <w:r>
              <w:rPr>
                <w:rFonts w:ascii="Calibri" w:hAnsi="Calibri"/>
                <w:b w:val="0"/>
                <w:i w:val="0"/>
                <w:color w:val="212121"/>
                <w:sz w:val="19"/>
              </w:rPr>
              <w:t>Atopic dermatitis / eczema and other broken-skin conditions</w:t>
            </w:r>
          </w:p>
        </w:tc>
        <w:tc>
          <w:tcPr>
            <w:tcW w:type="dxa" w:w="4276"/>
            <w:vAlign w:val="top"/>
          </w:tcPr>
          <w:p>
            <w:pPr>
              <w:spacing w:after="60" w:line="259" w:lineRule="auto"/>
            </w:pPr>
            <w:r>
              <w:rPr>
                <w:rFonts w:ascii="Calibri" w:hAnsi="Calibri"/>
                <w:b w:val="0"/>
                <w:i w:val="0"/>
                <w:color w:val="212121"/>
                <w:sz w:val="19"/>
              </w:rPr>
              <w:t>Disrupted skin barrier facilitates viral inoculation and can allow more extensive cutaneous involvement and secondary bacterial infection.</w:t>
            </w:r>
          </w:p>
          <w:p>
            <w:pPr>
              <w:spacing w:before="60" w:after="40"/>
            </w:pPr>
            <w:r>
              <w:rPr>
                <w:rFonts w:ascii="Calibri" w:hAnsi="Calibri"/>
                <w:b w:val="0"/>
                <w:i w:val="0"/>
                <w:color w:val="5A5A5A"/>
                <w:sz w:val="18"/>
              </w:rPr>
              <w:t>#eczema  #skinbarrier  #inoculation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activity supports immune competence but has no direct role in mpox transmission; rest is advised during the acute febrile, painful phase, with gradual return afterwards.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Good nutrition aids immune response and skin healing, and malnutrition worsens outcomes (notably in children in endemic areas); however, handling or eating infected bushmeat is itself a zoonotic transmission route.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sleep supports antiviral immunity; disrupted sleep is common during febrile, painful illness but is not a proven determinant of acquisition.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impairs mucosal/respiratory defences and wound healing, which may slow lesion recovery, but there is no direct causal link to mpox acquisition.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impairs immunity and is associated with disinhibited high-risk sexual contact at venues; the link to mpox is indirect and behavioural.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Stigma, quarantine-related isolation and anxiety/depression are common and affect care-seeking and adherence, but do not cause infection.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supports recovery and mucosal integrity, important when oral/pharyngeal lesions cause odynophagia; it has no preventive role against transmission.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with mpox risk or course.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hygiene, covering lesions, not sharing linen/towels, disinfecting surfaces and correct PPE materially reduce person-to-person and nosocomial transmission of MPXV.</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Close and sexual skin-to-skin contact, contact with a confirmed case's lesions or contaminated materials, travel to outbreak areas and animal/bushmeat exposure are the direct provoking exposures for mpox.</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relationship with mpox.</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Incubation / post-exposure monitoring window</w:t>
            </w:r>
          </w:p>
        </w:tc>
        <w:tc>
          <w:tcPr>
            <w:tcW w:type="dxa" w:w="1655"/>
            <w:vAlign w:val="top"/>
          </w:tcPr>
          <w:p>
            <w:pPr>
              <w:spacing w:after="40" w:before="0" w:line="259" w:lineRule="auto"/>
            </w:pPr>
            <w:r>
              <w:rPr>
                <w:rFonts w:ascii="Calibri" w:hAnsi="Calibri"/>
                <w:b w:val="0"/>
                <w:i w:val="0"/>
                <w:color w:val="212121"/>
                <w:sz w:val="19"/>
              </w:rPr>
              <w:t>Contacts of confirmed cases</w:t>
            </w:r>
          </w:p>
        </w:tc>
        <w:tc>
          <w:tcPr>
            <w:tcW w:type="dxa" w:w="1512"/>
            <w:vAlign w:val="top"/>
          </w:tcPr>
          <w:p>
            <w:pPr>
              <w:spacing w:after="40" w:before="0" w:line="259" w:lineRule="auto"/>
            </w:pPr>
            <w:r>
              <w:rPr>
                <w:rFonts w:ascii="Calibri" w:hAnsi="Calibri"/>
                <w:b w:val="0"/>
                <w:i w:val="0"/>
                <w:color w:val="212121"/>
                <w:sz w:val="19"/>
              </w:rPr>
              <w:t>Self-monitor 21 days from last exposure</w:t>
            </w:r>
          </w:p>
        </w:tc>
        <w:tc>
          <w:tcPr>
            <w:tcW w:type="dxa" w:w="1512"/>
            <w:vAlign w:val="top"/>
          </w:tcPr>
          <w:p>
            <w:pPr>
              <w:spacing w:after="40" w:before="0" w:line="259" w:lineRule="auto"/>
            </w:pPr>
            <w:r>
              <w:rPr>
                <w:rFonts w:ascii="Calibri" w:hAnsi="Calibri"/>
                <w:b w:val="0"/>
                <w:i w:val="0"/>
                <w:color w:val="212121"/>
                <w:sz w:val="19"/>
              </w:rPr>
              <w:t>Rash or fever 1–21 days after contact</w:t>
            </w:r>
          </w:p>
        </w:tc>
        <w:tc>
          <w:tcPr>
            <w:tcW w:type="dxa" w:w="1468"/>
            <w:vAlign w:val="top"/>
          </w:tcPr>
          <w:p>
            <w:pPr>
              <w:spacing w:after="60" w:line="259" w:lineRule="auto"/>
            </w:pPr>
            <w:r>
              <w:rPr>
                <w:rFonts w:ascii="Calibri" w:hAnsi="Calibri"/>
                <w:b w:val="0"/>
                <w:i w:val="0"/>
                <w:color w:val="212121"/>
                <w:sz w:val="19"/>
              </w:rPr>
              <w:t>Symptoms usually begin within a week but can start 1–21 days after exposure</w:t>
            </w:r>
          </w:p>
          <w:p>
            <w:pPr>
              <w:spacing w:after="40" w:line="252" w:lineRule="auto"/>
            </w:pPr>
            <w:hyperlink r:id="rId11">
              <w:r>
                <w:rPr>
                  <w:rFonts w:ascii="Calibri" w:hAnsi="Calibri" w:cs="Calibri"/>
                  <w:sz w:val="18"/>
                  <w:color w:val="1155CC"/>
                  <w:u w:val="single"/>
                </w:rPr>
                <w:t xml:space="preserve">https://www.who.int/news-room/fact-sheets/detail/mpox</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New/multiple sexual partners (prior 3 months)</w:t>
            </w:r>
          </w:p>
        </w:tc>
        <w:tc>
          <w:tcPr>
            <w:tcW w:type="dxa" w:w="1655"/>
            <w:vAlign w:val="top"/>
          </w:tcPr>
          <w:p>
            <w:pPr>
              <w:spacing w:after="40" w:before="0" w:line="259" w:lineRule="auto"/>
            </w:pPr>
            <w:r>
              <w:rPr>
                <w:rFonts w:ascii="Calibri" w:hAnsi="Calibri"/>
                <w:b w:val="0"/>
                <w:i w:val="0"/>
                <w:color w:val="212121"/>
                <w:sz w:val="19"/>
              </w:rPr>
              <w:t>Sexually active adults, MSM</w:t>
            </w:r>
          </w:p>
        </w:tc>
        <w:tc>
          <w:tcPr>
            <w:tcW w:type="dxa" w:w="1512"/>
            <w:vAlign w:val="top"/>
          </w:tcPr>
          <w:p>
            <w:pPr>
              <w:spacing w:after="40" w:before="0" w:line="259" w:lineRule="auto"/>
            </w:pPr>
            <w:r>
              <w:rPr>
                <w:rFonts w:ascii="Calibri" w:hAnsi="Calibri"/>
                <w:b w:val="0"/>
                <w:i w:val="0"/>
                <w:color w:val="212121"/>
                <w:sz w:val="19"/>
              </w:rPr>
              <w:t>≤ 1 mutually exclusive partner</w:t>
            </w:r>
          </w:p>
        </w:tc>
        <w:tc>
          <w:tcPr>
            <w:tcW w:type="dxa" w:w="1512"/>
            <w:vAlign w:val="top"/>
          </w:tcPr>
          <w:p>
            <w:pPr>
              <w:spacing w:after="40" w:before="0" w:line="259" w:lineRule="auto"/>
            </w:pPr>
            <w:r>
              <w:rPr>
                <w:rFonts w:ascii="Calibri" w:hAnsi="Calibri"/>
                <w:b w:val="0"/>
                <w:i w:val="0"/>
                <w:color w:val="212121"/>
                <w:sz w:val="19"/>
              </w:rPr>
              <w:t>Multiple or new partners</w:t>
            </w:r>
          </w:p>
        </w:tc>
        <w:tc>
          <w:tcPr>
            <w:tcW w:type="dxa" w:w="1468"/>
            <w:vAlign w:val="top"/>
          </w:tcPr>
          <w:p>
            <w:pPr>
              <w:spacing w:after="60" w:line="259" w:lineRule="auto"/>
            </w:pPr>
            <w:r>
              <w:rPr>
                <w:rFonts w:ascii="Calibri" w:hAnsi="Calibri"/>
                <w:b w:val="0"/>
                <w:i w:val="0"/>
                <w:color w:val="212121"/>
                <w:sz w:val="19"/>
              </w:rPr>
              <w:t>Median of 5 partners in prior 3 months among 2022 cases</w:t>
            </w:r>
          </w:p>
          <w:p>
            <w:pPr>
              <w:spacing w:after="40" w:line="252" w:lineRule="auto"/>
            </w:pPr>
            <w:hyperlink r:id="rId9">
              <w:r>
                <w:rPr>
                  <w:rFonts w:ascii="Calibri" w:hAnsi="Calibri" w:cs="Calibri"/>
                  <w:sz w:val="18"/>
                  <w:color w:val="1155CC"/>
                  <w:u w:val="single"/>
                </w:rPr>
                <w:t xml:space="preserve">https://en.wikipedia.org/wiki/2022%E2%80%932023_mpox_outbreak</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Isolation until lesions heal</w:t>
            </w:r>
          </w:p>
        </w:tc>
        <w:tc>
          <w:tcPr>
            <w:tcW w:type="dxa" w:w="1655"/>
            <w:vAlign w:val="top"/>
          </w:tcPr>
          <w:p>
            <w:pPr>
              <w:spacing w:after="40" w:before="0" w:line="259" w:lineRule="auto"/>
            </w:pPr>
            <w:r>
              <w:rPr>
                <w:rFonts w:ascii="Calibri" w:hAnsi="Calibri"/>
                <w:b w:val="0"/>
                <w:i w:val="0"/>
                <w:color w:val="212121"/>
                <w:sz w:val="19"/>
              </w:rPr>
              <w:t>Confirmed cases</w:t>
            </w:r>
          </w:p>
        </w:tc>
        <w:tc>
          <w:tcPr>
            <w:tcW w:type="dxa" w:w="1512"/>
            <w:vAlign w:val="top"/>
          </w:tcPr>
          <w:p>
            <w:pPr>
              <w:spacing w:after="40" w:before="0" w:line="259" w:lineRule="auto"/>
            </w:pPr>
            <w:r>
              <w:rPr>
                <w:rFonts w:ascii="Calibri" w:hAnsi="Calibri"/>
                <w:b w:val="0"/>
                <w:i w:val="0"/>
                <w:color w:val="212121"/>
                <w:sz w:val="19"/>
              </w:rPr>
              <w:t>Isolate until all scabs fall off and fresh skin forms (~2–4 weeks)</w:t>
            </w:r>
          </w:p>
        </w:tc>
        <w:tc>
          <w:tcPr>
            <w:tcW w:type="dxa" w:w="1512"/>
            <w:vAlign w:val="top"/>
          </w:tcPr>
          <w:p>
            <w:pPr>
              <w:spacing w:after="40" w:before="0" w:line="259" w:lineRule="auto"/>
            </w:pPr>
            <w:r>
              <w:rPr>
                <w:rFonts w:ascii="Calibri" w:hAnsi="Calibri"/>
                <w:b w:val="0"/>
                <w:i w:val="0"/>
                <w:color w:val="212121"/>
                <w:sz w:val="19"/>
              </w:rPr>
              <w:t>Ending isolation before lesions fully heal</w:t>
            </w:r>
          </w:p>
        </w:tc>
        <w:tc>
          <w:tcPr>
            <w:tcW w:type="dxa" w:w="1468"/>
            <w:vAlign w:val="top"/>
          </w:tcPr>
          <w:p>
            <w:pPr>
              <w:spacing w:after="60" w:line="259" w:lineRule="auto"/>
            </w:pPr>
            <w:r>
              <w:rPr>
                <w:rFonts w:ascii="Calibri" w:hAnsi="Calibri"/>
                <w:b w:val="0"/>
                <w:i w:val="0"/>
                <w:color w:val="212121"/>
                <w:sz w:val="19"/>
              </w:rPr>
              <w:t>Illness typically lasts 2–4 weeks, longer if immunocompromised</w:t>
            </w:r>
          </w:p>
          <w:p>
            <w:pPr>
              <w:spacing w:after="40" w:line="252" w:lineRule="auto"/>
            </w:pPr>
            <w:hyperlink r:id="rId11">
              <w:r>
                <w:rPr>
                  <w:rFonts w:ascii="Calibri" w:hAnsi="Calibri" w:cs="Calibri"/>
                  <w:sz w:val="18"/>
                  <w:color w:val="1155CC"/>
                  <w:u w:val="single"/>
                </w:rPr>
                <w:t xml:space="preserve">https://www.who.int/news-room/fact-sheets/detail/mpox</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Lesion covering &amp; linen handling</w:t>
            </w:r>
          </w:p>
        </w:tc>
        <w:tc>
          <w:tcPr>
            <w:tcW w:type="dxa" w:w="1655"/>
            <w:vAlign w:val="top"/>
          </w:tcPr>
          <w:p>
            <w:pPr>
              <w:spacing w:after="40" w:before="0" w:line="259" w:lineRule="auto"/>
            </w:pPr>
            <w:r>
              <w:rPr>
                <w:rFonts w:ascii="Calibri" w:hAnsi="Calibri"/>
                <w:b w:val="0"/>
                <w:i w:val="0"/>
                <w:color w:val="212121"/>
                <w:sz w:val="19"/>
              </w:rPr>
              <w:t>Cases and household contacts</w:t>
            </w:r>
          </w:p>
        </w:tc>
        <w:tc>
          <w:tcPr>
            <w:tcW w:type="dxa" w:w="1512"/>
            <w:vAlign w:val="top"/>
          </w:tcPr>
          <w:p>
            <w:pPr>
              <w:spacing w:after="40" w:before="0" w:line="259" w:lineRule="auto"/>
            </w:pPr>
            <w:r>
              <w:rPr>
                <w:rFonts w:ascii="Calibri" w:hAnsi="Calibri"/>
                <w:b w:val="0"/>
                <w:i w:val="0"/>
                <w:color w:val="212121"/>
                <w:sz w:val="19"/>
              </w:rPr>
              <w:t>All lesions covered; no sharing of towels/bedding</w:t>
            </w:r>
          </w:p>
        </w:tc>
        <w:tc>
          <w:tcPr>
            <w:tcW w:type="dxa" w:w="1512"/>
            <w:vAlign w:val="top"/>
          </w:tcPr>
          <w:p>
            <w:pPr>
              <w:spacing w:after="40" w:before="0" w:line="259" w:lineRule="auto"/>
            </w:pPr>
            <w:r>
              <w:rPr>
                <w:rFonts w:ascii="Calibri" w:hAnsi="Calibri"/>
                <w:b w:val="0"/>
                <w:i w:val="0"/>
                <w:color w:val="212121"/>
                <w:sz w:val="19"/>
              </w:rPr>
              <w:t>Uncovered lesions; shared linen/clothing</w:t>
            </w:r>
          </w:p>
        </w:tc>
        <w:tc>
          <w:tcPr>
            <w:tcW w:type="dxa" w:w="1468"/>
            <w:vAlign w:val="top"/>
          </w:tcPr>
          <w:p>
            <w:pPr>
              <w:spacing w:after="60" w:line="259" w:lineRule="auto"/>
            </w:pPr>
            <w:r>
              <w:rPr>
                <w:rFonts w:ascii="Calibri" w:hAnsi="Calibri"/>
                <w:b w:val="0"/>
                <w:i w:val="0"/>
                <w:color w:val="212121"/>
                <w:sz w:val="19"/>
              </w:rPr>
              <w:t>Reduces skin-to-skin and fomite transmission</w:t>
            </w:r>
          </w:p>
          <w:p>
            <w:pPr>
              <w:spacing w:after="40" w:line="252" w:lineRule="auto"/>
            </w:pPr>
            <w:hyperlink r:id="rId11">
              <w:r>
                <w:rPr>
                  <w:rFonts w:ascii="Calibri" w:hAnsi="Calibri" w:cs="Calibri"/>
                  <w:sz w:val="18"/>
                  <w:color w:val="1155CC"/>
                  <w:u w:val="single"/>
                </w:rPr>
                <w:t xml:space="preserve">https://www.who.int/news-room/fact-sheets/detail/mpox</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Vaccination — MVA-BN (Imvanex/JYNNEOS) doses</w:t>
            </w:r>
          </w:p>
        </w:tc>
        <w:tc>
          <w:tcPr>
            <w:tcW w:type="dxa" w:w="1655"/>
            <w:vAlign w:val="top"/>
          </w:tcPr>
          <w:p>
            <w:pPr>
              <w:spacing w:after="40" w:before="0" w:line="259" w:lineRule="auto"/>
            </w:pPr>
            <w:r>
              <w:rPr>
                <w:rFonts w:ascii="Calibri" w:hAnsi="Calibri"/>
                <w:b w:val="0"/>
                <w:i w:val="0"/>
                <w:color w:val="212121"/>
                <w:sz w:val="19"/>
              </w:rPr>
              <w:t>High-risk groups (pre-exposure)</w:t>
            </w:r>
          </w:p>
        </w:tc>
        <w:tc>
          <w:tcPr>
            <w:tcW w:type="dxa" w:w="1512"/>
            <w:vAlign w:val="top"/>
          </w:tcPr>
          <w:p>
            <w:pPr>
              <w:spacing w:after="40" w:before="0" w:line="259" w:lineRule="auto"/>
            </w:pPr>
            <w:r>
              <w:rPr>
                <w:rFonts w:ascii="Calibri" w:hAnsi="Calibri"/>
                <w:b w:val="0"/>
                <w:i w:val="0"/>
                <w:color w:val="212121"/>
                <w:sz w:val="19"/>
              </w:rPr>
              <w:t>2 doses, 28 days apart</w:t>
            </w:r>
          </w:p>
        </w:tc>
        <w:tc>
          <w:tcPr>
            <w:tcW w:type="dxa" w:w="1512"/>
            <w:vAlign w:val="top"/>
          </w:tcPr>
          <w:p>
            <w:pPr>
              <w:spacing w:after="40" w:before="0" w:line="259" w:lineRule="auto"/>
            </w:pPr>
            <w:r>
              <w:rPr>
                <w:rFonts w:ascii="Calibri" w:hAnsi="Calibri"/>
                <w:b w:val="0"/>
                <w:i w:val="0"/>
                <w:color w:val="212121"/>
                <w:sz w:val="19"/>
              </w:rPr>
              <w:t>Unvaccinated high-risk individual</w:t>
            </w:r>
          </w:p>
        </w:tc>
        <w:tc>
          <w:tcPr>
            <w:tcW w:type="dxa" w:w="1468"/>
            <w:vAlign w:val="top"/>
          </w:tcPr>
          <w:p>
            <w:pPr>
              <w:spacing w:after="60" w:line="259" w:lineRule="auto"/>
            </w:pPr>
            <w:r>
              <w:rPr>
                <w:rFonts w:ascii="Calibri" w:hAnsi="Calibri"/>
                <w:b w:val="0"/>
                <w:i w:val="0"/>
                <w:color w:val="212121"/>
                <w:sz w:val="19"/>
              </w:rPr>
              <w:t>Recommended for those at high risk of exposure</w:t>
            </w:r>
          </w:p>
          <w:p>
            <w:pPr>
              <w:spacing w:after="40" w:line="252" w:lineRule="auto"/>
            </w:pPr>
            <w:hyperlink r:id="rId10">
              <w:r>
                <w:rPr>
                  <w:rFonts w:ascii="Calibri" w:hAnsi="Calibri" w:cs="Calibri"/>
                  <w:sz w:val="18"/>
                  <w:color w:val="1155CC"/>
                  <w:u w:val="single"/>
                </w:rPr>
                <w:t xml:space="preserve">https://en.wikipedia.org/wiki/Mpox</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Post-exposure prophylaxis (PEP) window</w:t>
            </w:r>
          </w:p>
        </w:tc>
        <w:tc>
          <w:tcPr>
            <w:tcW w:type="dxa" w:w="1655"/>
            <w:vAlign w:val="top"/>
          </w:tcPr>
          <w:p>
            <w:pPr>
              <w:spacing w:after="40" w:before="0" w:line="259" w:lineRule="auto"/>
            </w:pPr>
            <w:r>
              <w:rPr>
                <w:rFonts w:ascii="Calibri" w:hAnsi="Calibri"/>
                <w:b w:val="0"/>
                <w:i w:val="0"/>
                <w:color w:val="212121"/>
                <w:sz w:val="19"/>
              </w:rPr>
              <w:t>Recently exposed contacts</w:t>
            </w:r>
          </w:p>
        </w:tc>
        <w:tc>
          <w:tcPr>
            <w:tcW w:type="dxa" w:w="1512"/>
            <w:vAlign w:val="top"/>
          </w:tcPr>
          <w:p>
            <w:pPr>
              <w:spacing w:after="40" w:before="0" w:line="259" w:lineRule="auto"/>
            </w:pPr>
            <w:r>
              <w:rPr>
                <w:rFonts w:ascii="Calibri" w:hAnsi="Calibri"/>
                <w:b w:val="0"/>
                <w:i w:val="0"/>
                <w:color w:val="212121"/>
                <w:sz w:val="19"/>
              </w:rPr>
              <w:t>Vaccinate within 4 days of exposure</w:t>
            </w:r>
          </w:p>
        </w:tc>
        <w:tc>
          <w:tcPr>
            <w:tcW w:type="dxa" w:w="1512"/>
            <w:vAlign w:val="top"/>
          </w:tcPr>
          <w:p>
            <w:pPr>
              <w:spacing w:after="40" w:before="0" w:line="259" w:lineRule="auto"/>
            </w:pPr>
            <w:r>
              <w:rPr>
                <w:rFonts w:ascii="Calibri" w:hAnsi="Calibri"/>
                <w:b w:val="0"/>
                <w:i w:val="0"/>
                <w:color w:val="212121"/>
                <w:sz w:val="19"/>
              </w:rPr>
              <w:t>&gt; 4 days (up to 14 if asymptomatic)</w:t>
            </w:r>
          </w:p>
        </w:tc>
        <w:tc>
          <w:tcPr>
            <w:tcW w:type="dxa" w:w="1468"/>
            <w:vAlign w:val="top"/>
          </w:tcPr>
          <w:p>
            <w:pPr>
              <w:spacing w:after="60" w:line="259" w:lineRule="auto"/>
            </w:pPr>
            <w:r>
              <w:rPr>
                <w:rFonts w:ascii="Calibri" w:hAnsi="Calibri"/>
                <w:b w:val="0"/>
                <w:i w:val="0"/>
                <w:color w:val="212121"/>
                <w:sz w:val="19"/>
              </w:rPr>
              <w:t>PEP most effective given within 4 days of exposure</w:t>
            </w:r>
          </w:p>
          <w:p>
            <w:pPr>
              <w:spacing w:after="40" w:line="252" w:lineRule="auto"/>
            </w:pPr>
            <w:hyperlink r:id="rId11">
              <w:r>
                <w:rPr>
                  <w:rFonts w:ascii="Calibri" w:hAnsi="Calibri" w:cs="Calibri"/>
                  <w:sz w:val="18"/>
                  <w:color w:val="1155CC"/>
                  <w:u w:val="single"/>
                </w:rPr>
                <w:t xml:space="preserve">https://www.who.int/news-room/fact-sheets/detail/mpox</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HIV status / viral control</w:t>
            </w:r>
          </w:p>
        </w:tc>
        <w:tc>
          <w:tcPr>
            <w:tcW w:type="dxa" w:w="1655"/>
            <w:vAlign w:val="top"/>
          </w:tcPr>
          <w:p>
            <w:pPr>
              <w:spacing w:after="40" w:before="0" w:line="259" w:lineRule="auto"/>
            </w:pPr>
            <w:r>
              <w:rPr>
                <w:rFonts w:ascii="Calibri" w:hAnsi="Calibri"/>
                <w:b w:val="0"/>
                <w:i w:val="0"/>
                <w:color w:val="212121"/>
                <w:sz w:val="19"/>
              </w:rPr>
              <w:t>Sexually-acquired cases</w:t>
            </w:r>
          </w:p>
        </w:tc>
        <w:tc>
          <w:tcPr>
            <w:tcW w:type="dxa" w:w="1512"/>
            <w:vAlign w:val="top"/>
          </w:tcPr>
          <w:p>
            <w:pPr>
              <w:spacing w:after="40" w:before="0" w:line="259" w:lineRule="auto"/>
            </w:pPr>
            <w:r>
              <w:rPr>
                <w:rFonts w:ascii="Calibri" w:hAnsi="Calibri"/>
                <w:b w:val="0"/>
                <w:i w:val="0"/>
                <w:color w:val="212121"/>
                <w:sz w:val="19"/>
              </w:rPr>
              <w:t>HIV-negative or virally suppressed on ART</w:t>
            </w:r>
          </w:p>
        </w:tc>
        <w:tc>
          <w:tcPr>
            <w:tcW w:type="dxa" w:w="1512"/>
            <w:vAlign w:val="top"/>
          </w:tcPr>
          <w:p>
            <w:pPr>
              <w:spacing w:after="40" w:before="0" w:line="259" w:lineRule="auto"/>
            </w:pPr>
            <w:r>
              <w:rPr>
                <w:rFonts w:ascii="Calibri" w:hAnsi="Calibri"/>
                <w:b w:val="0"/>
                <w:i w:val="0"/>
                <w:color w:val="212121"/>
                <w:sz w:val="19"/>
              </w:rPr>
              <w:t>Uncontrolled HIV / low CD4</w:t>
            </w:r>
          </w:p>
        </w:tc>
        <w:tc>
          <w:tcPr>
            <w:tcW w:type="dxa" w:w="1468"/>
            <w:vAlign w:val="top"/>
          </w:tcPr>
          <w:p>
            <w:pPr>
              <w:spacing w:after="60" w:line="259" w:lineRule="auto"/>
            </w:pPr>
            <w:r>
              <w:rPr>
                <w:rFonts w:ascii="Calibri" w:hAnsi="Calibri"/>
                <w:b w:val="0"/>
                <w:i w:val="0"/>
                <w:color w:val="212121"/>
                <w:sz w:val="19"/>
              </w:rPr>
              <w:t>~41% of 2022 cases were living with HIV; uncontrolled HIV predicts severe disease</w:t>
            </w:r>
          </w:p>
          <w:p>
            <w:pPr>
              <w:spacing w:after="40" w:line="252" w:lineRule="auto"/>
            </w:pPr>
            <w:hyperlink r:id="rId9">
              <w:r>
                <w:rPr>
                  <w:rFonts w:ascii="Calibri" w:hAnsi="Calibri" w:cs="Calibri"/>
                  <w:sz w:val="18"/>
                  <w:color w:val="1155CC"/>
                  <w:u w:val="single"/>
                </w:rPr>
                <w:t xml:space="preserve">https://en.wikipedia.org/wiki/2022%E2%80%932023_mpox_outbreak</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 nutritional status</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18.5–24.9 kg/m², adequate protein intake</w:t>
            </w:r>
          </w:p>
        </w:tc>
        <w:tc>
          <w:tcPr>
            <w:tcW w:type="dxa" w:w="1512"/>
            <w:vAlign w:val="top"/>
          </w:tcPr>
          <w:p>
            <w:pPr>
              <w:spacing w:after="40" w:before="0" w:line="259" w:lineRule="auto"/>
            </w:pPr>
            <w:r>
              <w:rPr>
                <w:rFonts w:ascii="Calibri" w:hAnsi="Calibri"/>
                <w:b w:val="0"/>
                <w:i w:val="0"/>
                <w:color w:val="212121"/>
                <w:sz w:val="19"/>
              </w:rPr>
              <w:t>Malnutrition / underweight</w:t>
            </w:r>
          </w:p>
        </w:tc>
        <w:tc>
          <w:tcPr>
            <w:tcW w:type="dxa" w:w="1468"/>
            <w:vAlign w:val="top"/>
          </w:tcPr>
          <w:p>
            <w:pPr>
              <w:spacing w:after="40" w:before="0" w:line="259" w:lineRule="auto"/>
            </w:pPr>
            <w:r>
              <w:rPr>
                <w:rFonts w:ascii="Calibri" w:hAnsi="Calibri"/>
                <w:b w:val="0"/>
                <w:i w:val="0"/>
                <w:color w:val="212121"/>
                <w:sz w:val="19"/>
              </w:rPr>
              <w:t>Supports immune response and skin healing; important in children</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Hydration with oral/pharyngeal lesions</w:t>
            </w:r>
          </w:p>
        </w:tc>
        <w:tc>
          <w:tcPr>
            <w:tcW w:type="dxa" w:w="1655"/>
            <w:vAlign w:val="top"/>
          </w:tcPr>
          <w:p>
            <w:pPr>
              <w:spacing w:after="40" w:before="0" w:line="259" w:lineRule="auto"/>
            </w:pPr>
            <w:r>
              <w:rPr>
                <w:rFonts w:ascii="Calibri" w:hAnsi="Calibri"/>
                <w:b w:val="0"/>
                <w:i w:val="0"/>
                <w:color w:val="212121"/>
                <w:sz w:val="19"/>
              </w:rPr>
              <w:t>Cases with odynophagia/dysphagia</w:t>
            </w:r>
          </w:p>
        </w:tc>
        <w:tc>
          <w:tcPr>
            <w:tcW w:type="dxa" w:w="1512"/>
            <w:vAlign w:val="top"/>
          </w:tcPr>
          <w:p>
            <w:pPr>
              <w:spacing w:after="40" w:before="0" w:line="259" w:lineRule="auto"/>
            </w:pPr>
            <w:r>
              <w:rPr>
                <w:rFonts w:ascii="Calibri" w:hAnsi="Calibri"/>
                <w:b w:val="0"/>
                <w:i w:val="0"/>
                <w:color w:val="212121"/>
                <w:sz w:val="19"/>
              </w:rPr>
              <w:t>Maintain oral intake; escalate if unable</w:t>
            </w:r>
          </w:p>
        </w:tc>
        <w:tc>
          <w:tcPr>
            <w:tcW w:type="dxa" w:w="1512"/>
            <w:vAlign w:val="top"/>
          </w:tcPr>
          <w:p>
            <w:pPr>
              <w:spacing w:after="40" w:before="0" w:line="259" w:lineRule="auto"/>
            </w:pPr>
            <w:r>
              <w:rPr>
                <w:rFonts w:ascii="Calibri" w:hAnsi="Calibri"/>
                <w:b w:val="0"/>
                <w:i w:val="0"/>
                <w:color w:val="212121"/>
                <w:sz w:val="19"/>
              </w:rPr>
              <w:t>Reduced intake, signs of dehydration</w:t>
            </w:r>
          </w:p>
        </w:tc>
        <w:tc>
          <w:tcPr>
            <w:tcW w:type="dxa" w:w="1468"/>
            <w:vAlign w:val="top"/>
          </w:tcPr>
          <w:p>
            <w:pPr>
              <w:spacing w:after="60" w:line="259" w:lineRule="auto"/>
            </w:pPr>
            <w:r>
              <w:rPr>
                <w:rFonts w:ascii="Calibri" w:hAnsi="Calibri"/>
                <w:b w:val="0"/>
                <w:i w:val="0"/>
                <w:color w:val="212121"/>
                <w:sz w:val="19"/>
              </w:rPr>
              <w:t>Painful swallowing can limit intake and cause dehydration</w:t>
            </w:r>
          </w:p>
          <w:p>
            <w:pPr>
              <w:spacing w:after="40" w:line="252" w:lineRule="auto"/>
            </w:pPr>
            <w:hyperlink r:id="rId11">
              <w:r>
                <w:rPr>
                  <w:rFonts w:ascii="Calibri" w:hAnsi="Calibri" w:cs="Calibri"/>
                  <w:sz w:val="18"/>
                  <w:color w:val="1155CC"/>
                  <w:u w:val="single"/>
                </w:rPr>
                <w:t xml:space="preserve">https://www.who.int/news-room/fact-sheets/detail/mpox</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MPXV DNA (real-time PCR)</w:t>
            </w:r>
          </w:p>
        </w:tc>
        <w:tc>
          <w:tcPr>
            <w:tcW w:type="dxa" w:w="892"/>
            <w:vAlign w:val="top"/>
          </w:tcPr>
          <w:p>
            <w:pPr>
              <w:spacing w:after="40" w:before="0" w:line="259" w:lineRule="auto"/>
            </w:pPr>
            <w:r>
              <w:rPr>
                <w:rFonts w:ascii="Calibri" w:hAnsi="Calibri"/>
                <w:b w:val="0"/>
                <w:i w:val="0"/>
                <w:color w:val="212121"/>
                <w:sz w:val="16"/>
              </w:rPr>
              <w:t>Lesion swab PCR</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MPXV DNA detected</w:t>
            </w:r>
          </w:p>
        </w:tc>
        <w:tc>
          <w:tcPr>
            <w:tcW w:type="dxa" w:w="1036"/>
            <w:vAlign w:val="top"/>
          </w:tcPr>
          <w:p>
            <w:pPr>
              <w:spacing w:after="40" w:before="0" w:line="259" w:lineRule="auto"/>
            </w:pPr>
            <w:r>
              <w:rPr>
                <w:rFonts w:ascii="Calibri" w:hAnsi="Calibri"/>
                <w:b w:val="0"/>
                <w:i w:val="0"/>
                <w:color w:val="212121"/>
                <w:sz w:val="16"/>
              </w:rPr>
              <w:t>Confirmatory diagnosis of mpox</w:t>
            </w:r>
          </w:p>
        </w:tc>
        <w:tc>
          <w:tcPr>
            <w:tcW w:type="dxa" w:w="1036"/>
            <w:vAlign w:val="top"/>
          </w:tcPr>
          <w:p>
            <w:pPr>
              <w:spacing w:after="40" w:before="0" w:line="259" w:lineRule="auto"/>
            </w:pPr>
            <w:r>
              <w:rPr>
                <w:rFonts w:ascii="Calibri" w:hAnsi="Calibri"/>
                <w:b w:val="0"/>
                <w:i w:val="0"/>
                <w:color w:val="212121"/>
                <w:sz w:val="16"/>
              </w:rPr>
              <w:t>Suspected cases with rash; contacts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Swab lesion roof/fluid/crust; blood not recommended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Orthopoxvirus generic + clade-specific PCR</w:t>
            </w:r>
          </w:p>
        </w:tc>
        <w:tc>
          <w:tcPr>
            <w:tcW w:type="dxa" w:w="892"/>
            <w:vAlign w:val="top"/>
          </w:tcPr>
          <w:p>
            <w:pPr>
              <w:spacing w:after="40" w:before="0" w:line="259" w:lineRule="auto"/>
            </w:pPr>
            <w:r>
              <w:rPr>
                <w:rFonts w:ascii="Calibri" w:hAnsi="Calibri"/>
                <w:b w:val="0"/>
                <w:i w:val="0"/>
                <w:color w:val="212121"/>
                <w:sz w:val="16"/>
              </w:rPr>
              <w:t>Clade typing</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Clade I (incl. Ib) or Clade II detected</w:t>
            </w:r>
          </w:p>
        </w:tc>
        <w:tc>
          <w:tcPr>
            <w:tcW w:type="dxa" w:w="1036"/>
            <w:vAlign w:val="top"/>
          </w:tcPr>
          <w:p>
            <w:pPr>
              <w:spacing w:after="40" w:before="0" w:line="259" w:lineRule="auto"/>
            </w:pPr>
            <w:r>
              <w:rPr>
                <w:rFonts w:ascii="Calibri" w:hAnsi="Calibri"/>
                <w:b w:val="0"/>
                <w:i w:val="0"/>
                <w:color w:val="212121"/>
                <w:sz w:val="16"/>
              </w:rPr>
              <w:t>Distinguishes virulent clade I from clade II; guides prognosis and public-health response</w:t>
            </w:r>
          </w:p>
        </w:tc>
        <w:tc>
          <w:tcPr>
            <w:tcW w:type="dxa" w:w="1036"/>
            <w:vAlign w:val="top"/>
          </w:tcPr>
          <w:p>
            <w:pPr>
              <w:spacing w:after="40" w:before="0" w:line="259" w:lineRule="auto"/>
            </w:pPr>
            <w:r>
              <w:rPr>
                <w:rFonts w:ascii="Calibri" w:hAnsi="Calibri"/>
                <w:b w:val="0"/>
                <w:i w:val="0"/>
                <w:color w:val="212121"/>
                <w:sz w:val="16"/>
              </w:rPr>
              <w:t>Confirmed cases; travellers from outbreak areas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epidemiologic</w:t>
            </w:r>
          </w:p>
        </w:tc>
        <w:tc>
          <w:tcPr>
            <w:tcW w:type="dxa" w:w="720"/>
            <w:vAlign w:val="top"/>
          </w:tcPr>
          <w:p>
            <w:pPr>
              <w:spacing w:after="40" w:before="0" w:line="259" w:lineRule="auto"/>
            </w:pPr>
            <w:r>
              <w:rPr>
                <w:rFonts w:ascii="Calibri" w:hAnsi="Calibri"/>
                <w:b w:val="0"/>
                <w:i w:val="0"/>
                <w:color w:val="212121"/>
                <w:sz w:val="16"/>
              </w:rPr>
              <w:t>Clade I historically more severe than clade II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Hematology</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WBC 4–11 ×10⁹/L; platelets 150–410 ×10⁹/L</w:t>
            </w:r>
          </w:p>
        </w:tc>
        <w:tc>
          <w:tcPr>
            <w:tcW w:type="dxa" w:w="950"/>
            <w:vAlign w:val="top"/>
          </w:tcPr>
          <w:p>
            <w:pPr>
              <w:spacing w:after="40" w:before="0" w:line="259" w:lineRule="auto"/>
            </w:pPr>
            <w:r>
              <w:rPr>
                <w:rFonts w:ascii="Calibri" w:hAnsi="Calibri"/>
                <w:b w:val="0"/>
                <w:i w:val="0"/>
                <w:color w:val="212121"/>
                <w:sz w:val="16"/>
              </w:rPr>
              <w:t>Leukocytosis/lymphocytosis; thrombocytopenia</w:t>
            </w:r>
          </w:p>
        </w:tc>
        <w:tc>
          <w:tcPr>
            <w:tcW w:type="dxa" w:w="1036"/>
            <w:vAlign w:val="top"/>
          </w:tcPr>
          <w:p>
            <w:pPr>
              <w:spacing w:after="40" w:before="0" w:line="259" w:lineRule="auto"/>
            </w:pPr>
            <w:r>
              <w:rPr>
                <w:rFonts w:ascii="Calibri" w:hAnsi="Calibri"/>
                <w:b w:val="0"/>
                <w:i w:val="0"/>
                <w:color w:val="212121"/>
                <w:sz w:val="16"/>
              </w:rPr>
              <w:t>Non-specific; thrombocytopenia may accompany severe disease</w:t>
            </w:r>
          </w:p>
        </w:tc>
        <w:tc>
          <w:tcPr>
            <w:tcW w:type="dxa" w:w="1036"/>
            <w:vAlign w:val="top"/>
          </w:tcPr>
          <w:p>
            <w:pPr>
              <w:spacing w:after="40" w:before="0" w:line="259" w:lineRule="auto"/>
            </w:pPr>
            <w:r>
              <w:rPr>
                <w:rFonts w:ascii="Calibri" w:hAnsi="Calibri"/>
                <w:b w:val="0"/>
                <w:i w:val="0"/>
                <w:color w:val="212121"/>
                <w:sz w:val="16"/>
              </w:rPr>
              <w:t>Hospitalised / severe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Trend to monitor severity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&amp; renal function</w:t>
            </w:r>
          </w:p>
        </w:tc>
        <w:tc>
          <w:tcPr>
            <w:tcW w:type="dxa" w:w="892"/>
            <w:vAlign w:val="top"/>
          </w:tcPr>
          <w:p>
            <w:pPr>
              <w:spacing w:after="40" w:before="0" w:line="259" w:lineRule="auto"/>
            </w:pPr>
            <w:r>
              <w:rPr>
                <w:rFonts w:ascii="Calibri" w:hAnsi="Calibri"/>
                <w:b w:val="0"/>
                <w:i w:val="0"/>
                <w:color w:val="212121"/>
                <w:sz w:val="16"/>
              </w:rPr>
              <w:t>LFT / RFT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Transaminitis; deranged urea/creatinine</w:t>
            </w:r>
          </w:p>
        </w:tc>
        <w:tc>
          <w:tcPr>
            <w:tcW w:type="dxa" w:w="1036"/>
            <w:vAlign w:val="top"/>
          </w:tcPr>
          <w:p>
            <w:pPr>
              <w:spacing w:after="40" w:before="0" w:line="259" w:lineRule="auto"/>
            </w:pPr>
            <w:r>
              <w:rPr>
                <w:rFonts w:ascii="Calibri" w:hAnsi="Calibri"/>
                <w:b w:val="0"/>
                <w:i w:val="0"/>
                <w:color w:val="212121"/>
                <w:sz w:val="16"/>
              </w:rPr>
              <w:t>Marker of severe or systemic disease</w:t>
            </w:r>
          </w:p>
        </w:tc>
        <w:tc>
          <w:tcPr>
            <w:tcW w:type="dxa" w:w="1036"/>
            <w:vAlign w:val="top"/>
          </w:tcPr>
          <w:p>
            <w:pPr>
              <w:spacing w:after="40" w:before="0" w:line="259" w:lineRule="auto"/>
            </w:pPr>
            <w:r>
              <w:rPr>
                <w:rFonts w:ascii="Calibri" w:hAnsi="Calibri"/>
                <w:b w:val="0"/>
                <w:i w:val="0"/>
                <w:color w:val="212121"/>
                <w:sz w:val="16"/>
              </w:rPr>
              <w:t>Severe or immunocompromised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Especially with HIV co-infection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Immunology</w:t>
            </w:r>
          </w:p>
        </w:tc>
        <w:tc>
          <w:tcPr>
            <w:tcW w:type="dxa" w:w="1036"/>
            <w:vAlign w:val="top"/>
          </w:tcPr>
          <w:p>
            <w:pPr>
              <w:spacing w:after="40" w:before="0" w:line="259" w:lineRule="auto"/>
            </w:pPr>
            <w:r>
              <w:rPr>
                <w:rFonts w:ascii="Calibri" w:hAnsi="Calibri"/>
                <w:b w:val="0"/>
                <w:i w:val="0"/>
                <w:color w:val="212121"/>
                <w:sz w:val="16"/>
              </w:rPr>
              <w:t>HIV Ag/Ab status</w:t>
            </w:r>
          </w:p>
        </w:tc>
        <w:tc>
          <w:tcPr>
            <w:tcW w:type="dxa" w:w="892"/>
            <w:vAlign w:val="top"/>
          </w:tcPr>
          <w:p>
            <w:pPr>
              <w:spacing w:after="40" w:before="0" w:line="259" w:lineRule="auto"/>
            </w:pPr>
            <w:r>
              <w:rPr>
                <w:rFonts w:ascii="Calibri" w:hAnsi="Calibri"/>
                <w:b w:val="0"/>
                <w:i w:val="0"/>
                <w:color w:val="212121"/>
                <w:sz w:val="16"/>
              </w:rPr>
              <w:t>HIV test</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Co-infection; uncontrolled HIV predicts severe mpox</w:t>
            </w:r>
          </w:p>
        </w:tc>
        <w:tc>
          <w:tcPr>
            <w:tcW w:type="dxa" w:w="1036"/>
            <w:vAlign w:val="top"/>
          </w:tcPr>
          <w:p>
            <w:pPr>
              <w:spacing w:after="40" w:before="0" w:line="259" w:lineRule="auto"/>
            </w:pPr>
            <w:r>
              <w:rPr>
                <w:rFonts w:ascii="Calibri" w:hAnsi="Calibri"/>
                <w:b w:val="0"/>
                <w:i w:val="0"/>
                <w:color w:val="212121"/>
                <w:sz w:val="16"/>
              </w:rPr>
              <w:t>All sexually-acquired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~41% of 2022 outbreak cases were HIV-positive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STI screen (syphilis, gonorrhoea, chlamydia, HSV)</w:t>
            </w:r>
          </w:p>
        </w:tc>
        <w:tc>
          <w:tcPr>
            <w:tcW w:type="dxa" w:w="892"/>
            <w:vAlign w:val="top"/>
          </w:tcPr>
          <w:p>
            <w:pPr>
              <w:spacing w:after="40" w:before="0" w:line="259" w:lineRule="auto"/>
            </w:pPr>
            <w:r>
              <w:rPr>
                <w:rFonts w:ascii="Calibri" w:hAnsi="Calibri"/>
                <w:b w:val="0"/>
                <w:i w:val="0"/>
                <w:color w:val="212121"/>
                <w:sz w:val="16"/>
              </w:rPr>
              <w:t>STI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Concomitant STI positive</w:t>
            </w:r>
          </w:p>
        </w:tc>
        <w:tc>
          <w:tcPr>
            <w:tcW w:type="dxa" w:w="1036"/>
            <w:vAlign w:val="top"/>
          </w:tcPr>
          <w:p>
            <w:pPr>
              <w:spacing w:after="40" w:before="0" w:line="259" w:lineRule="auto"/>
            </w:pPr>
            <w:r>
              <w:rPr>
                <w:rFonts w:ascii="Calibri" w:hAnsi="Calibri"/>
                <w:b w:val="0"/>
                <w:i w:val="0"/>
                <w:color w:val="212121"/>
                <w:sz w:val="16"/>
              </w:rPr>
              <w:t>Frequent co-infection sharing the sexual route; alters management</w:t>
            </w:r>
          </w:p>
        </w:tc>
        <w:tc>
          <w:tcPr>
            <w:tcW w:type="dxa" w:w="1036"/>
            <w:vAlign w:val="top"/>
          </w:tcPr>
          <w:p>
            <w:pPr>
              <w:spacing w:after="40" w:before="0" w:line="259" w:lineRule="auto"/>
            </w:pPr>
            <w:r>
              <w:rPr>
                <w:rFonts w:ascii="Calibri" w:hAnsi="Calibri"/>
                <w:b w:val="0"/>
                <w:i w:val="0"/>
                <w:color w:val="212121"/>
                <w:sz w:val="16"/>
              </w:rPr>
              <w:t>Sexually-acquired mpox</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~29% had a concomitant STI in 2022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Bacterial culture of lesion/blood</w:t>
            </w:r>
          </w:p>
        </w:tc>
        <w:tc>
          <w:tcPr>
            <w:tcW w:type="dxa" w:w="892"/>
            <w:vAlign w:val="top"/>
          </w:tcPr>
          <w:p>
            <w:pPr>
              <w:spacing w:after="40" w:before="0" w:line="259" w:lineRule="auto"/>
            </w:pPr>
            <w:r>
              <w:rPr>
                <w:rFonts w:ascii="Calibri" w:hAnsi="Calibri"/>
                <w:b w:val="0"/>
                <w:i w:val="0"/>
                <w:color w:val="212121"/>
                <w:sz w:val="16"/>
              </w:rPr>
              <w:t>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Secondary bacterial growth</w:t>
            </w:r>
          </w:p>
        </w:tc>
        <w:tc>
          <w:tcPr>
            <w:tcW w:type="dxa" w:w="1036"/>
            <w:vAlign w:val="top"/>
          </w:tcPr>
          <w:p>
            <w:pPr>
              <w:spacing w:after="40" w:before="0" w:line="259" w:lineRule="auto"/>
            </w:pPr>
            <w:r>
              <w:rPr>
                <w:rFonts w:ascii="Calibri" w:hAnsi="Calibri"/>
                <w:b w:val="0"/>
                <w:i w:val="0"/>
                <w:color w:val="212121"/>
                <w:sz w:val="16"/>
              </w:rPr>
              <w:t>Secondary skin infection or sepsis</w:t>
            </w:r>
          </w:p>
        </w:tc>
        <w:tc>
          <w:tcPr>
            <w:tcW w:type="dxa" w:w="1036"/>
            <w:vAlign w:val="top"/>
          </w:tcPr>
          <w:p>
            <w:pPr>
              <w:spacing w:after="40" w:before="0" w:line="259" w:lineRule="auto"/>
            </w:pPr>
            <w:r>
              <w:rPr>
                <w:rFonts w:ascii="Calibri" w:hAnsi="Calibri"/>
                <w:b w:val="0"/>
                <w:i w:val="0"/>
                <w:color w:val="212121"/>
                <w:sz w:val="16"/>
              </w:rPr>
              <w:t>Ulcerated / severe lesions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targeted antibiotics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Rash + fever + lymphadenopathy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Acute deep-seated rash with fever and swollen nodes</w:t>
            </w:r>
          </w:p>
        </w:tc>
        <w:tc>
          <w:tcPr>
            <w:tcW w:type="dxa" w:w="1036"/>
            <w:vAlign w:val="top"/>
          </w:tcPr>
          <w:p>
            <w:pPr>
              <w:spacing w:after="40" w:before="0" w:line="259" w:lineRule="auto"/>
            </w:pPr>
            <w:r>
              <w:rPr>
                <w:rFonts w:ascii="Calibri" w:hAnsi="Calibri"/>
                <w:b w:val="0"/>
                <w:i w:val="0"/>
                <w:color w:val="212121"/>
                <w:sz w:val="16"/>
              </w:rPr>
              <w:t>Classic mpox syndrome</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Rash may be confined to genital/anal area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&amp; sexual history</w:t>
            </w:r>
          </w:p>
        </w:tc>
        <w:tc>
          <w:tcPr>
            <w:tcW w:type="dxa" w:w="979"/>
            <w:vAlign w:val="top"/>
          </w:tcPr>
          <w:p>
            <w:pPr>
              <w:spacing w:after="40" w:before="0" w:line="259" w:lineRule="auto"/>
            </w:pPr>
            <w:r>
              <w:rPr>
                <w:rFonts w:ascii="Calibri" w:hAnsi="Calibri"/>
                <w:b w:val="0"/>
                <w:i w:val="0"/>
                <w:color w:val="212121"/>
                <w:sz w:val="16"/>
              </w:rPr>
              <w:t>New/multiple partners, contact with a case, travel, animal contact</w:t>
            </w:r>
          </w:p>
        </w:tc>
        <w:tc>
          <w:tcPr>
            <w:tcW w:type="dxa" w:w="950"/>
            <w:vAlign w:val="top"/>
          </w:tcPr>
          <w:p>
            <w:pPr>
              <w:spacing w:after="40" w:before="0" w:line="259" w:lineRule="auto"/>
            </w:pPr>
            <w:r>
              <w:rPr>
                <w:rFonts w:ascii="Calibri" w:hAnsi="Calibri"/>
                <w:b w:val="0"/>
                <w:i w:val="0"/>
                <w:color w:val="212121"/>
                <w:sz w:val="16"/>
              </w:rPr>
              <w:t>No identifiable exposure</w:t>
            </w:r>
          </w:p>
        </w:tc>
        <w:tc>
          <w:tcPr>
            <w:tcW w:type="dxa" w:w="950"/>
            <w:vAlign w:val="top"/>
          </w:tcPr>
          <w:p>
            <w:pPr>
              <w:spacing w:after="40" w:before="0" w:line="259" w:lineRule="auto"/>
            </w:pPr>
            <w:r>
              <w:rPr>
                <w:rFonts w:ascii="Calibri" w:hAnsi="Calibri"/>
                <w:b w:val="0"/>
                <w:i w:val="0"/>
                <w:color w:val="212121"/>
                <w:sz w:val="16"/>
              </w:rPr>
              <w:t>Recent high-risk exposure</w:t>
            </w:r>
          </w:p>
        </w:tc>
        <w:tc>
          <w:tcPr>
            <w:tcW w:type="dxa" w:w="1036"/>
            <w:vAlign w:val="top"/>
          </w:tcPr>
          <w:p>
            <w:pPr>
              <w:spacing w:after="40" w:before="0" w:line="259" w:lineRule="auto"/>
            </w:pPr>
            <w:r>
              <w:rPr>
                <w:rFonts w:ascii="Calibri" w:hAnsi="Calibri"/>
                <w:b w:val="0"/>
                <w:i w:val="0"/>
                <w:color w:val="212121"/>
                <w:sz w:val="16"/>
              </w:rPr>
              <w:t>Establishes the epidemiological link</w:t>
            </w:r>
          </w:p>
        </w:tc>
        <w:tc>
          <w:tcPr>
            <w:tcW w:type="dxa" w:w="1036"/>
            <w:vAlign w:val="top"/>
          </w:tcPr>
          <w:p>
            <w:pPr>
              <w:spacing w:after="40" w:before="0" w:line="259" w:lineRule="auto"/>
            </w:pPr>
            <w:r>
              <w:rPr>
                <w:rFonts w:ascii="Calibri" w:hAnsi="Calibri"/>
                <w:b w:val="0"/>
                <w:i w:val="0"/>
                <w:color w:val="212121"/>
                <w:sz w:val="16"/>
              </w:rPr>
              <w:t>MSM, travellers, contacts, health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Median 5 partners/3 months among 2022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Skin &amp; mucosal exam</w:t>
            </w:r>
          </w:p>
        </w:tc>
        <w:tc>
          <w:tcPr>
            <w:tcW w:type="dxa" w:w="979"/>
            <w:vAlign w:val="top"/>
          </w:tcPr>
          <w:p>
            <w:pPr>
              <w:spacing w:after="40" w:before="0" w:line="259" w:lineRule="auto"/>
            </w:pPr>
            <w:r>
              <w:rPr>
                <w:rFonts w:ascii="Calibri" w:hAnsi="Calibri"/>
                <w:b w:val="0"/>
                <w:i w:val="0"/>
                <w:color w:val="212121"/>
                <w:sz w:val="16"/>
              </w:rPr>
              <w:t>Number, stage and distribution of lesions</w:t>
            </w:r>
          </w:p>
        </w:tc>
        <w:tc>
          <w:tcPr>
            <w:tcW w:type="dxa" w:w="950"/>
            <w:vAlign w:val="top"/>
          </w:tcPr>
          <w:p>
            <w:pPr>
              <w:spacing w:after="40" w:before="0" w:line="259" w:lineRule="auto"/>
            </w:pPr>
            <w:r>
              <w:rPr>
                <w:rFonts w:ascii="Calibri" w:hAnsi="Calibri"/>
                <w:b w:val="0"/>
                <w:i w:val="0"/>
                <w:color w:val="212121"/>
                <w:sz w:val="16"/>
              </w:rPr>
              <w:t>No lesions</w:t>
            </w:r>
          </w:p>
        </w:tc>
        <w:tc>
          <w:tcPr>
            <w:tcW w:type="dxa" w:w="950"/>
            <w:vAlign w:val="top"/>
          </w:tcPr>
          <w:p>
            <w:pPr>
              <w:spacing w:after="40" w:before="0" w:line="259" w:lineRule="auto"/>
            </w:pPr>
            <w:r>
              <w:rPr>
                <w:rFonts w:ascii="Calibri" w:hAnsi="Calibri"/>
                <w:b w:val="0"/>
                <w:i w:val="0"/>
                <w:color w:val="212121"/>
                <w:sz w:val="16"/>
              </w:rPr>
              <w:t>Firm, deep-seated, umbilicated vesiculo-pustules; palms/soles; anogenital/oral</w:t>
            </w:r>
          </w:p>
        </w:tc>
        <w:tc>
          <w:tcPr>
            <w:tcW w:type="dxa" w:w="1036"/>
            <w:vAlign w:val="top"/>
          </w:tcPr>
          <w:p>
            <w:pPr>
              <w:spacing w:after="40" w:before="0" w:line="259" w:lineRule="auto"/>
            </w:pPr>
            <w:r>
              <w:rPr>
                <w:rFonts w:ascii="Calibri" w:hAnsi="Calibri"/>
                <w:b w:val="0"/>
                <w:i w:val="0"/>
                <w:color w:val="212121"/>
                <w:sz w:val="16"/>
              </w:rPr>
              <w:t>Characterises disease; may be few or asynchronous in the 2022 outbreak</w:t>
            </w:r>
          </w:p>
        </w:tc>
        <w:tc>
          <w:tcPr>
            <w:tcW w:type="dxa" w:w="1036"/>
            <w:vAlign w:val="top"/>
          </w:tcPr>
          <w:p>
            <w:pPr>
              <w:spacing w:after="40" w:before="0" w:line="259" w:lineRule="auto"/>
            </w:pPr>
            <w:r>
              <w:rPr>
                <w:rFonts w:ascii="Calibri" w:hAnsi="Calibri"/>
                <w:b w:val="0"/>
                <w:i w:val="0"/>
                <w:color w:val="212121"/>
                <w:sz w:val="16"/>
              </w:rPr>
              <w:t>All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Atypical single-lesion or lesion-free presentations reported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Lymph node exam</w:t>
            </w:r>
          </w:p>
        </w:tc>
        <w:tc>
          <w:tcPr>
            <w:tcW w:type="dxa" w:w="979"/>
            <w:vAlign w:val="top"/>
          </w:tcPr>
          <w:p>
            <w:pPr>
              <w:spacing w:after="40" w:before="0" w:line="259" w:lineRule="auto"/>
            </w:pPr>
            <w:r>
              <w:rPr>
                <w:rFonts w:ascii="Calibri" w:hAnsi="Calibri"/>
                <w:b w:val="0"/>
                <w:i w:val="0"/>
                <w:color w:val="212121"/>
                <w:sz w:val="16"/>
              </w:rPr>
              <w:t>Cervical / inguinal / submandibular nodes</w:t>
            </w:r>
          </w:p>
        </w:tc>
        <w:tc>
          <w:tcPr>
            <w:tcW w:type="dxa" w:w="950"/>
            <w:vAlign w:val="top"/>
          </w:tcPr>
          <w:p>
            <w:pPr>
              <w:spacing w:after="40" w:before="0" w:line="259" w:lineRule="auto"/>
            </w:pPr>
            <w:r>
              <w:rPr>
                <w:rFonts w:ascii="Calibri" w:hAnsi="Calibri"/>
                <w:b w:val="0"/>
                <w:i w:val="0"/>
                <w:color w:val="212121"/>
                <w:sz w:val="16"/>
              </w:rPr>
              <w:t>No lymphadenopathy</w:t>
            </w:r>
          </w:p>
        </w:tc>
        <w:tc>
          <w:tcPr>
            <w:tcW w:type="dxa" w:w="950"/>
            <w:vAlign w:val="top"/>
          </w:tcPr>
          <w:p>
            <w:pPr>
              <w:spacing w:after="40" w:before="0" w:line="259" w:lineRule="auto"/>
            </w:pPr>
            <w:r>
              <w:rPr>
                <w:rFonts w:ascii="Calibri" w:hAnsi="Calibri"/>
                <w:b w:val="0"/>
                <w:i w:val="0"/>
                <w:color w:val="212121"/>
                <w:sz w:val="16"/>
              </w:rPr>
              <w:t>Tender lymphadenopathy</w:t>
            </w:r>
          </w:p>
        </w:tc>
        <w:tc>
          <w:tcPr>
            <w:tcW w:type="dxa" w:w="1036"/>
            <w:vAlign w:val="top"/>
          </w:tcPr>
          <w:p>
            <w:pPr>
              <w:spacing w:after="40" w:before="0" w:line="259" w:lineRule="auto"/>
            </w:pPr>
            <w:r>
              <w:rPr>
                <w:rFonts w:ascii="Calibri" w:hAnsi="Calibri"/>
                <w:b w:val="0"/>
                <w:i w:val="0"/>
                <w:color w:val="212121"/>
                <w:sz w:val="16"/>
              </w:rPr>
              <w:t>Key feature distinguishing mpox from chickenpox and smallpox</w:t>
            </w:r>
          </w:p>
        </w:tc>
        <w:tc>
          <w:tcPr>
            <w:tcW w:type="dxa" w:w="1036"/>
            <w:vAlign w:val="top"/>
          </w:tcPr>
          <w:p>
            <w:pPr>
              <w:spacing w:after="40" w:before="0" w:line="259" w:lineRule="auto"/>
            </w:pPr>
            <w:r>
              <w:rPr>
                <w:rFonts w:ascii="Calibri" w:hAnsi="Calibri"/>
                <w:b w:val="0"/>
                <w:i w:val="0"/>
                <w:color w:val="212121"/>
                <w:sz w:val="16"/>
              </w:rPr>
              <w:t>All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Often precedes or accompanies rash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Anogenital &amp; oral inspection</w:t>
            </w:r>
          </w:p>
        </w:tc>
        <w:tc>
          <w:tcPr>
            <w:tcW w:type="dxa" w:w="979"/>
            <w:vAlign w:val="top"/>
          </w:tcPr>
          <w:p>
            <w:pPr>
              <w:spacing w:after="40" w:before="0" w:line="259" w:lineRule="auto"/>
            </w:pPr>
            <w:r>
              <w:rPr>
                <w:rFonts w:ascii="Calibri" w:hAnsi="Calibri"/>
                <w:b w:val="0"/>
                <w:i w:val="0"/>
                <w:color w:val="212121"/>
                <w:sz w:val="16"/>
              </w:rPr>
              <w:t>Proctitis, penile/genital oedema, tonsillar/pharyngeal lesions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Proctitis, ulcers, oedema</w:t>
            </w:r>
          </w:p>
        </w:tc>
        <w:tc>
          <w:tcPr>
            <w:tcW w:type="dxa" w:w="1036"/>
            <w:vAlign w:val="top"/>
          </w:tcPr>
          <w:p>
            <w:pPr>
              <w:spacing w:after="40" w:before="0" w:line="259" w:lineRule="auto"/>
            </w:pPr>
            <w:r>
              <w:rPr>
                <w:rFonts w:ascii="Calibri" w:hAnsi="Calibri"/>
                <w:b w:val="0"/>
                <w:i w:val="0"/>
                <w:color w:val="212121"/>
                <w:sz w:val="16"/>
              </w:rPr>
              <w:t>Common in sexually transmitted mpox and may be the presenting feature</w:t>
            </w:r>
          </w:p>
        </w:tc>
        <w:tc>
          <w:tcPr>
            <w:tcW w:type="dxa" w:w="1036"/>
            <w:vAlign w:val="top"/>
          </w:tcPr>
          <w:p>
            <w:pPr>
              <w:spacing w:after="40" w:before="0" w:line="259" w:lineRule="auto"/>
            </w:pPr>
            <w:r>
              <w:rPr>
                <w:rFonts w:ascii="Calibri" w:hAnsi="Calibri"/>
                <w:b w:val="0"/>
                <w:i w:val="0"/>
                <w:color w:val="212121"/>
                <w:sz w:val="16"/>
              </w:rPr>
              <w:t>Sexually-acquired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Anal pain/bleeding can present without obvious skin rash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Immune &amp; vaccination status</w:t>
            </w:r>
          </w:p>
        </w:tc>
        <w:tc>
          <w:tcPr>
            <w:tcW w:type="dxa" w:w="979"/>
            <w:vAlign w:val="top"/>
          </w:tcPr>
          <w:p>
            <w:pPr>
              <w:spacing w:after="40" w:before="0" w:line="259" w:lineRule="auto"/>
            </w:pPr>
            <w:r>
              <w:rPr>
                <w:rFonts w:ascii="Calibri" w:hAnsi="Calibri"/>
                <w:b w:val="0"/>
                <w:i w:val="0"/>
                <w:color w:val="212121"/>
                <w:sz w:val="16"/>
              </w:rPr>
              <w:t>HIV status; smallpox / MVA-BN vaccination</w:t>
            </w:r>
          </w:p>
        </w:tc>
        <w:tc>
          <w:tcPr>
            <w:tcW w:type="dxa" w:w="950"/>
            <w:vAlign w:val="top"/>
          </w:tcPr>
          <w:p>
            <w:pPr>
              <w:spacing w:after="40" w:before="0" w:line="259" w:lineRule="auto"/>
            </w:pPr>
            <w:r>
              <w:rPr>
                <w:rFonts w:ascii="Calibri" w:hAnsi="Calibri"/>
                <w:b w:val="0"/>
                <w:i w:val="0"/>
                <w:color w:val="212121"/>
                <w:sz w:val="16"/>
              </w:rPr>
              <w:t>Immunocompetent and vaccinated</w:t>
            </w:r>
          </w:p>
        </w:tc>
        <w:tc>
          <w:tcPr>
            <w:tcW w:type="dxa" w:w="950"/>
            <w:vAlign w:val="top"/>
          </w:tcPr>
          <w:p>
            <w:pPr>
              <w:spacing w:after="40" w:before="0" w:line="259" w:lineRule="auto"/>
            </w:pPr>
            <w:r>
              <w:rPr>
                <w:rFonts w:ascii="Calibri" w:hAnsi="Calibri"/>
                <w:b w:val="0"/>
                <w:i w:val="0"/>
                <w:color w:val="212121"/>
                <w:sz w:val="16"/>
              </w:rPr>
              <w:t>Immunocompromised / unvaccinated</w:t>
            </w:r>
          </w:p>
        </w:tc>
        <w:tc>
          <w:tcPr>
            <w:tcW w:type="dxa" w:w="1036"/>
            <w:vAlign w:val="top"/>
          </w:tcPr>
          <w:p>
            <w:pPr>
              <w:spacing w:after="40" w:before="0" w:line="259" w:lineRule="auto"/>
            </w:pPr>
            <w:r>
              <w:rPr>
                <w:rFonts w:ascii="Calibri" w:hAnsi="Calibri"/>
                <w:b w:val="0"/>
                <w:i w:val="0"/>
                <w:color w:val="212121"/>
                <w:sz w:val="16"/>
              </w:rPr>
              <w:t>Predicts severity and guides prophylaxis</w:t>
            </w:r>
          </w:p>
        </w:tc>
        <w:tc>
          <w:tcPr>
            <w:tcW w:type="dxa" w:w="1036"/>
            <w:vAlign w:val="top"/>
          </w:tcPr>
          <w:p>
            <w:pPr>
              <w:spacing w:after="40" w:before="0" w:line="259" w:lineRule="auto"/>
            </w:pPr>
            <w:r>
              <w:rPr>
                <w:rFonts w:ascii="Calibri" w:hAnsi="Calibri"/>
                <w:b w:val="0"/>
                <w:i w:val="0"/>
                <w:color w:val="212121"/>
                <w:sz w:val="16"/>
              </w:rPr>
              <w:t>Immunocompromised, unvaccinated, born after 1980</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Post-1980 cohorts lack smallpox-derived cross-immunity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initial prodromal symptom, with chills and malaise, preceding or accompanying the rash.</w:t>
            </w:r>
          </w:p>
        </w:tc>
      </w:tr>
      <w:tr>
        <w:trPr>
          <w:cantSplit/>
        </w:trPr>
        <w:tc>
          <w:tcPr>
            <w:tcW w:type="dxa" w:w="2304"/>
            <w:vAlign w:val="top"/>
          </w:tcPr>
          <w:p>
            <w:pPr>
              <w:spacing w:after="40" w:before="0" w:line="259" w:lineRule="auto"/>
            </w:pPr>
            <w:r>
              <w:rPr>
                <w:rFonts w:ascii="Calibri" w:hAnsi="Calibri"/>
                <w:b/>
                <w:i w:val="0"/>
                <w:color w:val="212121"/>
                <w:sz w:val="19"/>
              </w:rPr>
              <w:t>Vesiculo-pustular rash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Deep-seated, firm, well-circumscribed and often umbilicated lesions evolving through macule, papule, vesicle, pustule and scab.</w:t>
            </w:r>
          </w:p>
        </w:tc>
      </w:tr>
      <w:tr>
        <w:trPr>
          <w:cantSplit/>
        </w:trPr>
        <w:tc>
          <w:tcPr>
            <w:tcW w:type="dxa" w:w="2304"/>
            <w:vAlign w:val="top"/>
          </w:tcPr>
          <w:p>
            <w:pPr>
              <w:spacing w:after="40" w:before="0" w:line="259" w:lineRule="auto"/>
            </w:pPr>
            <w:r>
              <w:rPr>
                <w:rFonts w:ascii="Calibri" w:hAnsi="Calibri"/>
                <w:b/>
                <w:i w:val="0"/>
                <w:color w:val="212121"/>
                <w:sz w:val="19"/>
              </w:rPr>
              <w:t>Swollen lymph nodes (lymphadenopathy)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Tender cervical, submandibular or inguinal nodes — a hallmark that helps distinguish mpox from smallpox and chickenpox.</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Part of the systemic prodrome.</w:t>
            </w:r>
          </w:p>
        </w:tc>
      </w:tr>
      <w:tr>
        <w:trPr>
          <w:cantSplit/>
        </w:trPr>
        <w:tc>
          <w:tcPr>
            <w:tcW w:type="dxa" w:w="2304"/>
            <w:vAlign w:val="top"/>
          </w:tcPr>
          <w:p>
            <w:pPr>
              <w:spacing w:after="40" w:before="0" w:line="259" w:lineRule="auto"/>
            </w:pPr>
            <w:r>
              <w:rPr>
                <w:rFonts w:ascii="Calibri" w:hAnsi="Calibri"/>
                <w:b/>
                <w:i w:val="0"/>
                <w:color w:val="212121"/>
                <w:sz w:val="19"/>
              </w:rPr>
              <w:t>Muscle aches and 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Myalgia and back pain are frequent early systemic features.</w:t>
            </w:r>
          </w:p>
        </w:tc>
      </w:tr>
      <w:tr>
        <w:trPr>
          <w:cantSplit/>
        </w:trPr>
        <w:tc>
          <w:tcPr>
            <w:tcW w:type="dxa" w:w="2304"/>
            <w:vAlign w:val="top"/>
          </w:tcPr>
          <w:p>
            <w:pPr>
              <w:spacing w:after="40" w:before="0" w:line="259" w:lineRule="auto"/>
            </w:pPr>
            <w:r>
              <w:rPr>
                <w:rFonts w:ascii="Calibri" w:hAnsi="Calibri"/>
                <w:b/>
                <w:i w:val="0"/>
                <w:color w:val="212121"/>
                <w:sz w:val="19"/>
              </w:rPr>
              <w:t>Fatigue /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Generalised lethargy during the febrile phase.</w:t>
            </w:r>
          </w:p>
        </w:tc>
      </w:tr>
      <w:tr>
        <w:trPr>
          <w:cantSplit/>
        </w:trPr>
        <w:tc>
          <w:tcPr>
            <w:tcW w:type="dxa" w:w="2304"/>
            <w:vAlign w:val="top"/>
          </w:tcPr>
          <w:p>
            <w:pPr>
              <w:spacing w:after="40" w:before="0" w:line="259" w:lineRule="auto"/>
            </w:pPr>
            <w:r>
              <w:rPr>
                <w:rFonts w:ascii="Calibri" w:hAnsi="Calibri"/>
                <w:b/>
                <w:i w:val="0"/>
                <w:color w:val="212121"/>
                <w:sz w:val="19"/>
              </w:rPr>
              <w:t>Sore throat / pharyngitis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May accompany oral/tonsillar lesions and precede skin findings.</w:t>
            </w:r>
          </w:p>
        </w:tc>
      </w:tr>
      <w:tr>
        <w:trPr>
          <w:cantSplit/>
        </w:trPr>
        <w:tc>
          <w:tcPr>
            <w:tcW w:type="dxa" w:w="2304"/>
            <w:vAlign w:val="top"/>
          </w:tcPr>
          <w:p>
            <w:pPr>
              <w:spacing w:after="40" w:before="0" w:line="259" w:lineRule="auto"/>
            </w:pPr>
            <w:r>
              <w:rPr>
                <w:rFonts w:ascii="Calibri" w:hAnsi="Calibri"/>
                <w:b/>
                <w:i w:val="0"/>
                <w:color w:val="212121"/>
                <w:sz w:val="19"/>
              </w:rPr>
              <w:t>Painful anogenital/perianal lesions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where transmission is sexual; may be the presenting complaint.</w:t>
            </w:r>
          </w:p>
        </w:tc>
      </w:tr>
      <w:tr>
        <w:trPr>
          <w:cantSplit/>
        </w:trPr>
        <w:tc>
          <w:tcPr>
            <w:tcW w:type="dxa" w:w="2304"/>
            <w:vAlign w:val="top"/>
          </w:tcPr>
          <w:p>
            <w:pPr>
              <w:spacing w:after="40" w:before="0" w:line="259" w:lineRule="auto"/>
            </w:pPr>
            <w:r>
              <w:rPr>
                <w:rFonts w:ascii="Calibri" w:hAnsi="Calibri"/>
                <w:b/>
                <w:i w:val="0"/>
                <w:color w:val="212121"/>
                <w:sz w:val="19"/>
              </w:rPr>
              <w:t>Anorectal pain / proctitis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Rectal pain, tenesmus and bleeding, notably in the 2022 outbreak, sometimes without widespread rash.</w:t>
            </w:r>
          </w:p>
        </w:tc>
      </w:tr>
      <w:tr>
        <w:trPr>
          <w:cantSplit/>
        </w:trPr>
        <w:tc>
          <w:tcPr>
            <w:tcW w:type="dxa" w:w="2304"/>
            <w:vAlign w:val="top"/>
          </w:tcPr>
          <w:p>
            <w:pPr>
              <w:spacing w:after="40" w:before="0" w:line="259" w:lineRule="auto"/>
            </w:pPr>
            <w:r>
              <w:rPr>
                <w:rFonts w:ascii="Calibri" w:hAnsi="Calibri"/>
                <w:b/>
                <w:i w:val="0"/>
                <w:color w:val="212121"/>
                <w:sz w:val="19"/>
              </w:rPr>
              <w:t>Painful or difficult urination (dysuria)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genital or urethral lesions.</w:t>
            </w:r>
          </w:p>
        </w:tc>
      </w:tr>
      <w:tr>
        <w:trPr>
          <w:cantSplit/>
        </w:trPr>
        <w:tc>
          <w:tcPr>
            <w:tcW w:type="dxa" w:w="2304"/>
            <w:vAlign w:val="top"/>
          </w:tcPr>
          <w:p>
            <w:pPr>
              <w:spacing w:after="40" w:before="0" w:line="259" w:lineRule="auto"/>
            </w:pPr>
            <w:r>
              <w:rPr>
                <w:rFonts w:ascii="Calibri" w:hAnsi="Calibri"/>
                <w:b/>
                <w:i w:val="0"/>
                <w:color w:val="212121"/>
                <w:sz w:val="19"/>
              </w:rPr>
              <w:t>Painful swallowing (odynophagia/dysphagia)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Due to oropharyngeal or tonsillar lesions, risking reduced intake and dehydration.</w:t>
            </w:r>
          </w:p>
        </w:tc>
      </w:tr>
      <w:tr>
        <w:trPr>
          <w:cantSplit/>
        </w:trPr>
        <w:tc>
          <w:tcPr>
            <w:tcW w:type="dxa" w:w="2304"/>
            <w:vAlign w:val="top"/>
          </w:tcPr>
          <w:p>
            <w:pPr>
              <w:spacing w:after="40" w:before="0" w:line="259" w:lineRule="auto"/>
            </w:pPr>
            <w:r>
              <w:rPr>
                <w:rFonts w:ascii="Calibri" w:hAnsi="Calibri"/>
                <w:b/>
                <w:i w:val="0"/>
                <w:color w:val="212121"/>
                <w:sz w:val="19"/>
              </w:rPr>
              <w:t>Rectal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Associated with severe proctitis.</w:t>
            </w:r>
          </w:p>
        </w:tc>
      </w:tr>
      <w:tr>
        <w:trPr>
          <w:cantSplit/>
        </w:trPr>
        <w:tc>
          <w:tcPr>
            <w:tcW w:type="dxa" w:w="2304"/>
            <w:vAlign w:val="top"/>
          </w:tcPr>
          <w:p>
            <w:pPr>
              <w:spacing w:after="40" w:before="0" w:line="259" w:lineRule="auto"/>
            </w:pPr>
            <w:r>
              <w:rPr>
                <w:rFonts w:ascii="Calibri" w:hAnsi="Calibri"/>
                <w:b/>
                <w:i w:val="0"/>
                <w:color w:val="212121"/>
                <w:sz w:val="19"/>
              </w:rPr>
              <w:t>Asymptomatic infection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Some people are infected without developing symptoms, though how commonly is still uncertain.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Deep-seated umbilicated vesiculo-pustules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 well-circumscribed lesions with central umbilication, classically uniform in stage in endemic disease.</w:t>
            </w:r>
          </w:p>
        </w:tc>
      </w:tr>
      <w:tr>
        <w:trPr>
          <w:cantSplit/>
        </w:trPr>
        <w:tc>
          <w:tcPr>
            <w:tcW w:type="dxa" w:w="3456"/>
            <w:vAlign w:val="top"/>
          </w:tcPr>
          <w:p>
            <w:pPr>
              <w:spacing w:after="40" w:before="0" w:line="259" w:lineRule="auto"/>
            </w:pPr>
            <w:r>
              <w:rPr>
                <w:rFonts w:ascii="Calibri" w:hAnsi="Calibri"/>
                <w:b/>
                <w:i w:val="0"/>
                <w:color w:val="212121"/>
                <w:sz w:val="19"/>
              </w:rPr>
              <w:t>Palmar and plantar lesions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Involvement of palms and soles is characteristic and aids clinical recognition.</w:t>
            </w:r>
          </w:p>
        </w:tc>
      </w:tr>
      <w:tr>
        <w:trPr>
          <w:cantSplit/>
        </w:trPr>
        <w:tc>
          <w:tcPr>
            <w:tcW w:type="dxa" w:w="3456"/>
            <w:vAlign w:val="top"/>
          </w:tcPr>
          <w:p>
            <w:pPr>
              <w:spacing w:after="40" w:before="0" w:line="259" w:lineRule="auto"/>
            </w:pPr>
            <w:r>
              <w:rPr>
                <w:rFonts w:ascii="Calibri" w:hAnsi="Calibri"/>
                <w:b/>
                <w:i w:val="0"/>
                <w:color w:val="212121"/>
                <w:sz w:val="19"/>
              </w:rPr>
              <w:t>Tender lymphadenopathy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Cervical, submandibular or inguinal node enlargement — a distinguishing sign of mpox.</w:t>
            </w:r>
          </w:p>
        </w:tc>
      </w:tr>
      <w:tr>
        <w:trPr>
          <w:cantSplit/>
        </w:trPr>
        <w:tc>
          <w:tcPr>
            <w:tcW w:type="dxa" w:w="3456"/>
            <w:vAlign w:val="top"/>
          </w:tcPr>
          <w:p>
            <w:pPr>
              <w:spacing w:after="40" w:before="0" w:line="259" w:lineRule="auto"/>
            </w:pPr>
            <w:r>
              <w:rPr>
                <w:rFonts w:ascii="Calibri" w:hAnsi="Calibri"/>
                <w:b/>
                <w:i w:val="0"/>
                <w:color w:val="212121"/>
                <w:sz w:val="19"/>
              </w:rPr>
              <w:t>Anogenital and oral mucosal lesions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Genital, perianal and oropharyngeal ulcers, frequent in sexually acquired cases.</w:t>
            </w:r>
          </w:p>
        </w:tc>
      </w:tr>
      <w:tr>
        <w:trPr>
          <w:cantSplit/>
        </w:trPr>
        <w:tc>
          <w:tcPr>
            <w:tcW w:type="dxa" w:w="3456"/>
            <w:vAlign w:val="top"/>
          </w:tcPr>
          <w:p>
            <w:pPr>
              <w:spacing w:after="40" w:before="0" w:line="259" w:lineRule="auto"/>
            </w:pPr>
            <w:r>
              <w:rPr>
                <w:rFonts w:ascii="Calibri" w:hAnsi="Calibri"/>
                <w:b/>
                <w:i w:val="0"/>
                <w:color w:val="212121"/>
                <w:sz w:val="19"/>
              </w:rPr>
              <w:t>Pleomorphic / asynchronous lesions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the 2022–23 outbreak lesions were often few and at differing stages, unlike the classic synchronous pattern.</w:t>
            </w:r>
          </w:p>
        </w:tc>
      </w:tr>
      <w:tr>
        <w:trPr>
          <w:cantSplit/>
        </w:trPr>
        <w:tc>
          <w:tcPr>
            <w:tcW w:type="dxa" w:w="3456"/>
            <w:vAlign w:val="top"/>
          </w:tcPr>
          <w:p>
            <w:pPr>
              <w:spacing w:after="40" w:before="0" w:line="259" w:lineRule="auto"/>
            </w:pPr>
            <w:r>
              <w:rPr>
                <w:rFonts w:ascii="Calibri" w:hAnsi="Calibri"/>
                <w:b/>
                <w:i w:val="0"/>
                <w:color w:val="212121"/>
                <w:sz w:val="19"/>
              </w:rPr>
              <w:t>Proctitis on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Perianal ulceration, rectal tenderness and discharge in anogenital disease.</w:t>
            </w:r>
          </w:p>
        </w:tc>
      </w:tr>
      <w:tr>
        <w:trPr>
          <w:cantSplit/>
        </w:trPr>
        <w:tc>
          <w:tcPr>
            <w:tcW w:type="dxa" w:w="3456"/>
            <w:vAlign w:val="top"/>
          </w:tcPr>
          <w:p>
            <w:pPr>
              <w:spacing w:after="40" w:before="0" w:line="259" w:lineRule="auto"/>
            </w:pPr>
            <w:r>
              <w:rPr>
                <w:rFonts w:ascii="Calibri" w:hAnsi="Calibri"/>
                <w:b/>
                <w:i w:val="0"/>
                <w:color w:val="212121"/>
                <w:sz w:val="19"/>
              </w:rPr>
              <w:t>Penile / genital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Marked swelling can occur with dense genital lesion burden.</w:t>
            </w:r>
          </w:p>
        </w:tc>
      </w:tr>
      <w:tr>
        <w:trPr>
          <w:cantSplit/>
        </w:trPr>
        <w:tc>
          <w:tcPr>
            <w:tcW w:type="dxa" w:w="3456"/>
            <w:vAlign w:val="top"/>
          </w:tcPr>
          <w:p>
            <w:pPr>
              <w:spacing w:after="40" w:before="0" w:line="259" w:lineRule="auto"/>
            </w:pPr>
            <w:r>
              <w:rPr>
                <w:rFonts w:ascii="Calibri" w:hAnsi="Calibri"/>
                <w:b/>
                <w:i w:val="0"/>
                <w:color w:val="212121"/>
                <w:sz w:val="19"/>
              </w:rPr>
              <w:t>Secondary bacterial infection / cellulitis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Superinfected lesions with surrounding erythema, warmth or abscess.</w:t>
            </w:r>
          </w:p>
        </w:tc>
      </w:tr>
      <w:tr>
        <w:trPr>
          <w:cantSplit/>
        </w:trPr>
        <w:tc>
          <w:tcPr>
            <w:tcW w:type="dxa" w:w="3456"/>
            <w:vAlign w:val="top"/>
          </w:tcPr>
          <w:p>
            <w:pPr>
              <w:spacing w:after="40" w:before="0" w:line="259" w:lineRule="auto"/>
            </w:pPr>
            <w:r>
              <w:rPr>
                <w:rFonts w:ascii="Calibri" w:hAnsi="Calibri"/>
                <w:b/>
                <w:i w:val="0"/>
                <w:color w:val="212121"/>
                <w:sz w:val="19"/>
              </w:rPr>
              <w:t>Ocular lesions / keratitis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Corneal involvement can threaten vision and requires ophthalmology input.</w:t>
            </w:r>
          </w:p>
        </w:tc>
      </w:tr>
      <w:tr>
        <w:trPr>
          <w:cantSplit/>
        </w:trPr>
        <w:tc>
          <w:tcPr>
            <w:tcW w:type="dxa" w:w="3456"/>
            <w:vAlign w:val="top"/>
          </w:tcPr>
          <w:p>
            <w:pPr>
              <w:spacing w:after="40" w:before="0" w:line="259" w:lineRule="auto"/>
            </w:pPr>
            <w:r>
              <w:rPr>
                <w:rFonts w:ascii="Calibri" w:hAnsi="Calibri"/>
                <w:b/>
                <w:i w:val="0"/>
                <w:color w:val="212121"/>
                <w:sz w:val="19"/>
              </w:rPr>
              <w:t>Residual pitted scarring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Healed lesions frequently leave depressed scars or dyspigmentation.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or confluent painful rash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proctitis with anorectal pain and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Penile/genital oedema and paraphimosis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Odynophagia/dysphagia with reduced intake and dehydration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Tonsillar/retropharyngeal abscess</w:t>
            </w:r>
          </w:p>
        </w:tc>
        <w:tc>
          <w:tcPr>
            <w:tcW w:type="dxa" w:w="2980"/>
            <w:vAlign w:val="top"/>
          </w:tcPr>
          <w:p>
            <w:pPr>
              <w:spacing w:after="40" w:before="0" w:line="259" w:lineRule="auto"/>
            </w:pPr>
            <w:r>
              <w:rPr>
                <w:rFonts w:ascii="Calibri" w:hAnsi="Calibri"/>
                <w:b w:val="0"/>
                <w:i w:val="0"/>
                <w:color w:val="212121"/>
                <w:sz w:val="19"/>
              </w:rPr>
              <w:t>Direct manifestations of the viral infection and heavy lesion burden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skin infection, cellulitis and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Encephalitis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Keratitis with corneal infection and vision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Concomitant sexually transmitted infections</w:t>
            </w:r>
          </w:p>
        </w:tc>
        <w:tc>
          <w:tcPr>
            <w:tcW w:type="dxa" w:w="2980"/>
            <w:vAlign w:val="top"/>
          </w:tcPr>
          <w:p>
            <w:pPr>
              <w:spacing w:after="40" w:before="0" w:line="259" w:lineRule="auto"/>
            </w:pPr>
            <w:r>
              <w:rPr>
                <w:rFonts w:ascii="Calibri" w:hAnsi="Calibri"/>
                <w:b w:val="0"/>
                <w:i w:val="0"/>
                <w:color w:val="212121"/>
                <w:sz w:val="19"/>
              </w:rPr>
              <w:t>Result from bacterial superinfection, systemic spread and immune compromise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scarring and disfigurement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scarring and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Urethral or rectal strictures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(higher risk with clade I, children, pregnancy and uncontrolled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Pregnancy loss, stillbirth or congenital mpox</w:t>
            </w:r>
          </w:p>
        </w:tc>
        <w:tc>
          <w:tcPr>
            <w:tcW w:type="dxa" w:w="2980"/>
            <w:vAlign w:val="top"/>
          </w:tcPr>
          <w:p>
            <w:pPr>
              <w:spacing w:after="40" w:before="0" w:line="259" w:lineRule="auto"/>
            </w:pPr>
            <w:r>
              <w:rPr>
                <w:rFonts w:ascii="Calibri" w:hAnsi="Calibri"/>
                <w:b w:val="0"/>
                <w:i w:val="0"/>
                <w:color w:val="212121"/>
                <w:sz w:val="19"/>
              </w:rPr>
              <w:t>Irreversible sequelae of severe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sexual transmission route and immune interplay; uncontrolled HIV drives severe, necrotising, prolonged mpox with higher mortality.</w:t>
            </w:r>
          </w:p>
          <w:p>
            <w:pPr>
              <w:spacing w:after="40" w:before="0" w:line="259" w:lineRule="auto"/>
            </w:pPr>
            <w:r>
              <w:rPr>
                <w:rFonts w:ascii="Calibri" w:hAnsi="Calibri"/>
                <w:b/>
                <w:i w:val="0"/>
                <w:color w:val="212121"/>
                <w:sz w:val="19"/>
              </w:rPr>
              <w:t>Up to 41%</w:t>
            </w:r>
          </w:p>
        </w:tc>
      </w:tr>
      <w:tr>
        <w:trPr>
          <w:cantSplit/>
        </w:trPr>
        <w:tc>
          <w:tcPr>
            <w:tcW w:type="dxa" w:w="2232"/>
            <w:vAlign w:val="top"/>
          </w:tcPr>
          <w:p>
            <w:pPr>
              <w:spacing w:after="40" w:before="0" w:line="259" w:lineRule="auto"/>
            </w:pPr>
            <w:r>
              <w:rPr>
                <w:rFonts w:ascii="Calibri" w:hAnsi="Calibri"/>
                <w:b/>
                <w:i w:val="0"/>
                <w:color w:val="212121"/>
                <w:sz w:val="19"/>
              </w:rPr>
              <w:t>Concurrent sexually transmitted infections (syphilis, gonorrhoea, chlamydia, HSV)</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 co-infection reflecting the same sexual-contact route; warrants full STI screening.</w:t>
            </w:r>
          </w:p>
          <w:p>
            <w:pPr>
              <w:spacing w:after="40" w:before="0" w:line="259" w:lineRule="auto"/>
            </w:pPr>
            <w:r>
              <w:rPr>
                <w:rFonts w:ascii="Calibri" w:hAnsi="Calibri"/>
                <w:b/>
                <w:i w:val="0"/>
                <w:color w:val="212121"/>
                <w:sz w:val="19"/>
              </w:rPr>
              <w:t>Up to 29%</w:t>
            </w:r>
          </w:p>
        </w:tc>
      </w:tr>
      <w:tr>
        <w:trPr>
          <w:cantSplit/>
        </w:trPr>
        <w:tc>
          <w:tcPr>
            <w:tcW w:type="dxa" w:w="2232"/>
            <w:vAlign w:val="top"/>
          </w:tcPr>
          <w:p>
            <w:pPr>
              <w:spacing w:after="40" w:before="0" w:line="259" w:lineRule="auto"/>
            </w:pPr>
            <w:r>
              <w:rPr>
                <w:rFonts w:ascii="Calibri" w:hAnsi="Calibri"/>
                <w:b/>
                <w:i w:val="0"/>
                <w:color w:val="212121"/>
                <w:sz w:val="19"/>
              </w:rPr>
              <w:t>Secondary bacterial skin infection / cellulitis / abscess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Superinfection of eroded lesions is a leading complication requiring antibiotics and wound care.</w:t>
            </w:r>
          </w:p>
        </w:tc>
      </w:tr>
      <w:tr>
        <w:trPr>
          <w:cantSplit/>
        </w:trPr>
        <w:tc>
          <w:tcPr>
            <w:tcW w:type="dxa" w:w="2232"/>
            <w:vAlign w:val="top"/>
          </w:tcPr>
          <w:p>
            <w:pPr>
              <w:spacing w:after="40" w:before="0" w:line="259" w:lineRule="auto"/>
            </w:pPr>
            <w:r>
              <w:rPr>
                <w:rFonts w:ascii="Calibri" w:hAnsi="Calibri"/>
                <w:b/>
                <w:i w:val="0"/>
                <w:color w:val="212121"/>
                <w:sz w:val="19"/>
              </w:rPr>
              <w:t>Proctitis / severe anorectal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Anogenital mpox commonly causes painful proctitis, a frequent reason for hospitalisation in the 2022 outbreak.</w:t>
            </w:r>
          </w:p>
        </w:tc>
      </w:tr>
      <w:tr>
        <w:trPr>
          <w:cantSplit/>
        </w:trPr>
        <w:tc>
          <w:tcPr>
            <w:tcW w:type="dxa" w:w="2232"/>
            <w:vAlign w:val="top"/>
          </w:tcPr>
          <w:p>
            <w:pPr>
              <w:spacing w:after="40" w:before="0" w:line="259" w:lineRule="auto"/>
            </w:pPr>
            <w:r>
              <w:rPr>
                <w:rFonts w:ascii="Calibri" w:hAnsi="Calibri"/>
                <w:b/>
                <w:i w:val="0"/>
                <w:color w:val="212121"/>
                <w:sz w:val="19"/>
              </w:rPr>
              <w:t>Encephalitis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Rare but serious neuro-invasive complication carrying high morbidity.</w:t>
            </w:r>
          </w:p>
        </w:tc>
      </w:tr>
      <w:tr>
        <w:trPr>
          <w:cantSplit/>
        </w:trPr>
        <w:tc>
          <w:tcPr>
            <w:tcW w:type="dxa" w:w="2232"/>
            <w:vAlign w:val="top"/>
          </w:tcPr>
          <w:p>
            <w:pPr>
              <w:spacing w:after="40" w:before="0" w:line="259" w:lineRule="auto"/>
            </w:pPr>
            <w:r>
              <w:rPr>
                <w:rFonts w:ascii="Calibri" w:hAnsi="Calibri"/>
                <w:b/>
                <w:i w:val="0"/>
                <w:color w:val="212121"/>
                <w:sz w:val="19"/>
              </w:rPr>
              <w:t>Ocular disease / keratitis with vision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Corneal infection from auto-inoculation can cause permanent visual impairment.</w:t>
            </w:r>
          </w:p>
        </w:tc>
      </w:tr>
      <w:tr>
        <w:trPr>
          <w:cantSplit/>
        </w:trPr>
        <w:tc>
          <w:tcPr>
            <w:tcW w:type="dxa" w:w="2232"/>
            <w:vAlign w:val="top"/>
          </w:tcPr>
          <w:p>
            <w:pPr>
              <w:spacing w:after="40" w:before="0" w:line="259" w:lineRule="auto"/>
            </w:pPr>
            <w:r>
              <w:rPr>
                <w:rFonts w:ascii="Calibri" w:hAnsi="Calibri"/>
                <w:b/>
                <w:i w:val="0"/>
                <w:color w:val="212121"/>
                <w:sz w:val="19"/>
              </w:rPr>
              <w:t>Pneumonia / sepsis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bacterial or viral spread in severe or immunocompromised disease.</w:t>
            </w:r>
          </w:p>
        </w:tc>
      </w:tr>
      <w:tr>
        <w:trPr>
          <w:cantSplit/>
        </w:trPr>
        <w:tc>
          <w:tcPr>
            <w:tcW w:type="dxa" w:w="2232"/>
            <w:vAlign w:val="top"/>
          </w:tcPr>
          <w:p>
            <w:pPr>
              <w:spacing w:after="40" w:before="0" w:line="259" w:lineRule="auto"/>
            </w:pPr>
            <w:r>
              <w:rPr>
                <w:rFonts w:ascii="Calibri" w:hAnsi="Calibri"/>
                <w:b/>
                <w:i w:val="0"/>
                <w:color w:val="212121"/>
                <w:sz w:val="19"/>
              </w:rPr>
              <w:t>Depression, anxiety &amp; stigma-related distress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Isolation, painful lesions and stigma commonly provoke psychological distress affecting adherence and care-seeking.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features — unexplained rash (especially genital/anal) with fever and swollen lymph nodes — and seek testing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close skin-to-skin and sexual contact with anyone who has a suspicious rash or confirmed mpox.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infected, isolate at home until all scabs have fallen off and a fresh layer of skin has formed (about 2–4 weeks); cover lesions and wear a mask around 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bedding, towels, clothing, razors or utensils; clean and disinfect surfaces regularly.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post-exposure vaccination (MVA-BN) within 4 days of a known exposure, and pre-exposure vaccination if in a high-risk group.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outbreaks, reduce the number of new/anonymous sexual partners; condoms lower but do not eliminate risk as they do not cover all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to/from outbreak areas should monitor for symptoms for 21 days and avoid contact with sick people and wild animals.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who have sex with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multiple partners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&amp; close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Healthcare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International 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febrile and painful phase to aid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gyms, contact sports and shared equipment while symptomatic to prevent skin-to-skin and fomite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once lesions have healed and energy returns.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lesions covered and clean if any light movement or walking is undertaken indoors.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 gym-goers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protein-adequate diet to support immune function and skin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endemic areas, avoid hunting, handling or eating bushmeat and undercooked wild game.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all meat thoroughly and practise safe food-handling and hand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oral or throat lesions make eating painful, take soft, cool, nutrient-dense foods and maintain 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of/travellers to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Cases with oral lesions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adequate, regular sleep (7–9 hours) to support antiviral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simple analgesia and skin care to reduce pain-related sleep disturbance during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separately from household members while infectious to limit transmission.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stop smoking to preserve mucosal and respiratory defences and support wound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share cigarettes, vapes or hookah mouthpieces, which can transmit the virus.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to those who wish to quit.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Close contacts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particularly in venues where disinhibited high-risk sexual contact may occur.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that impairs judgement about close/sexual contact during outbreaks.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intake supports better immune function and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Attendees of sex-on-premises venues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Cases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stigma and provide non-judgemental, confidential care to encourage testing and disclosure.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people through the isolation period with counselling and virtual social contact.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anxiety, depression and distress, especially in those with painful lesions or prolonged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to peer-support and sexual-health services for holistic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Isolated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facing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MSM community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Prolonged/severe cases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n.wikipedia.org/wiki/2022%E2%80%932023_mpox_outbreak" TargetMode="External"/><Relationship Id="rId10" Type="http://schemas.openxmlformats.org/officeDocument/2006/relationships/hyperlink" Target="https://en.wikipedia.org/wiki/Mpox" TargetMode="External"/><Relationship Id="rId11" Type="http://schemas.openxmlformats.org/officeDocument/2006/relationships/hyperlink" Target="https://www.who.int/news-room/fact-sheets/detail/mpox" TargetMode="External"/><Relationship Id="rId12" Type="http://schemas.openxmlformats.org/officeDocument/2006/relationships/hyperlink" Target="https://www.who.int/news/item/14-08-2024-who-director-general-declares-mpox-outbreak-a-public-health-emergency-of-international-concern" TargetMode="External"/><Relationship Id="rId13" Type="http://schemas.openxmlformats.org/officeDocument/2006/relationships/hyperlink" Target="https://en.wikipedia.org/wiki/2022%E2%80%932023_mpox_outbreak_in_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