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Trichomoniasis</w:t>
      </w:r>
    </w:p>
    <w:p>
      <w:pPr>
        <w:spacing w:before="0" w:after="160"/>
      </w:pPr>
      <w:r>
        <w:rPr>
          <w:rFonts w:ascii="Calibri" w:hAnsi="Calibri"/>
          <w:b/>
          <w:i w:val="0"/>
          <w:color w:val="212121"/>
          <w:sz w:val="22"/>
        </w:rPr>
        <w:t xml:space="preserve">AKA </w:t>
      </w:r>
      <w:r>
        <w:rPr>
          <w:rFonts w:ascii="Calibri" w:hAnsi="Calibri"/>
          <w:b w:val="0"/>
          <w:i w:val="0"/>
          <w:color w:val="212121"/>
          <w:sz w:val="22"/>
        </w:rPr>
        <w:t>i.e., Trichomonas vaginalis infection, “Trich”, trichomonal vaginitis, trichomonal urethritis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Trichomoniasis is a curable sexually transmitted infection (STI) caused by Trichomonas vaginalis, a motile flagellated protozoan parasite that colonises the lower genitourinary tract — the vagina, urethra and paraurethral glands in women, and the urethra and prostate in men. It is the most common non-viral (curable) STI worldwide. The majority of infections are asymptomatic; symptomatic women typically develop a frothy, malodorous vaginitis with vulvar irritation, while a minority of infected men develop urethritis. Beyond local disease, infection facilitates HIV acquisition and transmission and is associated with adverse pregnancy outcomes, making detection and partner treatment a public-health priority.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has no nationwide screening programme for trichomoniasis, but community and clinic studies show a substantial burden in reproductive-age women: 8.5% of young women (15–30 years) in low-income peri-urban/rural Mysore (Karnataka) were culture-positive; 2.1% of gynaecology attendees in rural Bengaluru; among women with reproductive-tract symptoms in Haryana it was the single most common infection detected (24.2% rural, 15.7% urban); and prevalence reached 14.4% among female sex workers in Surat. Globally, WHO estimated 156 million new T. vaginalis infections in people aged 15–49 years in 2020 (about 5.3% of women and 0.6% of men are infected at any time), making trichomoniasis the world’s most common curable STI.</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Clinical features alone are unreliable (they overlap with bacterial vaginosis, candidiasis and other causes of discharge/urethritis), so diagnosis rests on direct detection of T. vaginalis in genital specimens, confirmed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nucleic acid amplification testing (NAAT) of a vaginal swab, endocervical swab or urine — the preferred test, with sensitivity 95.3–100% and specificity 95.2–100% (in men: urine or urethral swab NAAT);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saline wet-mount microscopy of vaginal secretions showing motile, jerky flagellated trichomonads — cheap and immediate but only 44–68% sensitive, and the slide must be read within ≈10–15 minutes while organisms remain motile;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culture (Diamond’s medium / InPouch TV) — sensitivity 44–75%; historically the reference method, still useful where NAAT is unavailable and for antimicrobial-susceptibility testing in refractory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point-of-care antigen tests (e.g., OSOM Trichomonas Rapid Test) — sensitivity 82–95%, specificity 97–100%, giving results in minutes;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findings: vaginal pH &gt; 4.5 with increased polymorphs on microscopy; trichomonads incidentally reported on Pap smears should be confirmed by a specific test where feasible;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(rather than symptom-based testing) is recommended for all women with HIV at entry to care and at least annually, and may be considered for asymptomatic high-risk women and STI-clinic attendees.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Trichomoniasis has no formal staging system; it is classified clinically by symptom status, anatomical site/host and treatment response:</w:t>
      </w:r>
    </w:p>
    <w:p>
      <w:pPr>
        <w:spacing w:before="0" w:after="80"/>
      </w:pPr>
      <w:r>
        <w:rPr>
          <w:rFonts w:ascii="Calibri" w:hAnsi="Calibri"/>
          <w:b w:val="0"/>
          <w:i w:val="0"/>
          <w:color w:val="212121"/>
          <w:sz w:val="21"/>
        </w:rPr>
        <w:t>(1) Asymptomatic infection — the most common form: roughly 70–85% of infected persons have minimal or no symptoms initially (41% of culture-positive young women in the Mysore study were asymptomatic), yet remain infectious; about half of asymptomatic women develop symptoms within 6 months;</w:t>
      </w:r>
    </w:p>
    <w:p>
      <w:pPr>
        <w:spacing w:before="0" w:after="80"/>
      </w:pPr>
      <w:r>
        <w:rPr>
          <w:rFonts w:ascii="Calibri" w:hAnsi="Calibri"/>
          <w:b w:val="0"/>
          <w:i w:val="0"/>
          <w:color w:val="212121"/>
          <w:sz w:val="21"/>
        </w:rPr>
        <w:t>(2) Symptomatic uncomplicated infection — acute vulvovaginitis/cervicitis in women (frothy malodorous discharge, pruritus, dysuria, dyspareunia) and urethritis in men (discharge, dysuria) after an incubation of 4–28 days;</w:t>
      </w:r>
    </w:p>
    <w:p>
      <w:pPr>
        <w:spacing w:before="0" w:after="80"/>
      </w:pPr>
      <w:r>
        <w:rPr>
          <w:rFonts w:ascii="Calibri" w:hAnsi="Calibri"/>
          <w:b w:val="0"/>
          <w:i w:val="0"/>
          <w:color w:val="212121"/>
          <w:sz w:val="21"/>
        </w:rPr>
        <w:t>(3) Persistent, recurrent or resistant infection — recurrence after therapy from reinfection by an untreated partner or true treatment failure; 4–10% of isolates show some metronidazole resistance (tinidazole resistance ≈1%), managed with longer/higher-dose nitroimidazole regimens guided by susceptibility testing;</w:t>
      </w:r>
    </w:p>
    <w:p>
      <w:pPr>
        <w:spacing w:before="0" w:after="80"/>
      </w:pPr>
      <w:r>
        <w:rPr>
          <w:rFonts w:ascii="Calibri" w:hAnsi="Calibri"/>
          <w:b w:val="0"/>
          <w:i w:val="0"/>
          <w:color w:val="212121"/>
          <w:sz w:val="21"/>
        </w:rPr>
        <w:t>(4) Trichomoniasis in pregnancy — infection during gestation, associated with preterm birth, premature rupture of membranes and small-for-gestational-age/low-birth-weight infants; symptomatic pregnant women should be tested and treated at any stage;</w:t>
      </w:r>
    </w:p>
    <w:p>
      <w:pPr>
        <w:spacing w:before="0" w:after="80"/>
      </w:pPr>
      <w:r>
        <w:rPr>
          <w:rFonts w:ascii="Calibri" w:hAnsi="Calibri"/>
          <w:b w:val="0"/>
          <w:i w:val="0"/>
          <w:color w:val="212121"/>
          <w:sz w:val="21"/>
        </w:rPr>
        <w:t>(5) Neonatal/perinatal infection — vertical transmission during vaginal delivery can cause transient vaginal or respiratory infection in newborns.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organism: Trichomonas vaginalis, an anaerobic flagellated protozoan whose only natural host is the human; it adheres to squamous genital epithelium via adhesion proteins, transforms from flagellate to amoeboid form on contact, and damages the mucosa through cytoadherence, secreted proteases and disruption of protective lactobacilli. Incubation is 4–28 days.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Sexual transmission: spread almost exclusively through condomless penile–vaginal intercourse (and vulva-to-vulva contact); transmission is efficient — 14–60% of male partners of infected women and 67–100% of female partners of infected men become infected.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Unprotected sex and partner factors: inconsistent condom use, multiple/concurrent partners, early sexual debut and a partner with other partners are the dominant risk factors; because most infected men are asymptomatic, untreated partners act as a silent reservoir causing reinfection.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Disturbed vaginal ecosystem: loss of lactobacilli and elevated vaginal pH (as in bacterial vaginosis, menses, douching) favour colonisation — concurrent BV raised trichomoniasis odds 8-fold in Indian data.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Host and social factors: low socioeconomic status, lower education, smoking and substance use, sex work, incarceration and co-existing STIs (especially HIV and HSV-2) all increase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Non-sexual transmission (rare): the organism survives briefly in moist environments (damp cloths, shared washing material), so fomite transmission is biologically possible but poorly documented and epidemiologically negligible.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Reproductive-age adults (15–49 years)</w:t>
            </w:r>
          </w:p>
        </w:tc>
        <w:tc>
          <w:tcPr>
            <w:tcW w:type="dxa" w:w="4276"/>
            <w:vAlign w:val="top"/>
          </w:tcPr>
          <w:p>
            <w:pPr>
              <w:spacing w:after="60" w:line="259" w:lineRule="auto"/>
            </w:pPr>
            <w:r>
              <w:rPr>
                <w:rFonts w:ascii="Calibri" w:hAnsi="Calibri"/>
                <w:b w:val="0"/>
                <w:i w:val="0"/>
                <w:color w:val="212121"/>
                <w:sz w:val="19"/>
              </w:rPr>
              <w:t>Peak sexual activity concentrates exposure in this band; nearly all global burden estimates are made for ages 15–49. Infection persists for months if untreated, sustaining a large prevalent pool.</w:t>
            </w:r>
          </w:p>
          <w:p>
            <w:pPr>
              <w:spacing w:after="40" w:before="60" w:line="259" w:lineRule="auto"/>
            </w:pPr>
            <w:r>
              <w:rPr>
                <w:rFonts w:ascii="Calibri" w:hAnsi="Calibri"/>
                <w:b w:val="0"/>
                <w:i w:val="0"/>
                <w:color w:val="212121"/>
                <w:sz w:val="19"/>
              </w:rPr>
              <w:t>WHO estimated 156 million new T. vaginalis infections among people aged 15–49 in 2020 (73.7 million in females, 82.6 million in males).</w:t>
            </w:r>
          </w:p>
          <w:p>
            <w:pPr>
              <w:spacing w:after="40" w:line="252" w:lineRule="auto"/>
            </w:pPr>
            <w:hyperlink r:id="rId9">
              <w:r>
                <w:rPr>
                  <w:rFonts w:ascii="Calibri" w:hAnsi="Calibri" w:cs="Calibri"/>
                  <w:sz w:val="18"/>
                  <w:color w:val="1155CC"/>
                  <w:u w:val="single"/>
                </w:rPr>
                <w:t xml:space="preserve">who.int — trichomoniasis fact sheet</w:t>
              </w:r>
            </w:hyperlink>
          </w:p>
          <w:p>
            <w:pPr>
              <w:spacing w:before="60" w:after="40"/>
            </w:pPr>
            <w:r>
              <w:rPr>
                <w:rFonts w:ascii="Calibri" w:hAnsi="Calibri"/>
                <w:b w:val="0"/>
                <w:i w:val="0"/>
                <w:color w:val="5A5A5A"/>
                <w:sz w:val="18"/>
              </w:rPr>
              <w:t>#sti  #reproductiveage  #curablesti  #protozoan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Women aged 30–54 years (middle-aged)</w:t>
            </w:r>
          </w:p>
        </w:tc>
        <w:tc>
          <w:tcPr>
            <w:tcW w:type="dxa" w:w="4276"/>
            <w:vAlign w:val="top"/>
          </w:tcPr>
          <w:p>
            <w:pPr>
              <w:spacing w:after="60" w:line="259" w:lineRule="auto"/>
            </w:pPr>
            <w:r>
              <w:rPr>
                <w:rFonts w:ascii="Calibri" w:hAnsi="Calibri"/>
                <w:b w:val="0"/>
                <w:i w:val="0"/>
                <w:color w:val="212121"/>
                <w:sz w:val="19"/>
              </w:rPr>
              <w:t>Unlike chlamydia and gonorrhoea, trichomoniasis does not fall away sharply after the twenties; long asymptomatic persistence means prevalence stays high (or rises) into middle age, so older women are easily missed by youth-focused STI services.</w:t>
            </w:r>
          </w:p>
          <w:p>
            <w:pPr>
              <w:spacing w:after="40" w:before="60" w:line="259" w:lineRule="auto"/>
            </w:pPr>
            <w:r>
              <w:rPr>
                <w:rFonts w:ascii="Calibri" w:hAnsi="Calibri"/>
                <w:b w:val="0"/>
                <w:i w:val="0"/>
                <w:color w:val="212121"/>
                <w:sz w:val="19"/>
              </w:rPr>
              <w:t>In GBD 2021, the incidence trend in women aged 30–54 tracked the overall population trend; global age-standardised incidence was ≈4,133 per 100,000 in 2021. US national data also showed infection odds increasing with age.</w:t>
            </w:r>
          </w:p>
          <w:p>
            <w:pPr>
              <w:spacing w:after="40" w:line="252" w:lineRule="auto"/>
            </w:pPr>
            <w:hyperlink r:id="rId10">
              <w:r>
                <w:rPr>
                  <w:rFonts w:ascii="Calibri" w:hAnsi="Calibri" w:cs="Calibri"/>
                  <w:sz w:val="18"/>
                  <w:color w:val="1155CC"/>
                  <w:u w:val="single"/>
                </w:rPr>
                <w:t xml:space="preserve">pubmed — global burden of trichomoniasis 1990–2021</w:t>
              </w:r>
            </w:hyperlink>
          </w:p>
          <w:p>
            <w:pPr>
              <w:spacing w:before="60" w:after="40"/>
            </w:pPr>
            <w:r>
              <w:rPr>
                <w:rFonts w:ascii="Calibri" w:hAnsi="Calibri"/>
                <w:b w:val="0"/>
                <w:i w:val="0"/>
                <w:color w:val="5A5A5A"/>
                <w:sz w:val="18"/>
              </w:rPr>
              <w:t>#middleage  #silentinfection  #missedscreening</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bear almost the entire symptomatic and complication burden — vaginitis, PID risk, HIV facilitation, pregnancy loss and preterm birth — because the parasite persists far longer in the vaginal environment than in the male urethra.</w:t>
            </w:r>
          </w:p>
          <w:p>
            <w:pPr>
              <w:spacing w:after="40" w:before="60" w:line="259" w:lineRule="auto"/>
            </w:pPr>
            <w:r>
              <w:rPr>
                <w:rFonts w:ascii="Calibri" w:hAnsi="Calibri"/>
                <w:b w:val="0"/>
                <w:i w:val="0"/>
                <w:color w:val="212121"/>
                <w:sz w:val="19"/>
              </w:rPr>
              <w:t>GBD 2021: the trichomoniasis DALY rate was 6.45 per 100,000 in women versus 0.23 per 100,000 in men — a ≈28-fold higher disability burden in women; &gt;50% of infected women develop vaginal discharge.</w:t>
            </w:r>
          </w:p>
          <w:p>
            <w:pPr>
              <w:spacing w:after="40" w:line="252" w:lineRule="auto"/>
            </w:pPr>
            <w:hyperlink r:id="rId10">
              <w:r>
                <w:rPr>
                  <w:rFonts w:ascii="Calibri" w:hAnsi="Calibri" w:cs="Calibri"/>
                  <w:sz w:val="18"/>
                  <w:color w:val="1155CC"/>
                  <w:u w:val="single"/>
                </w:rPr>
                <w:t xml:space="preserve">pubmed — GBD trichomoniasis (DALYs by sex)</w:t>
              </w:r>
            </w:hyperlink>
          </w:p>
          <w:p>
            <w:pPr>
              <w:spacing w:before="60" w:after="40"/>
            </w:pPr>
            <w:r>
              <w:rPr>
                <w:rFonts w:ascii="Calibri" w:hAnsi="Calibri"/>
                <w:b w:val="0"/>
                <w:i w:val="0"/>
                <w:color w:val="5A5A5A"/>
                <w:sz w:val="18"/>
              </w:rPr>
              <w:t>#womenshealth  #vaginitis  #dalys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(asymptomatic carriers)</w:t>
            </w:r>
          </w:p>
        </w:tc>
        <w:tc>
          <w:tcPr>
            <w:tcW w:type="dxa" w:w="4276"/>
            <w:vAlign w:val="top"/>
          </w:tcPr>
          <w:p>
            <w:pPr>
              <w:spacing w:after="60" w:line="259" w:lineRule="auto"/>
            </w:pPr>
            <w:r>
              <w:rPr>
                <w:rFonts w:ascii="Calibri" w:hAnsi="Calibri"/>
                <w:b w:val="0"/>
                <w:i w:val="0"/>
                <w:color w:val="212121"/>
                <w:sz w:val="19"/>
              </w:rPr>
              <w:t>About 80–90% of infected men have no symptoms and clear the organism slowly, so they function as an undetected reservoir that reinfects treated female partners; male infection can still cause urethritis, epididymitis and prostatitis.</w:t>
            </w:r>
          </w:p>
          <w:p>
            <w:pPr>
              <w:spacing w:after="40" w:before="60" w:line="259" w:lineRule="auto"/>
            </w:pPr>
            <w:r>
              <w:rPr>
                <w:rFonts w:ascii="Calibri" w:hAnsi="Calibri"/>
                <w:b w:val="0"/>
                <w:i w:val="0"/>
                <w:color w:val="212121"/>
                <w:sz w:val="19"/>
              </w:rPr>
              <w:t>WHO estimated 82.6 million of the 156 million new infections in 2020 occurred in males, yet only ≈10% of infected men have urethritis or urethral discharge.</w:t>
            </w:r>
          </w:p>
          <w:p>
            <w:pPr>
              <w:spacing w:after="40" w:line="252" w:lineRule="auto"/>
            </w:pPr>
            <w:hyperlink r:id="rId9">
              <w:r>
                <w:rPr>
                  <w:rFonts w:ascii="Calibri" w:hAnsi="Calibri" w:cs="Calibri"/>
                  <w:sz w:val="18"/>
                  <w:color w:val="1155CC"/>
                  <w:u w:val="single"/>
                </w:rPr>
                <w:t xml:space="preserve">who.int — trichomoniasis fact sheet</w:t>
              </w:r>
            </w:hyperlink>
          </w:p>
          <w:p>
            <w:pPr>
              <w:spacing w:before="60" w:after="40"/>
            </w:pPr>
            <w:r>
              <w:rPr>
                <w:rFonts w:ascii="Calibri" w:hAnsi="Calibri"/>
                <w:b w:val="0"/>
                <w:i w:val="0"/>
                <w:color w:val="5A5A5A"/>
                <w:sz w:val="18"/>
              </w:rPr>
              <w:t>#silentreservoir  #partnertreatment  #urethritis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low-education groups</w:t>
            </w:r>
          </w:p>
        </w:tc>
        <w:tc>
          <w:tcPr>
            <w:tcW w:type="dxa" w:w="4276"/>
            <w:vAlign w:val="top"/>
          </w:tcPr>
          <w:p>
            <w:pPr>
              <w:spacing w:after="60" w:line="259" w:lineRule="auto"/>
            </w:pPr>
            <w:r>
              <w:rPr>
                <w:rFonts w:ascii="Calibri" w:hAnsi="Calibri"/>
                <w:b w:val="0"/>
                <w:i w:val="0"/>
                <w:color w:val="212121"/>
                <w:sz w:val="19"/>
              </w:rPr>
              <w:t>Poverty, unstable employment and low education limit access to testing and treatment, delay care-seeking for discharge, and cluster with other structural risks (early marriage, partner migration), prolonging infectiousness in the community.</w:t>
            </w:r>
          </w:p>
          <w:p>
            <w:pPr>
              <w:spacing w:after="40" w:before="60" w:line="259" w:lineRule="auto"/>
            </w:pPr>
            <w:r>
              <w:rPr>
                <w:rFonts w:ascii="Calibri" w:hAnsi="Calibri"/>
                <w:b w:val="0"/>
                <w:i w:val="0"/>
                <w:color w:val="212121"/>
                <w:sz w:val="19"/>
              </w:rPr>
              <w:t>Pooled meta-analysis (425 studies): socioeconomic disadvantage (unmarried status, low income, unstable employment) carried a pooled OR of 1.36 (95% CI 1.10–1.66) for T. vaginalis infection; ASIRs are highest in low-SDI regions.</w:t>
            </w:r>
          </w:p>
          <w:p>
            <w:pPr>
              <w:spacing w:after="40" w:line="252" w:lineRule="auto"/>
            </w:pPr>
            <w:hyperlink r:id="rId11">
              <w:r>
                <w:rPr>
                  <w:rFonts w:ascii="Calibri" w:hAnsi="Calibri" w:cs="Calibri"/>
                  <w:sz w:val="18"/>
                  <w:color w:val="1155CC"/>
                  <w:u w:val="single"/>
                </w:rPr>
                <w:t xml:space="preserve">pubmed — Parasite 2025 global meta-analysis</w:t>
              </w:r>
            </w:hyperlink>
          </w:p>
          <w:p>
            <w:pPr>
              <w:spacing w:before="60" w:after="40"/>
            </w:pPr>
            <w:r>
              <w:rPr>
                <w:rFonts w:ascii="Calibri" w:hAnsi="Calibri"/>
                <w:b w:val="0"/>
                <w:i w:val="0"/>
                <w:color w:val="5A5A5A"/>
                <w:sz w:val="18"/>
              </w:rPr>
              <w:t>#healthequity  #lowsdi  #accessbarriers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Rural North Indian women (Haryana belt)</w:t>
            </w:r>
          </w:p>
        </w:tc>
        <w:tc>
          <w:tcPr>
            <w:tcW w:type="dxa" w:w="4276"/>
            <w:vAlign w:val="top"/>
          </w:tcPr>
          <w:p>
            <w:pPr>
              <w:spacing w:after="60" w:line="259" w:lineRule="auto"/>
            </w:pPr>
            <w:r>
              <w:rPr>
                <w:rFonts w:ascii="Calibri" w:hAnsi="Calibri"/>
                <w:b w:val="0"/>
                <w:i w:val="0"/>
                <w:color w:val="212121"/>
                <w:sz w:val="19"/>
              </w:rPr>
              <w:t>Among symptomatic rural women, trichomoniasis is the commonest reproductive-tract infection detected — reflecting limited STI services, low partner treatment and reliance on syndromic management without laboratory confirmation.</w:t>
            </w:r>
          </w:p>
          <w:p>
            <w:pPr>
              <w:spacing w:after="40" w:before="60" w:line="259" w:lineRule="auto"/>
            </w:pPr>
            <w:r>
              <w:rPr>
                <w:rFonts w:ascii="Calibri" w:hAnsi="Calibri"/>
                <w:b w:val="0"/>
                <w:i w:val="0"/>
                <w:color w:val="212121"/>
                <w:sz w:val="19"/>
              </w:rPr>
              <w:t>In Haryana, trichomoniasis was the most prevalent RTI in both rural (24.2%) and urban (15.7%) women examined; overall RTIs affected 28.7% rural vs 16.6% urban women, and mixed T. vaginalis–Candida infection occurred in 6.3% of rural women.</w:t>
            </w:r>
          </w:p>
          <w:p>
            <w:pPr>
              <w:spacing w:after="40" w:line="252" w:lineRule="auto"/>
            </w:pPr>
            <w:hyperlink r:id="rId12">
              <w:r>
                <w:rPr>
                  <w:rFonts w:ascii="Calibri" w:hAnsi="Calibri" w:cs="Calibri"/>
                  <w:sz w:val="18"/>
                  <w:color w:val="1155CC"/>
                  <w:u w:val="single"/>
                </w:rPr>
                <w:t xml:space="preserve">pubmed — urban &amp; rural women of Haryana</w:t>
              </w:r>
            </w:hyperlink>
          </w:p>
          <w:p>
            <w:pPr>
              <w:spacing w:before="60" w:after="40"/>
            </w:pPr>
            <w:r>
              <w:rPr>
                <w:rFonts w:ascii="Calibri" w:hAnsi="Calibri"/>
                <w:b w:val="0"/>
                <w:i w:val="0"/>
                <w:color w:val="5A5A5A"/>
                <w:sz w:val="18"/>
              </w:rPr>
              <w:t>#ruralindia  #rti  #syndromicmanagement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Low-income peri-urban South Indian women (Karnataka)</w:t>
            </w:r>
          </w:p>
        </w:tc>
        <w:tc>
          <w:tcPr>
            <w:tcW w:type="dxa" w:w="4276"/>
            <w:vAlign w:val="top"/>
          </w:tcPr>
          <w:p>
            <w:pPr>
              <w:spacing w:after="60" w:line="259" w:lineRule="auto"/>
            </w:pPr>
            <w:r>
              <w:rPr>
                <w:rFonts w:ascii="Calibri" w:hAnsi="Calibri"/>
                <w:b w:val="0"/>
                <w:i w:val="0"/>
                <w:color w:val="212121"/>
                <w:sz w:val="19"/>
              </w:rPr>
              <w:t>Early marriage and early sexual debut (two-thirds before age 19 in the Mysore cohort), coupled with poor access to aetiological STI testing, sustain community transmission among young married women who are otherwise ‘low-risk’.</w:t>
            </w:r>
          </w:p>
          <w:p>
            <w:pPr>
              <w:spacing w:after="40" w:before="60" w:line="259" w:lineRule="auto"/>
            </w:pPr>
            <w:r>
              <w:rPr>
                <w:rFonts w:ascii="Calibri" w:hAnsi="Calibri"/>
                <w:b w:val="0"/>
                <w:i w:val="0"/>
                <w:color w:val="212121"/>
                <w:sz w:val="19"/>
              </w:rPr>
              <w:t>8.5% (95% CI 6.7–10.5%) of 898 sexually active women aged 15–30 in peri-urban/rural Mysore had culture-positive T. vaginalis; sexual debut before age 15 doubled the odds (OR 2.09). Hospital data from rural Bengaluru found 2.1% culture positivity.</w:t>
            </w:r>
          </w:p>
          <w:p>
            <w:pPr>
              <w:spacing w:after="40" w:line="252" w:lineRule="auto"/>
            </w:pPr>
            <w:hyperlink r:id="rId13">
              <w:r>
                <w:rPr>
                  <w:rFonts w:ascii="Calibri" w:hAnsi="Calibri" w:cs="Calibri"/>
                  <w:sz w:val="18"/>
                  <w:color w:val="1155CC"/>
                  <w:u w:val="single"/>
                </w:rPr>
                <w:t xml:space="preserve">pmc — young reproductive-age women, Mysore</w:t>
              </w:r>
            </w:hyperlink>
          </w:p>
          <w:p>
            <w:pPr>
              <w:spacing w:before="60" w:after="40"/>
            </w:pPr>
            <w:r>
              <w:rPr>
                <w:rFonts w:ascii="Calibri" w:hAnsi="Calibri"/>
                <w:b w:val="0"/>
                <w:i w:val="0"/>
                <w:color w:val="5A5A5A"/>
                <w:sz w:val="18"/>
              </w:rPr>
              <w:t>#karnataka  #earlymarriage  #youngwomen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Global distribution</w:t>
            </w:r>
          </w:p>
        </w:tc>
        <w:tc>
          <w:tcPr>
            <w:tcW w:type="dxa" w:w="2160"/>
            <w:vAlign w:val="top"/>
          </w:tcPr>
          <w:p>
            <w:pPr>
              <w:spacing w:after="40" w:before="0" w:line="259" w:lineRule="auto"/>
            </w:pPr>
            <w:r>
              <w:rPr>
                <w:rFonts w:ascii="Calibri" w:hAnsi="Calibri"/>
                <w:b w:val="0"/>
                <w:i w:val="0"/>
                <w:color w:val="212121"/>
                <w:sz w:val="19"/>
              </w:rPr>
              <w:t>Populations of low-SDI regions / WHO African Region</w:t>
            </w:r>
          </w:p>
        </w:tc>
        <w:tc>
          <w:tcPr>
            <w:tcW w:type="dxa" w:w="4276"/>
            <w:vAlign w:val="top"/>
          </w:tcPr>
          <w:p>
            <w:pPr>
              <w:spacing w:after="60" w:line="259" w:lineRule="auto"/>
            </w:pPr>
            <w:r>
              <w:rPr>
                <w:rFonts w:ascii="Calibri" w:hAnsi="Calibri"/>
                <w:b w:val="0"/>
                <w:i w:val="0"/>
                <w:color w:val="212121"/>
                <w:sz w:val="19"/>
              </w:rPr>
              <w:t>Burden concentrates where STI services, laboratory diagnosis and partner-notification systems are weakest; India’s burden similarly clusters in underserved districts.</w:t>
            </w:r>
          </w:p>
          <w:p>
            <w:pPr>
              <w:spacing w:after="40" w:before="60" w:line="259" w:lineRule="auto"/>
            </w:pPr>
            <w:r>
              <w:rPr>
                <w:rFonts w:ascii="Calibri" w:hAnsi="Calibri"/>
                <w:b w:val="0"/>
                <w:i w:val="0"/>
                <w:color w:val="212121"/>
                <w:sz w:val="19"/>
              </w:rPr>
              <w:t>Approximately one-third of the 156 million new infections in 2020 occurred in the WHO African Region; GBD 2021 age-standardised incidence was highest in low-SDI regions.</w:t>
            </w:r>
          </w:p>
          <w:p>
            <w:pPr>
              <w:spacing w:after="40" w:line="252" w:lineRule="auto"/>
            </w:pPr>
            <w:hyperlink r:id="rId9">
              <w:r>
                <w:rPr>
                  <w:rFonts w:ascii="Calibri" w:hAnsi="Calibri" w:cs="Calibri"/>
                  <w:sz w:val="18"/>
                  <w:color w:val="1155CC"/>
                  <w:u w:val="single"/>
                </w:rPr>
                <w:t xml:space="preserve">who.int — trichomoniasis fact sheet</w:t>
              </w:r>
            </w:hyperlink>
          </w:p>
          <w:p>
            <w:pPr>
              <w:spacing w:before="60" w:after="40"/>
            </w:pPr>
            <w:r>
              <w:rPr>
                <w:rFonts w:ascii="Calibri" w:hAnsi="Calibri"/>
                <w:b w:val="0"/>
                <w:i w:val="0"/>
                <w:color w:val="5A5A5A"/>
                <w:sz w:val="18"/>
              </w:rPr>
              <w:t>#globalburden  #lowsdi  #stiservices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Sexual behaviour</w:t>
            </w:r>
          </w:p>
        </w:tc>
        <w:tc>
          <w:tcPr>
            <w:tcW w:type="dxa" w:w="2160"/>
            <w:vAlign w:val="top"/>
          </w:tcPr>
          <w:p>
            <w:pPr>
              <w:spacing w:after="40" w:before="0" w:line="259" w:lineRule="auto"/>
            </w:pPr>
            <w:r>
              <w:rPr>
                <w:rFonts w:ascii="Calibri" w:hAnsi="Calibri"/>
                <w:b w:val="0"/>
                <w:i w:val="0"/>
                <w:color w:val="212121"/>
                <w:sz w:val="19"/>
              </w:rPr>
              <w:t>Persons with multiple/new/concurrent partners, early sexual debut, inconsistent condom use</w:t>
            </w:r>
          </w:p>
        </w:tc>
        <w:tc>
          <w:tcPr>
            <w:tcW w:type="dxa" w:w="4276"/>
            <w:vAlign w:val="top"/>
          </w:tcPr>
          <w:p>
            <w:pPr>
              <w:spacing w:after="60" w:line="259" w:lineRule="auto"/>
            </w:pPr>
            <w:r>
              <w:rPr>
                <w:rFonts w:ascii="Calibri" w:hAnsi="Calibri"/>
                <w:b w:val="0"/>
                <w:i w:val="0"/>
                <w:color w:val="212121"/>
                <w:sz w:val="19"/>
              </w:rPr>
              <w:t>Each additional partner multiplies exposure probability; condomless sex permits efficient mucosal transmission; early debut lengthens cumulative exposure and correlates with less negotiating power for condom use.</w:t>
            </w:r>
          </w:p>
          <w:p>
            <w:pPr>
              <w:spacing w:after="40" w:before="60" w:line="259" w:lineRule="auto"/>
            </w:pPr>
            <w:r>
              <w:rPr>
                <w:rFonts w:ascii="Calibri" w:hAnsi="Calibri"/>
                <w:b w:val="0"/>
                <w:i w:val="0"/>
                <w:color w:val="212121"/>
                <w:sz w:val="19"/>
              </w:rPr>
              <w:t>US NHANES analysis: greater number of lifetime sex partners independently predicted infection; in Mysore, first intercourse before age 15 carried adjusted OR 2.09 (95% CI 1.09–4.00).</w:t>
            </w:r>
          </w:p>
          <w:p>
            <w:pPr>
              <w:spacing w:after="40" w:line="252" w:lineRule="auto"/>
            </w:pPr>
            <w:hyperlink r:id="rId14">
              <w:r>
                <w:rPr>
                  <w:rFonts w:ascii="Calibri" w:hAnsi="Calibri" w:cs="Calibri"/>
                  <w:sz w:val="18"/>
                  <w:color w:val="1155CC"/>
                  <w:u w:val="single"/>
                </w:rPr>
                <w:t xml:space="preserve">pubmed — NHANES 2001–2004 prevalence &amp; risk factors</w:t>
              </w:r>
            </w:hyperlink>
          </w:p>
          <w:p>
            <w:pPr>
              <w:spacing w:before="60" w:after="40"/>
            </w:pPr>
            <w:r>
              <w:rPr>
                <w:rFonts w:ascii="Calibri" w:hAnsi="Calibri"/>
                <w:b w:val="0"/>
                <w:i w:val="0"/>
                <w:color w:val="5A5A5A"/>
                <w:sz w:val="18"/>
              </w:rPr>
              <w:t>#condomuse  #multiplepartners  #saferSex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High-risk occupation</w:t>
            </w:r>
          </w:p>
        </w:tc>
        <w:tc>
          <w:tcPr>
            <w:tcW w:type="dxa" w:w="2160"/>
            <w:vAlign w:val="top"/>
          </w:tcPr>
          <w:p>
            <w:pPr>
              <w:spacing w:after="40" w:before="0" w:line="259" w:lineRule="auto"/>
            </w:pPr>
            <w:r>
              <w:rPr>
                <w:rFonts w:ascii="Calibri" w:hAnsi="Calibri"/>
                <w:b w:val="0"/>
                <w:i w:val="0"/>
                <w:color w:val="212121"/>
                <w:sz w:val="19"/>
              </w:rPr>
              <w:t>Female sex workers and their clients</w:t>
            </w:r>
          </w:p>
        </w:tc>
        <w:tc>
          <w:tcPr>
            <w:tcW w:type="dxa" w:w="4276"/>
            <w:vAlign w:val="top"/>
          </w:tcPr>
          <w:p>
            <w:pPr>
              <w:spacing w:after="60" w:line="259" w:lineRule="auto"/>
            </w:pPr>
            <w:r>
              <w:rPr>
                <w:rFonts w:ascii="Calibri" w:hAnsi="Calibri"/>
                <w:b w:val="0"/>
                <w:i w:val="0"/>
                <w:color w:val="212121"/>
                <w:sz w:val="19"/>
              </w:rPr>
              <w:t>High partner turnover, inconsistent condom use with regular (non-client) partners, and overlap with HIV networks make sex-work settings a core transmission group; India’s NACO targeted-intervention programme prioritises this group.</w:t>
            </w:r>
          </w:p>
          <w:p>
            <w:pPr>
              <w:spacing w:after="40" w:before="60" w:line="259" w:lineRule="auto"/>
            </w:pPr>
            <w:r>
              <w:rPr>
                <w:rFonts w:ascii="Calibri" w:hAnsi="Calibri"/>
                <w:b w:val="0"/>
                <w:i w:val="0"/>
                <w:color w:val="212121"/>
                <w:sz w:val="19"/>
              </w:rPr>
              <w:t>Among female sex workers in Surat’s red-light area, laboratory-confirmed trichomoniasis prevalence was 14.4% (HIV prevalence 43.2%) despite 94.9% reported condom use with clients.</w:t>
            </w:r>
          </w:p>
          <w:p>
            <w:pPr>
              <w:spacing w:after="40" w:line="252" w:lineRule="auto"/>
            </w:pPr>
            <w:hyperlink r:id="rId15">
              <w:r>
                <w:rPr>
                  <w:rFonts w:ascii="Calibri" w:hAnsi="Calibri" w:cs="Calibri"/>
                  <w:sz w:val="18"/>
                  <w:color w:val="1155CC"/>
                  <w:u w:val="single"/>
                </w:rPr>
                <w:t xml:space="preserve">pubmed — female sex workers, Surat</w:t>
              </w:r>
            </w:hyperlink>
          </w:p>
          <w:p>
            <w:pPr>
              <w:spacing w:before="60" w:after="40"/>
            </w:pPr>
            <w:r>
              <w:rPr>
                <w:rFonts w:ascii="Calibri" w:hAnsi="Calibri"/>
                <w:b w:val="0"/>
                <w:i w:val="0"/>
                <w:color w:val="5A5A5A"/>
                <w:sz w:val="18"/>
              </w:rPr>
              <w:t>#fsw  #targetedintervention  #coretransmitters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(cigarette/bidi users)</w:t>
            </w:r>
          </w:p>
        </w:tc>
        <w:tc>
          <w:tcPr>
            <w:tcW w:type="dxa" w:w="4276"/>
            <w:vAlign w:val="top"/>
          </w:tcPr>
          <w:p>
            <w:pPr>
              <w:spacing w:after="60" w:line="259" w:lineRule="auto"/>
            </w:pPr>
            <w:r>
              <w:rPr>
                <w:rFonts w:ascii="Calibri" w:hAnsi="Calibri"/>
                <w:b w:val="0"/>
                <w:i w:val="0"/>
                <w:color w:val="212121"/>
                <w:sz w:val="19"/>
              </w:rPr>
              <w:t>Smoking is consistently over-represented among infected persons — partly a marker of clustered sexual-risk behaviour and partly via nicotine-related impairment of local mucosal immunity and alteration of vaginal flora.</w:t>
            </w:r>
          </w:p>
          <w:p>
            <w:pPr>
              <w:spacing w:after="40" w:before="60" w:line="259" w:lineRule="auto"/>
            </w:pPr>
            <w:r>
              <w:rPr>
                <w:rFonts w:ascii="Calibri" w:hAnsi="Calibri"/>
                <w:b w:val="0"/>
                <w:i w:val="0"/>
                <w:color w:val="212121"/>
                <w:sz w:val="19"/>
              </w:rPr>
              <w:t>Global meta-analysis: the behavioural risk cluster (smoking, drug use, non-use of condoms) carried a pooled OR of 1.67 (95% CI 1.39–2.0) for T. vaginalis infection.</w:t>
            </w:r>
          </w:p>
          <w:p>
            <w:pPr>
              <w:spacing w:after="40" w:line="252" w:lineRule="auto"/>
            </w:pPr>
            <w:hyperlink r:id="rId11">
              <w:r>
                <w:rPr>
                  <w:rFonts w:ascii="Calibri" w:hAnsi="Calibri" w:cs="Calibri"/>
                  <w:sz w:val="18"/>
                  <w:color w:val="1155CC"/>
                  <w:u w:val="single"/>
                </w:rPr>
                <w:t xml:space="preserve">pubmed — Parasite 2025 global meta-analysis</w:t>
              </w:r>
            </w:hyperlink>
          </w:p>
          <w:p>
            <w:pPr>
              <w:spacing w:before="60" w:after="40"/>
            </w:pPr>
            <w:r>
              <w:rPr>
                <w:rFonts w:ascii="Calibri" w:hAnsi="Calibri"/>
                <w:b w:val="0"/>
                <w:i w:val="0"/>
                <w:color w:val="5A5A5A"/>
                <w:sz w:val="18"/>
              </w:rPr>
              <w:t>#smoking  #bidi  #riskclustering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 substance use</w:t>
            </w:r>
          </w:p>
        </w:tc>
        <w:tc>
          <w:tcPr>
            <w:tcW w:type="dxa" w:w="2160"/>
            <w:vAlign w:val="top"/>
          </w:tcPr>
          <w:p>
            <w:pPr>
              <w:spacing w:after="40" w:before="0" w:line="259" w:lineRule="auto"/>
            </w:pPr>
            <w:r>
              <w:rPr>
                <w:rFonts w:ascii="Calibri" w:hAnsi="Calibri"/>
                <w:b w:val="0"/>
                <w:i w:val="0"/>
                <w:color w:val="212121"/>
                <w:sz w:val="19"/>
              </w:rPr>
              <w:t>Heavy/binge drinkers and recreational drug users</w:t>
            </w:r>
          </w:p>
        </w:tc>
        <w:tc>
          <w:tcPr>
            <w:tcW w:type="dxa" w:w="4276"/>
            <w:vAlign w:val="top"/>
          </w:tcPr>
          <w:p>
            <w:pPr>
              <w:spacing w:after="60" w:line="259" w:lineRule="auto"/>
            </w:pPr>
            <w:r>
              <w:rPr>
                <w:rFonts w:ascii="Calibri" w:hAnsi="Calibri"/>
                <w:b w:val="0"/>
                <w:i w:val="0"/>
                <w:color w:val="212121"/>
                <w:sz w:val="19"/>
              </w:rPr>
              <w:t>Alcohol and drug use impair judgement around condom use and partner selection and cluster with transactional sex; drug use is included in the pooled behavioural risk cluster. Alcohol also interacts with nitroimidazole treatment (disulfiram-like reaction), threatening adherence.</w:t>
            </w:r>
          </w:p>
          <w:p>
            <w:pPr>
              <w:spacing w:after="40" w:before="60" w:line="259" w:lineRule="auto"/>
            </w:pPr>
            <w:r>
              <w:rPr>
                <w:rFonts w:ascii="Calibri" w:hAnsi="Calibri"/>
                <w:b w:val="0"/>
                <w:i w:val="0"/>
                <w:color w:val="212121"/>
                <w:sz w:val="19"/>
              </w:rPr>
              <w:t>Drug use formed part of the behavioural cluster with pooled OR 1.67 (95% CI 1.39–2.0) in the 2025 global meta-analysis.</w:t>
            </w:r>
          </w:p>
          <w:p>
            <w:pPr>
              <w:spacing w:after="40" w:line="252" w:lineRule="auto"/>
            </w:pPr>
            <w:hyperlink r:id="rId11">
              <w:r>
                <w:rPr>
                  <w:rFonts w:ascii="Calibri" w:hAnsi="Calibri" w:cs="Calibri"/>
                  <w:sz w:val="18"/>
                  <w:color w:val="1155CC"/>
                  <w:u w:val="single"/>
                </w:rPr>
                <w:t xml:space="preserve">pubmed — Parasite 2025 global meta-analysis</w:t>
              </w:r>
            </w:hyperlink>
          </w:p>
          <w:p>
            <w:pPr>
              <w:spacing w:before="60" w:after="40"/>
            </w:pPr>
            <w:r>
              <w:rPr>
                <w:rFonts w:ascii="Calibri" w:hAnsi="Calibri"/>
                <w:b w:val="0"/>
                <w:i w:val="0"/>
                <w:color w:val="5A5A5A"/>
                <w:sz w:val="18"/>
              </w:rPr>
              <w:t>#alcohol  #riskysex  #adherence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practice</w:t>
            </w:r>
          </w:p>
        </w:tc>
        <w:tc>
          <w:tcPr>
            <w:tcW w:type="dxa" w:w="2160"/>
            <w:vAlign w:val="top"/>
          </w:tcPr>
          <w:p>
            <w:pPr>
              <w:spacing w:after="40" w:before="0" w:line="259" w:lineRule="auto"/>
            </w:pPr>
            <w:r>
              <w:rPr>
                <w:rFonts w:ascii="Calibri" w:hAnsi="Calibri"/>
                <w:b w:val="0"/>
                <w:i w:val="0"/>
                <w:color w:val="212121"/>
                <w:sz w:val="19"/>
              </w:rPr>
              <w:t>Women who practise vaginal douching</w:t>
            </w:r>
          </w:p>
        </w:tc>
        <w:tc>
          <w:tcPr>
            <w:tcW w:type="dxa" w:w="4276"/>
            <w:vAlign w:val="top"/>
          </w:tcPr>
          <w:p>
            <w:pPr>
              <w:spacing w:after="60" w:line="259" w:lineRule="auto"/>
            </w:pPr>
            <w:r>
              <w:rPr>
                <w:rFonts w:ascii="Calibri" w:hAnsi="Calibri"/>
                <w:b w:val="0"/>
                <w:i w:val="0"/>
                <w:color w:val="212121"/>
                <w:sz w:val="19"/>
              </w:rPr>
              <w:t>Douching strips protective lactobacilli, raises vaginal pH and pushes organisms upward — creating the alkaline, dysbiotic milieu that T. vaginalis prefers; CDC explicitly advises against douching because it increases risk of vaginal infections including trichomoniasis.</w:t>
            </w:r>
          </w:p>
          <w:p>
            <w:pPr>
              <w:spacing w:after="40" w:before="60" w:line="259" w:lineRule="auto"/>
            </w:pPr>
            <w:r>
              <w:rPr>
                <w:rFonts w:ascii="Calibri" w:hAnsi="Calibri"/>
                <w:b w:val="0"/>
                <w:i w:val="0"/>
                <w:color w:val="212121"/>
                <w:sz w:val="19"/>
              </w:rPr>
              <w:t>Douching remained independently associated with T. vaginalis infection in multivariable NHANES analysis of 3,754 US women.</w:t>
            </w:r>
          </w:p>
          <w:p>
            <w:pPr>
              <w:spacing w:after="40" w:line="252" w:lineRule="auto"/>
            </w:pPr>
            <w:hyperlink r:id="rId14">
              <w:r>
                <w:rPr>
                  <w:rFonts w:ascii="Calibri" w:hAnsi="Calibri" w:cs="Calibri"/>
                  <w:sz w:val="18"/>
                  <w:color w:val="1155CC"/>
                  <w:u w:val="single"/>
                </w:rPr>
                <w:t xml:space="preserve">pubmed — NHANES 2001–2004 (douching association)</w:t>
              </w:r>
            </w:hyperlink>
          </w:p>
          <w:p>
            <w:pPr>
              <w:spacing w:before="60" w:after="40"/>
            </w:pPr>
            <w:r>
              <w:rPr>
                <w:rFonts w:ascii="Calibri" w:hAnsi="Calibri"/>
                <w:b w:val="0"/>
                <w:i w:val="0"/>
                <w:color w:val="5A5A5A"/>
                <w:sz w:val="18"/>
              </w:rPr>
              <w:t>#douching  #vaginalflora  #hygienemyths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Undernourished women; iron/micronutrient-deficient diets</w:t>
            </w:r>
          </w:p>
        </w:tc>
        <w:tc>
          <w:tcPr>
            <w:tcW w:type="dxa" w:w="4276"/>
            <w:vAlign w:val="top"/>
          </w:tcPr>
          <w:p>
            <w:pPr>
              <w:spacing w:after="60" w:line="259" w:lineRule="auto"/>
            </w:pPr>
            <w:r>
              <w:rPr>
                <w:rFonts w:ascii="Calibri" w:hAnsi="Calibri"/>
                <w:b w:val="0"/>
                <w:i w:val="0"/>
                <w:color w:val="212121"/>
                <w:sz w:val="19"/>
              </w:rPr>
              <w:t>No specific food causes trichomoniasis, but chronic undernutrition, anaemia and micronutrient deficiency — common in low-income Indian women — impair genital mucosal immunity and epithelial repair, plausibly prolonging infection and worsening inflammation. Fermented curd/probiotic foods that support lactobacilli are, conversely, considered favourable for vaginal ecology (evidence limited).</w:t>
            </w:r>
          </w:p>
          <w:p>
            <w:pPr>
              <w:spacing w:before="60" w:after="40"/>
            </w:pPr>
            <w:r>
              <w:rPr>
                <w:rFonts w:ascii="Calibri" w:hAnsi="Calibri"/>
                <w:b w:val="0"/>
                <w:i w:val="0"/>
                <w:color w:val="5A5A5A"/>
                <w:sz w:val="18"/>
              </w:rPr>
              <w:t>#nutrition  #anaemia  #mucosalimmunity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host genetics</w:t>
            </w:r>
          </w:p>
        </w:tc>
        <w:tc>
          <w:tcPr>
            <w:tcW w:type="dxa" w:w="2160"/>
            <w:vAlign w:val="top"/>
          </w:tcPr>
          <w:p>
            <w:pPr>
              <w:spacing w:after="40" w:before="0" w:line="259" w:lineRule="auto"/>
            </w:pPr>
            <w:r>
              <w:rPr>
                <w:rFonts w:ascii="Calibri" w:hAnsi="Calibri"/>
                <w:b w:val="0"/>
                <w:i w:val="0"/>
                <w:color w:val="212121"/>
                <w:sz w:val="19"/>
              </w:rPr>
              <w:t>No classic familial inheritance; innate-immune and vaginal-microbiome variation</w:t>
            </w:r>
          </w:p>
        </w:tc>
        <w:tc>
          <w:tcPr>
            <w:tcW w:type="dxa" w:w="4276"/>
            <w:vAlign w:val="top"/>
          </w:tcPr>
          <w:p>
            <w:pPr>
              <w:spacing w:after="60" w:line="259" w:lineRule="auto"/>
            </w:pPr>
            <w:r>
              <w:rPr>
                <w:rFonts w:ascii="Calibri" w:hAnsi="Calibri"/>
                <w:b w:val="0"/>
                <w:i w:val="0"/>
                <w:color w:val="212121"/>
                <w:sz w:val="19"/>
              </w:rPr>
              <w:t>Trichomoniasis is acquired, not inherited; no Mendelian susceptibility is described. Inter-individual differences in innate immune response and in the (partly heritable) composition of the vaginal microbiome — lactobacilli-poor community types — modulate susceptibility and symptom expression.</w:t>
            </w:r>
          </w:p>
          <w:p>
            <w:pPr>
              <w:spacing w:before="60" w:after="40"/>
            </w:pPr>
            <w:r>
              <w:rPr>
                <w:rFonts w:ascii="Calibri" w:hAnsi="Calibri"/>
                <w:b w:val="0"/>
                <w:i w:val="0"/>
                <w:color w:val="5A5A5A"/>
                <w:sz w:val="18"/>
              </w:rPr>
              <w:t>#microbiome  #innateimmunity  #noinheritance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infection</w:t>
            </w:r>
          </w:p>
        </w:tc>
        <w:tc>
          <w:tcPr>
            <w:tcW w:type="dxa" w:w="2160"/>
            <w:vAlign w:val="top"/>
          </w:tcPr>
          <w:p>
            <w:pPr>
              <w:spacing w:after="40" w:before="0" w:line="259" w:lineRule="auto"/>
            </w:pPr>
            <w:r>
              <w:rPr>
                <w:rFonts w:ascii="Calibri" w:hAnsi="Calibri"/>
                <w:b w:val="0"/>
                <w:i w:val="0"/>
                <w:color w:val="212121"/>
                <w:sz w:val="19"/>
              </w:rPr>
              <w:t>People living with HIV (especially women)</w:t>
            </w:r>
          </w:p>
        </w:tc>
        <w:tc>
          <w:tcPr>
            <w:tcW w:type="dxa" w:w="4276"/>
            <w:vAlign w:val="top"/>
          </w:tcPr>
          <w:p>
            <w:pPr>
              <w:spacing w:after="60" w:line="259" w:lineRule="auto"/>
            </w:pPr>
            <w:r>
              <w:rPr>
                <w:rFonts w:ascii="Calibri" w:hAnsi="Calibri"/>
                <w:b w:val="0"/>
                <w:i w:val="0"/>
                <w:color w:val="212121"/>
                <w:sz w:val="19"/>
              </w:rPr>
              <w:t>HIV-associated immune dysfunction and shared sexual networks make co-infection very common; trichomonal genital inflammation in turn increases genital HIV shedding and onward transmission — hence CDC recommends screening all women with HIV at entry to care and annually, and treating with the 7-day metronidazole regimen.</w:t>
            </w:r>
          </w:p>
          <w:p>
            <w:pPr>
              <w:spacing w:after="40" w:before="60" w:line="259" w:lineRule="auto"/>
            </w:pPr>
            <w:r>
              <w:rPr>
                <w:rFonts w:ascii="Calibri" w:hAnsi="Calibri"/>
                <w:b w:val="0"/>
                <w:i w:val="0"/>
                <w:color w:val="212121"/>
                <w:sz w:val="19"/>
              </w:rPr>
              <w:t>Up to 53% of women with HIV have T. vaginalis infection; T. vaginalis is linked to a 1.5-fold increased risk of HIV acquisition.</w:t>
            </w:r>
          </w:p>
          <w:p>
            <w:pPr>
              <w:spacing w:after="40" w:line="252" w:lineRule="auto"/>
            </w:pPr>
            <w:hyperlink r:id="rId16">
              <w:r>
                <w:rPr>
                  <w:rFonts w:ascii="Calibri" w:hAnsi="Calibri" w:cs="Calibri"/>
                  <w:sz w:val="18"/>
                  <w:color w:val="1155CC"/>
                  <w:u w:val="single"/>
                </w:rPr>
                <w:t xml:space="preserve">cdc.gov — STI treatment guidelines 2021, trichomoniasis</w:t>
              </w:r>
            </w:hyperlink>
          </w:p>
          <w:p>
            <w:pPr>
              <w:spacing w:before="60" w:after="40"/>
            </w:pPr>
            <w:r>
              <w:rPr>
                <w:rFonts w:ascii="Calibri" w:hAnsi="Calibri"/>
                <w:b w:val="0"/>
                <w:i w:val="0"/>
                <w:color w:val="5A5A5A"/>
                <w:sz w:val="18"/>
              </w:rPr>
              <w:t>#hiv  #coinfection  #annualscreening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Bacterial vaginosis</w:t>
            </w:r>
          </w:p>
        </w:tc>
        <w:tc>
          <w:tcPr>
            <w:tcW w:type="dxa" w:w="2160"/>
            <w:vAlign w:val="top"/>
          </w:tcPr>
          <w:p>
            <w:pPr>
              <w:spacing w:after="40" w:before="0" w:line="259" w:lineRule="auto"/>
            </w:pPr>
            <w:r>
              <w:rPr>
                <w:rFonts w:ascii="Calibri" w:hAnsi="Calibri"/>
                <w:b w:val="0"/>
                <w:i w:val="0"/>
                <w:color w:val="212121"/>
                <w:sz w:val="19"/>
              </w:rPr>
              <w:t>Women with BV / lactobacilli-depleted vaginal flora</w:t>
            </w:r>
          </w:p>
        </w:tc>
        <w:tc>
          <w:tcPr>
            <w:tcW w:type="dxa" w:w="4276"/>
            <w:vAlign w:val="top"/>
          </w:tcPr>
          <w:p>
            <w:pPr>
              <w:spacing w:after="60" w:line="259" w:lineRule="auto"/>
            </w:pPr>
            <w:r>
              <w:rPr>
                <w:rFonts w:ascii="Calibri" w:hAnsi="Calibri"/>
                <w:b w:val="0"/>
                <w:i w:val="0"/>
                <w:color w:val="212121"/>
                <w:sz w:val="19"/>
              </w:rPr>
              <w:t>BV’s alkaline, anaerobe-dominant environment strongly favours T. vaginalis colonisation, and the two conditions perpetuate each other’s dysbiosis — the strongest single correlate in Indian community data.</w:t>
            </w:r>
          </w:p>
          <w:p>
            <w:pPr>
              <w:spacing w:after="40" w:before="60" w:line="259" w:lineRule="auto"/>
            </w:pPr>
            <w:r>
              <w:rPr>
                <w:rFonts w:ascii="Calibri" w:hAnsi="Calibri"/>
                <w:b w:val="0"/>
                <w:i w:val="0"/>
                <w:color w:val="212121"/>
                <w:sz w:val="19"/>
              </w:rPr>
              <w:t>Concurrent bacterial vaginosis carried adjusted OR 8.21 (95% CI 4.30–15.66) for trichomoniasis among young women in Mysore; vaginal candidiasis (OR 2.40) and HSV-2 seropositivity (OR 3.44) were also associated.</w:t>
            </w:r>
          </w:p>
          <w:p>
            <w:pPr>
              <w:spacing w:after="40" w:line="252" w:lineRule="auto"/>
            </w:pPr>
            <w:hyperlink r:id="rId13">
              <w:r>
                <w:rPr>
                  <w:rFonts w:ascii="Calibri" w:hAnsi="Calibri" w:cs="Calibri"/>
                  <w:sz w:val="18"/>
                  <w:color w:val="1155CC"/>
                  <w:u w:val="single"/>
                </w:rPr>
                <w:t xml:space="preserve">pmc — Mysore study (BV association)</w:t>
              </w:r>
            </w:hyperlink>
          </w:p>
          <w:p>
            <w:pPr>
              <w:spacing w:before="60" w:after="40"/>
            </w:pPr>
            <w:r>
              <w:rPr>
                <w:rFonts w:ascii="Calibri" w:hAnsi="Calibri"/>
                <w:b w:val="0"/>
                <w:i w:val="0"/>
                <w:color w:val="5A5A5A"/>
                <w:sz w:val="18"/>
              </w:rPr>
              <w:t>#bacterialvaginosis  #dysbiosis  #vaginalpH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Other sexually transmitted infections</w:t>
            </w:r>
          </w:p>
        </w:tc>
        <w:tc>
          <w:tcPr>
            <w:tcW w:type="dxa" w:w="2160"/>
            <w:vAlign w:val="top"/>
          </w:tcPr>
          <w:p>
            <w:pPr>
              <w:spacing w:after="40" w:before="0" w:line="259" w:lineRule="auto"/>
            </w:pPr>
            <w:r>
              <w:rPr>
                <w:rFonts w:ascii="Calibri" w:hAnsi="Calibri"/>
                <w:b w:val="0"/>
                <w:i w:val="0"/>
                <w:color w:val="212121"/>
                <w:sz w:val="19"/>
              </w:rPr>
              <w:t>Persons with chlamydia, gonorrhoea, HSV-2 or syphilis</w:t>
            </w:r>
          </w:p>
        </w:tc>
        <w:tc>
          <w:tcPr>
            <w:tcW w:type="dxa" w:w="4276"/>
            <w:vAlign w:val="top"/>
          </w:tcPr>
          <w:p>
            <w:pPr>
              <w:spacing w:after="60" w:line="259" w:lineRule="auto"/>
            </w:pPr>
            <w:r>
              <w:rPr>
                <w:rFonts w:ascii="Calibri" w:hAnsi="Calibri"/>
                <w:b w:val="0"/>
                <w:i w:val="0"/>
                <w:color w:val="212121"/>
                <w:sz w:val="19"/>
              </w:rPr>
              <w:t>Shared transmission route and networks mean one STI predicts another; co-existing ulcerative/inflammatory STIs also disrupt mucosal defences, easing trichomonal invasion — every trichomoniasis diagnosis should trigger a full STI/HIV screen.</w:t>
            </w:r>
          </w:p>
          <w:p>
            <w:pPr>
              <w:spacing w:after="40" w:before="60" w:line="259" w:lineRule="auto"/>
            </w:pPr>
            <w:r>
              <w:rPr>
                <w:rFonts w:ascii="Calibri" w:hAnsi="Calibri"/>
                <w:b w:val="0"/>
                <w:i w:val="0"/>
                <w:color w:val="212121"/>
                <w:sz w:val="19"/>
              </w:rPr>
              <w:t>Pooled OR 2.01 (95% CI 1.48–2.72) for T. vaginalis among people with other STIs (HIV, HSV, chlamydia) in the 2025 global meta-analysis.</w:t>
            </w:r>
          </w:p>
          <w:p>
            <w:pPr>
              <w:spacing w:after="40" w:line="252" w:lineRule="auto"/>
            </w:pPr>
            <w:hyperlink r:id="rId11">
              <w:r>
                <w:rPr>
                  <w:rFonts w:ascii="Calibri" w:hAnsi="Calibri" w:cs="Calibri"/>
                  <w:sz w:val="18"/>
                  <w:color w:val="1155CC"/>
                  <w:u w:val="single"/>
                </w:rPr>
                <w:t xml:space="preserve">pubmed — Parasite 2025 (co-STI odds)</w:t>
              </w:r>
            </w:hyperlink>
          </w:p>
          <w:p>
            <w:pPr>
              <w:spacing w:before="60" w:after="40"/>
            </w:pPr>
            <w:r>
              <w:rPr>
                <w:rFonts w:ascii="Calibri" w:hAnsi="Calibri"/>
                <w:b w:val="0"/>
                <w:i w:val="0"/>
                <w:color w:val="5A5A5A"/>
                <w:sz w:val="18"/>
              </w:rPr>
              <w:t>#coinfection  #stiscreen  #sharednetworks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(all trimesters)</w:t>
            </w:r>
          </w:p>
        </w:tc>
        <w:tc>
          <w:tcPr>
            <w:tcW w:type="dxa" w:w="4276"/>
            <w:vAlign w:val="top"/>
          </w:tcPr>
          <w:p>
            <w:pPr>
              <w:spacing w:after="60" w:line="259" w:lineRule="auto"/>
            </w:pPr>
            <w:r>
              <w:rPr>
                <w:rFonts w:ascii="Calibri" w:hAnsi="Calibri"/>
                <w:b w:val="0"/>
                <w:i w:val="0"/>
                <w:color w:val="212121"/>
                <w:sz w:val="19"/>
              </w:rPr>
              <w:t>Pregnancy does not increase acquisition per se, but infection during gestation carries measurable fetal risk (preterm birth, membrane rupture, growth restriction) and can transmit to the newborn during delivery — symptomatic pregnant women should be tested and treated at any stage; metronidazole poses low fetal risk.</w:t>
            </w:r>
          </w:p>
          <w:p>
            <w:pPr>
              <w:spacing w:after="40" w:before="60" w:line="259" w:lineRule="auto"/>
            </w:pPr>
            <w:r>
              <w:rPr>
                <w:rFonts w:ascii="Calibri" w:hAnsi="Calibri"/>
                <w:b w:val="0"/>
                <w:i w:val="0"/>
                <w:color w:val="212121"/>
                <w:sz w:val="19"/>
              </w:rPr>
              <w:t>Meta-analysis (11 studies, n ≈ 81,000): T. vaginalis in pregnancy raised risk of preterm birth (RR 1.42; 95% CI 1.15–1.75), preterm premature rupture of membranes (RR 1.41) and small-for-gestational-age infants (RR 1.51).</w:t>
            </w:r>
          </w:p>
          <w:p>
            <w:pPr>
              <w:spacing w:after="40" w:line="252" w:lineRule="auto"/>
            </w:pPr>
            <w:hyperlink r:id="rId17">
              <w:r>
                <w:rPr>
                  <w:rFonts w:ascii="Calibri" w:hAnsi="Calibri" w:cs="Calibri"/>
                  <w:sz w:val="18"/>
                  <w:color w:val="1155CC"/>
                  <w:u w:val="single"/>
                </w:rPr>
                <w:t xml:space="preserve">pubmed — perinatal morbidity meta-analysis (Sex Transm Dis 2014)</w:t>
              </w:r>
            </w:hyperlink>
          </w:p>
          <w:p>
            <w:pPr>
              <w:spacing w:before="60" w:after="40"/>
            </w:pPr>
            <w:r>
              <w:rPr>
                <w:rFonts w:ascii="Calibri" w:hAnsi="Calibri"/>
                <w:b w:val="0"/>
                <w:i w:val="0"/>
                <w:color w:val="5A5A5A"/>
                <w:sz w:val="18"/>
              </w:rPr>
              <w:t>#pregnancy  #pretermbirth  #antenatal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evidence links exercise levels to T. vaginalis acquisition; regular moderate activity supports systemic immune competence only indirectly. Sweaty, occlusive sportswear left damp is a theoretical (unproven) comfort/hygiene issue, not a transmission route.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dietary cause is established. Balanced nutrition and correction of anaemia/micronutrient deficits support mucosal immunity and healing; curd/probiotic foods that favour lactobacilli are plausibly protective for vaginal ecology, but trial evidence is limited.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association demonstrated; chronic sleep deprivation impairs cellular immunity and may prolong mucosal infections generally. Relevant mainly to recovery and co-existing HIV care.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repeatedly over-represented in infected groups: the pooled behavioural cluster including smoking carried OR 1.67 (95% CI 1.39–2.0) in a 2025 meta-analysis of 425 studies — a mix of risk-behaviour clustering and impaired local mucosal defence.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misuse drives condomless sex and partner concurrency, and heavy use marks higher STI prevalence in Indian clinic populations. During treatment, alcohol is traditionally avoided with metronidazole (and for 72 h after tinidazole) because of disulfiram-like reactions — a direct treatment interaction.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Psychosocial stress, depression and substance-use disorders cluster with sexual-risk behaviour and reduce care-seeking; conversely an STI diagnosis commonly provokes anxiety, guilt and relationship conflict, so non-judgemental counselling improves adherence and partner notification.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Drinking-water intake is irrelevant to acquisition. The organism can survive briefly outside the host in moist environments (damp cloths/towels), which underlies the rare, poorly documented fomite route — an argument for not sharing damp washing material.</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documented association between caffeine/coffee/tea intake and T. vaginalis infection or treatment outcome.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Vaginal douching is independently associated with trichomoniasis (NHANES multivariable analysis) and is explicitly discouraged by CDC because it disturbs protective flora and raises infection risk; menstrual hygiene and not sharing damp towels/undergarments are additional sensible measures. Genital hygiene does NOT substitute for condom use.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Condomless intercourse, multiple/new/concurrent partners, an untreated sexual partner (reinfection), sex work and co-existing STIs are the decisive drivers; consistent and correct condom use is the best prevention, and simultaneous partner treatment with ≈7 days’ abstinence prevents ping-pong reinfection.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Condom use (proportion of sex acts protected)</w:t>
            </w:r>
          </w:p>
        </w:tc>
        <w:tc>
          <w:tcPr>
            <w:tcW w:type="dxa" w:w="1655"/>
            <w:vAlign w:val="top"/>
          </w:tcPr>
          <w:p>
            <w:pPr>
              <w:spacing w:after="40" w:before="0" w:line="259" w:lineRule="auto"/>
            </w:pPr>
            <w:r>
              <w:rPr>
                <w:rFonts w:ascii="Calibri" w:hAnsi="Calibri"/>
                <w:b w:val="0"/>
                <w:i w:val="0"/>
                <w:color w:val="212121"/>
                <w:sz w:val="19"/>
              </w:rPr>
              <w:t>Sexually active adults</w:t>
            </w:r>
          </w:p>
        </w:tc>
        <w:tc>
          <w:tcPr>
            <w:tcW w:type="dxa" w:w="1512"/>
            <w:vAlign w:val="top"/>
          </w:tcPr>
          <w:p>
            <w:pPr>
              <w:spacing w:after="40" w:before="0" w:line="259" w:lineRule="auto"/>
            </w:pPr>
            <w:r>
              <w:rPr>
                <w:rFonts w:ascii="Calibri" w:hAnsi="Calibri"/>
                <w:b w:val="0"/>
                <w:i w:val="0"/>
                <w:color w:val="212121"/>
                <w:sz w:val="19"/>
              </w:rPr>
              <w:t>100% — consistent and correct use (external or internal condoms)</w:t>
            </w:r>
          </w:p>
        </w:tc>
        <w:tc>
          <w:tcPr>
            <w:tcW w:type="dxa" w:w="1512"/>
            <w:vAlign w:val="top"/>
          </w:tcPr>
          <w:p>
            <w:pPr>
              <w:spacing w:after="40" w:before="0" w:line="259" w:lineRule="auto"/>
            </w:pPr>
            <w:r>
              <w:rPr>
                <w:rFonts w:ascii="Calibri" w:hAnsi="Calibri"/>
                <w:b w:val="0"/>
                <w:i w:val="0"/>
                <w:color w:val="212121"/>
                <w:sz w:val="19"/>
              </w:rPr>
              <w:t>Any condomless sex with a non-monogamous/untested partner</w:t>
            </w:r>
          </w:p>
        </w:tc>
        <w:tc>
          <w:tcPr>
            <w:tcW w:type="dxa" w:w="1468"/>
            <w:vAlign w:val="top"/>
          </w:tcPr>
          <w:p>
            <w:pPr>
              <w:spacing w:after="60" w:line="259" w:lineRule="auto"/>
            </w:pPr>
            <w:r>
              <w:rPr>
                <w:rFonts w:ascii="Calibri" w:hAnsi="Calibri"/>
                <w:b w:val="0"/>
                <w:i w:val="0"/>
                <w:color w:val="212121"/>
                <w:sz w:val="19"/>
              </w:rPr>
              <w:t>CDC: consistent, correct condom use is the best prevention for genital trichomoniasis</w:t>
            </w:r>
          </w:p>
          <w:p>
            <w:pPr>
              <w:spacing w:after="40" w:line="252" w:lineRule="auto"/>
            </w:pPr>
            <w:hyperlink r:id="rId16">
              <w:r>
                <w:rPr>
                  <w:rFonts w:ascii="Calibri" w:hAnsi="Calibri" w:cs="Calibri"/>
                  <w:sz w:val="18"/>
                  <w:color w:val="1155CC"/>
                  <w:u w:val="single"/>
                </w:rPr>
                <w:t xml:space="preserve">https://www.cdc.gov/std/treatment-guidelines/trichomoniasis.htm</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Sexual partners in past 12 months</w:t>
            </w:r>
          </w:p>
        </w:tc>
        <w:tc>
          <w:tcPr>
            <w:tcW w:type="dxa" w:w="1655"/>
            <w:vAlign w:val="top"/>
          </w:tcPr>
          <w:p>
            <w:pPr>
              <w:spacing w:after="40" w:before="0" w:line="259" w:lineRule="auto"/>
            </w:pPr>
            <w:r>
              <w:rPr>
                <w:rFonts w:ascii="Calibri" w:hAnsi="Calibri"/>
                <w:b w:val="0"/>
                <w:i w:val="0"/>
                <w:color w:val="212121"/>
                <w:sz w:val="19"/>
              </w:rPr>
              <w:t>Sexually active adults</w:t>
            </w:r>
          </w:p>
        </w:tc>
        <w:tc>
          <w:tcPr>
            <w:tcW w:type="dxa" w:w="1512"/>
            <w:vAlign w:val="top"/>
          </w:tcPr>
          <w:p>
            <w:pPr>
              <w:spacing w:after="40" w:before="0" w:line="259" w:lineRule="auto"/>
            </w:pPr>
            <w:r>
              <w:rPr>
                <w:rFonts w:ascii="Calibri" w:hAnsi="Calibri"/>
                <w:b w:val="0"/>
                <w:i w:val="0"/>
                <w:color w:val="212121"/>
                <w:sz w:val="19"/>
              </w:rPr>
              <w:t>Single, mutually monogamous, tested partner</w:t>
            </w:r>
          </w:p>
        </w:tc>
        <w:tc>
          <w:tcPr>
            <w:tcW w:type="dxa" w:w="1512"/>
            <w:vAlign w:val="top"/>
          </w:tcPr>
          <w:p>
            <w:pPr>
              <w:spacing w:after="40" w:before="0" w:line="259" w:lineRule="auto"/>
            </w:pPr>
            <w:r>
              <w:rPr>
                <w:rFonts w:ascii="Calibri" w:hAnsi="Calibri"/>
                <w:b w:val="0"/>
                <w:i w:val="0"/>
                <w:color w:val="212121"/>
                <w:sz w:val="19"/>
              </w:rPr>
              <w:t>≥2 partners, a new partner, or a partner with concurrent partners</w:t>
            </w:r>
          </w:p>
        </w:tc>
        <w:tc>
          <w:tcPr>
            <w:tcW w:type="dxa" w:w="1468"/>
            <w:vAlign w:val="top"/>
          </w:tcPr>
          <w:p>
            <w:pPr>
              <w:spacing w:after="60" w:line="259" w:lineRule="auto"/>
            </w:pPr>
            <w:r>
              <w:rPr>
                <w:rFonts w:ascii="Calibri" w:hAnsi="Calibri"/>
                <w:b w:val="0"/>
                <w:i w:val="0"/>
                <w:color w:val="212121"/>
                <w:sz w:val="19"/>
              </w:rPr>
              <w:t>Greater lifetime and recent partner numbers independently predict infection (NHANES)</w:t>
            </w:r>
          </w:p>
          <w:p>
            <w:pPr>
              <w:spacing w:after="40" w:line="252" w:lineRule="auto"/>
            </w:pPr>
            <w:hyperlink r:id="rId14">
              <w:r>
                <w:rPr>
                  <w:rFonts w:ascii="Calibri" w:hAnsi="Calibri" w:cs="Calibri"/>
                  <w:sz w:val="18"/>
                  <w:color w:val="1155CC"/>
                  <w:u w:val="single"/>
                </w:rPr>
                <w:t xml:space="preserve">https://pubmed.ncbi.nlm.nih.gov/17968828/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Partner treatment &amp; retesting compliance</w:t>
            </w:r>
          </w:p>
        </w:tc>
        <w:tc>
          <w:tcPr>
            <w:tcW w:type="dxa" w:w="1655"/>
            <w:vAlign w:val="top"/>
          </w:tcPr>
          <w:p>
            <w:pPr>
              <w:spacing w:after="40" w:before="0" w:line="259" w:lineRule="auto"/>
            </w:pPr>
            <w:r>
              <w:rPr>
                <w:rFonts w:ascii="Calibri" w:hAnsi="Calibri"/>
                <w:b w:val="0"/>
                <w:i w:val="0"/>
                <w:color w:val="212121"/>
                <w:sz w:val="19"/>
              </w:rPr>
              <w:t>Diagnosed patients and their partners</w:t>
            </w:r>
          </w:p>
        </w:tc>
        <w:tc>
          <w:tcPr>
            <w:tcW w:type="dxa" w:w="1512"/>
            <w:vAlign w:val="top"/>
          </w:tcPr>
          <w:p>
            <w:pPr>
              <w:spacing w:after="40" w:before="0" w:line="259" w:lineRule="auto"/>
            </w:pPr>
            <w:r>
              <w:rPr>
                <w:rFonts w:ascii="Calibri" w:hAnsi="Calibri"/>
                <w:b w:val="0"/>
                <w:i w:val="0"/>
                <w:color w:val="212121"/>
                <w:sz w:val="19"/>
              </w:rPr>
              <w:t>All current partners treated simultaneously; intercourse resumed only after both complete therapy and are symptom-free; retest at ≈3 months</w:t>
            </w:r>
          </w:p>
        </w:tc>
        <w:tc>
          <w:tcPr>
            <w:tcW w:type="dxa" w:w="1512"/>
            <w:vAlign w:val="top"/>
          </w:tcPr>
          <w:p>
            <w:pPr>
              <w:spacing w:after="40" w:before="0" w:line="259" w:lineRule="auto"/>
            </w:pPr>
            <w:r>
              <w:rPr>
                <w:rFonts w:ascii="Calibri" w:hAnsi="Calibri"/>
                <w:b w:val="0"/>
                <w:i w:val="0"/>
                <w:color w:val="212121"/>
                <w:sz w:val="19"/>
              </w:rPr>
              <w:t>Untreated partner; sex resumed during therapy; no retest</w:t>
            </w:r>
          </w:p>
        </w:tc>
        <w:tc>
          <w:tcPr>
            <w:tcW w:type="dxa" w:w="1468"/>
            <w:vAlign w:val="top"/>
          </w:tcPr>
          <w:p>
            <w:pPr>
              <w:spacing w:after="60" w:line="259" w:lineRule="auto"/>
            </w:pPr>
            <w:r>
              <w:rPr>
                <w:rFonts w:ascii="Calibri" w:hAnsi="Calibri"/>
                <w:b w:val="0"/>
                <w:i w:val="0"/>
                <w:color w:val="212121"/>
                <w:sz w:val="19"/>
              </w:rPr>
              <w:t>Concurrent partner treatment is vital to prevent reinfection; CDC advises retesting ≈3 months after treatment</w:t>
            </w:r>
          </w:p>
          <w:p>
            <w:pPr>
              <w:spacing w:after="40" w:line="252" w:lineRule="auto"/>
            </w:pPr>
            <w:hyperlink r:id="rId16">
              <w:r>
                <w:rPr>
                  <w:rFonts w:ascii="Calibri" w:hAnsi="Calibri" w:cs="Calibri"/>
                  <w:sz w:val="18"/>
                  <w:color w:val="1155CC"/>
                  <w:u w:val="single"/>
                </w:rPr>
                <w:t xml:space="preserve">https://www.cdc.gov/std/treatment-guidelines/trichomoniasis.htm</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Vaginal douching frequency</w:t>
            </w:r>
          </w:p>
        </w:tc>
        <w:tc>
          <w:tcPr>
            <w:tcW w:type="dxa" w:w="1655"/>
            <w:vAlign w:val="top"/>
          </w:tcPr>
          <w:p>
            <w:pPr>
              <w:spacing w:after="40" w:before="0" w:line="259" w:lineRule="auto"/>
            </w:pPr>
            <w:r>
              <w:rPr>
                <w:rFonts w:ascii="Calibri" w:hAnsi="Calibri"/>
                <w:b w:val="0"/>
                <w:i w:val="0"/>
                <w:color w:val="212121"/>
                <w:sz w:val="19"/>
              </w:rPr>
              <w:t>Women</w:t>
            </w:r>
          </w:p>
        </w:tc>
        <w:tc>
          <w:tcPr>
            <w:tcW w:type="dxa" w:w="1512"/>
            <w:vAlign w:val="top"/>
          </w:tcPr>
          <w:p>
            <w:pPr>
              <w:spacing w:after="40" w:before="0" w:line="259" w:lineRule="auto"/>
            </w:pPr>
            <w:r>
              <w:rPr>
                <w:rFonts w:ascii="Calibri" w:hAnsi="Calibri"/>
                <w:b w:val="0"/>
                <w:i w:val="0"/>
                <w:color w:val="212121"/>
                <w:sz w:val="19"/>
              </w:rPr>
              <w:t>Never douche</w:t>
            </w:r>
          </w:p>
        </w:tc>
        <w:tc>
          <w:tcPr>
            <w:tcW w:type="dxa" w:w="1512"/>
            <w:vAlign w:val="top"/>
          </w:tcPr>
          <w:p>
            <w:pPr>
              <w:spacing w:after="40" w:before="0" w:line="259" w:lineRule="auto"/>
            </w:pPr>
            <w:r>
              <w:rPr>
                <w:rFonts w:ascii="Calibri" w:hAnsi="Calibri"/>
                <w:b w:val="0"/>
                <w:i w:val="0"/>
                <w:color w:val="212121"/>
                <w:sz w:val="19"/>
              </w:rPr>
              <w:t>Any habitual douching / intravaginal cleansing products</w:t>
            </w:r>
          </w:p>
        </w:tc>
        <w:tc>
          <w:tcPr>
            <w:tcW w:type="dxa" w:w="1468"/>
            <w:vAlign w:val="top"/>
          </w:tcPr>
          <w:p>
            <w:pPr>
              <w:spacing w:after="60" w:line="259" w:lineRule="auto"/>
            </w:pPr>
            <w:r>
              <w:rPr>
                <w:rFonts w:ascii="Calibri" w:hAnsi="Calibri"/>
                <w:b w:val="0"/>
                <w:i w:val="0"/>
                <w:color w:val="212121"/>
                <w:sz w:val="19"/>
              </w:rPr>
              <w:t>Douching independently associated with T. vaginalis and disturbs protective lactobacilli</w:t>
            </w:r>
          </w:p>
          <w:p>
            <w:pPr>
              <w:spacing w:after="40" w:line="252" w:lineRule="auto"/>
            </w:pPr>
            <w:hyperlink r:id="rId14">
              <w:r>
                <w:rPr>
                  <w:rFonts w:ascii="Calibri" w:hAnsi="Calibri" w:cs="Calibri"/>
                  <w:sz w:val="18"/>
                  <w:color w:val="1155CC"/>
                  <w:u w:val="single"/>
                </w:rPr>
                <w:t xml:space="preserve">https://pubmed.ncbi.nlm.nih.gov/17968828/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Personal linen practice</w:t>
            </w:r>
          </w:p>
        </w:tc>
        <w:tc>
          <w:tcPr>
            <w:tcW w:type="dxa" w:w="1655"/>
            <w:vAlign w:val="top"/>
          </w:tcPr>
          <w:p>
            <w:pPr>
              <w:spacing w:after="40" w:before="0" w:line="259" w:lineRule="auto"/>
            </w:pPr>
            <w:r>
              <w:rPr>
                <w:rFonts w:ascii="Calibri" w:hAnsi="Calibri"/>
                <w:b w:val="0"/>
                <w:i w:val="0"/>
                <w:color w:val="212121"/>
                <w:sz w:val="19"/>
              </w:rPr>
              <w:t>All adults; institutional/shared housing</w:t>
            </w:r>
          </w:p>
        </w:tc>
        <w:tc>
          <w:tcPr>
            <w:tcW w:type="dxa" w:w="1512"/>
            <w:vAlign w:val="top"/>
          </w:tcPr>
          <w:p>
            <w:pPr>
              <w:spacing w:after="40" w:before="0" w:line="259" w:lineRule="auto"/>
            </w:pPr>
            <w:r>
              <w:rPr>
                <w:rFonts w:ascii="Calibri" w:hAnsi="Calibri"/>
                <w:b w:val="0"/>
                <w:i w:val="0"/>
                <w:color w:val="212121"/>
                <w:sz w:val="19"/>
              </w:rPr>
              <w:t>Own dry towels/undergarments; wash and sun-dry</w:t>
            </w:r>
          </w:p>
        </w:tc>
        <w:tc>
          <w:tcPr>
            <w:tcW w:type="dxa" w:w="1512"/>
            <w:vAlign w:val="top"/>
          </w:tcPr>
          <w:p>
            <w:pPr>
              <w:spacing w:after="40" w:before="0" w:line="259" w:lineRule="auto"/>
            </w:pPr>
            <w:r>
              <w:rPr>
                <w:rFonts w:ascii="Calibri" w:hAnsi="Calibri"/>
                <w:b w:val="0"/>
                <w:i w:val="0"/>
                <w:color w:val="212121"/>
                <w:sz w:val="19"/>
              </w:rPr>
              <w:t>Sharing damp towels, cloths or undergarments</w:t>
            </w:r>
          </w:p>
        </w:tc>
        <w:tc>
          <w:tcPr>
            <w:tcW w:type="dxa" w:w="1468"/>
            <w:vAlign w:val="top"/>
          </w:tcPr>
          <w:p>
            <w:pPr>
              <w:spacing w:after="40" w:before="0" w:line="259" w:lineRule="auto"/>
            </w:pPr>
            <w:r>
              <w:rPr>
                <w:rFonts w:ascii="Calibri" w:hAnsi="Calibri"/>
                <w:b w:val="0"/>
                <w:i w:val="0"/>
                <w:color w:val="212121"/>
                <w:sz w:val="19"/>
              </w:rPr>
              <w:t>Organism survives briefly in moist material — rare fomite route; drying/sunning eliminates it</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≥1 per day</w:t>
            </w:r>
          </w:p>
        </w:tc>
        <w:tc>
          <w:tcPr>
            <w:tcW w:type="dxa" w:w="1468"/>
            <w:vAlign w:val="top"/>
          </w:tcPr>
          <w:p>
            <w:pPr>
              <w:spacing w:after="60" w:line="259" w:lineRule="auto"/>
            </w:pPr>
            <w:r>
              <w:rPr>
                <w:rFonts w:ascii="Calibri" w:hAnsi="Calibri"/>
                <w:b w:val="0"/>
                <w:i w:val="0"/>
                <w:color w:val="212121"/>
                <w:sz w:val="19"/>
              </w:rPr>
              <w:t>Smoking sits within the behavioural risk cluster (pooled OR 1.67) for T. vaginalis</w:t>
            </w:r>
          </w:p>
          <w:p>
            <w:pPr>
              <w:spacing w:after="40" w:line="252" w:lineRule="auto"/>
            </w:pPr>
            <w:hyperlink r:id="rId11">
              <w:r>
                <w:rPr>
                  <w:rFonts w:ascii="Calibri" w:hAnsi="Calibri" w:cs="Calibri"/>
                  <w:sz w:val="18"/>
                  <w:color w:val="1155CC"/>
                  <w:u w:val="single"/>
                </w:rPr>
                <w:t xml:space="preserve">https://pubmed.ncbi.nlm.nih.gov/40864904/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pattern (and timing around therapy)</w:t>
            </w:r>
          </w:p>
        </w:tc>
        <w:tc>
          <w:tcPr>
            <w:tcW w:type="dxa" w:w="1655"/>
            <w:vAlign w:val="top"/>
          </w:tcPr>
          <w:p>
            <w:pPr>
              <w:spacing w:after="40" w:before="0" w:line="259" w:lineRule="auto"/>
            </w:pPr>
            <w:r>
              <w:rPr>
                <w:rFonts w:ascii="Calibri" w:hAnsi="Calibri"/>
                <w:b w:val="0"/>
                <w:i w:val="0"/>
                <w:color w:val="212121"/>
                <w:sz w:val="19"/>
              </w:rPr>
              <w:t>Adults; patients on nitroimidazoles</w:t>
            </w:r>
          </w:p>
        </w:tc>
        <w:tc>
          <w:tcPr>
            <w:tcW w:type="dxa" w:w="1512"/>
            <w:vAlign w:val="top"/>
          </w:tcPr>
          <w:p>
            <w:pPr>
              <w:spacing w:after="40" w:before="0" w:line="259" w:lineRule="auto"/>
            </w:pPr>
            <w:r>
              <w:rPr>
                <w:rFonts w:ascii="Calibri" w:hAnsi="Calibri"/>
                <w:b w:val="0"/>
                <w:i w:val="0"/>
                <w:color w:val="212121"/>
                <w:sz w:val="19"/>
              </w:rPr>
              <w:t>Within low-risk limits; zero alcohol during metronidazole/tinidazole therapy and for 24–72 h after</w:t>
            </w:r>
          </w:p>
        </w:tc>
        <w:tc>
          <w:tcPr>
            <w:tcW w:type="dxa" w:w="1512"/>
            <w:vAlign w:val="top"/>
          </w:tcPr>
          <w:p>
            <w:pPr>
              <w:spacing w:after="40" w:before="0" w:line="259" w:lineRule="auto"/>
            </w:pPr>
            <w:r>
              <w:rPr>
                <w:rFonts w:ascii="Calibri" w:hAnsi="Calibri"/>
                <w:b w:val="0"/>
                <w:i w:val="0"/>
                <w:color w:val="212121"/>
                <w:sz w:val="19"/>
              </w:rPr>
              <w:t>Binge/heavy drinking; any alcohol during nitroimidazole treatment</w:t>
            </w:r>
          </w:p>
        </w:tc>
        <w:tc>
          <w:tcPr>
            <w:tcW w:type="dxa" w:w="1468"/>
            <w:vAlign w:val="top"/>
          </w:tcPr>
          <w:p>
            <w:pPr>
              <w:spacing w:after="40" w:before="0" w:line="259" w:lineRule="auto"/>
            </w:pPr>
            <w:r>
              <w:rPr>
                <w:rFonts w:ascii="Calibri" w:hAnsi="Calibri"/>
                <w:b w:val="0"/>
                <w:i w:val="0"/>
                <w:color w:val="212121"/>
                <w:sz w:val="19"/>
              </w:rPr>
              <w:t>Heavy use predicts risky sex; alcohol with nitroimidazoles can cause flushing, vomiting (disulfiram-like) and breaks adherence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Recreational drug use</w:t>
            </w:r>
          </w:p>
        </w:tc>
        <w:tc>
          <w:tcPr>
            <w:tcW w:type="dxa" w:w="1655"/>
            <w:vAlign w:val="top"/>
          </w:tcPr>
          <w:p>
            <w:pPr>
              <w:spacing w:after="40" w:before="0" w:line="259" w:lineRule="auto"/>
            </w:pPr>
            <w:r>
              <w:rPr>
                <w:rFonts w:ascii="Calibri" w:hAnsi="Calibri"/>
                <w:b w:val="0"/>
                <w:i w:val="0"/>
                <w:color w:val="212121"/>
                <w:sz w:val="19"/>
              </w:rPr>
              <w:t>Adults, key populations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recreational/injecting drug use</w:t>
            </w:r>
          </w:p>
        </w:tc>
        <w:tc>
          <w:tcPr>
            <w:tcW w:type="dxa" w:w="1468"/>
            <w:vAlign w:val="top"/>
          </w:tcPr>
          <w:p>
            <w:pPr>
              <w:spacing w:after="60" w:line="259" w:lineRule="auto"/>
            </w:pPr>
            <w:r>
              <w:rPr>
                <w:rFonts w:ascii="Calibri" w:hAnsi="Calibri"/>
                <w:b w:val="0"/>
                <w:i w:val="0"/>
                <w:color w:val="212121"/>
                <w:sz w:val="19"/>
              </w:rPr>
              <w:t>Drug use is part of the pooled behavioural risk cluster (OR 1.67) and marks networks needing repeat screening</w:t>
            </w:r>
          </w:p>
          <w:p>
            <w:pPr>
              <w:spacing w:after="40" w:line="252" w:lineRule="auto"/>
            </w:pPr>
            <w:hyperlink r:id="rId11">
              <w:r>
                <w:rPr>
                  <w:rFonts w:ascii="Calibri" w:hAnsi="Calibri" w:cs="Calibri"/>
                  <w:sz w:val="18"/>
                  <w:color w:val="1155CC"/>
                  <w:u w:val="single"/>
                </w:rPr>
                <w:t xml:space="preserve">https://pubmed.ncbi.nlm.nih.gov/40864904/</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 under treatment / PLHIV</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Chronically &lt; 6 hours/night</w:t>
            </w:r>
          </w:p>
        </w:tc>
        <w:tc>
          <w:tcPr>
            <w:tcW w:type="dxa" w:w="1468"/>
            <w:vAlign w:val="top"/>
          </w:tcPr>
          <w:p>
            <w:pPr>
              <w:spacing w:after="40" w:before="0" w:line="259" w:lineRule="auto"/>
            </w:pPr>
            <w:r>
              <w:rPr>
                <w:rFonts w:ascii="Calibri" w:hAnsi="Calibri"/>
                <w:b w:val="0"/>
                <w:i w:val="0"/>
                <w:color w:val="212121"/>
                <w:sz w:val="19"/>
              </w:rPr>
              <w:t>Supports immune competence and recovery; indirect influence only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T. vaginalis DNA/RNA (NAAT/PCR)</w:t>
            </w:r>
          </w:p>
        </w:tc>
        <w:tc>
          <w:tcPr>
            <w:tcW w:type="dxa" w:w="892"/>
            <w:vAlign w:val="top"/>
          </w:tcPr>
          <w:p>
            <w:pPr>
              <w:spacing w:after="40" w:before="0" w:line="259" w:lineRule="auto"/>
            </w:pPr>
            <w:r>
              <w:rPr>
                <w:rFonts w:ascii="Calibri" w:hAnsi="Calibri"/>
                <w:b w:val="0"/>
                <w:i w:val="0"/>
                <w:color w:val="212121"/>
                <w:sz w:val="16"/>
              </w:rPr>
              <w:t>Vaginal swab, endocervical swab or urine NAAT</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Detected</w:t>
            </w:r>
          </w:p>
        </w:tc>
        <w:tc>
          <w:tcPr>
            <w:tcW w:type="dxa" w:w="1036"/>
            <w:vAlign w:val="top"/>
          </w:tcPr>
          <w:p>
            <w:pPr>
              <w:spacing w:after="40" w:before="0" w:line="259" w:lineRule="auto"/>
            </w:pPr>
            <w:r>
              <w:rPr>
                <w:rFonts w:ascii="Calibri" w:hAnsi="Calibri"/>
                <w:b w:val="0"/>
                <w:i w:val="0"/>
                <w:color w:val="212121"/>
                <w:sz w:val="16"/>
              </w:rPr>
              <w:t>Confirms infection; most sensitive method (sensitivity 95.3–100%, specificity 95.2–100%)</w:t>
            </w:r>
          </w:p>
        </w:tc>
        <w:tc>
          <w:tcPr>
            <w:tcW w:type="dxa" w:w="1036"/>
            <w:vAlign w:val="top"/>
          </w:tcPr>
          <w:p>
            <w:pPr>
              <w:spacing w:after="40" w:before="0" w:line="259" w:lineRule="auto"/>
            </w:pPr>
            <w:r>
              <w:rPr>
                <w:rFonts w:ascii="Calibri" w:hAnsi="Calibri"/>
                <w:b w:val="0"/>
                <w:i w:val="0"/>
                <w:color w:val="212121"/>
                <w:sz w:val="16"/>
              </w:rPr>
              <w:t>Symptomatic women; women with HIV (entry &amp; annual); high-risk asymptomatic women; male partners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In Indian symptomatic women, wet mount detected only 60.9% and culture 56.5% of PCR-positive cases — PCR adds real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Motile trichomonads; leukocytes</w:t>
            </w:r>
          </w:p>
        </w:tc>
        <w:tc>
          <w:tcPr>
            <w:tcW w:type="dxa" w:w="892"/>
            <w:vAlign w:val="top"/>
          </w:tcPr>
          <w:p>
            <w:pPr>
              <w:spacing w:after="40" w:before="0" w:line="259" w:lineRule="auto"/>
            </w:pPr>
            <w:r>
              <w:rPr>
                <w:rFonts w:ascii="Calibri" w:hAnsi="Calibri"/>
                <w:b w:val="0"/>
                <w:i w:val="0"/>
                <w:color w:val="212121"/>
                <w:sz w:val="16"/>
              </w:rPr>
              <w:t>Saline wet-mount of vaginal secretions / urethral swab</w:t>
            </w:r>
          </w:p>
        </w:tc>
        <w:tc>
          <w:tcPr>
            <w:tcW w:type="dxa" w:w="950"/>
            <w:vAlign w:val="top"/>
          </w:tcPr>
          <w:p>
            <w:pPr>
              <w:spacing w:after="40" w:before="0" w:line="259" w:lineRule="auto"/>
            </w:pPr>
            <w:r>
              <w:rPr>
                <w:rFonts w:ascii="Calibri" w:hAnsi="Calibri"/>
                <w:b w:val="0"/>
                <w:i w:val="0"/>
                <w:color w:val="212121"/>
                <w:sz w:val="16"/>
              </w:rPr>
              <w:t>No trichomonads</w:t>
            </w:r>
          </w:p>
        </w:tc>
        <w:tc>
          <w:tcPr>
            <w:tcW w:type="dxa" w:w="950"/>
            <w:vAlign w:val="top"/>
          </w:tcPr>
          <w:p>
            <w:pPr>
              <w:spacing w:after="40" w:before="0" w:line="259" w:lineRule="auto"/>
            </w:pPr>
            <w:r>
              <w:rPr>
                <w:rFonts w:ascii="Calibri" w:hAnsi="Calibri"/>
                <w:b w:val="0"/>
                <w:i w:val="0"/>
                <w:color w:val="212121"/>
                <w:sz w:val="16"/>
              </w:rPr>
              <w:t>Motile pear-shaped flagellates with jerky motility</w:t>
            </w:r>
          </w:p>
        </w:tc>
        <w:tc>
          <w:tcPr>
            <w:tcW w:type="dxa" w:w="1036"/>
            <w:vAlign w:val="top"/>
          </w:tcPr>
          <w:p>
            <w:pPr>
              <w:spacing w:after="40" w:before="0" w:line="259" w:lineRule="auto"/>
            </w:pPr>
            <w:r>
              <w:rPr>
                <w:rFonts w:ascii="Calibri" w:hAnsi="Calibri"/>
                <w:b w:val="0"/>
                <w:i w:val="0"/>
                <w:color w:val="212121"/>
                <w:sz w:val="16"/>
              </w:rPr>
              <w:t>Immediate point-of-care confirmation when positive; sensitivity only 44–68%, so a negative test does not exclude infection</w:t>
            </w:r>
          </w:p>
        </w:tc>
        <w:tc>
          <w:tcPr>
            <w:tcW w:type="dxa" w:w="1036"/>
            <w:vAlign w:val="top"/>
          </w:tcPr>
          <w:p>
            <w:pPr>
              <w:spacing w:after="40" w:before="0" w:line="259" w:lineRule="auto"/>
            </w:pPr>
            <w:r>
              <w:rPr>
                <w:rFonts w:ascii="Calibri" w:hAnsi="Calibri"/>
                <w:b w:val="0"/>
                <w:i w:val="0"/>
                <w:color w:val="212121"/>
                <w:sz w:val="16"/>
              </w:rPr>
              <w:t>Symptomatic women in OPD/STI clinics; resource-limited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Slide must be examined within ≈10–15 minutes — motility is lost quickly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Culture</w:t>
            </w:r>
          </w:p>
        </w:tc>
        <w:tc>
          <w:tcPr>
            <w:tcW w:type="dxa" w:w="1036"/>
            <w:vAlign w:val="top"/>
          </w:tcPr>
          <w:p>
            <w:pPr>
              <w:spacing w:after="40" w:before="0" w:line="259" w:lineRule="auto"/>
            </w:pPr>
            <w:r>
              <w:rPr>
                <w:rFonts w:ascii="Calibri" w:hAnsi="Calibri"/>
                <w:b w:val="0"/>
                <w:i w:val="0"/>
                <w:color w:val="212121"/>
                <w:sz w:val="16"/>
              </w:rPr>
              <w:t>T. vaginalis growth</w:t>
            </w:r>
          </w:p>
        </w:tc>
        <w:tc>
          <w:tcPr>
            <w:tcW w:type="dxa" w:w="892"/>
            <w:vAlign w:val="top"/>
          </w:tcPr>
          <w:p>
            <w:pPr>
              <w:spacing w:after="40" w:before="0" w:line="259" w:lineRule="auto"/>
            </w:pPr>
            <w:r>
              <w:rPr>
                <w:rFonts w:ascii="Calibri" w:hAnsi="Calibri"/>
                <w:b w:val="0"/>
                <w:i w:val="0"/>
                <w:color w:val="212121"/>
                <w:sz w:val="16"/>
              </w:rPr>
              <w:t>Culture in Diamond’s medium / InPouch TV</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T. vaginalis</w:t>
            </w:r>
          </w:p>
        </w:tc>
        <w:tc>
          <w:tcPr>
            <w:tcW w:type="dxa" w:w="1036"/>
            <w:vAlign w:val="top"/>
          </w:tcPr>
          <w:p>
            <w:pPr>
              <w:spacing w:after="40" w:before="0" w:line="259" w:lineRule="auto"/>
            </w:pPr>
            <w:r>
              <w:rPr>
                <w:rFonts w:ascii="Calibri" w:hAnsi="Calibri"/>
                <w:b w:val="0"/>
                <w:i w:val="0"/>
                <w:color w:val="212121"/>
                <w:sz w:val="16"/>
              </w:rPr>
              <w:t>Sensitivity 44–75%; historically the reference standard; enables antimicrobial-susceptibility testing</w:t>
            </w:r>
          </w:p>
        </w:tc>
        <w:tc>
          <w:tcPr>
            <w:tcW w:type="dxa" w:w="1036"/>
            <w:vAlign w:val="top"/>
          </w:tcPr>
          <w:p>
            <w:pPr>
              <w:spacing w:after="40" w:before="0" w:line="259" w:lineRule="auto"/>
            </w:pPr>
            <w:r>
              <w:rPr>
                <w:rFonts w:ascii="Calibri" w:hAnsi="Calibri"/>
                <w:b w:val="0"/>
                <w:i w:val="0"/>
                <w:color w:val="212121"/>
                <w:sz w:val="16"/>
              </w:rPr>
              <w:t>Wet-mount-negative symptomatic patients where NAAT unavailable; refractory/resistant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Takes up to 7 days; useful for nitroimidazole-resistance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Antigen / rapid test</w:t>
            </w:r>
          </w:p>
        </w:tc>
        <w:tc>
          <w:tcPr>
            <w:tcW w:type="dxa" w:w="1036"/>
            <w:vAlign w:val="top"/>
          </w:tcPr>
          <w:p>
            <w:pPr>
              <w:spacing w:after="40" w:before="0" w:line="259" w:lineRule="auto"/>
            </w:pPr>
            <w:r>
              <w:rPr>
                <w:rFonts w:ascii="Calibri" w:hAnsi="Calibri"/>
                <w:b w:val="0"/>
                <w:i w:val="0"/>
                <w:color w:val="212121"/>
                <w:sz w:val="16"/>
              </w:rPr>
              <w:t>T. vaginalis antigen</w:t>
            </w:r>
          </w:p>
        </w:tc>
        <w:tc>
          <w:tcPr>
            <w:tcW w:type="dxa" w:w="892"/>
            <w:vAlign w:val="top"/>
          </w:tcPr>
          <w:p>
            <w:pPr>
              <w:spacing w:after="40" w:before="0" w:line="259" w:lineRule="auto"/>
            </w:pPr>
            <w:r>
              <w:rPr>
                <w:rFonts w:ascii="Calibri" w:hAnsi="Calibri"/>
                <w:b w:val="0"/>
                <w:i w:val="0"/>
                <w:color w:val="212121"/>
                <w:sz w:val="16"/>
              </w:rPr>
              <w:t>Point-of-care immunochromatographic test (e.g., OSOM)</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Sensitivity 82–95%, specificity 97–100%; result within minutes at point of care</w:t>
            </w:r>
          </w:p>
        </w:tc>
        <w:tc>
          <w:tcPr>
            <w:tcW w:type="dxa" w:w="1036"/>
            <w:vAlign w:val="top"/>
          </w:tcPr>
          <w:p>
            <w:pPr>
              <w:spacing w:after="40" w:before="0" w:line="259" w:lineRule="auto"/>
            </w:pPr>
            <w:r>
              <w:rPr>
                <w:rFonts w:ascii="Calibri" w:hAnsi="Calibri"/>
                <w:b w:val="0"/>
                <w:i w:val="0"/>
                <w:color w:val="212121"/>
                <w:sz w:val="16"/>
              </w:rPr>
              <w:t>STI clinics and peripheral facilities without microscopy/NAAT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Good option for same-visit treat-and-counsel in Indian primary care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bedside</w:t>
            </w:r>
          </w:p>
        </w:tc>
        <w:tc>
          <w:tcPr>
            <w:tcW w:type="dxa" w:w="1036"/>
            <w:vAlign w:val="top"/>
          </w:tcPr>
          <w:p>
            <w:pPr>
              <w:spacing w:after="40" w:before="0" w:line="259" w:lineRule="auto"/>
            </w:pPr>
            <w:r>
              <w:rPr>
                <w:rFonts w:ascii="Calibri" w:hAnsi="Calibri"/>
                <w:b w:val="0"/>
                <w:i w:val="0"/>
                <w:color w:val="212121"/>
                <w:sz w:val="16"/>
              </w:rPr>
              <w:t>Vaginal pH</w:t>
            </w:r>
          </w:p>
        </w:tc>
        <w:tc>
          <w:tcPr>
            <w:tcW w:type="dxa" w:w="892"/>
            <w:vAlign w:val="top"/>
          </w:tcPr>
          <w:p>
            <w:pPr>
              <w:spacing w:after="40" w:before="0" w:line="259" w:lineRule="auto"/>
            </w:pPr>
            <w:r>
              <w:rPr>
                <w:rFonts w:ascii="Calibri" w:hAnsi="Calibri"/>
                <w:b w:val="0"/>
                <w:i w:val="0"/>
                <w:color w:val="212121"/>
                <w:sz w:val="16"/>
              </w:rPr>
              <w:t>pH paper on lateral vaginal wall secretions</w:t>
            </w:r>
          </w:p>
        </w:tc>
        <w:tc>
          <w:tcPr>
            <w:tcW w:type="dxa" w:w="950"/>
            <w:vAlign w:val="top"/>
          </w:tcPr>
          <w:p>
            <w:pPr>
              <w:spacing w:after="40" w:before="0" w:line="259" w:lineRule="auto"/>
            </w:pPr>
            <w:r>
              <w:rPr>
                <w:rFonts w:ascii="Calibri" w:hAnsi="Calibri"/>
                <w:b w:val="0"/>
                <w:i w:val="0"/>
                <w:color w:val="212121"/>
                <w:sz w:val="16"/>
              </w:rPr>
              <w:t>pH 3.8–4.5</w:t>
            </w:r>
          </w:p>
        </w:tc>
        <w:tc>
          <w:tcPr>
            <w:tcW w:type="dxa" w:w="950"/>
            <w:vAlign w:val="top"/>
          </w:tcPr>
          <w:p>
            <w:pPr>
              <w:spacing w:after="40" w:before="0" w:line="259" w:lineRule="auto"/>
            </w:pPr>
            <w:r>
              <w:rPr>
                <w:rFonts w:ascii="Calibri" w:hAnsi="Calibri"/>
                <w:b w:val="0"/>
                <w:i w:val="0"/>
                <w:color w:val="212121"/>
                <w:sz w:val="16"/>
              </w:rPr>
              <w:t>pH &gt; 4.5</w:t>
            </w:r>
          </w:p>
        </w:tc>
        <w:tc>
          <w:tcPr>
            <w:tcW w:type="dxa" w:w="1036"/>
            <w:vAlign w:val="top"/>
          </w:tcPr>
          <w:p>
            <w:pPr>
              <w:spacing w:after="40" w:before="0" w:line="259" w:lineRule="auto"/>
            </w:pPr>
            <w:r>
              <w:rPr>
                <w:rFonts w:ascii="Calibri" w:hAnsi="Calibri"/>
                <w:b w:val="0"/>
                <w:i w:val="0"/>
                <w:color w:val="212121"/>
                <w:sz w:val="16"/>
              </w:rPr>
              <w:t>Supportive — raised pH accompanies trichomoniasis (and BV); normal pH argues for candidiasis instead</w:t>
            </w:r>
          </w:p>
        </w:tc>
        <w:tc>
          <w:tcPr>
            <w:tcW w:type="dxa" w:w="1036"/>
            <w:vAlign w:val="top"/>
          </w:tcPr>
          <w:p>
            <w:pPr>
              <w:spacing w:after="40" w:before="0" w:line="259" w:lineRule="auto"/>
            </w:pPr>
            <w:r>
              <w:rPr>
                <w:rFonts w:ascii="Calibri" w:hAnsi="Calibri"/>
                <w:b w:val="0"/>
                <w:i w:val="0"/>
                <w:color w:val="212121"/>
                <w:sz w:val="16"/>
              </w:rPr>
              <w:t>All women with vaginal discharge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Avoid testing during menses/after intercourse (both raise pH)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co-infection screen</w:t>
            </w:r>
          </w:p>
        </w:tc>
        <w:tc>
          <w:tcPr>
            <w:tcW w:type="dxa" w:w="1036"/>
            <w:vAlign w:val="top"/>
          </w:tcPr>
          <w:p>
            <w:pPr>
              <w:spacing w:after="40" w:before="0" w:line="259" w:lineRule="auto"/>
            </w:pPr>
            <w:r>
              <w:rPr>
                <w:rFonts w:ascii="Calibri" w:hAnsi="Calibri"/>
                <w:b w:val="0"/>
                <w:i w:val="0"/>
                <w:color w:val="212121"/>
                <w:sz w:val="16"/>
              </w:rPr>
              <w:t>HIV, syphilis (VDRL/RPR), HBsAg; CT/NG NAAT</w:t>
            </w:r>
          </w:p>
        </w:tc>
        <w:tc>
          <w:tcPr>
            <w:tcW w:type="dxa" w:w="892"/>
            <w:vAlign w:val="top"/>
          </w:tcPr>
          <w:p>
            <w:pPr>
              <w:spacing w:after="40" w:before="0" w:line="259" w:lineRule="auto"/>
            </w:pPr>
            <w:r>
              <w:rPr>
                <w:rFonts w:ascii="Calibri" w:hAnsi="Calibri"/>
                <w:b w:val="0"/>
                <w:i w:val="0"/>
                <w:color w:val="212121"/>
                <w:sz w:val="16"/>
              </w:rPr>
              <w:t>Comprehensive STI screen</w:t>
            </w:r>
          </w:p>
        </w:tc>
        <w:tc>
          <w:tcPr>
            <w:tcW w:type="dxa" w:w="950"/>
            <w:vAlign w:val="top"/>
          </w:tcPr>
          <w:p>
            <w:pPr>
              <w:spacing w:after="40" w:before="0" w:line="259" w:lineRule="auto"/>
            </w:pPr>
            <w:r>
              <w:rPr>
                <w:rFonts w:ascii="Calibri" w:hAnsi="Calibri"/>
                <w:b w:val="0"/>
                <w:i w:val="0"/>
                <w:color w:val="212121"/>
                <w:sz w:val="16"/>
              </w:rPr>
              <w:t>Non-reactive / not detected</w:t>
            </w:r>
          </w:p>
        </w:tc>
        <w:tc>
          <w:tcPr>
            <w:tcW w:type="dxa" w:w="950"/>
            <w:vAlign w:val="top"/>
          </w:tcPr>
          <w:p>
            <w:pPr>
              <w:spacing w:after="40" w:before="0" w:line="259" w:lineRule="auto"/>
            </w:pPr>
            <w:r>
              <w:rPr>
                <w:rFonts w:ascii="Calibri" w:hAnsi="Calibri"/>
                <w:b w:val="0"/>
                <w:i w:val="0"/>
                <w:color w:val="212121"/>
                <w:sz w:val="16"/>
              </w:rPr>
              <w:t>Any reactive/positive result</w:t>
            </w:r>
          </w:p>
        </w:tc>
        <w:tc>
          <w:tcPr>
            <w:tcW w:type="dxa" w:w="1036"/>
            <w:vAlign w:val="top"/>
          </w:tcPr>
          <w:p>
            <w:pPr>
              <w:spacing w:after="40" w:before="0" w:line="259" w:lineRule="auto"/>
            </w:pPr>
            <w:r>
              <w:rPr>
                <w:rFonts w:ascii="Calibri" w:hAnsi="Calibri"/>
                <w:b w:val="0"/>
                <w:i w:val="0"/>
                <w:color w:val="212121"/>
                <w:sz w:val="16"/>
              </w:rPr>
              <w:t>Trichomoniasis marks membership of higher-risk sexual networks (pooled OR 2.01 for other STIs) — every diagnosis warrants a full screen</w:t>
            </w:r>
          </w:p>
        </w:tc>
        <w:tc>
          <w:tcPr>
            <w:tcW w:type="dxa" w:w="1036"/>
            <w:vAlign w:val="top"/>
          </w:tcPr>
          <w:p>
            <w:pPr>
              <w:spacing w:after="40" w:before="0" w:line="259" w:lineRule="auto"/>
            </w:pPr>
            <w:r>
              <w:rPr>
                <w:rFonts w:ascii="Calibri" w:hAnsi="Calibri"/>
                <w:b w:val="0"/>
                <w:i w:val="0"/>
                <w:color w:val="212121"/>
                <w:sz w:val="16"/>
              </w:rPr>
              <w:t>All persons diagnosed with trichomoniasis and their partners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adjunct</w:t>
            </w:r>
          </w:p>
        </w:tc>
        <w:tc>
          <w:tcPr>
            <w:tcW w:type="dxa" w:w="720"/>
            <w:vAlign w:val="top"/>
          </w:tcPr>
          <w:p>
            <w:pPr>
              <w:spacing w:after="40" w:before="0" w:line="259" w:lineRule="auto"/>
            </w:pPr>
            <w:r>
              <w:rPr>
                <w:rFonts w:ascii="Calibri" w:hAnsi="Calibri"/>
                <w:b w:val="0"/>
                <w:i w:val="0"/>
                <w:color w:val="212121"/>
                <w:sz w:val="16"/>
              </w:rPr>
              <w:t>Free integrated testing available at ICTC/Suraksha clinics in India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&amp; risk history (the ‘5 Ps’)</w:t>
            </w:r>
          </w:p>
        </w:tc>
        <w:tc>
          <w:tcPr>
            <w:tcW w:type="dxa" w:w="979"/>
            <w:vAlign w:val="top"/>
          </w:tcPr>
          <w:p>
            <w:pPr>
              <w:spacing w:after="40" w:before="0" w:line="259" w:lineRule="auto"/>
            </w:pPr>
            <w:r>
              <w:rPr>
                <w:rFonts w:ascii="Calibri" w:hAnsi="Calibri"/>
                <w:b w:val="0"/>
                <w:i w:val="0"/>
                <w:color w:val="212121"/>
                <w:sz w:val="16"/>
              </w:rPr>
              <w:t>Partners, practices, protection, past STIs, pregnancy intention</w:t>
            </w:r>
          </w:p>
        </w:tc>
        <w:tc>
          <w:tcPr>
            <w:tcW w:type="dxa" w:w="950"/>
            <w:vAlign w:val="top"/>
          </w:tcPr>
          <w:p>
            <w:pPr>
              <w:spacing w:after="40" w:before="0" w:line="259" w:lineRule="auto"/>
            </w:pPr>
            <w:r>
              <w:rPr>
                <w:rFonts w:ascii="Calibri" w:hAnsi="Calibri"/>
                <w:b w:val="0"/>
                <w:i w:val="0"/>
                <w:color w:val="212121"/>
                <w:sz w:val="16"/>
              </w:rPr>
              <w:t>Mutually monogamous, consistent condom use, no prior STI</w:t>
            </w:r>
          </w:p>
        </w:tc>
        <w:tc>
          <w:tcPr>
            <w:tcW w:type="dxa" w:w="950"/>
            <w:vAlign w:val="top"/>
          </w:tcPr>
          <w:p>
            <w:pPr>
              <w:spacing w:after="40" w:before="0" w:line="259" w:lineRule="auto"/>
            </w:pPr>
            <w:r>
              <w:rPr>
                <w:rFonts w:ascii="Calibri" w:hAnsi="Calibri"/>
                <w:b w:val="0"/>
                <w:i w:val="0"/>
                <w:color w:val="212121"/>
                <w:sz w:val="16"/>
              </w:rPr>
              <w:t>New/multiple/concurrent partners, condomless sex, prior STI, transactional sex</w:t>
            </w:r>
          </w:p>
        </w:tc>
        <w:tc>
          <w:tcPr>
            <w:tcW w:type="dxa" w:w="1036"/>
            <w:vAlign w:val="top"/>
          </w:tcPr>
          <w:p>
            <w:pPr>
              <w:spacing w:after="40" w:before="0" w:line="259" w:lineRule="auto"/>
            </w:pPr>
            <w:r>
              <w:rPr>
                <w:rFonts w:ascii="Calibri" w:hAnsi="Calibri"/>
                <w:b w:val="0"/>
                <w:i w:val="0"/>
                <w:color w:val="212121"/>
                <w:sz w:val="16"/>
              </w:rPr>
              <w:t>Defines exposure probability, guides testing of partners and co-STI screening</w:t>
            </w:r>
          </w:p>
        </w:tc>
        <w:tc>
          <w:tcPr>
            <w:tcW w:type="dxa" w:w="1036"/>
            <w:vAlign w:val="top"/>
          </w:tcPr>
          <w:p>
            <w:pPr>
              <w:spacing w:after="40" w:before="0" w:line="259" w:lineRule="auto"/>
            </w:pPr>
            <w:r>
              <w:rPr>
                <w:rFonts w:ascii="Calibri" w:hAnsi="Calibri"/>
                <w:b w:val="0"/>
                <w:i w:val="0"/>
                <w:color w:val="212121"/>
                <w:sz w:val="16"/>
              </w:rPr>
              <w:t>All sexually active patients with genital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Take history privately and non-judgementally; include spouse’s risk in Indian context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characterisation</w:t>
            </w:r>
          </w:p>
        </w:tc>
        <w:tc>
          <w:tcPr>
            <w:tcW w:type="dxa" w:w="979"/>
            <w:vAlign w:val="top"/>
          </w:tcPr>
          <w:p>
            <w:pPr>
              <w:spacing w:after="40" w:before="0" w:line="259" w:lineRule="auto"/>
            </w:pPr>
            <w:r>
              <w:rPr>
                <w:rFonts w:ascii="Calibri" w:hAnsi="Calibri"/>
                <w:b w:val="0"/>
                <w:i w:val="0"/>
                <w:color w:val="212121"/>
                <w:sz w:val="16"/>
              </w:rPr>
              <w:t>Discharge (frothy, yellow-green, malodorous), vulvar itching, dysuria, dyspareunia, post-coital spotting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of the above; onset 4–28 days after exposure</w:t>
            </w:r>
          </w:p>
        </w:tc>
        <w:tc>
          <w:tcPr>
            <w:tcW w:type="dxa" w:w="1036"/>
            <w:vAlign w:val="top"/>
          </w:tcPr>
          <w:p>
            <w:pPr>
              <w:spacing w:after="40" w:before="0" w:line="259" w:lineRule="auto"/>
            </w:pPr>
            <w:r>
              <w:rPr>
                <w:rFonts w:ascii="Calibri" w:hAnsi="Calibri"/>
                <w:b w:val="0"/>
                <w:i w:val="0"/>
                <w:color w:val="212121"/>
                <w:sz w:val="16"/>
              </w:rPr>
              <w:t>Classic cluster suggests trichomoniasis but overlaps with BV/candidiasis — needs laboratory confirmation</w:t>
            </w:r>
          </w:p>
        </w:tc>
        <w:tc>
          <w:tcPr>
            <w:tcW w:type="dxa" w:w="1036"/>
            <w:vAlign w:val="top"/>
          </w:tcPr>
          <w:p>
            <w:pPr>
              <w:spacing w:after="40" w:before="0" w:line="259" w:lineRule="auto"/>
            </w:pPr>
            <w:r>
              <w:rPr>
                <w:rFonts w:ascii="Calibri" w:hAnsi="Calibri"/>
                <w:b w:val="0"/>
                <w:i w:val="0"/>
                <w:color w:val="212121"/>
                <w:sz w:val="16"/>
              </w:rPr>
              <w:t>Women with vaginal discharge; men with urethral discharge/dysuria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pointer</w:t>
            </w:r>
          </w:p>
        </w:tc>
        <w:tc>
          <w:tcPr>
            <w:tcW w:type="dxa" w:w="720"/>
            <w:vAlign w:val="top"/>
          </w:tcPr>
          <w:p>
            <w:pPr>
              <w:spacing w:after="40" w:before="0" w:line="259" w:lineRule="auto"/>
            </w:pPr>
            <w:r>
              <w:rPr>
                <w:rFonts w:ascii="Calibri" w:hAnsi="Calibri"/>
                <w:b w:val="0"/>
                <w:i w:val="0"/>
                <w:color w:val="212121"/>
                <w:sz w:val="16"/>
              </w:rPr>
              <w:t>Up to 85% are asymptomatic — absence of symptoms never excludes infection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Partner &amp; treatment history</w:t>
            </w:r>
          </w:p>
        </w:tc>
        <w:tc>
          <w:tcPr>
            <w:tcW w:type="dxa" w:w="979"/>
            <w:vAlign w:val="top"/>
          </w:tcPr>
          <w:p>
            <w:pPr>
              <w:spacing w:after="40" w:before="0" w:line="259" w:lineRule="auto"/>
            </w:pPr>
            <w:r>
              <w:rPr>
                <w:rFonts w:ascii="Calibri" w:hAnsi="Calibri"/>
                <w:b w:val="0"/>
                <w:i w:val="0"/>
                <w:color w:val="212121"/>
                <w:sz w:val="16"/>
              </w:rPr>
              <w:t>Partner symptoms, prior episodes, treatment completion, re-exposure</w:t>
            </w:r>
          </w:p>
        </w:tc>
        <w:tc>
          <w:tcPr>
            <w:tcW w:type="dxa" w:w="950"/>
            <w:vAlign w:val="top"/>
          </w:tcPr>
          <w:p>
            <w:pPr>
              <w:spacing w:after="40" w:before="0" w:line="259" w:lineRule="auto"/>
            </w:pPr>
            <w:r>
              <w:rPr>
                <w:rFonts w:ascii="Calibri" w:hAnsi="Calibri"/>
                <w:b w:val="0"/>
                <w:i w:val="0"/>
                <w:color w:val="212121"/>
                <w:sz w:val="16"/>
              </w:rPr>
              <w:t>Partner tested/treated; no re-exposure</w:t>
            </w:r>
          </w:p>
        </w:tc>
        <w:tc>
          <w:tcPr>
            <w:tcW w:type="dxa" w:w="950"/>
            <w:vAlign w:val="top"/>
          </w:tcPr>
          <w:p>
            <w:pPr>
              <w:spacing w:after="40" w:before="0" w:line="259" w:lineRule="auto"/>
            </w:pPr>
            <w:r>
              <w:rPr>
                <w:rFonts w:ascii="Calibri" w:hAnsi="Calibri"/>
                <w:b w:val="0"/>
                <w:i w:val="0"/>
                <w:color w:val="212121"/>
                <w:sz w:val="16"/>
              </w:rPr>
              <w:t>Untreated symptomatic/asymptomatic partner; recurrent discharge after therapy</w:t>
            </w:r>
          </w:p>
        </w:tc>
        <w:tc>
          <w:tcPr>
            <w:tcW w:type="dxa" w:w="1036"/>
            <w:vAlign w:val="top"/>
          </w:tcPr>
          <w:p>
            <w:pPr>
              <w:spacing w:after="40" w:before="0" w:line="259" w:lineRule="auto"/>
            </w:pPr>
            <w:r>
              <w:rPr>
                <w:rFonts w:ascii="Calibri" w:hAnsi="Calibri"/>
                <w:b w:val="0"/>
                <w:i w:val="0"/>
                <w:color w:val="212121"/>
                <w:sz w:val="16"/>
              </w:rPr>
              <w:t>Differentiates reinfection (commonest) from true nitroimidazole treatment failure (4–10% resistance)</w:t>
            </w:r>
          </w:p>
        </w:tc>
        <w:tc>
          <w:tcPr>
            <w:tcW w:type="dxa" w:w="1036"/>
            <w:vAlign w:val="top"/>
          </w:tcPr>
          <w:p>
            <w:pPr>
              <w:spacing w:after="40" w:before="0" w:line="259" w:lineRule="auto"/>
            </w:pPr>
            <w:r>
              <w:rPr>
                <w:rFonts w:ascii="Calibri" w:hAnsi="Calibri"/>
                <w:b w:val="0"/>
                <w:i w:val="0"/>
                <w:color w:val="212121"/>
                <w:sz w:val="16"/>
              </w:rPr>
              <w:t>Patients with recurrent/persistent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Document abstinence adherence during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Speculum &amp; bimanual examination</w:t>
            </w:r>
          </w:p>
        </w:tc>
        <w:tc>
          <w:tcPr>
            <w:tcW w:type="dxa" w:w="979"/>
            <w:vAlign w:val="top"/>
          </w:tcPr>
          <w:p>
            <w:pPr>
              <w:spacing w:after="40" w:before="0" w:line="259" w:lineRule="auto"/>
            </w:pPr>
            <w:r>
              <w:rPr>
                <w:rFonts w:ascii="Calibri" w:hAnsi="Calibri"/>
                <w:b w:val="0"/>
                <w:i w:val="0"/>
                <w:color w:val="212121"/>
                <w:sz w:val="16"/>
              </w:rPr>
              <w:t>Frothy yellow-green discharge, vaginal/vulvar erythema, strawberry cervix, cervical motion tenderness</w:t>
            </w:r>
          </w:p>
        </w:tc>
        <w:tc>
          <w:tcPr>
            <w:tcW w:type="dxa" w:w="950"/>
            <w:vAlign w:val="top"/>
          </w:tcPr>
          <w:p>
            <w:pPr>
              <w:spacing w:after="40" w:before="0" w:line="259" w:lineRule="auto"/>
            </w:pPr>
            <w:r>
              <w:rPr>
                <w:rFonts w:ascii="Calibri" w:hAnsi="Calibri"/>
                <w:b w:val="0"/>
                <w:i w:val="0"/>
                <w:color w:val="212121"/>
                <w:sz w:val="16"/>
              </w:rPr>
              <w:t>Healthy mucosa, scant clear secretions</w:t>
            </w:r>
          </w:p>
        </w:tc>
        <w:tc>
          <w:tcPr>
            <w:tcW w:type="dxa" w:w="950"/>
            <w:vAlign w:val="top"/>
          </w:tcPr>
          <w:p>
            <w:pPr>
              <w:spacing w:after="40" w:before="0" w:line="259" w:lineRule="auto"/>
            </w:pPr>
            <w:r>
              <w:rPr>
                <w:rFonts w:ascii="Calibri" w:hAnsi="Calibri"/>
                <w:b w:val="0"/>
                <w:i w:val="0"/>
                <w:color w:val="212121"/>
                <w:sz w:val="16"/>
              </w:rPr>
              <w:t>Purulent frothy pooling, punctate cervical haemorrhages (colpitis macularis — ≈2%), friable cervix; adnexal/CMT suggests PID</w:t>
            </w:r>
          </w:p>
        </w:tc>
        <w:tc>
          <w:tcPr>
            <w:tcW w:type="dxa" w:w="1036"/>
            <w:vAlign w:val="top"/>
          </w:tcPr>
          <w:p>
            <w:pPr>
              <w:spacing w:after="40" w:before="0" w:line="259" w:lineRule="auto"/>
            </w:pPr>
            <w:r>
              <w:rPr>
                <w:rFonts w:ascii="Calibri" w:hAnsi="Calibri"/>
                <w:b w:val="0"/>
                <w:i w:val="0"/>
                <w:color w:val="212121"/>
                <w:sz w:val="16"/>
              </w:rPr>
              <w:t>Strawberry cervix is highly specific but rare to the naked eye; CMT mandates PID work-up</w:t>
            </w:r>
          </w:p>
        </w:tc>
        <w:tc>
          <w:tcPr>
            <w:tcW w:type="dxa" w:w="1036"/>
            <w:vAlign w:val="top"/>
          </w:tcPr>
          <w:p>
            <w:pPr>
              <w:spacing w:after="40" w:before="0" w:line="259" w:lineRule="auto"/>
            </w:pPr>
            <w:r>
              <w:rPr>
                <w:rFonts w:ascii="Calibri" w:hAnsi="Calibri"/>
                <w:b w:val="0"/>
                <w:i w:val="0"/>
                <w:color w:val="212121"/>
                <w:sz w:val="16"/>
              </w:rPr>
              <w:t>All symptomatic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Collect wet-mount/NAAT specimens during the same examination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Male genital examination</w:t>
            </w:r>
          </w:p>
        </w:tc>
        <w:tc>
          <w:tcPr>
            <w:tcW w:type="dxa" w:w="979"/>
            <w:vAlign w:val="top"/>
          </w:tcPr>
          <w:p>
            <w:pPr>
              <w:spacing w:after="40" w:before="0" w:line="259" w:lineRule="auto"/>
            </w:pPr>
            <w:r>
              <w:rPr>
                <w:rFonts w:ascii="Calibri" w:hAnsi="Calibri"/>
                <w:b w:val="0"/>
                <w:i w:val="0"/>
                <w:color w:val="212121"/>
                <w:sz w:val="16"/>
              </w:rPr>
              <w:t>Urethral discharge (spontaneous/on milking), meatal erythema, epididymal or prostatic tenderness</w:t>
            </w:r>
          </w:p>
        </w:tc>
        <w:tc>
          <w:tcPr>
            <w:tcW w:type="dxa" w:w="950"/>
            <w:vAlign w:val="top"/>
          </w:tcPr>
          <w:p>
            <w:pPr>
              <w:spacing w:after="40" w:before="0" w:line="259" w:lineRule="auto"/>
            </w:pPr>
            <w:r>
              <w:rPr>
                <w:rFonts w:ascii="Calibri" w:hAnsi="Calibri"/>
                <w:b w:val="0"/>
                <w:i w:val="0"/>
                <w:color w:val="212121"/>
                <w:sz w:val="16"/>
              </w:rPr>
              <w:t>No discharge or tenderness</w:t>
            </w:r>
          </w:p>
        </w:tc>
        <w:tc>
          <w:tcPr>
            <w:tcW w:type="dxa" w:w="950"/>
            <w:vAlign w:val="top"/>
          </w:tcPr>
          <w:p>
            <w:pPr>
              <w:spacing w:after="40" w:before="0" w:line="259" w:lineRule="auto"/>
            </w:pPr>
            <w:r>
              <w:rPr>
                <w:rFonts w:ascii="Calibri" w:hAnsi="Calibri"/>
                <w:b w:val="0"/>
                <w:i w:val="0"/>
                <w:color w:val="212121"/>
                <w:sz w:val="16"/>
              </w:rPr>
              <w:t>Mucoid/purulent urethral discharge; tender epididymis/prostate</w:t>
            </w:r>
          </w:p>
        </w:tc>
        <w:tc>
          <w:tcPr>
            <w:tcW w:type="dxa" w:w="1036"/>
            <w:vAlign w:val="top"/>
          </w:tcPr>
          <w:p>
            <w:pPr>
              <w:spacing w:after="40" w:before="0" w:line="259" w:lineRule="auto"/>
            </w:pPr>
            <w:r>
              <w:rPr>
                <w:rFonts w:ascii="Calibri" w:hAnsi="Calibri"/>
                <w:b w:val="0"/>
                <w:i w:val="0"/>
                <w:color w:val="212121"/>
                <w:sz w:val="16"/>
              </w:rPr>
              <w:t>T. vaginalis causes a proportion of non-gonococcal urethritis; consider it when NGU fails azithromycin/doxycycline</w:t>
            </w:r>
          </w:p>
        </w:tc>
        <w:tc>
          <w:tcPr>
            <w:tcW w:type="dxa" w:w="1036"/>
            <w:vAlign w:val="top"/>
          </w:tcPr>
          <w:p>
            <w:pPr>
              <w:spacing w:after="40" w:before="0" w:line="259" w:lineRule="auto"/>
            </w:pPr>
            <w:r>
              <w:rPr>
                <w:rFonts w:ascii="Calibri" w:hAnsi="Calibri"/>
                <w:b w:val="0"/>
                <w:i w:val="0"/>
                <w:color w:val="212121"/>
                <w:sz w:val="16"/>
              </w:rPr>
              <w:t>Male partners; men with persistent NGU</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Case-finding</w:t>
            </w:r>
          </w:p>
        </w:tc>
        <w:tc>
          <w:tcPr>
            <w:tcW w:type="dxa" w:w="720"/>
            <w:vAlign w:val="top"/>
          </w:tcPr>
          <w:p>
            <w:pPr>
              <w:spacing w:after="40" w:before="0" w:line="259" w:lineRule="auto"/>
            </w:pPr>
            <w:r>
              <w:rPr>
                <w:rFonts w:ascii="Calibri" w:hAnsi="Calibri"/>
                <w:b w:val="0"/>
                <w:i w:val="0"/>
                <w:color w:val="212121"/>
                <w:sz w:val="16"/>
              </w:rPr>
              <w:t>Most infected men have a normal examination — test rather than rely on findings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assessment</w:t>
            </w:r>
          </w:p>
        </w:tc>
        <w:tc>
          <w:tcPr>
            <w:tcW w:type="dxa" w:w="979"/>
            <w:vAlign w:val="top"/>
          </w:tcPr>
          <w:p>
            <w:pPr>
              <w:spacing w:after="40" w:before="0" w:line="259" w:lineRule="auto"/>
            </w:pPr>
            <w:r>
              <w:rPr>
                <w:rFonts w:ascii="Calibri" w:hAnsi="Calibri"/>
                <w:b w:val="0"/>
                <w:i w:val="0"/>
                <w:color w:val="212121"/>
                <w:sz w:val="16"/>
              </w:rPr>
              <w:t>Pregnancy status, gestational age, prior preterm birth/PROM</w:t>
            </w:r>
          </w:p>
        </w:tc>
        <w:tc>
          <w:tcPr>
            <w:tcW w:type="dxa" w:w="950"/>
            <w:vAlign w:val="top"/>
          </w:tcPr>
          <w:p>
            <w:pPr>
              <w:spacing w:after="40" w:before="0" w:line="259" w:lineRule="auto"/>
            </w:pPr>
            <w:r>
              <w:rPr>
                <w:rFonts w:ascii="Calibri" w:hAnsi="Calibri"/>
                <w:b w:val="0"/>
                <w:i w:val="0"/>
                <w:color w:val="212121"/>
                <w:sz w:val="16"/>
              </w:rPr>
              <w:t>Not pregnant, or pregnant without symptoms</w:t>
            </w:r>
          </w:p>
        </w:tc>
        <w:tc>
          <w:tcPr>
            <w:tcW w:type="dxa" w:w="950"/>
            <w:vAlign w:val="top"/>
          </w:tcPr>
          <w:p>
            <w:pPr>
              <w:spacing w:after="40" w:before="0" w:line="259" w:lineRule="auto"/>
            </w:pPr>
            <w:r>
              <w:rPr>
                <w:rFonts w:ascii="Calibri" w:hAnsi="Calibri"/>
                <w:b w:val="0"/>
                <w:i w:val="0"/>
                <w:color w:val="212121"/>
                <w:sz w:val="16"/>
              </w:rPr>
              <w:t>Pregnant with discharge/symptoms, or prior adverse outcome</w:t>
            </w:r>
          </w:p>
        </w:tc>
        <w:tc>
          <w:tcPr>
            <w:tcW w:type="dxa" w:w="1036"/>
            <w:vAlign w:val="top"/>
          </w:tcPr>
          <w:p>
            <w:pPr>
              <w:spacing w:after="40" w:before="0" w:line="259" w:lineRule="auto"/>
            </w:pPr>
            <w:r>
              <w:rPr>
                <w:rFonts w:ascii="Calibri" w:hAnsi="Calibri"/>
                <w:b w:val="0"/>
                <w:i w:val="0"/>
                <w:color w:val="212121"/>
                <w:sz w:val="16"/>
              </w:rPr>
              <w:t>Symptomatic pregnant women should be tested and treated at any stage; metronidazole poses low fetal risk</w:t>
            </w:r>
          </w:p>
        </w:tc>
        <w:tc>
          <w:tcPr>
            <w:tcW w:type="dxa" w:w="1036"/>
            <w:vAlign w:val="top"/>
          </w:tcPr>
          <w:p>
            <w:pPr>
              <w:spacing w:after="40" w:before="0" w:line="259" w:lineRule="auto"/>
            </w:pPr>
            <w:r>
              <w:rPr>
                <w:rFonts w:ascii="Calibri" w:hAnsi="Calibri"/>
                <w:b w:val="0"/>
                <w:i w:val="0"/>
                <w:color w:val="212121"/>
                <w:sz w:val="16"/>
              </w:rPr>
              <w:t>All reproductive-age women at diagnosis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Counsel on preterm-birth association (RR ≈1.4) without alarmism</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No symptoms (asymptomatic infection)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70–85% of infected persons have minimal or no symptoms initially; 41% of infected young women in Mysore were asymptomatic — infection is detected only by screening.</w:t>
            </w:r>
          </w:p>
        </w:tc>
      </w:tr>
      <w:tr>
        <w:trPr>
          <w:cantSplit/>
        </w:trPr>
        <w:tc>
          <w:tcPr>
            <w:tcW w:type="dxa" w:w="2304"/>
            <w:vAlign w:val="top"/>
          </w:tcPr>
          <w:p>
            <w:pPr>
              <w:spacing w:after="40" w:before="0" w:line="259" w:lineRule="auto"/>
            </w:pPr>
            <w:r>
              <w:rPr>
                <w:rFonts w:ascii="Calibri" w:hAnsi="Calibri"/>
                <w:b/>
                <w:i w:val="0"/>
                <w:color w:val="212121"/>
                <w:sz w:val="19"/>
              </w:rPr>
              <w:t>Vaginal discharge — thin, frothy, yellow-green, malodorous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classic complaint; develops in &gt;50% of infected women, often worse during/after menses.</w:t>
            </w:r>
          </w:p>
        </w:tc>
      </w:tr>
      <w:tr>
        <w:trPr>
          <w:cantSplit/>
        </w:trPr>
        <w:tc>
          <w:tcPr>
            <w:tcW w:type="dxa" w:w="2304"/>
            <w:vAlign w:val="top"/>
          </w:tcPr>
          <w:p>
            <w:pPr>
              <w:spacing w:after="40" w:before="0" w:line="259" w:lineRule="auto"/>
            </w:pPr>
            <w:r>
              <w:rPr>
                <w:rFonts w:ascii="Calibri" w:hAnsi="Calibri"/>
                <w:b/>
                <w:i w:val="0"/>
                <w:color w:val="212121"/>
                <w:sz w:val="19"/>
              </w:rPr>
              <w:t>Vulvovaginal itching, burning and soreness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Local inflammatory response of vulval and vaginal epithelium to the parasite.</w:t>
            </w:r>
          </w:p>
        </w:tc>
      </w:tr>
      <w:tr>
        <w:trPr>
          <w:cantSplit/>
        </w:trPr>
        <w:tc>
          <w:tcPr>
            <w:tcW w:type="dxa" w:w="2304"/>
            <w:vAlign w:val="top"/>
          </w:tcPr>
          <w:p>
            <w:pPr>
              <w:spacing w:after="40" w:before="0" w:line="259" w:lineRule="auto"/>
            </w:pPr>
            <w:r>
              <w:rPr>
                <w:rFonts w:ascii="Calibri" w:hAnsi="Calibri"/>
                <w:b/>
                <w:i w:val="0"/>
                <w:color w:val="212121"/>
                <w:sz w:val="19"/>
              </w:rPr>
              <w:t>Dysuria (burning urination)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Urethral and periurethral involvement; in women often mistaken for a urinary tract infection.</w:t>
            </w:r>
          </w:p>
        </w:tc>
      </w:tr>
      <w:tr>
        <w:trPr>
          <w:cantSplit/>
        </w:trPr>
        <w:tc>
          <w:tcPr>
            <w:tcW w:type="dxa" w:w="2304"/>
            <w:vAlign w:val="top"/>
          </w:tcPr>
          <w:p>
            <w:pPr>
              <w:spacing w:after="40" w:before="0" w:line="259" w:lineRule="auto"/>
            </w:pPr>
            <w:r>
              <w:rPr>
                <w:rFonts w:ascii="Calibri" w:hAnsi="Calibri"/>
                <w:b/>
                <w:i w:val="0"/>
                <w:color w:val="212121"/>
                <w:sz w:val="19"/>
              </w:rPr>
              <w:t>Dyspareunia (painful intercourse)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Inflamed, oedematous vaginal mucosa makes intercourse uncomfortable; may cause coital avoidance and relationship distress.</w:t>
            </w:r>
          </w:p>
        </w:tc>
      </w:tr>
      <w:tr>
        <w:trPr>
          <w:cantSplit/>
        </w:trPr>
        <w:tc>
          <w:tcPr>
            <w:tcW w:type="dxa" w:w="2304"/>
            <w:vAlign w:val="top"/>
          </w:tcPr>
          <w:p>
            <w:pPr>
              <w:spacing w:after="40" w:before="0" w:line="259" w:lineRule="auto"/>
            </w:pPr>
            <w:r>
              <w:rPr>
                <w:rFonts w:ascii="Calibri" w:hAnsi="Calibri"/>
                <w:b/>
                <w:i w:val="0"/>
                <w:color w:val="212121"/>
                <w:sz w:val="19"/>
              </w:rPr>
              <w:t>Unpleasant (fishy) genital odour, noticed more after intercourse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Amine odour reflects elevated pH and frequent co-existing bacterial vaginosis.</w:t>
            </w:r>
          </w:p>
        </w:tc>
      </w:tr>
      <w:tr>
        <w:trPr>
          <w:cantSplit/>
        </w:trPr>
        <w:tc>
          <w:tcPr>
            <w:tcW w:type="dxa" w:w="2304"/>
            <w:vAlign w:val="top"/>
          </w:tcPr>
          <w:p>
            <w:pPr>
              <w:spacing w:after="40" w:before="0" w:line="259" w:lineRule="auto"/>
            </w:pPr>
            <w:r>
              <w:rPr>
                <w:rFonts w:ascii="Calibri" w:hAnsi="Calibri"/>
                <w:b/>
                <w:i w:val="0"/>
                <w:color w:val="212121"/>
                <w:sz w:val="19"/>
              </w:rPr>
              <w:t>Lower abdominal / pelvic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ascending inflammation; persistent pelvic pain with fever warrants PID evaluation.</w:t>
            </w:r>
          </w:p>
        </w:tc>
      </w:tr>
      <w:tr>
        <w:trPr>
          <w:cantSplit/>
        </w:trPr>
        <w:tc>
          <w:tcPr>
            <w:tcW w:type="dxa" w:w="2304"/>
            <w:vAlign w:val="top"/>
          </w:tcPr>
          <w:p>
            <w:pPr>
              <w:spacing w:after="40" w:before="0" w:line="259" w:lineRule="auto"/>
            </w:pPr>
            <w:r>
              <w:rPr>
                <w:rFonts w:ascii="Calibri" w:hAnsi="Calibri"/>
                <w:b/>
                <w:i w:val="0"/>
                <w:color w:val="212121"/>
                <w:sz w:val="19"/>
              </w:rPr>
              <w:t>Post-coital spotting / intermenstrual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friable, inflamed cervicovaginal mucosa (contact bleeding).</w:t>
            </w:r>
          </w:p>
        </w:tc>
      </w:tr>
      <w:tr>
        <w:trPr>
          <w:cantSplit/>
        </w:trPr>
        <w:tc>
          <w:tcPr>
            <w:tcW w:type="dxa" w:w="2304"/>
            <w:vAlign w:val="top"/>
          </w:tcPr>
          <w:p>
            <w:pPr>
              <w:spacing w:after="40" w:before="0" w:line="259" w:lineRule="auto"/>
            </w:pPr>
            <w:r>
              <w:rPr>
                <w:rFonts w:ascii="Calibri" w:hAnsi="Calibri"/>
                <w:b/>
                <w:i w:val="0"/>
                <w:color w:val="212121"/>
                <w:sz w:val="19"/>
              </w:rPr>
              <w:t>Increased urinary frequency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Urethritis/trigonal irritation; overlaps with cystitis symptoms.</w:t>
            </w:r>
          </w:p>
        </w:tc>
      </w:tr>
      <w:tr>
        <w:trPr>
          <w:cantSplit/>
        </w:trPr>
        <w:tc>
          <w:tcPr>
            <w:tcW w:type="dxa" w:w="2304"/>
            <w:vAlign w:val="top"/>
          </w:tcPr>
          <w:p>
            <w:pPr>
              <w:spacing w:after="40" w:before="0" w:line="259" w:lineRule="auto"/>
            </w:pPr>
            <w:r>
              <w:rPr>
                <w:rFonts w:ascii="Calibri" w:hAnsi="Calibri"/>
                <w:b/>
                <w:i w:val="0"/>
                <w:color w:val="212121"/>
                <w:sz w:val="19"/>
              </w:rPr>
              <w:t>Urethral discharge and dysuria in men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Only ≈10% of infected men develop urethritis; discharge is typically scant and mucoid — a cause of ‘persistent NGU’ after standard therapy.</w:t>
            </w:r>
          </w:p>
        </w:tc>
      </w:tr>
      <w:tr>
        <w:trPr>
          <w:cantSplit/>
        </w:trPr>
        <w:tc>
          <w:tcPr>
            <w:tcW w:type="dxa" w:w="2304"/>
            <w:vAlign w:val="top"/>
          </w:tcPr>
          <w:p>
            <w:pPr>
              <w:spacing w:after="40" w:before="0" w:line="259" w:lineRule="auto"/>
            </w:pPr>
            <w:r>
              <w:rPr>
                <w:rFonts w:ascii="Calibri" w:hAnsi="Calibri"/>
                <w:b/>
                <w:i w:val="0"/>
                <w:color w:val="212121"/>
                <w:sz w:val="19"/>
              </w:rPr>
              <w:t>Penile irritation or burning after urination/ejaculation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Reported by symptomatic men; usually mild and intermittent.</w:t>
            </w:r>
          </w:p>
        </w:tc>
      </w:tr>
      <w:tr>
        <w:trPr>
          <w:cantSplit/>
        </w:trPr>
        <w:tc>
          <w:tcPr>
            <w:tcW w:type="dxa" w:w="2304"/>
            <w:vAlign w:val="top"/>
          </w:tcPr>
          <w:p>
            <w:pPr>
              <w:spacing w:after="40" w:before="0" w:line="259" w:lineRule="auto"/>
            </w:pPr>
            <w:r>
              <w:rPr>
                <w:rFonts w:ascii="Calibri" w:hAnsi="Calibri"/>
                <w:b/>
                <w:i w:val="0"/>
                <w:color w:val="212121"/>
                <w:sz w:val="19"/>
              </w:rPr>
              <w:t>Scrotal pain (epididymitis) or perineal discomfort (prostatitis) in men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Complicated male infection; consider T. vaginalis in epididymo-orchitis or chronic prostatitis unresponsive to usual antibiotics.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Frothy, yellow-green vaginal discharge pooling in posterior fornix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Bubbly purulent discharge on speculum examination is the most consistent finding.</w:t>
            </w:r>
          </w:p>
        </w:tc>
      </w:tr>
      <w:tr>
        <w:trPr>
          <w:cantSplit/>
        </w:trPr>
        <w:tc>
          <w:tcPr>
            <w:tcW w:type="dxa" w:w="3456"/>
            <w:vAlign w:val="top"/>
          </w:tcPr>
          <w:p>
            <w:pPr>
              <w:spacing w:after="40" w:before="0" w:line="259" w:lineRule="auto"/>
            </w:pPr>
            <w:r>
              <w:rPr>
                <w:rFonts w:ascii="Calibri" w:hAnsi="Calibri"/>
                <w:b/>
                <w:i w:val="0"/>
                <w:color w:val="212121"/>
                <w:sz w:val="19"/>
              </w:rPr>
              <w:t>Vulvar and vaginal erythema with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inflammation of vestibule and vaginal walls; excoriations from scratching may be present.</w:t>
            </w:r>
          </w:p>
        </w:tc>
      </w:tr>
      <w:tr>
        <w:trPr>
          <w:cantSplit/>
        </w:trPr>
        <w:tc>
          <w:tcPr>
            <w:tcW w:type="dxa" w:w="3456"/>
            <w:vAlign w:val="top"/>
          </w:tcPr>
          <w:p>
            <w:pPr>
              <w:spacing w:after="40" w:before="0" w:line="259" w:lineRule="auto"/>
            </w:pPr>
            <w:r>
              <w:rPr>
                <w:rFonts w:ascii="Calibri" w:hAnsi="Calibri"/>
                <w:b/>
                <w:i w:val="0"/>
                <w:color w:val="212121"/>
                <w:sz w:val="19"/>
              </w:rPr>
              <w:t>Elevated vaginal pH (&gt; 4.5)</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Bedside pH paper; distinguishes trichomoniasis/BV (high pH) from candidiasis (normal pH).</w:t>
            </w:r>
          </w:p>
        </w:tc>
      </w:tr>
      <w:tr>
        <w:trPr>
          <w:cantSplit/>
        </w:trPr>
        <w:tc>
          <w:tcPr>
            <w:tcW w:type="dxa" w:w="3456"/>
            <w:vAlign w:val="top"/>
          </w:tcPr>
          <w:p>
            <w:pPr>
              <w:spacing w:after="40" w:before="0" w:line="259" w:lineRule="auto"/>
            </w:pPr>
            <w:r>
              <w:rPr>
                <w:rFonts w:ascii="Calibri" w:hAnsi="Calibri"/>
                <w:b/>
                <w:i w:val="0"/>
                <w:color w:val="212121"/>
                <w:sz w:val="19"/>
              </w:rPr>
              <w:t>Motile flagellated trichomonads on saline wet mount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Jerky, twitching pear-shaped organisms slightly larger than leukocytes — diagnostic when seen (specificity &gt;99%).</w:t>
            </w:r>
          </w:p>
        </w:tc>
      </w:tr>
      <w:tr>
        <w:trPr>
          <w:cantSplit/>
        </w:trPr>
        <w:tc>
          <w:tcPr>
            <w:tcW w:type="dxa" w:w="3456"/>
            <w:vAlign w:val="top"/>
          </w:tcPr>
          <w:p>
            <w:pPr>
              <w:spacing w:after="40" w:before="0" w:line="259" w:lineRule="auto"/>
            </w:pPr>
            <w:r>
              <w:rPr>
                <w:rFonts w:ascii="Calibri" w:hAnsi="Calibri"/>
                <w:b/>
                <w:i w:val="0"/>
                <w:color w:val="212121"/>
                <w:sz w:val="19"/>
              </w:rPr>
              <w:t>Abundant polymorphonuclear leukocytes on microscopy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Marked leukorrhea supports an inflammatory (trichomonal) rather than pure BV picture.</w:t>
            </w:r>
          </w:p>
        </w:tc>
      </w:tr>
      <w:tr>
        <w:trPr>
          <w:cantSplit/>
        </w:trPr>
        <w:tc>
          <w:tcPr>
            <w:tcW w:type="dxa" w:w="3456"/>
            <w:vAlign w:val="top"/>
          </w:tcPr>
          <w:p>
            <w:pPr>
              <w:spacing w:after="40" w:before="0" w:line="259" w:lineRule="auto"/>
            </w:pPr>
            <w:r>
              <w:rPr>
                <w:rFonts w:ascii="Calibri" w:hAnsi="Calibri"/>
                <w:b/>
                <w:i w:val="0"/>
                <w:color w:val="212121"/>
                <w:sz w:val="19"/>
              </w:rPr>
              <w:t>Strawberry cervix (colpitis macularis — punctate cervical haemorrhages)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with the naked eye in only ≈2% of infected women (more with colposcopy) but is highly specific for trichomoniasis.</w:t>
            </w:r>
          </w:p>
        </w:tc>
      </w:tr>
      <w:tr>
        <w:trPr>
          <w:cantSplit/>
        </w:trPr>
        <w:tc>
          <w:tcPr>
            <w:tcW w:type="dxa" w:w="3456"/>
            <w:vAlign w:val="top"/>
          </w:tcPr>
          <w:p>
            <w:pPr>
              <w:spacing w:after="40" w:before="0" w:line="259" w:lineRule="auto"/>
            </w:pPr>
            <w:r>
              <w:rPr>
                <w:rFonts w:ascii="Calibri" w:hAnsi="Calibri"/>
                <w:b/>
                <w:i w:val="0"/>
                <w:color w:val="212121"/>
                <w:sz w:val="19"/>
              </w:rPr>
              <w:t>Cervical friability / contact bleeding on swabbing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Inflamed ectocervix bleeds on touch; also prompts exclusion of cervicitis from chlamydia/gonorrhoea.</w:t>
            </w:r>
          </w:p>
        </w:tc>
      </w:tr>
      <w:tr>
        <w:trPr>
          <w:cantSplit/>
        </w:trPr>
        <w:tc>
          <w:tcPr>
            <w:tcW w:type="dxa" w:w="3456"/>
            <w:vAlign w:val="top"/>
          </w:tcPr>
          <w:p>
            <w:pPr>
              <w:spacing w:after="40" w:before="0" w:line="259" w:lineRule="auto"/>
            </w:pPr>
            <w:r>
              <w:rPr>
                <w:rFonts w:ascii="Calibri" w:hAnsi="Calibri"/>
                <w:b/>
                <w:i w:val="0"/>
                <w:color w:val="212121"/>
                <w:sz w:val="19"/>
              </w:rPr>
              <w:t>Urethral discharge expressible on milking (men)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Scant mucoid discharge; most infected men have an entirely normal examination.</w:t>
            </w:r>
          </w:p>
        </w:tc>
      </w:tr>
      <w:tr>
        <w:trPr>
          <w:cantSplit/>
        </w:trPr>
        <w:tc>
          <w:tcPr>
            <w:tcW w:type="dxa" w:w="3456"/>
            <w:vAlign w:val="top"/>
          </w:tcPr>
          <w:p>
            <w:pPr>
              <w:spacing w:after="40" w:before="0" w:line="259" w:lineRule="auto"/>
            </w:pPr>
            <w:r>
              <w:rPr>
                <w:rFonts w:ascii="Calibri" w:hAnsi="Calibri"/>
                <w:b/>
                <w:i w:val="0"/>
                <w:color w:val="212121"/>
                <w:sz w:val="19"/>
              </w:rPr>
              <w:t>Tenderness of epididymis or prostate (men)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Marks complicated male infection (epididymitis/prostatitis).</w:t>
            </w:r>
          </w:p>
        </w:tc>
      </w:tr>
      <w:tr>
        <w:trPr>
          <w:cantSplit/>
        </w:trPr>
        <w:tc>
          <w:tcPr>
            <w:tcW w:type="dxa" w:w="3456"/>
            <w:vAlign w:val="top"/>
          </w:tcPr>
          <w:p>
            <w:pPr>
              <w:spacing w:after="40" w:before="0" w:line="259" w:lineRule="auto"/>
            </w:pPr>
            <w:r>
              <w:rPr>
                <w:rFonts w:ascii="Calibri" w:hAnsi="Calibri"/>
                <w:b/>
                <w:i w:val="0"/>
                <w:color w:val="212121"/>
                <w:sz w:val="19"/>
              </w:rPr>
              <w:t>Cervical motion or adnexal tenderness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Red flag for pelvic inflammatory disease — strongly associated with T. vaginalis in women with HIV.</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vulvovaginitis and exocervicitis (erosive in severe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Urethritis; occasionally bartholinitis and skenitis (paraurethral gland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infection and nitroimidazole-resistant disease (4–10% of isolates show metronidazole resistance; ≈1% tinidazole)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Ping-pong reinfection from untreated partners</w:t>
            </w:r>
          </w:p>
        </w:tc>
        <w:tc>
          <w:tcPr>
            <w:tcW w:type="dxa" w:w="2980"/>
            <w:vAlign w:val="top"/>
          </w:tcPr>
          <w:p>
            <w:pPr>
              <w:spacing w:after="40" w:before="0" w:line="259" w:lineRule="auto"/>
            </w:pPr>
            <w:r>
              <w:rPr>
                <w:rFonts w:ascii="Calibri" w:hAnsi="Calibri"/>
                <w:b w:val="0"/>
                <w:i w:val="0"/>
                <w:color w:val="212121"/>
                <w:sz w:val="19"/>
              </w:rPr>
              <w:t>Direct local consequences of the parasite and of incomplete treatment of the sexual network</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Facilitated HIV acquisition (≈1.5-fold) and increased genital HIV shedding/transmission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Pelvic inflammatory disease — substantially associated with T. vaginalis in women with 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preterm birth (RR 1.42), preterm premature rupture of membranes (RR 1.41), small-for-gestational-age/low-birth-weight infants (RR 1.51)</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Perinatal transmission — neonatal vaginal and 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Epididymitis and prostatitis in men; contribution to persistent non-gonococcal urethritis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Heightened susceptibility to and co-existence with other STIs (pooled OR ≈2)</w:t>
            </w:r>
          </w:p>
        </w:tc>
        <w:tc>
          <w:tcPr>
            <w:tcW w:type="dxa" w:w="2980"/>
            <w:vAlign w:val="top"/>
          </w:tcPr>
          <w:p>
            <w:pPr>
              <w:spacing w:after="40" w:before="0" w:line="259" w:lineRule="auto"/>
            </w:pPr>
            <w:r>
              <w:rPr>
                <w:rFonts w:ascii="Calibri" w:hAnsi="Calibri"/>
                <w:b w:val="0"/>
                <w:i w:val="0"/>
                <w:color w:val="212121"/>
                <w:sz w:val="19"/>
              </w:rPr>
              <w:t>Consequences of ascending spread, mucosal inflammation and the parasite’s interaction with HIV and pregnancy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Tubal-factor infertility and chronic pelvic pain after PID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intraepithelial neoplasia and cervical cancer association (pooled OR ≈2.15, partly via facilitation of HPV persistence)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Possible modest association with prostate cancer (pooled OR 1.17) — evidence inconsistent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male fertility (impaired sperm motility/viability with chronic prostatic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Preterm-birth-related neonatal morbidity and its long-term sequelae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Psychosexual and relationship harm from recurrent, stigmatised infection</w:t>
            </w:r>
          </w:p>
        </w:tc>
        <w:tc>
          <w:tcPr>
            <w:tcW w:type="dxa" w:w="2980"/>
            <w:vAlign w:val="top"/>
          </w:tcPr>
          <w:p>
            <w:pPr>
              <w:spacing w:after="40" w:before="0" w:line="259" w:lineRule="auto"/>
            </w:pPr>
            <w:r>
              <w:rPr>
                <w:rFonts w:ascii="Calibri" w:hAnsi="Calibri"/>
                <w:b w:val="0"/>
                <w:i w:val="0"/>
                <w:color w:val="212121"/>
                <w:sz w:val="19"/>
              </w:rPr>
              <w:t>Late, largely irreversible or probabilistic outcomes of longstanding or repeated infection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Trichomonal genital inflammation recruits HIV target cells and raises acquisition risk ≈1.5-fold (adjusted HR 1.52, Mombasa cohort) while increasing genital HIV shedding in co-infected women; co-infection is very common, so CDC mandates screening women with HIV at entry to care and annually, and treating with the 7-day metronidazole regimen.</w:t>
            </w:r>
          </w:p>
          <w:p>
            <w:pPr>
              <w:spacing w:after="40" w:before="0" w:line="259" w:lineRule="auto"/>
            </w:pPr>
            <w:r>
              <w:rPr>
                <w:rFonts w:ascii="Calibri" w:hAnsi="Calibri"/>
                <w:b/>
                <w:i w:val="0"/>
                <w:color w:val="212121"/>
                <w:sz w:val="19"/>
              </w:rPr>
              <w:t>Up to 53% (women with HIV)</w:t>
            </w:r>
          </w:p>
        </w:tc>
      </w:tr>
      <w:tr>
        <w:trPr>
          <w:cantSplit/>
        </w:trPr>
        <w:tc>
          <w:tcPr>
            <w:tcW w:type="dxa" w:w="2232"/>
            <w:vAlign w:val="top"/>
          </w:tcPr>
          <w:p>
            <w:pPr>
              <w:spacing w:after="40" w:before="0" w:line="259" w:lineRule="auto"/>
            </w:pPr>
            <w:r>
              <w:rPr>
                <w:rFonts w:ascii="Calibri" w:hAnsi="Calibri"/>
                <w:b/>
                <w:i w:val="0"/>
                <w:color w:val="212121"/>
                <w:sz w:val="19"/>
              </w:rPr>
              <w:t>Bacterial vaginosis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Lactobacilli depletion and alkaline pH favour T. vaginalis, and trichomonal inflammation further disrupts flora — concurrent BV carried adjusted OR 8.21 in Indian community data; treat both when found together.</w:t>
            </w:r>
          </w:p>
        </w:tc>
      </w:tr>
      <w:tr>
        <w:trPr>
          <w:cantSplit/>
        </w:trPr>
        <w:tc>
          <w:tcPr>
            <w:tcW w:type="dxa" w:w="2232"/>
            <w:vAlign w:val="top"/>
          </w:tcPr>
          <w:p>
            <w:pPr>
              <w:spacing w:after="40" w:before="0" w:line="259" w:lineRule="auto"/>
            </w:pPr>
            <w:r>
              <w:rPr>
                <w:rFonts w:ascii="Calibri" w:hAnsi="Calibri"/>
                <w:b/>
                <w:i w:val="0"/>
                <w:color w:val="212121"/>
                <w:sz w:val="19"/>
              </w:rPr>
              <w:t>Vulvovaginal candidiasis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 co-traveller in Indian women with discharge (mixed T. vaginalis–Candida infection in 6.3% of rural Haryana women; candidiasis OR 2.40 in Mysore); overlapping symptoms confound syndromic management, so laboratory confirmation changes therapy.</w:t>
            </w:r>
          </w:p>
        </w:tc>
      </w:tr>
      <w:tr>
        <w:trPr>
          <w:cantSplit/>
        </w:trPr>
        <w:tc>
          <w:tcPr>
            <w:tcW w:type="dxa" w:w="2232"/>
            <w:vAlign w:val="top"/>
          </w:tcPr>
          <w:p>
            <w:pPr>
              <w:spacing w:after="40" w:before="0" w:line="259" w:lineRule="auto"/>
            </w:pPr>
            <w:r>
              <w:rPr>
                <w:rFonts w:ascii="Calibri" w:hAnsi="Calibri"/>
                <w:b/>
                <w:i w:val="0"/>
                <w:color w:val="212121"/>
                <w:sz w:val="19"/>
              </w:rPr>
              <w:t>Other STIs — chlamydia, gonorrhoea, HSV-2, syphilis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sexual networks and mucosal disruption: pooled OR 2.01 for co-existing STIs; HSV-2 seropositivity carried OR 3.44 in Mysore. Every trichomoniasis diagnosis should trigger full STI/HIV screening and partner services.</w:t>
            </w:r>
          </w:p>
        </w:tc>
      </w:tr>
      <w:tr>
        <w:trPr>
          <w:cantSplit/>
        </w:trPr>
        <w:tc>
          <w:tcPr>
            <w:tcW w:type="dxa" w:w="2232"/>
            <w:vAlign w:val="top"/>
          </w:tcPr>
          <w:p>
            <w:pPr>
              <w:spacing w:after="40" w:before="0" w:line="259" w:lineRule="auto"/>
            </w:pPr>
            <w:r>
              <w:rPr>
                <w:rFonts w:ascii="Calibri" w:hAnsi="Calibri"/>
                <w:b/>
                <w:i w:val="0"/>
                <w:color w:val="212121"/>
                <w:sz w:val="19"/>
              </w:rPr>
              <w:t>Pelvic inflammatory disease (PID)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Ascending infection/inflammation contributes to PID, with the association strongest among women with HIV; PID risk drives the downstream burden of tubal infertility and chronic pelvic pain.</w:t>
            </w:r>
          </w:p>
        </w:tc>
      </w:tr>
      <w:tr>
        <w:trPr>
          <w:cantSplit/>
        </w:trPr>
        <w:tc>
          <w:tcPr>
            <w:tcW w:type="dxa" w:w="2232"/>
            <w:vAlign w:val="top"/>
          </w:tcPr>
          <w:p>
            <w:pPr>
              <w:spacing w:after="40" w:before="0" w:line="259" w:lineRule="auto"/>
            </w:pPr>
            <w:r>
              <w:rPr>
                <w:rFonts w:ascii="Calibri" w:hAnsi="Calibri"/>
                <w:b/>
                <w:i w:val="0"/>
                <w:color w:val="212121"/>
                <w:sz w:val="19"/>
              </w:rPr>
              <w:t>Adverse pregnancy outcomes (preterm birth, PPROM, low birth weight)</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Meta-analysis of 11 studies: preterm birth RR 1.42 (95% CI 1.15–1.75), PPROM RR 1.41, small-for-gestational-age RR 1.51; symptomatic pregnant women should be tested and treated — metronidazole poses low fetal risk.</w:t>
            </w:r>
          </w:p>
        </w:tc>
      </w:tr>
      <w:tr>
        <w:trPr>
          <w:cantSplit/>
        </w:trPr>
        <w:tc>
          <w:tcPr>
            <w:tcW w:type="dxa" w:w="2232"/>
            <w:vAlign w:val="top"/>
          </w:tcPr>
          <w:p>
            <w:pPr>
              <w:spacing w:after="40" w:before="0" w:line="259" w:lineRule="auto"/>
            </w:pPr>
            <w:r>
              <w:rPr>
                <w:rFonts w:ascii="Calibri" w:hAnsi="Calibri"/>
                <w:b/>
                <w:i w:val="0"/>
                <w:color w:val="212121"/>
                <w:sz w:val="19"/>
              </w:rPr>
              <w:t>Cervical dysplasia / cervical cancer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Pooled analyses (35 studies, &gt;1 million women) show ≈2-fold higher odds of cervical neoplasia (OR 2.15; adjusted 2.17), plausibly via chronic inflammation and facilitation of HPV entry and persistence — reinforces cervical screening in infected women.</w:t>
            </w:r>
          </w:p>
        </w:tc>
      </w:tr>
      <w:tr>
        <w:trPr>
          <w:cantSplit/>
        </w:trPr>
        <w:tc>
          <w:tcPr>
            <w:tcW w:type="dxa" w:w="2232"/>
            <w:vAlign w:val="top"/>
          </w:tcPr>
          <w:p>
            <w:pPr>
              <w:spacing w:after="40" w:before="0" w:line="259" w:lineRule="auto"/>
            </w:pPr>
            <w:r>
              <w:rPr>
                <w:rFonts w:ascii="Calibri" w:hAnsi="Calibri"/>
                <w:b/>
                <w:i w:val="0"/>
                <w:color w:val="212121"/>
                <w:sz w:val="19"/>
              </w:rPr>
              <w:t>Male genital disease — non-gonococcal urethritis, epididymitis, prostatitis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 vaginalis causes a proportion of NGU (suspect it when standard NGU therapy fails) and can ascend to the epididymis and prostate; chronic prostatic carriage may impair sperm quality.</w:t>
            </w:r>
          </w:p>
        </w:tc>
      </w:tr>
      <w:tr>
        <w:trPr>
          <w:cantSplit/>
        </w:trPr>
        <w:tc>
          <w:tcPr>
            <w:tcW w:type="dxa" w:w="2232"/>
            <w:vAlign w:val="top"/>
          </w:tcPr>
          <w:p>
            <w:pPr>
              <w:spacing w:after="40" w:before="0" w:line="259" w:lineRule="auto"/>
            </w:pPr>
            <w:r>
              <w:rPr>
                <w:rFonts w:ascii="Calibri" w:hAnsi="Calibri"/>
                <w:b/>
                <w:i w:val="0"/>
                <w:color w:val="212121"/>
                <w:sz w:val="19"/>
              </w:rPr>
              <w:t>Infertility (female tubal-factor and male-factor)</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Post-PID tubal damage in women and impaired sperm parameters with chronic male infection link trichomoniasis to reduced fecundity; an argument for aggressive detection in couples planning pregnancy.</w:t>
            </w:r>
          </w:p>
        </w:tc>
      </w:tr>
      <w:tr>
        <w:trPr>
          <w:cantSplit/>
        </w:trPr>
        <w:tc>
          <w:tcPr>
            <w:tcW w:type="dxa" w:w="2232"/>
            <w:vAlign w:val="top"/>
          </w:tcPr>
          <w:p>
            <w:pPr>
              <w:spacing w:after="40" w:before="0" w:line="259" w:lineRule="auto"/>
            </w:pPr>
            <w:r>
              <w:rPr>
                <w:rFonts w:ascii="Calibri" w:hAnsi="Calibri"/>
                <w:b/>
                <w:i w:val="0"/>
                <w:color w:val="212121"/>
                <w:sz w:val="19"/>
              </w:rPr>
              <w:t>Prostate cancer (possible association)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Meta-analysis of 6 case-control studies (5,590 men) reported a modest pooled OR of 1.17 (95% CI 1.01–1.36) with prior T. vaginalis exposure; evidence remains inconsistent and causality unproven — flagged for awareness, not for practice change.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that trichomoniasis is the most common curable STI and that most infected people — especially men — have NO symptoms; absence of symptoms never means absence of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consistent and correct condom use (external or internal) as the best prevention for every non-monogamous or untested partnership.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mutual testing before unprotected sex in a new relationship, and full STI/HIV screening whenever any one STI is found.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strongly against vaginal douching and intravaginal ‘cleansing’ products — they increase the risk of trichomoniasis and other vaginal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Normalise early care-seeking for abnormal discharge, genital itching or burning urination at government Suraksha (STI/RTI) clinics, where assessment and treatment are free and confidential.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women with HIV that screening for trichomoniasis is recommended at entry to care and at least annually.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Dispel myths: trichomoniasis is not caused by poor food, ‘heat’, or toilets in any meaningful way — it is sexually transmitted and fully curable.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sexually active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Young/newly married couples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groups (FSWs, clients, multiple partners)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STI-clinic attendees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nitroimidazole course — for women, metronidazole 500 mg twice daily for 7 days is the recommended regimen (single 2 g dose for men; tinidazole 2 g single dose is the alternative); oral cure rates are 90–95%.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ALL current sexual partners simultaneously, even if they feel completely well — untreated partners are the main cause of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sex until every partner has completed treatment and symptoms have resolved (≈ 7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for retesting about 3 months after treatment (reinfection is common); persistent infection despite adherence should prompt susceptibility-guided higher-dose regimens.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tested for HIV, syphilis, hepatitis B and chlamydia/gonorrhoea — trichomoniasis marks higher-risk networks.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pregnant women should be treated at any stage of pregnancy; metronidazole poses low risk to the fetus — do not withhold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 partners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Recurrent/persistent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activity (≥150 min/week) for general immune and sexual health — there is no direct link between exercise and trichomoniasis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Change out of damp, occlusive sportswear promptly and use your own towel; do not share damp towels or undergarments.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breathable cotton underwear during and after treatment to reduce vulvar irritation.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Gym/sports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vaginitis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adequate diet and correct anaemia/micronutrient deficiency — undernutrition impairs genital mucosal immunity and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curd/fermented foods may support lactobacilli-dominant vaginal flora (supportive evidence only — not a substitute for treatment or condoms).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 food causes or cures trichomoniasis; avoid unproven ‘vaginal detox’ or herbal intravaginal preparations, which can worsen dysbiosis.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Undernourished/anaemic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treatment</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7–9 hours of regular sleep to support immune competence during treatment and in co-existing HIV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sleep disturbance caused by genital discomfort (itching/burning) — it usually settles within days of starting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under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living with HIV</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smoking (cigarettes/bidis) — smokers show higher T. vaginalis prevalence (behavioural-cluster OR ≈1.7) and smoking impairs local mucosal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free national supports: the mCessation ‘QuitNow’ programme and tobacco quitline 1800-11-2356.</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Frame STI diagnosis as a teachable moment to address clustered risks (tobacco, alcohol, condomless sex) together.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Smokers/bidi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STI-clinic attendees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completely during metronidazole treatment and for 24 hours after the last dose (72 hours for tinidazole) — the combination can cause flushing, vomiting and palpitations (disulfiram-like reaction).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heavy/binge drinking generally — intoxication is a major driver of condomless sex and partner concurrency.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alcohol dependence is present, link to de-addiction services; untreated dependence predicts reinfection and poor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nitroimidazoles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Partners under treatment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non-judgemental, confidential counselling — fear of stigma is the biggest barrier to STI testing and partner notification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substance use and depression, which cluster with sexual-risk behaviour.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couple-communication skills for negotiating condom use and mutual testing.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STI-clinic attendees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Key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explicitly: trichomoniasis is fully curable and extremely common — a diagnosis is not proof of recent infidelity, as infection can persist asymptomatically for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structured partner notification (accompanied disclosure or provider-assisted referral) to reduce relationship conflict.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guilt and sexual avoidance after diagnosis; refer for counselling where distress persists.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female sex workers, link to NACO targeted-intervention peer support for sustained screening and condom negotiation.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patients and couples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facing disclosure difficulty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Female sex workers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trichomoniasis" TargetMode="External"/><Relationship Id="rId10" Type="http://schemas.openxmlformats.org/officeDocument/2006/relationships/hyperlink" Target="https://pubmed.ncbi.nlm.nih.gov/40093734/" TargetMode="External"/><Relationship Id="rId11" Type="http://schemas.openxmlformats.org/officeDocument/2006/relationships/hyperlink" Target="https://pubmed.ncbi.nlm.nih.gov/40864904/" TargetMode="External"/><Relationship Id="rId12" Type="http://schemas.openxmlformats.org/officeDocument/2006/relationships/hyperlink" Target="https://pubmed.ncbi.nlm.nih.gov/26316979/" TargetMode="External"/><Relationship Id="rId13" Type="http://schemas.openxmlformats.org/officeDocument/2006/relationships/hyperlink" Target="https://pmc.ncbi.nlm.nih.gov/articles/PMC3619426/" TargetMode="External"/><Relationship Id="rId14" Type="http://schemas.openxmlformats.org/officeDocument/2006/relationships/hyperlink" Target="https://pubmed.ncbi.nlm.nih.gov/17968828/" TargetMode="External"/><Relationship Id="rId15" Type="http://schemas.openxmlformats.org/officeDocument/2006/relationships/hyperlink" Target="https://pubmed.ncbi.nlm.nih.gov/12690130/" TargetMode="External"/><Relationship Id="rId16" Type="http://schemas.openxmlformats.org/officeDocument/2006/relationships/hyperlink" Target="https://www.cdc.gov/std/treatment-guidelines/trichomoniasis.htm" TargetMode="External"/><Relationship Id="rId17" Type="http://schemas.openxmlformats.org/officeDocument/2006/relationships/hyperlink" Target="https://pubmed.ncbi.nlm.nih.gov/24825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