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Dysmenorrhea</w:t>
      </w:r>
    </w:p>
    <w:p>
      <w:pPr>
        <w:spacing w:before="0" w:after="160"/>
      </w:pPr>
      <w:r>
        <w:rPr>
          <w:rFonts w:ascii="Calibri" w:hAnsi="Calibri"/>
          <w:b/>
          <w:i w:val="0"/>
          <w:color w:val="212121"/>
          <w:sz w:val="22"/>
        </w:rPr>
        <w:t xml:space="preserve">AKA </w:t>
      </w:r>
      <w:r>
        <w:rPr>
          <w:rFonts w:ascii="Calibri" w:hAnsi="Calibri"/>
          <w:b w:val="0"/>
          <w:i w:val="0"/>
          <w:color w:val="212121"/>
          <w:sz w:val="22"/>
        </w:rPr>
        <w:t>i.e., Painful periods, Painful menstruation, Period pain, Menstrual cramps, Period cramps; includes Primary dysmenorrhea (no pelvic pathology) and Secondary dysmenorrhea (due to endometriosis, adenomyosis, fibroids or pelvic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Dysmenorrhea is painful menstruation - recurrent, cramping lower-abdominal or pelvic pain that occurs just before or during the menstrual period. Primary dysmenorrhea (about 90% of cases) has no underlying pelvic disease and is driven by excess endometrial prostaglandins that cause strong, ischaemic uterine contractions; it usually begins within 1-2 years of menarche once ovulatory cycles are established. Secondary dysmenorrhea (up to about 10% of cases) is caused by identifiable pelvic pathology such as endometriosis, adenomyosis, uterine fibroids or pelvic inflammatory disease, and tends to appear later, worsen over time and persist beyond menstruation. Although extremely common and largely safe to self-manage, severe or progressive pain can signal treatable secondary disease and warrants evaluation.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Dysmenorrhea is one of the most common yet under-addressed health problems of Indian adolescents and young women. A systematic review and meta-analysis of 29 Indian studies (15,374 students) estimated a pooled prevalence of about 65% (95% CI 58-72%), with roughly 59% among adolescents aged 10-19 years - consistent with the widely quoted 50-70% range for Indian girls and young women. Global estimates range from 50-90% of menstruating individuals, and around 40% of affected adolescents report severe pain. The burden is large but frequently normalised: an estimated 12% of school and work activities are missed each month due to menstrual pain, about 40% of Indian schoolgirls report absence from school during menstruation, and roughly 39% of Indian students self-medicate for period pain, often without medical advice.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Dysmenorrhea is primarily a clinical diagnosis based on a characteristic menstrual pain history; the key task is to separate uncomplicated primary dysmenorrhea (which needs no imaging) from secondary dysmenorrhea, where red-flag features prompt targeted investigation: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history: cyclical, crampy suprapubic pain beginning just before or with menstrual flow, peaking at about 24-48 hours and usually resolving within 72 hours, often radiating to the lower back and thighs.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Primary dysmenorrhea: onset within 6-24 months of menarche, a normal pelvic examination, and good response to NSAIDs or combined hormonal contraception - no imaging is required in typical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 flags for secondary dysmenorrhea: onset years after menarche or after age 25, progressively worsening pain, pain outside menstruation, deep dyspareunia, painful bowel or bladder symptoms, abnormal or heavy bleeding, abnormal vaginal discharge, or subfertility.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severity is graded with a Visual Analogue Scale (0-10) or verbal multidimensional scales (e.g., Andersch-Milsom / WaLIDD) to guide treatment and measure impact.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Pregnancy test (urine or serum beta-hCG) in sexually active patients to exclude pregnancy-related causes before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Pelvic (bimanual and speculum) examination when secondary dysmenorrhea is suspected; this is not required for typical adolescent primary dysmenorrhea.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or transabdominal pelvic ultrasound is the first-line imaging test to detect fibroids, adenomyosis, endometriomas and Mullerian anomalies (a normal scan does not exclude endometriosis).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Endocervical or vaginal swabs / NAAT for chlamydia and gonorrhoea when pelvic inflammatory disease or a sexually transmitted infection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pelvis and diagnostic laparoscopy are reserved for refractory pain or suspected deep endometriosis; laparoscopy remains the reference standard for confirming endometriosis.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Dysmenorrhea is classified chiefly by the presence or absence of underlying pelvic pathology, and further described by severity and by timing relative to menarche:</w:t>
      </w:r>
    </w:p>
    <w:p>
      <w:pPr>
        <w:spacing w:before="0" w:after="80"/>
      </w:pPr>
      <w:r>
        <w:rPr>
          <w:rFonts w:ascii="Calibri" w:hAnsi="Calibri"/>
          <w:b w:val="0"/>
          <w:i w:val="0"/>
          <w:color w:val="212121"/>
          <w:sz w:val="21"/>
        </w:rPr>
        <w:t>(1) Primary dysmenorrhea: painful menstruation with no identifiable pelvic disease, mediated by excess prostaglandins (and vasopressin/leukotrienes); it accounts for about 90% of cases, typically starts within 1-2 years of menarche, and often eases with age and after childbirth.</w:t>
      </w:r>
    </w:p>
    <w:p>
      <w:pPr>
        <w:spacing w:before="0" w:after="80"/>
      </w:pPr>
      <w:r>
        <w:rPr>
          <w:rFonts w:ascii="Calibri" w:hAnsi="Calibri"/>
          <w:b w:val="0"/>
          <w:i w:val="0"/>
          <w:color w:val="212121"/>
          <w:sz w:val="21"/>
        </w:rPr>
        <w:t>(2) Secondary dysmenorrhea: painful menstruation caused by demonstrable pelvic pathology - most commonly endometriosis, adenomyosis, uterine fibroids (leiomyomas), pelvic inflammatory disease, endometrial polyps or congenital Mullerian anomalies; it accounts for up to about 10% of cases and usually appears later and worsens over time.</w:t>
      </w:r>
    </w:p>
    <w:p>
      <w:pPr>
        <w:spacing w:before="0" w:after="80"/>
      </w:pPr>
      <w:r>
        <w:rPr>
          <w:rFonts w:ascii="Calibri" w:hAnsi="Calibri"/>
          <w:b w:val="0"/>
          <w:i w:val="0"/>
          <w:color w:val="212121"/>
          <w:sz w:val="21"/>
        </w:rPr>
        <w:t>(3) By severity (verbal / VAS grading): mild (little interference, rarely needs analgesia), moderate (affects daily activity, needs analgesia), and severe (marked limitation, poorly relieved by analgesics, often with systemic symptoms).</w:t>
      </w:r>
    </w:p>
    <w:p>
      <w:pPr>
        <w:spacing w:before="0" w:after="80"/>
      </w:pPr>
      <w:r>
        <w:rPr>
          <w:rFonts w:ascii="Calibri" w:hAnsi="Calibri"/>
          <w:b w:val="0"/>
          <w:i w:val="0"/>
          <w:color w:val="212121"/>
          <w:sz w:val="21"/>
        </w:rPr>
        <w:t>(4) By clinical timing: pain confined to the first 1-3 days of flow suggests primary dysmenorrhea, whereas pain that begins pre-menstrually and continues after bleeding stops (or is acyclic) suggests a secondary cause.</w:t>
      </w:r>
    </w:p>
    <w:p>
      <w:pPr>
        <w:spacing w:before="0" w:after="80"/>
      </w:pPr>
      <w:r>
        <w:rPr>
          <w:rFonts w:ascii="Calibri" w:hAnsi="Calibri"/>
          <w:b w:val="0"/>
          <w:i w:val="0"/>
          <w:color w:val="212121"/>
          <w:sz w:val="21"/>
        </w:rPr>
        <w:t>(5) Rare variant: membranous dysmenorrhea, in which the endometrium is shed as an intact cast, producing intense cramping.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Prostaglandin overproduction: Excess endometrial prostaglandins (chiefly PGF2-alpha) and leukotrienes trigger strong, poorly coordinated uterine contractions, reduced uterine blood flow and ischaemic pain - the central mechanism of primary dysmenorrhea.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Vasopressin and hormonal factors: Raised vasopressin increases uterine contractility and ischaemia; ovulatory (progesterone-primed) cycles are required, which is why primary dysmenorrhea appears after cycles become ovulatory.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Secondary pelvic pathology: Endometriosis, adenomyosis, uterine fibroids, pelvic inflammatory disease, endometrial polyps and Mullerian anomalies cause secondary dysmenorrhea and must be excluded when red flags are present.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Early menarche and menstrual pattern: Early age at menarche, long menstrual cycles, prolonged bleeding and heavy flow are consistently associated with more painful periods.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 familial predisposition: A family history of dysmenorrhea in mother or sisters is a recognised risk factor, reflecting inherited differences in prostaglandin response and pain sensitivity.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Lifestyle and psychosocial factors: Smoking, low body-mass index or crash dieting, physical inactivity, poor sleep, high psychological/academic stress and skipping breakfast are modifiable factors linked to more severe pain.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Nulliparity and age: Not having given birth and younger age (under 30) increase risk, while parity, advancing age, exercise and combined oral contraceptives are protective.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(within 1-2 years of menarche)</w:t>
            </w:r>
          </w:p>
        </w:tc>
        <w:tc>
          <w:tcPr>
            <w:tcW w:type="dxa" w:w="4276"/>
            <w:vAlign w:val="top"/>
          </w:tcPr>
          <w:p>
            <w:pPr>
              <w:spacing w:after="60" w:line="259" w:lineRule="auto"/>
            </w:pPr>
            <w:r>
              <w:rPr>
                <w:rFonts w:ascii="Calibri" w:hAnsi="Calibri"/>
                <w:b w:val="0"/>
                <w:i w:val="0"/>
                <w:color w:val="212121"/>
                <w:sz w:val="19"/>
              </w:rPr>
              <w:t>Once cycles become ovulatory, endometrial prostaglandin production rises and primary dysmenorrhea peaks in the teenage years. Adolescents also under-report pain and self-treat, so the burden is high but under-addressed.</w:t>
            </w:r>
          </w:p>
          <w:p>
            <w:pPr>
              <w:spacing w:after="40" w:before="60" w:line="259" w:lineRule="auto"/>
            </w:pPr>
            <w:r>
              <w:rPr>
                <w:rFonts w:ascii="Calibri" w:hAnsi="Calibri"/>
                <w:b w:val="0"/>
                <w:i w:val="0"/>
                <w:color w:val="212121"/>
                <w:sz w:val="19"/>
              </w:rPr>
              <w:t>Dysmenorrhea affects about 80% of adolescents, and roughly 40% of affected adolescents report severe pain; in India the pooled prevalence among adolescents is about 59%.</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#primarydysmenorrhea  #adolescents  #menarche  #prostaglandins  #periodpain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reproductive-age women (under 30 years)</w:t>
            </w:r>
          </w:p>
        </w:tc>
        <w:tc>
          <w:tcPr>
            <w:tcW w:type="dxa" w:w="4276"/>
            <w:vAlign w:val="top"/>
          </w:tcPr>
          <w:p>
            <w:pPr>
              <w:spacing w:after="60" w:line="259" w:lineRule="auto"/>
            </w:pPr>
            <w:r>
              <w:rPr>
                <w:rFonts w:ascii="Calibri" w:hAnsi="Calibri"/>
                <w:b w:val="0"/>
                <w:i w:val="0"/>
                <w:color w:val="212121"/>
                <w:sz w:val="19"/>
              </w:rPr>
              <w:t>Primary dysmenorrhea is most common and most intense in women under 30, then tends to lessen with age and after childbirth. Nulliparity and younger age are independent risk factors.</w:t>
            </w:r>
          </w:p>
          <w:p>
            <w:pPr>
              <w:spacing w:after="40" w:before="60" w:line="259" w:lineRule="auto"/>
            </w:pPr>
            <w:r>
              <w:rPr>
                <w:rFonts w:ascii="Calibri" w:hAnsi="Calibri"/>
                <w:b w:val="0"/>
                <w:i w:val="0"/>
                <w:color w:val="212121"/>
                <w:sz w:val="19"/>
              </w:rPr>
              <w:t>Age under 30 years and nulliparity are established risk factors for primary dysmenorrhea; parity and advancing age are protective.</w:t>
            </w:r>
          </w:p>
          <w:p>
            <w:pPr>
              <w:spacing w:after="40" w:line="252" w:lineRule="auto"/>
            </w:pPr>
            <w:hyperlink r:id="rId10">
              <w:r>
                <w:rPr>
                  <w:rFonts w:ascii="Calibri" w:hAnsi="Calibri" w:cs="Calibri"/>
                  <w:sz w:val="18"/>
                  <w:color w:val="1155CC"/>
                  <w:u w:val="single"/>
                </w:rPr>
                <w:t xml:space="preserve">aafp.org - Dysmenorrhea (AFP, 2021)</w:t>
              </w:r>
            </w:hyperlink>
          </w:p>
          <w:p>
            <w:pPr>
              <w:spacing w:before="60" w:after="40"/>
            </w:pPr>
            <w:r>
              <w:rPr>
                <w:rFonts w:ascii="Calibri" w:hAnsi="Calibri"/>
                <w:b w:val="0"/>
                <w:i w:val="0"/>
                <w:color w:val="5A5A5A"/>
                <w:sz w:val="18"/>
              </w:rPr>
              <w:t>#reproductiveage  #nulliparity  #youngwomen  #periodpain  #primarydysmenorrhea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over 25-30 with new-onset or worsening pain</w:t>
            </w:r>
          </w:p>
        </w:tc>
        <w:tc>
          <w:tcPr>
            <w:tcW w:type="dxa" w:w="4276"/>
            <w:vAlign w:val="top"/>
          </w:tcPr>
          <w:p>
            <w:pPr>
              <w:spacing w:after="60" w:line="259" w:lineRule="auto"/>
            </w:pPr>
            <w:r>
              <w:rPr>
                <w:rFonts w:ascii="Calibri" w:hAnsi="Calibri"/>
                <w:b w:val="0"/>
                <w:i w:val="0"/>
                <w:color w:val="212121"/>
                <w:sz w:val="19"/>
              </w:rPr>
              <w:t>Menstrual pain that begins or worsens after the mid-20s, rather than around menarche, raises the probability of a secondary cause such as endometriosis, adenomyosis or fibroids and should prompt pelvic examination and imaging.</w:t>
            </w:r>
          </w:p>
          <w:p>
            <w:pPr>
              <w:spacing w:after="40" w:before="60" w:line="259" w:lineRule="auto"/>
            </w:pPr>
            <w:r>
              <w:rPr>
                <w:rFonts w:ascii="Calibri" w:hAnsi="Calibri"/>
                <w:b w:val="0"/>
                <w:i w:val="0"/>
                <w:color w:val="212121"/>
                <w:sz w:val="19"/>
              </w:rPr>
              <w:t>New-onset or progressive dysmenorrhea after age 25 is a recognised pointer to secondary dysmenorrhea and warrants evaluation for underlying pelvic pathology.</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#secondarydysmenorrhea  #endometriosis  #adenomyosis  #redflags  #latenset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Menstruating women, adolescents and AFAB individuals</w:t>
            </w:r>
          </w:p>
        </w:tc>
        <w:tc>
          <w:tcPr>
            <w:tcW w:type="dxa" w:w="4276"/>
            <w:vAlign w:val="top"/>
          </w:tcPr>
          <w:p>
            <w:pPr>
              <w:spacing w:after="60" w:line="259" w:lineRule="auto"/>
            </w:pPr>
            <w:r>
              <w:rPr>
                <w:rFonts w:ascii="Calibri" w:hAnsi="Calibri"/>
                <w:b w:val="0"/>
                <w:i w:val="0"/>
                <w:color w:val="212121"/>
                <w:sz w:val="19"/>
              </w:rPr>
              <w:t>Dysmenorrhea occurs only in people who menstruate, including transgender men and non-binary individuals assigned female at birth. It is one of the most common gynaecological complaints across the reproductive lifespan.</w:t>
            </w:r>
          </w:p>
          <w:p>
            <w:pPr>
              <w:spacing w:after="40" w:before="60" w:line="259" w:lineRule="auto"/>
            </w:pPr>
            <w:r>
              <w:rPr>
                <w:rFonts w:ascii="Calibri" w:hAnsi="Calibri"/>
                <w:b w:val="0"/>
                <w:i w:val="0"/>
                <w:color w:val="212121"/>
                <w:sz w:val="19"/>
              </w:rPr>
              <w:t>Painful menstruation affects an estimated 50-90% of menstruating individuals of reproductive age worldwide.</w:t>
            </w:r>
          </w:p>
          <w:p>
            <w:pPr>
              <w:spacing w:after="40" w:line="252" w:lineRule="auto"/>
            </w:pPr>
            <w:hyperlink r:id="rId10">
              <w:r>
                <w:rPr>
                  <w:rFonts w:ascii="Calibri" w:hAnsi="Calibri" w:cs="Calibri"/>
                  <w:sz w:val="18"/>
                  <w:color w:val="1155CC"/>
                  <w:u w:val="single"/>
                </w:rPr>
                <w:t xml:space="preserve">aafp.org - Dysmenorrhea (AFP, 2021)</w:t>
              </w:r>
            </w:hyperlink>
          </w:p>
          <w:p>
            <w:pPr>
              <w:spacing w:before="60" w:after="40"/>
            </w:pPr>
            <w:r>
              <w:rPr>
                <w:rFonts w:ascii="Calibri" w:hAnsi="Calibri"/>
                <w:b w:val="0"/>
                <w:i w:val="0"/>
                <w:color w:val="5A5A5A"/>
                <w:sz w:val="18"/>
              </w:rPr>
              <w:t>#menstruation  #womenshealth  #AFAB  #reproductivehealth  #gynaecology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adolescent girls</w:t>
            </w:r>
          </w:p>
        </w:tc>
        <w:tc>
          <w:tcPr>
            <w:tcW w:type="dxa" w:w="4276"/>
            <w:vAlign w:val="top"/>
          </w:tcPr>
          <w:p>
            <w:pPr>
              <w:spacing w:after="60" w:line="259" w:lineRule="auto"/>
            </w:pPr>
            <w:r>
              <w:rPr>
                <w:rFonts w:ascii="Calibri" w:hAnsi="Calibri"/>
                <w:b w:val="0"/>
                <w:i w:val="0"/>
                <w:color w:val="212121"/>
                <w:sz w:val="19"/>
              </w:rPr>
              <w:t>Limited menstrual-health education, restricted access to analgesia and gynaecological care, poor school sanitation and cultural silence around menstruation mean girls from lower-income and rural settings are more likely to endure untreated pain and miss school.</w:t>
            </w:r>
          </w:p>
          <w:p>
            <w:pPr>
              <w:spacing w:after="40" w:before="60" w:line="259" w:lineRule="auto"/>
            </w:pPr>
            <w:r>
              <w:rPr>
                <w:rFonts w:ascii="Calibri" w:hAnsi="Calibri"/>
                <w:b w:val="0"/>
                <w:i w:val="0"/>
                <w:color w:val="212121"/>
                <w:sz w:val="19"/>
              </w:rPr>
              <w:t>In a Delhi study of 600 schoolgirls, about 40% (245) were absent from school during menstruation, with pain, anxiety and fear of staining among the main reasons.</w:t>
            </w:r>
          </w:p>
          <w:p>
            <w:pPr>
              <w:spacing w:after="40" w:line="252" w:lineRule="auto"/>
            </w:pPr>
            <w:hyperlink r:id="rId11">
              <w:r>
                <w:rPr>
                  <w:rFonts w:ascii="Calibri" w:hAnsi="Calibri" w:cs="Calibri"/>
                  <w:sz w:val="18"/>
                  <w:color w:val="1155CC"/>
                  <w:u w:val="single"/>
                </w:rPr>
                <w:t xml:space="preserve">doaj.org / J Family Community Med - menstrual school absenteeism, Delhi (2018)</w:t>
              </w:r>
            </w:hyperlink>
          </w:p>
          <w:p>
            <w:pPr>
              <w:spacing w:before="60" w:after="40"/>
            </w:pPr>
            <w:r>
              <w:rPr>
                <w:rFonts w:ascii="Calibri" w:hAnsi="Calibri"/>
                <w:b w:val="0"/>
                <w:i w:val="0"/>
                <w:color w:val="5A5A5A"/>
                <w:sz w:val="18"/>
              </w:rPr>
              <w:t>#healthequity  #absenteeism  #menstrualhealth  #ruralindia  #accesstocare</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Indian students and adolescent girls</w:t>
            </w:r>
          </w:p>
        </w:tc>
        <w:tc>
          <w:tcPr>
            <w:tcW w:type="dxa" w:w="4276"/>
            <w:vAlign w:val="top"/>
          </w:tcPr>
          <w:p>
            <w:pPr>
              <w:spacing w:after="60" w:line="259" w:lineRule="auto"/>
            </w:pPr>
            <w:r>
              <w:rPr>
                <w:rFonts w:ascii="Calibri" w:hAnsi="Calibri"/>
                <w:b w:val="0"/>
                <w:i w:val="0"/>
                <w:color w:val="212121"/>
                <w:sz w:val="19"/>
              </w:rPr>
              <w:t>Indian school and college students report very high rates of dysmenorrhea, yet the condition is largely normalised and self-managed, with frequent absenteeism and heavy reliance on over-the-counter painkillers rather than formal care.</w:t>
            </w:r>
          </w:p>
          <w:p>
            <w:pPr>
              <w:spacing w:after="40" w:before="60" w:line="259" w:lineRule="auto"/>
            </w:pPr>
            <w:r>
              <w:rPr>
                <w:rFonts w:ascii="Calibri" w:hAnsi="Calibri"/>
                <w:b w:val="0"/>
                <w:i w:val="0"/>
                <w:color w:val="212121"/>
                <w:sz w:val="19"/>
              </w:rPr>
              <w:t>A meta-analysis of 29 Indian studies (15,374 students) found a pooled dysmenorrhea prevalence of about 65% (95% CI 58-72%).</w:t>
            </w:r>
          </w:p>
          <w:p>
            <w:pPr>
              <w:spacing w:after="40" w:line="252" w:lineRule="auto"/>
            </w:pPr>
            <w:hyperlink r:id="rId12">
              <w:r>
                <w:rPr>
                  <w:rFonts w:ascii="Calibri" w:hAnsi="Calibri" w:cs="Calibri"/>
                  <w:sz w:val="18"/>
                  <w:color w:val="1155CC"/>
                  <w:u w:val="single"/>
                </w:rPr>
                <w:t xml:space="preserve">jsafog (J South Asian Fed Obstet Gynaecol) - dysmenorrhea in Indian students, pooled ~65% (2025)</w:t>
              </w:r>
            </w:hyperlink>
          </w:p>
          <w:p>
            <w:pPr>
              <w:spacing w:before="60" w:after="40"/>
            </w:pPr>
            <w:r>
              <w:rPr>
                <w:rFonts w:ascii="Calibri" w:hAnsi="Calibri"/>
                <w:b w:val="0"/>
                <w:i w:val="0"/>
                <w:color w:val="5A5A5A"/>
                <w:sz w:val="18"/>
              </w:rPr>
              <w:t>#indiafirst  #studentshealth  #selfmedication  #absenteeism  #underaddressed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Physically inactive students and desk-bound workers</w:t>
            </w:r>
          </w:p>
        </w:tc>
        <w:tc>
          <w:tcPr>
            <w:tcW w:type="dxa" w:w="4276"/>
            <w:vAlign w:val="top"/>
          </w:tcPr>
          <w:p>
            <w:pPr>
              <w:spacing w:after="60" w:line="259" w:lineRule="auto"/>
            </w:pPr>
            <w:r>
              <w:rPr>
                <w:rFonts w:ascii="Calibri" w:hAnsi="Calibri"/>
                <w:b w:val="0"/>
                <w:i w:val="0"/>
                <w:color w:val="212121"/>
                <w:sz w:val="19"/>
              </w:rPr>
              <w:t>Physical inactivity is linked to more severe menstrual pain, whereas regular exercise improves pelvic blood flow, lowers prostaglandin effect and releases endorphins. Prolonged sitting and low fitness tend to aggravate cramps.</w:t>
            </w:r>
          </w:p>
          <w:p>
            <w:pPr>
              <w:spacing w:after="40" w:before="60" w:line="259" w:lineRule="auto"/>
            </w:pPr>
            <w:r>
              <w:rPr>
                <w:rFonts w:ascii="Calibri" w:hAnsi="Calibri"/>
                <w:b w:val="0"/>
                <w:i w:val="0"/>
                <w:color w:val="212121"/>
                <w:sz w:val="19"/>
              </w:rPr>
              <w:t>A Cochrane review found regular exercise produced a large reduction in period-pain intensity (SMD -1.86; about 25 mm on a 100 mm scale) versus no exercise.</w:t>
            </w:r>
          </w:p>
          <w:p>
            <w:pPr>
              <w:spacing w:after="40" w:line="252" w:lineRule="auto"/>
            </w:pPr>
            <w:hyperlink r:id="rId13">
              <w:r>
                <w:rPr>
                  <w:rFonts w:ascii="Calibri" w:hAnsi="Calibri" w:cs="Calibri"/>
                  <w:sz w:val="18"/>
                  <w:color w:val="1155CC"/>
                  <w:u w:val="single"/>
                </w:rPr>
                <w:t xml:space="preserve">cochrane.org - exercise for dysmenorrhoea (Armour, 2019)</w:t>
              </w:r>
            </w:hyperlink>
          </w:p>
          <w:p>
            <w:pPr>
              <w:spacing w:before="60" w:after="40"/>
            </w:pPr>
            <w:r>
              <w:rPr>
                <w:rFonts w:ascii="Calibri" w:hAnsi="Calibri"/>
                <w:b w:val="0"/>
                <w:i w:val="0"/>
                <w:color w:val="5A5A5A"/>
                <w:sz w:val="18"/>
              </w:rPr>
              <w:t>#sedentary  #exercise  #physicalactivity  #endorphins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 (active and passive)</w:t>
            </w:r>
          </w:p>
        </w:tc>
        <w:tc>
          <w:tcPr>
            <w:tcW w:type="dxa" w:w="4276"/>
            <w:vAlign w:val="top"/>
          </w:tcPr>
          <w:p>
            <w:pPr>
              <w:spacing w:after="60" w:line="259" w:lineRule="auto"/>
            </w:pPr>
            <w:r>
              <w:rPr>
                <w:rFonts w:ascii="Calibri" w:hAnsi="Calibri"/>
                <w:b w:val="0"/>
                <w:i w:val="0"/>
                <w:color w:val="212121"/>
                <w:sz w:val="19"/>
              </w:rPr>
              <w:t>Nicotine causes vasoconstriction and reduced uterine blood flow, prolonging ischaemic pain; both active and second-hand smoke are associated with more painful periods, and the risk falls after quitting.</w:t>
            </w:r>
          </w:p>
          <w:p>
            <w:pPr>
              <w:spacing w:after="40" w:before="60" w:line="259" w:lineRule="auto"/>
            </w:pPr>
            <w:r>
              <w:rPr>
                <w:rFonts w:ascii="Calibri" w:hAnsi="Calibri"/>
                <w:b w:val="0"/>
                <w:i w:val="0"/>
                <w:color w:val="212121"/>
                <w:sz w:val="19"/>
              </w:rPr>
              <w:t>A meta-analysis of 24 studies (27,091 women) found smokers had about 1.45 times higher odds of dysmenorrhea (OR 1.45, 95% CI 1.30-1.61); current smokers OR 1.50, former smokers OR 1.31.</w:t>
            </w:r>
          </w:p>
          <w:p>
            <w:pPr>
              <w:spacing w:after="40" w:line="252" w:lineRule="auto"/>
            </w:pPr>
            <w:hyperlink r:id="rId14">
              <w:r>
                <w:rPr>
                  <w:rFonts w:ascii="Calibri" w:hAnsi="Calibri" w:cs="Calibri"/>
                  <w:sz w:val="18"/>
                  <w:color w:val="1155CC"/>
                  <w:u w:val="single"/>
                </w:rPr>
                <w:t xml:space="preserve">journals.plos.org - smoking and dysmenorrhea meta-analysis (PLOS ONE, 2020)</w:t>
              </w:r>
            </w:hyperlink>
          </w:p>
          <w:p>
            <w:pPr>
              <w:spacing w:before="60" w:after="40"/>
            </w:pPr>
            <w:r>
              <w:rPr>
                <w:rFonts w:ascii="Calibri" w:hAnsi="Calibri"/>
                <w:b w:val="0"/>
                <w:i w:val="0"/>
                <w:color w:val="5A5A5A"/>
                <w:sz w:val="18"/>
              </w:rPr>
              <w:t>#smoking  #vasoconstriction  #tobacco  #passivesmoking  #modifiablerisk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alcohol consumers</w:t>
            </w:r>
          </w:p>
        </w:tc>
        <w:tc>
          <w:tcPr>
            <w:tcW w:type="dxa" w:w="4276"/>
            <w:vAlign w:val="top"/>
          </w:tcPr>
          <w:p>
            <w:pPr>
              <w:spacing w:after="60" w:line="259" w:lineRule="auto"/>
            </w:pPr>
            <w:r>
              <w:rPr>
                <w:rFonts w:ascii="Calibri" w:hAnsi="Calibri"/>
                <w:b w:val="0"/>
                <w:i w:val="0"/>
                <w:color w:val="212121"/>
                <w:sz w:val="19"/>
              </w:rPr>
              <w:t>Evidence is inconsistent, but alcohol can worsen bloating, disturb sleep and alter prostaglandin and hormone metabolism, and heavy intake may aggravate premenstrual and menstrual symptoms in some women.</w:t>
            </w:r>
          </w:p>
          <w:p>
            <w:pPr>
              <w:spacing w:after="40" w:before="60" w:line="259" w:lineRule="auto"/>
            </w:pPr>
            <w:r>
              <w:rPr>
                <w:rFonts w:ascii="Calibri" w:hAnsi="Calibri"/>
                <w:b w:val="0"/>
                <w:i w:val="0"/>
                <w:color w:val="212121"/>
                <w:sz w:val="19"/>
              </w:rPr>
              <w:t>The link between alcohol and dysmenorrhea is weaker and less consistent than for smoking, but limiting alcohol around menstruation is a reasonable, low-risk measure.</w:t>
            </w:r>
          </w:p>
          <w:p>
            <w:pPr>
              <w:spacing w:before="60" w:after="40"/>
            </w:pPr>
            <w:r>
              <w:rPr>
                <w:rFonts w:ascii="Calibri" w:hAnsi="Calibri"/>
                <w:b w:val="0"/>
                <w:i w:val="0"/>
                <w:color w:val="5A5A5A"/>
                <w:sz w:val="18"/>
              </w:rPr>
              <w:t>#alcohol  #bloating  #sleep  #lifestyle  #premenstrual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 / poor sleep</w:t>
            </w:r>
          </w:p>
        </w:tc>
        <w:tc>
          <w:tcPr>
            <w:tcW w:type="dxa" w:w="2160"/>
            <w:vAlign w:val="top"/>
          </w:tcPr>
          <w:p>
            <w:pPr>
              <w:spacing w:after="40" w:before="0" w:line="259" w:lineRule="auto"/>
            </w:pPr>
            <w:r>
              <w:rPr>
                <w:rFonts w:ascii="Calibri" w:hAnsi="Calibri"/>
                <w:b w:val="0"/>
                <w:i w:val="0"/>
                <w:color w:val="212121"/>
                <w:sz w:val="19"/>
              </w:rPr>
              <w:t>Students and workers under high stress with disturbed sleep</w:t>
            </w:r>
          </w:p>
        </w:tc>
        <w:tc>
          <w:tcPr>
            <w:tcW w:type="dxa" w:w="4276"/>
            <w:vAlign w:val="top"/>
          </w:tcPr>
          <w:p>
            <w:pPr>
              <w:spacing w:after="60" w:line="259" w:lineRule="auto"/>
            </w:pPr>
            <w:r>
              <w:rPr>
                <w:rFonts w:ascii="Calibri" w:hAnsi="Calibri"/>
                <w:b w:val="0"/>
                <w:i w:val="0"/>
                <w:color w:val="212121"/>
                <w:sz w:val="19"/>
              </w:rPr>
              <w:t>High academic or work stress, anxiety, depression and poor sleep lower the pain threshold and heighten pain perception, and stress is repeatedly reported as a driver of severe dysmenorrhea among Indian students.</w:t>
            </w:r>
          </w:p>
          <w:p>
            <w:pPr>
              <w:spacing w:after="40" w:before="60" w:line="259" w:lineRule="auto"/>
            </w:pPr>
            <w:r>
              <w:rPr>
                <w:rFonts w:ascii="Calibri" w:hAnsi="Calibri"/>
                <w:b w:val="0"/>
                <w:i w:val="0"/>
                <w:color w:val="212121"/>
                <w:sz w:val="19"/>
              </w:rPr>
              <w:t>Depression, anxiety and high perceived stress are recognised risk factors for dysmenorrhea, and psychological stress is among the factors most often associated with painful periods in Indian student studies.</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#stress  #anxiety  #sleep  #painperception  #mentalhealth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body weight</w:t>
            </w:r>
          </w:p>
        </w:tc>
        <w:tc>
          <w:tcPr>
            <w:tcW w:type="dxa" w:w="2160"/>
            <w:vAlign w:val="top"/>
          </w:tcPr>
          <w:p>
            <w:pPr>
              <w:spacing w:after="40" w:before="0" w:line="259" w:lineRule="auto"/>
            </w:pPr>
            <w:r>
              <w:rPr>
                <w:rFonts w:ascii="Calibri" w:hAnsi="Calibri"/>
                <w:b w:val="0"/>
                <w:i w:val="0"/>
                <w:color w:val="212121"/>
                <w:sz w:val="19"/>
              </w:rPr>
              <w:t>Underweight women / low BMI (&lt;20) and crash-dieters</w:t>
            </w:r>
          </w:p>
        </w:tc>
        <w:tc>
          <w:tcPr>
            <w:tcW w:type="dxa" w:w="4276"/>
            <w:vAlign w:val="top"/>
          </w:tcPr>
          <w:p>
            <w:pPr>
              <w:spacing w:after="60" w:line="259" w:lineRule="auto"/>
            </w:pPr>
            <w:r>
              <w:rPr>
                <w:rFonts w:ascii="Calibri" w:hAnsi="Calibri"/>
                <w:b w:val="0"/>
                <w:i w:val="0"/>
                <w:color w:val="212121"/>
                <w:sz w:val="19"/>
              </w:rPr>
              <w:t>A low body-mass index and restrictive weight-loss dieting are associated with more severe primary dysmenorrhea, likely through hormonal and nutritional effects on the menstrual cycle; evidence for overweight is more mixed.</w:t>
            </w:r>
          </w:p>
          <w:p>
            <w:pPr>
              <w:spacing w:after="40" w:before="60" w:line="259" w:lineRule="auto"/>
            </w:pPr>
            <w:r>
              <w:rPr>
                <w:rFonts w:ascii="Calibri" w:hAnsi="Calibri"/>
                <w:b w:val="0"/>
                <w:i w:val="0"/>
                <w:color w:val="212121"/>
                <w:sz w:val="19"/>
              </w:rPr>
              <w:t>A BMI below about 20 kg/m2 and following a diet to lose weight are associated with increased menstrual pain intensity.</w:t>
            </w:r>
          </w:p>
          <w:p>
            <w:pPr>
              <w:spacing w:after="40" w:line="252" w:lineRule="auto"/>
            </w:pPr>
            <w:hyperlink r:id="rId15">
              <w:r>
                <w:rPr>
                  <w:rFonts w:ascii="Calibri" w:hAnsi="Calibri" w:cs="Calibri"/>
                  <w:sz w:val="18"/>
                  <w:color w:val="1155CC"/>
                  <w:u w:val="single"/>
                </w:rPr>
                <w:t xml:space="preserve">karger.com - nutrition and primary dysmenorrhea review (Gynecol Obstet Invest, 2019)</w:t>
              </w:r>
            </w:hyperlink>
          </w:p>
          <w:p>
            <w:pPr>
              <w:spacing w:before="60" w:after="40"/>
            </w:pPr>
            <w:r>
              <w:rPr>
                <w:rFonts w:ascii="Calibri" w:hAnsi="Calibri"/>
                <w:b w:val="0"/>
                <w:i w:val="0"/>
                <w:color w:val="5A5A5A"/>
                <w:sz w:val="18"/>
              </w:rPr>
              <w:t>#lowBMI  #underweight  #crashdieting  #nutrition  #menstrualpain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Breakfast-skippers and high junk-food / caffeine consumers</w:t>
            </w:r>
          </w:p>
        </w:tc>
        <w:tc>
          <w:tcPr>
            <w:tcW w:type="dxa" w:w="4276"/>
            <w:vAlign w:val="top"/>
          </w:tcPr>
          <w:p>
            <w:pPr>
              <w:spacing w:after="60" w:line="259" w:lineRule="auto"/>
            </w:pPr>
            <w:r>
              <w:rPr>
                <w:rFonts w:ascii="Calibri" w:hAnsi="Calibri"/>
                <w:b w:val="0"/>
                <w:i w:val="0"/>
                <w:color w:val="212121"/>
                <w:sz w:val="19"/>
              </w:rPr>
              <w:t>Skipping breakfast and meals, high intake of fried/junk food, salt, sugary drinks and caffeine are linked to worse period pain, whereas fish/omega-3, dairy/calcium and fruit and vegetables are associated with less pain.</w:t>
            </w:r>
          </w:p>
          <w:p>
            <w:pPr>
              <w:spacing w:after="40" w:before="60" w:line="259" w:lineRule="auto"/>
            </w:pPr>
            <w:r>
              <w:rPr>
                <w:rFonts w:ascii="Calibri" w:hAnsi="Calibri"/>
                <w:b w:val="0"/>
                <w:i w:val="0"/>
                <w:color w:val="212121"/>
                <w:sz w:val="19"/>
              </w:rPr>
              <w:t>In a systematic review, breakfast/meal skipping and weight-loss dieting were associated with more menstrual pain, while fish, dairy and fruit/vegetable intake were associated with less pain.</w:t>
            </w:r>
          </w:p>
          <w:p>
            <w:pPr>
              <w:spacing w:after="40" w:line="252" w:lineRule="auto"/>
            </w:pPr>
            <w:hyperlink r:id="rId15">
              <w:r>
                <w:rPr>
                  <w:rFonts w:ascii="Calibri" w:hAnsi="Calibri" w:cs="Calibri"/>
                  <w:sz w:val="18"/>
                  <w:color w:val="1155CC"/>
                  <w:u w:val="single"/>
                </w:rPr>
                <w:t xml:space="preserve">karger.com - nutrition and primary dysmenorrhea review (Gynecol Obstet Invest, 2019)</w:t>
              </w:r>
            </w:hyperlink>
          </w:p>
          <w:p>
            <w:pPr>
              <w:spacing w:before="60" w:after="40"/>
            </w:pPr>
            <w:r>
              <w:rPr>
                <w:rFonts w:ascii="Calibri" w:hAnsi="Calibri"/>
                <w:b w:val="0"/>
                <w:i w:val="0"/>
                <w:color w:val="5A5A5A"/>
                <w:sz w:val="18"/>
              </w:rPr>
              <w:t>#breakfastskipping  #junkfood  #omega3  #calcium  #diet</w:t>
            </w:r>
          </w:p>
        </w:tc>
      </w:tr>
      <w:tr>
        <w:trPr>
          <w:cantSplit/>
        </w:trPr>
        <w:tc>
          <w:tcPr>
            <w:tcW w:type="dxa" w:w="1512"/>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women</w:t>
            </w:r>
          </w:p>
        </w:tc>
        <w:tc>
          <w:tcPr>
            <w:tcW w:type="dxa" w:w="4276"/>
            <w:vAlign w:val="top"/>
          </w:tcPr>
          <w:p>
            <w:pPr>
              <w:spacing w:after="60" w:line="259" w:lineRule="auto"/>
            </w:pPr>
            <w:r>
              <w:rPr>
                <w:rFonts w:ascii="Calibri" w:hAnsi="Calibri"/>
                <w:b w:val="0"/>
                <w:i w:val="0"/>
                <w:color w:val="212121"/>
                <w:sz w:val="19"/>
              </w:rPr>
              <w:t>Obesity and being overweight have been reported among the lifestyle factors associated with dysmenorrhea in Indian students, plausibly through chronic low-grade inflammation and altered oestrogen metabolism, though the association is less consistent than for low BMI.</w:t>
            </w:r>
          </w:p>
          <w:p>
            <w:pPr>
              <w:spacing w:after="40" w:before="60" w:line="259" w:lineRule="auto"/>
            </w:pPr>
            <w:r>
              <w:rPr>
                <w:rFonts w:ascii="Calibri" w:hAnsi="Calibri"/>
                <w:b w:val="0"/>
                <w:i w:val="0"/>
                <w:color w:val="212121"/>
                <w:sz w:val="19"/>
              </w:rPr>
              <w:t>Overweight and obesity are listed among the lifestyle factors associated with dysmenorrhea in Indian student studies, but findings across studies are mixed.</w:t>
            </w:r>
          </w:p>
          <w:p>
            <w:pPr>
              <w:spacing w:after="40" w:line="252" w:lineRule="auto"/>
            </w:pPr>
            <w:hyperlink r:id="rId12">
              <w:r>
                <w:rPr>
                  <w:rFonts w:ascii="Calibri" w:hAnsi="Calibri" w:cs="Calibri"/>
                  <w:sz w:val="18"/>
                  <w:color w:val="1155CC"/>
                  <w:u w:val="single"/>
                </w:rPr>
                <w:t xml:space="preserve">jsafog (J South Asian Fed Obstet Gynaecol) - dysmenorrhea in Indian students (2025)</w:t>
              </w:r>
            </w:hyperlink>
          </w:p>
          <w:p>
            <w:pPr>
              <w:spacing w:before="60" w:after="40"/>
            </w:pPr>
            <w:r>
              <w:rPr>
                <w:rFonts w:ascii="Calibri" w:hAnsi="Calibri"/>
                <w:b w:val="0"/>
                <w:i w:val="0"/>
                <w:color w:val="5A5A5A"/>
                <w:sz w:val="18"/>
              </w:rPr>
              <w:t>#overweight  #obesity  #inflammation  #estrogen  #lifestyle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Mother or sisters with painful periods</w:t>
            </w:r>
          </w:p>
        </w:tc>
        <w:tc>
          <w:tcPr>
            <w:tcW w:type="dxa" w:w="4276"/>
            <w:vAlign w:val="top"/>
          </w:tcPr>
          <w:p>
            <w:pPr>
              <w:spacing w:after="60" w:line="259" w:lineRule="auto"/>
            </w:pPr>
            <w:r>
              <w:rPr>
                <w:rFonts w:ascii="Calibri" w:hAnsi="Calibri"/>
                <w:b w:val="0"/>
                <w:i w:val="0"/>
                <w:color w:val="212121"/>
                <w:sz w:val="19"/>
              </w:rPr>
              <w:t>A family history of dysmenorrhea substantially increases risk, reflecting inherited differences in prostaglandin production, uterine sensitivity and pain processing, as well as shared environment and reporting.</w:t>
            </w:r>
          </w:p>
          <w:p>
            <w:pPr>
              <w:spacing w:after="40" w:before="60" w:line="259" w:lineRule="auto"/>
            </w:pPr>
            <w:r>
              <w:rPr>
                <w:rFonts w:ascii="Calibri" w:hAnsi="Calibri"/>
                <w:b w:val="0"/>
                <w:i w:val="0"/>
                <w:color w:val="212121"/>
                <w:sz w:val="19"/>
              </w:rPr>
              <w:t>A family history of dysmenorrhea in first-degree relatives is a consistently reported risk factor for painful periods.</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#familyhistory  #genetics  #inherited  #painsensitivity  #prostaglandins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Endometriosis</w:t>
            </w:r>
          </w:p>
        </w:tc>
        <w:tc>
          <w:tcPr>
            <w:tcW w:type="dxa" w:w="2160"/>
            <w:vAlign w:val="top"/>
          </w:tcPr>
          <w:p>
            <w:pPr>
              <w:spacing w:after="40" w:before="0" w:line="259" w:lineRule="auto"/>
            </w:pPr>
            <w:r>
              <w:rPr>
                <w:rFonts w:ascii="Calibri" w:hAnsi="Calibri"/>
                <w:b w:val="0"/>
                <w:i w:val="0"/>
                <w:color w:val="212121"/>
                <w:sz w:val="19"/>
              </w:rPr>
              <w:t>Women with endometriosis</w:t>
            </w:r>
          </w:p>
        </w:tc>
        <w:tc>
          <w:tcPr>
            <w:tcW w:type="dxa" w:w="4276"/>
            <w:vAlign w:val="top"/>
          </w:tcPr>
          <w:p>
            <w:pPr>
              <w:spacing w:after="60" w:line="259" w:lineRule="auto"/>
            </w:pPr>
            <w:r>
              <w:rPr>
                <w:rFonts w:ascii="Calibri" w:hAnsi="Calibri"/>
                <w:b w:val="0"/>
                <w:i w:val="0"/>
                <w:color w:val="212121"/>
                <w:sz w:val="19"/>
              </w:rPr>
              <w:t>Endometriosis is the most common cause of secondary dysmenorrhea. Ectopic endometrial tissue bleeds cyclically, causing intense, progressive pain, often with deep dyspareunia, painful bowel/bladder symptoms and subfertility; diagnosis is frequently delayed for years.</w:t>
            </w:r>
          </w:p>
          <w:p>
            <w:pPr>
              <w:spacing w:after="40" w:before="60" w:line="259" w:lineRule="auto"/>
            </w:pPr>
            <w:r>
              <w:rPr>
                <w:rFonts w:ascii="Calibri" w:hAnsi="Calibri"/>
                <w:b w:val="0"/>
                <w:i w:val="0"/>
                <w:color w:val="212121"/>
                <w:sz w:val="19"/>
              </w:rPr>
              <w:t>Endometriosis affects about 10% (190 million) of reproductive-age women worldwide and underlies up to about 29% of dysmenorrhea cases (and around 35% of NSAID-resistant cases); average time to diagnosis is 4-12 years.</w:t>
            </w:r>
          </w:p>
          <w:p>
            <w:pPr>
              <w:spacing w:after="40" w:line="252" w:lineRule="auto"/>
            </w:pPr>
            <w:hyperlink r:id="rId16">
              <w:r>
                <w:rPr>
                  <w:rFonts w:ascii="Calibri" w:hAnsi="Calibri" w:cs="Calibri"/>
                  <w:sz w:val="18"/>
                  <w:color w:val="1155CC"/>
                  <w:u w:val="single"/>
                </w:rPr>
                <w:t xml:space="preserve">who.int - endometriosis fact sheet</w:t>
              </w:r>
            </w:hyperlink>
          </w:p>
          <w:p>
            <w:pPr>
              <w:spacing w:before="60" w:after="40"/>
            </w:pPr>
            <w:r>
              <w:rPr>
                <w:rFonts w:ascii="Calibri" w:hAnsi="Calibri"/>
                <w:b w:val="0"/>
                <w:i w:val="0"/>
                <w:color w:val="5A5A5A"/>
                <w:sz w:val="18"/>
              </w:rPr>
              <w:t>#endometriosis  #secondarydysmenorrhea  #diagnosticdelay  #dyspareunia  #infertility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Adenomyosis</w:t>
            </w:r>
          </w:p>
        </w:tc>
        <w:tc>
          <w:tcPr>
            <w:tcW w:type="dxa" w:w="2160"/>
            <w:vAlign w:val="top"/>
          </w:tcPr>
          <w:p>
            <w:pPr>
              <w:spacing w:after="40" w:before="0" w:line="259" w:lineRule="auto"/>
            </w:pPr>
            <w:r>
              <w:rPr>
                <w:rFonts w:ascii="Calibri" w:hAnsi="Calibri"/>
                <w:b w:val="0"/>
                <w:i w:val="0"/>
                <w:color w:val="212121"/>
                <w:sz w:val="19"/>
              </w:rPr>
              <w:t>Women with adenomyosis (often parous, 30s-40s)</w:t>
            </w:r>
          </w:p>
        </w:tc>
        <w:tc>
          <w:tcPr>
            <w:tcW w:type="dxa" w:w="4276"/>
            <w:vAlign w:val="top"/>
          </w:tcPr>
          <w:p>
            <w:pPr>
              <w:spacing w:after="60" w:line="259" w:lineRule="auto"/>
            </w:pPr>
            <w:r>
              <w:rPr>
                <w:rFonts w:ascii="Calibri" w:hAnsi="Calibri"/>
                <w:b w:val="0"/>
                <w:i w:val="0"/>
                <w:color w:val="212121"/>
                <w:sz w:val="19"/>
              </w:rPr>
              <w:t>In adenomyosis, endometrial tissue grows within the uterine muscle, producing a diffusely enlarged, tender, boggy uterus with heavy, increasingly painful periods - a common secondary cause in older, parous women.</w:t>
            </w:r>
          </w:p>
          <w:p>
            <w:pPr>
              <w:spacing w:after="40" w:before="60" w:line="259" w:lineRule="auto"/>
            </w:pPr>
            <w:r>
              <w:rPr>
                <w:rFonts w:ascii="Calibri" w:hAnsi="Calibri"/>
                <w:b w:val="0"/>
                <w:i w:val="0"/>
                <w:color w:val="212121"/>
                <w:sz w:val="19"/>
              </w:rPr>
              <w:t>Adenomyosis classically presents with heavy menstrual bleeding and worsening dysmenorrhea and a symmetrically enlarged, tender uterus on examination.</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#adenomyosis  #heavybleeding  #boggyuterus  #secondarydysmenorrhea  #parous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Uterine fibroids</w:t>
            </w:r>
          </w:p>
        </w:tc>
        <w:tc>
          <w:tcPr>
            <w:tcW w:type="dxa" w:w="2160"/>
            <w:vAlign w:val="top"/>
          </w:tcPr>
          <w:p>
            <w:pPr>
              <w:spacing w:after="40" w:before="0" w:line="259" w:lineRule="auto"/>
            </w:pPr>
            <w:r>
              <w:rPr>
                <w:rFonts w:ascii="Calibri" w:hAnsi="Calibri"/>
                <w:b w:val="0"/>
                <w:i w:val="0"/>
                <w:color w:val="212121"/>
                <w:sz w:val="19"/>
              </w:rPr>
              <w:t>Women with uterine leiomyomas</w:t>
            </w:r>
          </w:p>
        </w:tc>
        <w:tc>
          <w:tcPr>
            <w:tcW w:type="dxa" w:w="4276"/>
            <w:vAlign w:val="top"/>
          </w:tcPr>
          <w:p>
            <w:pPr>
              <w:spacing w:after="60" w:line="259" w:lineRule="auto"/>
            </w:pPr>
            <w:r>
              <w:rPr>
                <w:rFonts w:ascii="Calibri" w:hAnsi="Calibri"/>
                <w:b w:val="0"/>
                <w:i w:val="0"/>
                <w:color w:val="212121"/>
                <w:sz w:val="19"/>
              </w:rPr>
              <w:t>Fibroids, especially submucosal ones, distort the uterine cavity and increase menstrual flow and cramping, causing secondary dysmenorrhea often accompanied by heavy or prolonged bleeding and pelvic pressure.</w:t>
            </w:r>
          </w:p>
          <w:p>
            <w:pPr>
              <w:spacing w:after="40" w:before="60" w:line="259" w:lineRule="auto"/>
            </w:pPr>
            <w:r>
              <w:rPr>
                <w:rFonts w:ascii="Calibri" w:hAnsi="Calibri"/>
                <w:b w:val="0"/>
                <w:i w:val="0"/>
                <w:color w:val="212121"/>
                <w:sz w:val="19"/>
              </w:rPr>
              <w:t>Uterine fibroids are a common structural cause of secondary dysmenorrhea and typically present alongside heavy menstrual bleeding and an irregular, enlarged uterus.</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#fibroids  #leiomyoma  #heavybleeding  #secondarydysmenorrhea  #pelvicpressure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Pelvic inflammatory disease</w:t>
            </w:r>
          </w:p>
        </w:tc>
        <w:tc>
          <w:tcPr>
            <w:tcW w:type="dxa" w:w="2160"/>
            <w:vAlign w:val="top"/>
          </w:tcPr>
          <w:p>
            <w:pPr>
              <w:spacing w:after="40" w:before="0" w:line="259" w:lineRule="auto"/>
            </w:pPr>
            <w:r>
              <w:rPr>
                <w:rFonts w:ascii="Calibri" w:hAnsi="Calibri"/>
                <w:b w:val="0"/>
                <w:i w:val="0"/>
                <w:color w:val="212121"/>
                <w:sz w:val="19"/>
              </w:rPr>
              <w:t>Women with PID / recurrent pelvic infection</w:t>
            </w:r>
          </w:p>
        </w:tc>
        <w:tc>
          <w:tcPr>
            <w:tcW w:type="dxa" w:w="4276"/>
            <w:vAlign w:val="top"/>
          </w:tcPr>
          <w:p>
            <w:pPr>
              <w:spacing w:after="60" w:line="259" w:lineRule="auto"/>
            </w:pPr>
            <w:r>
              <w:rPr>
                <w:rFonts w:ascii="Calibri" w:hAnsi="Calibri"/>
                <w:b w:val="0"/>
                <w:i w:val="0"/>
                <w:color w:val="212121"/>
                <w:sz w:val="19"/>
              </w:rPr>
              <w:t>Pelvic inflammatory disease, usually from sexually transmitted chlamydia or gonorrhoea, causes secondary dysmenorrhea with abnormal discharge, deep pain, dyspareunia and fever; it is a red flag needing prompt antibiotics to prevent tubal damage and infertility.</w:t>
            </w:r>
          </w:p>
          <w:p>
            <w:pPr>
              <w:spacing w:after="40" w:before="60" w:line="259" w:lineRule="auto"/>
            </w:pPr>
            <w:r>
              <w:rPr>
                <w:rFonts w:ascii="Calibri" w:hAnsi="Calibri"/>
                <w:b w:val="0"/>
                <w:i w:val="0"/>
                <w:color w:val="212121"/>
                <w:sz w:val="19"/>
              </w:rPr>
              <w:t>PID is an important infective cause of secondary dysmenorrhea; features such as abnormal discharge, cervical motion tenderness and fever should trigger STI testing and treatment.</w:t>
            </w:r>
          </w:p>
          <w:p>
            <w:pPr>
              <w:spacing w:after="40" w:line="252" w:lineRule="auto"/>
            </w:pPr>
            <w:hyperlink r:id="rId9">
              <w:r>
                <w:rPr>
                  <w:rFonts w:ascii="Calibri" w:hAnsi="Calibri" w:cs="Calibri"/>
                  <w:sz w:val="18"/>
                  <w:color w:val="1155CC"/>
                  <w:u w:val="single"/>
                </w:rPr>
                <w:t xml:space="preserve">ncbi.nlm.nih.gov - Dysmenorrhea (StatPearls)</w:t>
              </w:r>
            </w:hyperlink>
          </w:p>
          <w:p>
            <w:pPr>
              <w:spacing w:before="60" w:after="40"/>
            </w:pPr>
            <w:r>
              <w:rPr>
                <w:rFonts w:ascii="Calibri" w:hAnsi="Calibri"/>
                <w:b w:val="0"/>
                <w:i w:val="0"/>
                <w:color w:val="5A5A5A"/>
                <w:sz w:val="18"/>
              </w:rPr>
              <w:t>#PID  #STI  #chlamydia  #cervicalmotiontenderness  #redflag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exercise, stretching and yoga produce a large reduction in menstrual pain intensity (Cochrane SMD about -1.86), while physical inactivity is linked to more severe cramps. Exercise improves pelvic blood flow and releases endorphins.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Skipping breakfast/meals and weight-loss dieting are associated with more menstrual pain, whereas fish/omega-3, dairy/calcium and fruit and vegetables are associated with less pain; high junk food, salt and sugary drinks may worsen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or poor-quality sleep lowers the pain threshold and heightens pain perception; sleep disturbance is both a symptom and an aggravator of dysmenorrhea, especially during exam stress.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passive smoking raise the odds of dysmenorrhea by about 1.45 times through nicotine-induced vasoconstriction and reduced uterine blood flow; risk declines after quitting.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alcohol may worsen bloating, disturb sleep and affect hormone/prostaglandin metabolism, but it is a weaker and less certain driver than smoking or inactivity.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academic or work stress, anxiety and depression are strongly associated with more severe dysmenorrhea and are consistently reported drivers among Indian students; the pain-stress relationship is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warm fluids may ease bloating and cramping for some women, but direct evidence that water intake prevents dysmenorrhea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Habitual caffeine intake has been linked to menstrual disturbance and cramping in some studies, plausibly via vasoconstriction, but findings are inconsistent and effects are modest.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Menstrual hygiene has little direct effect on primary pain, but poor genital and menstrual hygiene and untreated sexually transmitted infection raise the risk of pelvic inflammatory disease, a cause of secondary dysmenorrhea.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menstrual period itself is the provoking event; cold exposure, acute stress, heavy or prolonged flow and long menstrual cycles precipitate or intensify cramping, while heat and rest relieve it.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sitting and slouched posture can aggravate pelvic congestion and cramps, whereas gentle movement, stretching and a curled/knees-to-chest position with local heat often ease pain.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Aerobic / stretching exercise (per week)</w:t>
            </w:r>
          </w:p>
        </w:tc>
        <w:tc>
          <w:tcPr>
            <w:tcW w:type="dxa" w:w="1655"/>
            <w:vAlign w:val="top"/>
          </w:tcPr>
          <w:p>
            <w:pPr>
              <w:spacing w:after="40" w:before="0" w:line="259" w:lineRule="auto"/>
            </w:pPr>
            <w:r>
              <w:rPr>
                <w:rFonts w:ascii="Calibri" w:hAnsi="Calibri"/>
                <w:b w:val="0"/>
                <w:i w:val="0"/>
                <w:color w:val="212121"/>
                <w:sz w:val="19"/>
              </w:rPr>
              <w:t>Adolescents and young women</w:t>
            </w:r>
          </w:p>
        </w:tc>
        <w:tc>
          <w:tcPr>
            <w:tcW w:type="dxa" w:w="1512"/>
            <w:vAlign w:val="top"/>
          </w:tcPr>
          <w:p>
            <w:pPr>
              <w:spacing w:after="40" w:before="0" w:line="259" w:lineRule="auto"/>
            </w:pPr>
            <w:r>
              <w:rPr>
                <w:rFonts w:ascii="Calibri" w:hAnsi="Calibri"/>
                <w:b w:val="0"/>
                <w:i w:val="0"/>
                <w:color w:val="212121"/>
                <w:sz w:val="19"/>
              </w:rPr>
              <w:t>&gt;= 150 min/week (about 45-60 min, 3 or more times/week)</w:t>
            </w:r>
          </w:p>
        </w:tc>
        <w:tc>
          <w:tcPr>
            <w:tcW w:type="dxa" w:w="1512"/>
            <w:vAlign w:val="top"/>
          </w:tcPr>
          <w:p>
            <w:pPr>
              <w:spacing w:after="40" w:before="0" w:line="259" w:lineRule="auto"/>
            </w:pPr>
            <w:r>
              <w:rPr>
                <w:rFonts w:ascii="Calibri" w:hAnsi="Calibri"/>
                <w:b w:val="0"/>
                <w:i w:val="0"/>
                <w:color w:val="212121"/>
                <w:sz w:val="19"/>
              </w:rPr>
              <w:t>Largely sedentary / no regular exercise</w:t>
            </w:r>
          </w:p>
        </w:tc>
        <w:tc>
          <w:tcPr>
            <w:tcW w:type="dxa" w:w="1468"/>
            <w:vAlign w:val="top"/>
          </w:tcPr>
          <w:p>
            <w:pPr>
              <w:spacing w:after="60" w:line="259" w:lineRule="auto"/>
            </w:pPr>
            <w:r>
              <w:rPr>
                <w:rFonts w:ascii="Calibri" w:hAnsi="Calibri"/>
                <w:b w:val="0"/>
                <w:i w:val="0"/>
                <w:color w:val="212121"/>
                <w:sz w:val="19"/>
              </w:rPr>
              <w:t>Regular exercise gives a large reduction in period-pain intensity</w:t>
            </w:r>
          </w:p>
          <w:p>
            <w:pPr>
              <w:spacing w:after="40" w:line="252" w:lineRule="auto"/>
            </w:pPr>
            <w:hyperlink r:id="rId13">
              <w:r>
                <w:rPr>
                  <w:rFonts w:ascii="Calibri" w:hAnsi="Calibri" w:cs="Calibri"/>
                  <w:sz w:val="18"/>
                  <w:color w:val="1155CC"/>
                  <w:u w:val="single"/>
                </w:rPr>
                <w:t xml:space="preserve">https://www.cochrane.org/evidence/CD004142_exercise-dysmenorrhoea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20 (low BMI raises primary-dysmenorrhea risk)</w:t>
            </w:r>
          </w:p>
        </w:tc>
        <w:tc>
          <w:tcPr>
            <w:tcW w:type="dxa" w:w="1468"/>
            <w:vAlign w:val="top"/>
          </w:tcPr>
          <w:p>
            <w:pPr>
              <w:spacing w:after="60" w:line="259" w:lineRule="auto"/>
            </w:pPr>
            <w:r>
              <w:rPr>
                <w:rFonts w:ascii="Calibri" w:hAnsi="Calibri"/>
                <w:b w:val="0"/>
                <w:i w:val="0"/>
                <w:color w:val="212121"/>
                <w:sz w:val="19"/>
              </w:rPr>
              <w:t>Both very low BMI and crash dieting are linked to worse pain</w:t>
            </w:r>
          </w:p>
          <w:p>
            <w:pPr>
              <w:spacing w:after="40" w:line="252" w:lineRule="auto"/>
            </w:pPr>
            <w:hyperlink r:id="rId10">
              <w:r>
                <w:rPr>
                  <w:rFonts w:ascii="Calibri" w:hAnsi="Calibri" w:cs="Calibri"/>
                  <w:sz w:val="18"/>
                  <w:color w:val="1155CC"/>
                  <w:u w:val="single"/>
                </w:rPr>
                <w:t xml:space="preserve">https://www.aafp.org/pubs/afp/issues/2021/0800/p164.html</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Breakfast / meal regularity</w:t>
            </w:r>
          </w:p>
        </w:tc>
        <w:tc>
          <w:tcPr>
            <w:tcW w:type="dxa" w:w="1655"/>
            <w:vAlign w:val="top"/>
          </w:tcPr>
          <w:p>
            <w:pPr>
              <w:spacing w:after="40" w:before="0" w:line="259" w:lineRule="auto"/>
            </w:pPr>
            <w:r>
              <w:rPr>
                <w:rFonts w:ascii="Calibri" w:hAnsi="Calibri"/>
                <w:b w:val="0"/>
                <w:i w:val="0"/>
                <w:color w:val="212121"/>
                <w:sz w:val="19"/>
              </w:rPr>
              <w:t>Students, young women</w:t>
            </w:r>
          </w:p>
        </w:tc>
        <w:tc>
          <w:tcPr>
            <w:tcW w:type="dxa" w:w="1512"/>
            <w:vAlign w:val="top"/>
          </w:tcPr>
          <w:p>
            <w:pPr>
              <w:spacing w:after="40" w:before="0" w:line="259" w:lineRule="auto"/>
            </w:pPr>
            <w:r>
              <w:rPr>
                <w:rFonts w:ascii="Calibri" w:hAnsi="Calibri"/>
                <w:b w:val="0"/>
                <w:i w:val="0"/>
                <w:color w:val="212121"/>
                <w:sz w:val="19"/>
              </w:rPr>
              <w:t>Daily breakfast, regular meals</w:t>
            </w:r>
          </w:p>
        </w:tc>
        <w:tc>
          <w:tcPr>
            <w:tcW w:type="dxa" w:w="1512"/>
            <w:vAlign w:val="top"/>
          </w:tcPr>
          <w:p>
            <w:pPr>
              <w:spacing w:after="40" w:before="0" w:line="259" w:lineRule="auto"/>
            </w:pPr>
            <w:r>
              <w:rPr>
                <w:rFonts w:ascii="Calibri" w:hAnsi="Calibri"/>
                <w:b w:val="0"/>
                <w:i w:val="0"/>
                <w:color w:val="212121"/>
                <w:sz w:val="19"/>
              </w:rPr>
              <w:t>Frequent breakfast or meal skipping</w:t>
            </w:r>
          </w:p>
        </w:tc>
        <w:tc>
          <w:tcPr>
            <w:tcW w:type="dxa" w:w="1468"/>
            <w:vAlign w:val="top"/>
          </w:tcPr>
          <w:p>
            <w:pPr>
              <w:spacing w:after="60" w:line="259" w:lineRule="auto"/>
            </w:pPr>
            <w:r>
              <w:rPr>
                <w:rFonts w:ascii="Calibri" w:hAnsi="Calibri"/>
                <w:b w:val="0"/>
                <w:i w:val="0"/>
                <w:color w:val="212121"/>
                <w:sz w:val="19"/>
              </w:rPr>
              <w:t>Meal skipping is associated with more menstrual pain</w:t>
            </w:r>
          </w:p>
          <w:p>
            <w:pPr>
              <w:spacing w:after="40" w:line="252" w:lineRule="auto"/>
            </w:pPr>
            <w:hyperlink r:id="rId15">
              <w:r>
                <w:rPr>
                  <w:rFonts w:ascii="Calibri" w:hAnsi="Calibri" w:cs="Calibri"/>
                  <w:sz w:val="18"/>
                  <w:color w:val="1155CC"/>
                  <w:u w:val="single"/>
                </w:rPr>
                <w:t xml:space="preserve">https://karger.com/goi/article/84/3/209/153726/Nutrition-as-a-Potential-Factor-of-Primary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Fish / dairy / fruit-vegetable intake</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Regular fish/omega-3, dairy and fruit/vegetables</w:t>
            </w:r>
          </w:p>
        </w:tc>
        <w:tc>
          <w:tcPr>
            <w:tcW w:type="dxa" w:w="1512"/>
            <w:vAlign w:val="top"/>
          </w:tcPr>
          <w:p>
            <w:pPr>
              <w:spacing w:after="40" w:before="0" w:line="259" w:lineRule="auto"/>
            </w:pPr>
            <w:r>
              <w:rPr>
                <w:rFonts w:ascii="Calibri" w:hAnsi="Calibri"/>
                <w:b w:val="0"/>
                <w:i w:val="0"/>
                <w:color w:val="212121"/>
                <w:sz w:val="19"/>
              </w:rPr>
              <w:t>Low fish/fruit/veg, high junk food and salt</w:t>
            </w:r>
          </w:p>
        </w:tc>
        <w:tc>
          <w:tcPr>
            <w:tcW w:type="dxa" w:w="1468"/>
            <w:vAlign w:val="top"/>
          </w:tcPr>
          <w:p>
            <w:pPr>
              <w:spacing w:after="60" w:line="259" w:lineRule="auto"/>
            </w:pPr>
            <w:r>
              <w:rPr>
                <w:rFonts w:ascii="Calibri" w:hAnsi="Calibri"/>
                <w:b w:val="0"/>
                <w:i w:val="0"/>
                <w:color w:val="212121"/>
                <w:sz w:val="19"/>
              </w:rPr>
              <w:t>These foods are associated with less menstrual pain</w:t>
            </w:r>
          </w:p>
          <w:p>
            <w:pPr>
              <w:spacing w:after="40" w:line="252" w:lineRule="auto"/>
            </w:pPr>
            <w:hyperlink r:id="rId15">
              <w:r>
                <w:rPr>
                  <w:rFonts w:ascii="Calibri" w:hAnsi="Calibri" w:cs="Calibri"/>
                  <w:sz w:val="18"/>
                  <w:color w:val="1155CC"/>
                  <w:u w:val="single"/>
                </w:rPr>
                <w:t xml:space="preserve">https://karger.com/goi/article/84/3/209/153726/Nutrition-as-a-Potential-Factor-of-Primary</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Adolescents, students</w:t>
            </w:r>
          </w:p>
        </w:tc>
        <w:tc>
          <w:tcPr>
            <w:tcW w:type="dxa" w:w="1512"/>
            <w:vAlign w:val="top"/>
          </w:tcPr>
          <w:p>
            <w:pPr>
              <w:spacing w:after="40" w:before="0" w:line="259" w:lineRule="auto"/>
            </w:pPr>
            <w:r>
              <w:rPr>
                <w:rFonts w:ascii="Calibri" w:hAnsi="Calibri"/>
                <w:b w:val="0"/>
                <w:i w:val="0"/>
                <w:color w:val="212121"/>
                <w:sz w:val="19"/>
              </w:rPr>
              <w:t>7-9 hours, good quality</w:t>
            </w:r>
          </w:p>
        </w:tc>
        <w:tc>
          <w:tcPr>
            <w:tcW w:type="dxa" w:w="1512"/>
            <w:vAlign w:val="top"/>
          </w:tcPr>
          <w:p>
            <w:pPr>
              <w:spacing w:after="40" w:before="0" w:line="259" w:lineRule="auto"/>
            </w:pPr>
            <w:r>
              <w:rPr>
                <w:rFonts w:ascii="Calibri" w:hAnsi="Calibri"/>
                <w:b w:val="0"/>
                <w:i w:val="0"/>
                <w:color w:val="212121"/>
                <w:sz w:val="19"/>
              </w:rPr>
              <w:t>&lt; 6 hours or poor quality</w:t>
            </w:r>
          </w:p>
        </w:tc>
        <w:tc>
          <w:tcPr>
            <w:tcW w:type="dxa" w:w="1468"/>
            <w:vAlign w:val="top"/>
          </w:tcPr>
          <w:p>
            <w:pPr>
              <w:spacing w:after="40" w:before="0" w:line="259" w:lineRule="auto"/>
            </w:pPr>
            <w:r>
              <w:rPr>
                <w:rFonts w:ascii="Calibri" w:hAnsi="Calibri"/>
                <w:b w:val="0"/>
                <w:i w:val="0"/>
                <w:color w:val="212121"/>
                <w:sz w:val="19"/>
              </w:rPr>
              <w:t>Poor sleep lowers pain threshold and worsens perceived pain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young women</w:t>
            </w:r>
          </w:p>
        </w:tc>
        <w:tc>
          <w:tcPr>
            <w:tcW w:type="dxa" w:w="1512"/>
            <w:vAlign w:val="top"/>
          </w:tcPr>
          <w:p>
            <w:pPr>
              <w:spacing w:after="40" w:before="0" w:line="259" w:lineRule="auto"/>
            </w:pPr>
            <w:r>
              <w:rPr>
                <w:rFonts w:ascii="Calibri" w:hAnsi="Calibri"/>
                <w:b w:val="0"/>
                <w:i w:val="0"/>
                <w:color w:val="212121"/>
                <w:sz w:val="19"/>
              </w:rPr>
              <w:t>0 cigarettes/day (and no passive smoke)</w:t>
            </w:r>
          </w:p>
        </w:tc>
        <w:tc>
          <w:tcPr>
            <w:tcW w:type="dxa" w:w="1512"/>
            <w:vAlign w:val="top"/>
          </w:tcPr>
          <w:p>
            <w:pPr>
              <w:spacing w:after="40" w:before="0" w:line="259" w:lineRule="auto"/>
            </w:pPr>
            <w:r>
              <w:rPr>
                <w:rFonts w:ascii="Calibri" w:hAnsi="Calibri"/>
                <w:b w:val="0"/>
                <w:i w:val="0"/>
                <w:color w:val="212121"/>
                <w:sz w:val="19"/>
              </w:rPr>
              <w:t>&gt;= 1 cigarette/day or regular second-hand smoke</w:t>
            </w:r>
          </w:p>
        </w:tc>
        <w:tc>
          <w:tcPr>
            <w:tcW w:type="dxa" w:w="1468"/>
            <w:vAlign w:val="top"/>
          </w:tcPr>
          <w:p>
            <w:pPr>
              <w:spacing w:after="60" w:line="259" w:lineRule="auto"/>
            </w:pPr>
            <w:r>
              <w:rPr>
                <w:rFonts w:ascii="Calibri" w:hAnsi="Calibri"/>
                <w:b w:val="0"/>
                <w:i w:val="0"/>
                <w:color w:val="212121"/>
                <w:sz w:val="19"/>
              </w:rPr>
              <w:t>Smoking raises dysmenorrhea odds by about 1.45 times</w:t>
            </w:r>
          </w:p>
          <w:p>
            <w:pPr>
              <w:spacing w:after="40" w:line="252" w:lineRule="auto"/>
            </w:pPr>
            <w:hyperlink r:id="rId14">
              <w:r>
                <w:rPr>
                  <w:rFonts w:ascii="Calibri" w:hAnsi="Calibri" w:cs="Calibri"/>
                  <w:sz w:val="18"/>
                  <w:color w:val="1155CC"/>
                  <w:u w:val="single"/>
                </w:rPr>
                <w:t xml:space="preserve">https://journals.plos.org/plosone/article?id=10.1371/journal.pone.0231201</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anxiety level</w:t>
            </w:r>
          </w:p>
        </w:tc>
        <w:tc>
          <w:tcPr>
            <w:tcW w:type="dxa" w:w="1655"/>
            <w:vAlign w:val="top"/>
          </w:tcPr>
          <w:p>
            <w:pPr>
              <w:spacing w:after="40" w:before="0" w:line="259" w:lineRule="auto"/>
            </w:pPr>
            <w:r>
              <w:rPr>
                <w:rFonts w:ascii="Calibri" w:hAnsi="Calibri"/>
                <w:b w:val="0"/>
                <w:i w:val="0"/>
                <w:color w:val="212121"/>
                <w:sz w:val="19"/>
              </w:rPr>
              <w:t>Students, working women</w:t>
            </w:r>
          </w:p>
        </w:tc>
        <w:tc>
          <w:tcPr>
            <w:tcW w:type="dxa" w:w="1512"/>
            <w:vAlign w:val="top"/>
          </w:tcPr>
          <w:p>
            <w:pPr>
              <w:spacing w:after="40" w:before="0" w:line="259" w:lineRule="auto"/>
            </w:pPr>
            <w:r>
              <w:rPr>
                <w:rFonts w:ascii="Calibri" w:hAnsi="Calibri"/>
                <w:b w:val="0"/>
                <w:i w:val="0"/>
                <w:color w:val="212121"/>
                <w:sz w:val="19"/>
              </w:rPr>
              <w:t>Low / well-managed</w:t>
            </w:r>
          </w:p>
        </w:tc>
        <w:tc>
          <w:tcPr>
            <w:tcW w:type="dxa" w:w="1512"/>
            <w:vAlign w:val="top"/>
          </w:tcPr>
          <w:p>
            <w:pPr>
              <w:spacing w:after="40" w:before="0" w:line="259" w:lineRule="auto"/>
            </w:pPr>
            <w:r>
              <w:rPr>
                <w:rFonts w:ascii="Calibri" w:hAnsi="Calibri"/>
                <w:b w:val="0"/>
                <w:i w:val="0"/>
                <w:color w:val="212121"/>
                <w:sz w:val="19"/>
              </w:rPr>
              <w:t>High academic or work stress, anxiety, low mood</w:t>
            </w:r>
          </w:p>
        </w:tc>
        <w:tc>
          <w:tcPr>
            <w:tcW w:type="dxa" w:w="1468"/>
            <w:vAlign w:val="top"/>
          </w:tcPr>
          <w:p>
            <w:pPr>
              <w:spacing w:after="40" w:before="0" w:line="259" w:lineRule="auto"/>
            </w:pPr>
            <w:r>
              <w:rPr>
                <w:rFonts w:ascii="Calibri" w:hAnsi="Calibri"/>
                <w:b w:val="0"/>
                <w:i w:val="0"/>
                <w:color w:val="212121"/>
                <w:sz w:val="19"/>
              </w:rPr>
              <w:t>Higher stress and anxiety are linked to more severe dysmenorrhea</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Caffeinated drinks per day</w:t>
            </w:r>
          </w:p>
        </w:tc>
        <w:tc>
          <w:tcPr>
            <w:tcW w:type="dxa" w:w="1655"/>
            <w:vAlign w:val="top"/>
          </w:tcPr>
          <w:p>
            <w:pPr>
              <w:spacing w:after="40" w:before="0" w:line="259" w:lineRule="auto"/>
            </w:pPr>
            <w:r>
              <w:rPr>
                <w:rFonts w:ascii="Calibri" w:hAnsi="Calibri"/>
                <w:b w:val="0"/>
                <w:i w:val="0"/>
                <w:color w:val="212121"/>
                <w:sz w:val="19"/>
              </w:rPr>
              <w:t>Adolescents, young women</w:t>
            </w:r>
          </w:p>
        </w:tc>
        <w:tc>
          <w:tcPr>
            <w:tcW w:type="dxa" w:w="1512"/>
            <w:vAlign w:val="top"/>
          </w:tcPr>
          <w:p>
            <w:pPr>
              <w:spacing w:after="40" w:before="0" w:line="259" w:lineRule="auto"/>
            </w:pPr>
            <w:r>
              <w:rPr>
                <w:rFonts w:ascii="Calibri" w:hAnsi="Calibri"/>
                <w:b w:val="0"/>
                <w:i w:val="0"/>
                <w:color w:val="212121"/>
                <w:sz w:val="19"/>
              </w:rPr>
              <w:t>&lt;= 1-2 servings/day</w:t>
            </w:r>
          </w:p>
        </w:tc>
        <w:tc>
          <w:tcPr>
            <w:tcW w:type="dxa" w:w="1512"/>
            <w:vAlign w:val="top"/>
          </w:tcPr>
          <w:p>
            <w:pPr>
              <w:spacing w:after="40" w:before="0" w:line="259" w:lineRule="auto"/>
            </w:pPr>
            <w:r>
              <w:rPr>
                <w:rFonts w:ascii="Calibri" w:hAnsi="Calibri"/>
                <w:b w:val="0"/>
                <w:i w:val="0"/>
                <w:color w:val="212121"/>
                <w:sz w:val="19"/>
              </w:rPr>
              <w:t>High habitual intake</w:t>
            </w:r>
          </w:p>
        </w:tc>
        <w:tc>
          <w:tcPr>
            <w:tcW w:type="dxa" w:w="1468"/>
            <w:vAlign w:val="top"/>
          </w:tcPr>
          <w:p>
            <w:pPr>
              <w:spacing w:after="60" w:line="259" w:lineRule="auto"/>
            </w:pPr>
            <w:r>
              <w:rPr>
                <w:rFonts w:ascii="Calibri" w:hAnsi="Calibri"/>
                <w:b w:val="0"/>
                <w:i w:val="0"/>
                <w:color w:val="212121"/>
                <w:sz w:val="19"/>
              </w:rPr>
              <w:t>Habitual caffeine has been linked to menstrual disturbance in some studies</w:t>
            </w:r>
          </w:p>
          <w:p>
            <w:pPr>
              <w:spacing w:after="40" w:line="252" w:lineRule="auto"/>
            </w:pPr>
            <w:hyperlink r:id="rId15">
              <w:r>
                <w:rPr>
                  <w:rFonts w:ascii="Calibri" w:hAnsi="Calibri" w:cs="Calibri"/>
                  <w:sz w:val="18"/>
                  <w:color w:val="1155CC"/>
                  <w:u w:val="single"/>
                </w:rPr>
                <w:t xml:space="preserve">https://karger.com/goi/article/84/3/209/153726/Nutrition-as-a-Potential-Factor-of-Primary</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Menstrual pain score (VAS 0-10)</w:t>
            </w:r>
          </w:p>
        </w:tc>
        <w:tc>
          <w:tcPr>
            <w:tcW w:type="dxa" w:w="1655"/>
            <w:vAlign w:val="top"/>
          </w:tcPr>
          <w:p>
            <w:pPr>
              <w:spacing w:after="40" w:before="0" w:line="259" w:lineRule="auto"/>
            </w:pPr>
            <w:r>
              <w:rPr>
                <w:rFonts w:ascii="Calibri" w:hAnsi="Calibri"/>
                <w:b w:val="0"/>
                <w:i w:val="0"/>
                <w:color w:val="212121"/>
                <w:sz w:val="19"/>
              </w:rPr>
              <w:t>All menstruating individuals</w:t>
            </w:r>
          </w:p>
        </w:tc>
        <w:tc>
          <w:tcPr>
            <w:tcW w:type="dxa" w:w="1512"/>
            <w:vAlign w:val="top"/>
          </w:tcPr>
          <w:p>
            <w:pPr>
              <w:spacing w:after="40" w:before="0" w:line="259" w:lineRule="auto"/>
            </w:pPr>
            <w:r>
              <w:rPr>
                <w:rFonts w:ascii="Calibri" w:hAnsi="Calibri"/>
                <w:b w:val="0"/>
                <w:i w:val="0"/>
                <w:color w:val="212121"/>
                <w:sz w:val="19"/>
              </w:rPr>
              <w:t>0-3 (mild, self-limited)</w:t>
            </w:r>
          </w:p>
        </w:tc>
        <w:tc>
          <w:tcPr>
            <w:tcW w:type="dxa" w:w="1512"/>
            <w:vAlign w:val="top"/>
          </w:tcPr>
          <w:p>
            <w:pPr>
              <w:spacing w:after="40" w:before="0" w:line="259" w:lineRule="auto"/>
            </w:pPr>
            <w:r>
              <w:rPr>
                <w:rFonts w:ascii="Calibri" w:hAnsi="Calibri"/>
                <w:b w:val="0"/>
                <w:i w:val="0"/>
                <w:color w:val="212121"/>
                <w:sz w:val="19"/>
              </w:rPr>
              <w:t>&gt;= 7 (severe) or disabling / progressive pain</w:t>
            </w:r>
          </w:p>
        </w:tc>
        <w:tc>
          <w:tcPr>
            <w:tcW w:type="dxa" w:w="1468"/>
            <w:vAlign w:val="top"/>
          </w:tcPr>
          <w:p>
            <w:pPr>
              <w:spacing w:after="40" w:before="0" w:line="259" w:lineRule="auto"/>
            </w:pPr>
            <w:r>
              <w:rPr>
                <w:rFonts w:ascii="Calibri" w:hAnsi="Calibri"/>
                <w:b w:val="0"/>
                <w:i w:val="0"/>
                <w:color w:val="212121"/>
                <w:sz w:val="19"/>
              </w:rPr>
              <w:t>Severe or rising scores warrant evaluation for secondary causes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 serum beta-hCG</w:t>
            </w:r>
          </w:p>
        </w:tc>
        <w:tc>
          <w:tcPr>
            <w:tcW w:type="dxa" w:w="892"/>
            <w:vAlign w:val="top"/>
          </w:tcPr>
          <w:p>
            <w:pPr>
              <w:spacing w:after="40" w:before="0" w:line="259" w:lineRule="auto"/>
            </w:pPr>
            <w:r>
              <w:rPr>
                <w:rFonts w:ascii="Calibri" w:hAnsi="Calibri"/>
                <w:b w:val="0"/>
                <w:i w:val="0"/>
                <w:color w:val="212121"/>
                <w:sz w:val="16"/>
              </w:rPr>
              <w:t>Pregnancy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Excludes pregnancy-related pelvic pain (ectopic, miscarriage) before treatment</w:t>
            </w:r>
          </w:p>
        </w:tc>
        <w:tc>
          <w:tcPr>
            <w:tcW w:type="dxa" w:w="1036"/>
            <w:vAlign w:val="top"/>
          </w:tcPr>
          <w:p>
            <w:pPr>
              <w:spacing w:after="40" w:before="0" w:line="259" w:lineRule="auto"/>
            </w:pPr>
            <w:r>
              <w:rPr>
                <w:rFonts w:ascii="Calibri" w:hAnsi="Calibri"/>
                <w:b w:val="0"/>
                <w:i w:val="0"/>
                <w:color w:val="212121"/>
                <w:sz w:val="16"/>
              </w:rPr>
              <w:t>Sexually active women, acute pelvic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Recommended in sexually active patients before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Pelvic ultrasound (transvaginal / transabdominal)</w:t>
            </w:r>
          </w:p>
        </w:tc>
        <w:tc>
          <w:tcPr>
            <w:tcW w:type="dxa" w:w="892"/>
            <w:vAlign w:val="top"/>
          </w:tcPr>
          <w:p>
            <w:pPr>
              <w:spacing w:after="40" w:before="0" w:line="259" w:lineRule="auto"/>
            </w:pPr>
            <w:r>
              <w:rPr>
                <w:rFonts w:ascii="Calibri" w:hAnsi="Calibri"/>
                <w:b w:val="0"/>
                <w:i w:val="0"/>
                <w:color w:val="212121"/>
                <w:sz w:val="16"/>
              </w:rPr>
              <w:t>Pelvic ultrasonography</w:t>
            </w:r>
          </w:p>
        </w:tc>
        <w:tc>
          <w:tcPr>
            <w:tcW w:type="dxa" w:w="950"/>
            <w:vAlign w:val="top"/>
          </w:tcPr>
          <w:p>
            <w:pPr>
              <w:spacing w:after="40" w:before="0" w:line="259" w:lineRule="auto"/>
            </w:pPr>
            <w:r>
              <w:rPr>
                <w:rFonts w:ascii="Calibri" w:hAnsi="Calibri"/>
                <w:b w:val="0"/>
                <w:i w:val="0"/>
                <w:color w:val="212121"/>
                <w:sz w:val="16"/>
              </w:rPr>
              <w:t>Normal uterus and adnexa</w:t>
            </w:r>
          </w:p>
        </w:tc>
        <w:tc>
          <w:tcPr>
            <w:tcW w:type="dxa" w:w="950"/>
            <w:vAlign w:val="top"/>
          </w:tcPr>
          <w:p>
            <w:pPr>
              <w:spacing w:after="40" w:before="0" w:line="259" w:lineRule="auto"/>
            </w:pPr>
            <w:r>
              <w:rPr>
                <w:rFonts w:ascii="Calibri" w:hAnsi="Calibri"/>
                <w:b w:val="0"/>
                <w:i w:val="0"/>
                <w:color w:val="212121"/>
                <w:sz w:val="16"/>
              </w:rPr>
              <w:t>Fibroid, adenomyosis, endometrioma, Mullerian anomaly</w:t>
            </w:r>
          </w:p>
        </w:tc>
        <w:tc>
          <w:tcPr>
            <w:tcW w:type="dxa" w:w="1036"/>
            <w:vAlign w:val="top"/>
          </w:tcPr>
          <w:p>
            <w:pPr>
              <w:spacing w:after="40" w:before="0" w:line="259" w:lineRule="auto"/>
            </w:pPr>
            <w:r>
              <w:rPr>
                <w:rFonts w:ascii="Calibri" w:hAnsi="Calibri"/>
                <w:b w:val="0"/>
                <w:i w:val="0"/>
                <w:color w:val="212121"/>
                <w:sz w:val="16"/>
              </w:rPr>
              <w:t>First-line imaging to identify secondary causes</w:t>
            </w:r>
          </w:p>
        </w:tc>
        <w:tc>
          <w:tcPr>
            <w:tcW w:type="dxa" w:w="1036"/>
            <w:vAlign w:val="top"/>
          </w:tcPr>
          <w:p>
            <w:pPr>
              <w:spacing w:after="40" w:before="0" w:line="259" w:lineRule="auto"/>
            </w:pPr>
            <w:r>
              <w:rPr>
                <w:rFonts w:ascii="Calibri" w:hAnsi="Calibri"/>
                <w:b w:val="0"/>
                <w:i w:val="0"/>
                <w:color w:val="212121"/>
                <w:sz w:val="16"/>
              </w:rPr>
              <w:t>Suspected secondary dysmenorrhea, age &gt;25, refractory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A normal scan does not exclude endometriosis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Endocervical / vaginal swab and NAAT (chlamydia, gonorrhoea)</w:t>
            </w:r>
          </w:p>
        </w:tc>
        <w:tc>
          <w:tcPr>
            <w:tcW w:type="dxa" w:w="892"/>
            <w:vAlign w:val="top"/>
          </w:tcPr>
          <w:p>
            <w:pPr>
              <w:spacing w:after="40" w:before="0" w:line="259" w:lineRule="auto"/>
            </w:pPr>
            <w:r>
              <w:rPr>
                <w:rFonts w:ascii="Calibri" w:hAnsi="Calibri"/>
                <w:b w:val="0"/>
                <w:i w:val="0"/>
                <w:color w:val="212121"/>
                <w:sz w:val="16"/>
              </w:rPr>
              <w:t>STI / PID testing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chlamydia / gonorrhoea</w:t>
            </w:r>
          </w:p>
        </w:tc>
        <w:tc>
          <w:tcPr>
            <w:tcW w:type="dxa" w:w="1036"/>
            <w:vAlign w:val="top"/>
          </w:tcPr>
          <w:p>
            <w:pPr>
              <w:spacing w:after="40" w:before="0" w:line="259" w:lineRule="auto"/>
            </w:pPr>
            <w:r>
              <w:rPr>
                <w:rFonts w:ascii="Calibri" w:hAnsi="Calibri"/>
                <w:b w:val="0"/>
                <w:i w:val="0"/>
                <w:color w:val="212121"/>
                <w:sz w:val="16"/>
              </w:rPr>
              <w:t>Detects pelvic inflammatory disease as a secondary cause</w:t>
            </w:r>
          </w:p>
        </w:tc>
        <w:tc>
          <w:tcPr>
            <w:tcW w:type="dxa" w:w="1036"/>
            <w:vAlign w:val="top"/>
          </w:tcPr>
          <w:p>
            <w:pPr>
              <w:spacing w:after="40" w:before="0" w:line="259" w:lineRule="auto"/>
            </w:pPr>
            <w:r>
              <w:rPr>
                <w:rFonts w:ascii="Calibri" w:hAnsi="Calibri"/>
                <w:b w:val="0"/>
                <w:i w:val="0"/>
                <w:color w:val="212121"/>
                <w:sz w:val="16"/>
              </w:rPr>
              <w:t>Abnormal discharge, sexually active, cervical motion tenderness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Treat partners; prevents tubal damage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Hematological</w:t>
            </w:r>
          </w:p>
        </w:tc>
        <w:tc>
          <w:tcPr>
            <w:tcW w:type="dxa" w:w="1036"/>
            <w:vAlign w:val="top"/>
          </w:tcPr>
          <w:p>
            <w:pPr>
              <w:spacing w:after="40" w:before="0" w:line="259" w:lineRule="auto"/>
            </w:pPr>
            <w:r>
              <w:rPr>
                <w:rFonts w:ascii="Calibri" w:hAnsi="Calibri"/>
                <w:b w:val="0"/>
                <w:i w:val="0"/>
                <w:color w:val="212121"/>
                <w:sz w:val="16"/>
              </w:rPr>
              <w:t>CBC, ESR / CRP</w:t>
            </w:r>
          </w:p>
        </w:tc>
        <w:tc>
          <w:tcPr>
            <w:tcW w:type="dxa" w:w="892"/>
            <w:vAlign w:val="top"/>
          </w:tcPr>
          <w:p>
            <w:pPr>
              <w:spacing w:after="40" w:before="0" w:line="259" w:lineRule="auto"/>
            </w:pPr>
            <w:r>
              <w:rPr>
                <w:rFonts w:ascii="Calibri" w:hAnsi="Calibri"/>
                <w:b w:val="0"/>
                <w:i w:val="0"/>
                <w:color w:val="212121"/>
                <w:sz w:val="16"/>
              </w:rPr>
              <w:t>Blood count and inflammatory markers</w:t>
            </w:r>
          </w:p>
        </w:tc>
        <w:tc>
          <w:tcPr>
            <w:tcW w:type="dxa" w:w="950"/>
            <w:vAlign w:val="top"/>
          </w:tcPr>
          <w:p>
            <w:pPr>
              <w:spacing w:after="40" w:before="0" w:line="259" w:lineRule="auto"/>
            </w:pPr>
            <w:r>
              <w:rPr>
                <w:rFonts w:ascii="Calibri" w:hAnsi="Calibri"/>
                <w:b w:val="0"/>
                <w:i w:val="0"/>
                <w:color w:val="212121"/>
                <w:sz w:val="16"/>
              </w:rPr>
              <w:t>Normal counts and markers</w:t>
            </w:r>
          </w:p>
        </w:tc>
        <w:tc>
          <w:tcPr>
            <w:tcW w:type="dxa" w:w="950"/>
            <w:vAlign w:val="top"/>
          </w:tcPr>
          <w:p>
            <w:pPr>
              <w:spacing w:after="40" w:before="0" w:line="259" w:lineRule="auto"/>
            </w:pPr>
            <w:r>
              <w:rPr>
                <w:rFonts w:ascii="Calibri" w:hAnsi="Calibri"/>
                <w:b w:val="0"/>
                <w:i w:val="0"/>
                <w:color w:val="212121"/>
                <w:sz w:val="16"/>
              </w:rPr>
              <w:t>Leucocytosis, raised ESR/CRP; low Hb if heavy bleeding</w:t>
            </w:r>
          </w:p>
        </w:tc>
        <w:tc>
          <w:tcPr>
            <w:tcW w:type="dxa" w:w="1036"/>
            <w:vAlign w:val="top"/>
          </w:tcPr>
          <w:p>
            <w:pPr>
              <w:spacing w:after="40" w:before="0" w:line="259" w:lineRule="auto"/>
            </w:pPr>
            <w:r>
              <w:rPr>
                <w:rFonts w:ascii="Calibri" w:hAnsi="Calibri"/>
                <w:b w:val="0"/>
                <w:i w:val="0"/>
                <w:color w:val="212121"/>
                <w:sz w:val="16"/>
              </w:rPr>
              <w:t>Supports pelvic infection/PID or anaemia from heavy menstrual loss</w:t>
            </w:r>
          </w:p>
        </w:tc>
        <w:tc>
          <w:tcPr>
            <w:tcW w:type="dxa" w:w="1036"/>
            <w:vAlign w:val="top"/>
          </w:tcPr>
          <w:p>
            <w:pPr>
              <w:spacing w:after="40" w:before="0" w:line="259" w:lineRule="auto"/>
            </w:pPr>
            <w:r>
              <w:rPr>
                <w:rFonts w:ascii="Calibri" w:hAnsi="Calibri"/>
                <w:b w:val="0"/>
                <w:i w:val="0"/>
                <w:color w:val="212121"/>
                <w:sz w:val="16"/>
              </w:rPr>
              <w:t>Suspected PID, heavy menstrual bleeding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CA-125</w:t>
            </w:r>
          </w:p>
        </w:tc>
        <w:tc>
          <w:tcPr>
            <w:tcW w:type="dxa" w:w="892"/>
            <w:vAlign w:val="top"/>
          </w:tcPr>
          <w:p>
            <w:pPr>
              <w:spacing w:after="40" w:before="0" w:line="259" w:lineRule="auto"/>
            </w:pPr>
            <w:r>
              <w:rPr>
                <w:rFonts w:ascii="Calibri" w:hAnsi="Calibri"/>
                <w:b w:val="0"/>
                <w:i w:val="0"/>
                <w:color w:val="212121"/>
                <w:sz w:val="16"/>
              </w:rPr>
              <w:t>Tumour marker</w:t>
            </w:r>
          </w:p>
        </w:tc>
        <w:tc>
          <w:tcPr>
            <w:tcW w:type="dxa" w:w="950"/>
            <w:vAlign w:val="top"/>
          </w:tcPr>
          <w:p>
            <w:pPr>
              <w:spacing w:after="40" w:before="0" w:line="259" w:lineRule="auto"/>
            </w:pPr>
            <w:r>
              <w:rPr>
                <w:rFonts w:ascii="Calibri" w:hAnsi="Calibri"/>
                <w:b w:val="0"/>
                <w:i w:val="0"/>
                <w:color w:val="212121"/>
                <w:sz w:val="16"/>
              </w:rPr>
              <w:t>&lt; 35 U/mL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May be raised in endometriosis but is nonspecific</w:t>
            </w:r>
          </w:p>
        </w:tc>
        <w:tc>
          <w:tcPr>
            <w:tcW w:type="dxa" w:w="1036"/>
            <w:vAlign w:val="top"/>
          </w:tcPr>
          <w:p>
            <w:pPr>
              <w:spacing w:after="40" w:before="0" w:line="259" w:lineRule="auto"/>
            </w:pPr>
            <w:r>
              <w:rPr>
                <w:rFonts w:ascii="Calibri" w:hAnsi="Calibri"/>
                <w:b w:val="0"/>
                <w:i w:val="0"/>
                <w:color w:val="212121"/>
                <w:sz w:val="16"/>
              </w:rPr>
              <w:t>Suspected endometriosis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Low sensitivity; not a diagnostic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pelvis</w:t>
            </w:r>
          </w:p>
        </w:tc>
        <w:tc>
          <w:tcPr>
            <w:tcW w:type="dxa" w:w="892"/>
            <w:vAlign w:val="top"/>
          </w:tcPr>
          <w:p>
            <w:pPr>
              <w:spacing w:after="40" w:before="0" w:line="259" w:lineRule="auto"/>
            </w:pPr>
            <w:r>
              <w:rPr>
                <w:rFonts w:ascii="Calibri" w:hAnsi="Calibri"/>
                <w:b w:val="0"/>
                <w:i w:val="0"/>
                <w:color w:val="212121"/>
                <w:sz w:val="16"/>
              </w:rPr>
              <w:t>Advanced imaging</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Deep endometriosis, adenomyosis, complex anomaly</w:t>
            </w:r>
          </w:p>
        </w:tc>
        <w:tc>
          <w:tcPr>
            <w:tcW w:type="dxa" w:w="1036"/>
            <w:vAlign w:val="top"/>
          </w:tcPr>
          <w:p>
            <w:pPr>
              <w:spacing w:after="40" w:before="0" w:line="259" w:lineRule="auto"/>
            </w:pPr>
            <w:r>
              <w:rPr>
                <w:rFonts w:ascii="Calibri" w:hAnsi="Calibri"/>
                <w:b w:val="0"/>
                <w:i w:val="0"/>
                <w:color w:val="212121"/>
                <w:sz w:val="16"/>
              </w:rPr>
              <w:t>Characterises deep or complex disease and maps surgery</w:t>
            </w:r>
          </w:p>
        </w:tc>
        <w:tc>
          <w:tcPr>
            <w:tcW w:type="dxa" w:w="1036"/>
            <w:vAlign w:val="top"/>
          </w:tcPr>
          <w:p>
            <w:pPr>
              <w:spacing w:after="40" w:before="0" w:line="259" w:lineRule="auto"/>
            </w:pPr>
            <w:r>
              <w:rPr>
                <w:rFonts w:ascii="Calibri" w:hAnsi="Calibri"/>
                <w:b w:val="0"/>
                <w:i w:val="0"/>
                <w:color w:val="212121"/>
                <w:sz w:val="16"/>
              </w:rPr>
              <w:t>Refractory pain, planning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Second-line</w:t>
            </w:r>
          </w:p>
        </w:tc>
        <w:tc>
          <w:tcPr>
            <w:tcW w:type="dxa" w:w="720"/>
            <w:vAlign w:val="top"/>
          </w:tcPr>
          <w:p>
            <w:pPr>
              <w:spacing w:after="40" w:before="0" w:line="259" w:lineRule="auto"/>
            </w:pPr>
            <w:r>
              <w:rPr>
                <w:rFonts w:ascii="Calibri" w:hAnsi="Calibri"/>
                <w:b w:val="0"/>
                <w:i w:val="0"/>
                <w:color w:val="212121"/>
                <w:sz w:val="16"/>
              </w:rPr>
              <w:t>Superior soft-tissue detail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Surgical</w:t>
            </w:r>
          </w:p>
        </w:tc>
        <w:tc>
          <w:tcPr>
            <w:tcW w:type="dxa" w:w="1036"/>
            <w:vAlign w:val="top"/>
          </w:tcPr>
          <w:p>
            <w:pPr>
              <w:spacing w:after="40" w:before="0" w:line="259" w:lineRule="auto"/>
            </w:pPr>
            <w:r>
              <w:rPr>
                <w:rFonts w:ascii="Calibri" w:hAnsi="Calibri"/>
                <w:b w:val="0"/>
                <w:i w:val="0"/>
                <w:color w:val="212121"/>
                <w:sz w:val="16"/>
              </w:rPr>
              <w:t>Diagnostic laparoscopy +/- biopsy</w:t>
            </w:r>
          </w:p>
        </w:tc>
        <w:tc>
          <w:tcPr>
            <w:tcW w:type="dxa" w:w="892"/>
            <w:vAlign w:val="top"/>
          </w:tcPr>
          <w:p>
            <w:pPr>
              <w:spacing w:after="40" w:before="0" w:line="259" w:lineRule="auto"/>
            </w:pPr>
            <w:r>
              <w:rPr>
                <w:rFonts w:ascii="Calibri" w:hAnsi="Calibri"/>
                <w:b w:val="0"/>
                <w:i w:val="0"/>
                <w:color w:val="212121"/>
                <w:sz w:val="16"/>
              </w:rPr>
              <w:t>Laparoscopy</w:t>
            </w:r>
          </w:p>
        </w:tc>
        <w:tc>
          <w:tcPr>
            <w:tcW w:type="dxa" w:w="950"/>
            <w:vAlign w:val="top"/>
          </w:tcPr>
          <w:p>
            <w:pPr>
              <w:spacing w:after="40" w:before="0" w:line="259" w:lineRule="auto"/>
            </w:pPr>
            <w:r>
              <w:rPr>
                <w:rFonts w:ascii="Calibri" w:hAnsi="Calibri"/>
                <w:b w:val="0"/>
                <w:i w:val="0"/>
                <w:color w:val="212121"/>
                <w:sz w:val="16"/>
              </w:rPr>
              <w:t>Normal pelvis</w:t>
            </w:r>
          </w:p>
        </w:tc>
        <w:tc>
          <w:tcPr>
            <w:tcW w:type="dxa" w:w="950"/>
            <w:vAlign w:val="top"/>
          </w:tcPr>
          <w:p>
            <w:pPr>
              <w:spacing w:after="40" w:before="0" w:line="259" w:lineRule="auto"/>
            </w:pPr>
            <w:r>
              <w:rPr>
                <w:rFonts w:ascii="Calibri" w:hAnsi="Calibri"/>
                <w:b w:val="0"/>
                <w:i w:val="0"/>
                <w:color w:val="212121"/>
                <w:sz w:val="16"/>
              </w:rPr>
              <w:t>Endometriotic implants, adhesions, other pathology</w:t>
            </w:r>
          </w:p>
        </w:tc>
        <w:tc>
          <w:tcPr>
            <w:tcW w:type="dxa" w:w="1036"/>
            <w:vAlign w:val="top"/>
          </w:tcPr>
          <w:p>
            <w:pPr>
              <w:spacing w:after="40" w:before="0" w:line="259" w:lineRule="auto"/>
            </w:pPr>
            <w:r>
              <w:rPr>
                <w:rFonts w:ascii="Calibri" w:hAnsi="Calibri"/>
                <w:b w:val="0"/>
                <w:i w:val="0"/>
                <w:color w:val="212121"/>
                <w:sz w:val="16"/>
              </w:rPr>
              <w:t>Reference standard for confirming endometriosis</w:t>
            </w:r>
          </w:p>
        </w:tc>
        <w:tc>
          <w:tcPr>
            <w:tcW w:type="dxa" w:w="1036"/>
            <w:vAlign w:val="top"/>
          </w:tcPr>
          <w:p>
            <w:pPr>
              <w:spacing w:after="40" w:before="0" w:line="259" w:lineRule="auto"/>
            </w:pPr>
            <w:r>
              <w:rPr>
                <w:rFonts w:ascii="Calibri" w:hAnsi="Calibri"/>
                <w:b w:val="0"/>
                <w:i w:val="0"/>
                <w:color w:val="212121"/>
                <w:sz w:val="16"/>
              </w:rPr>
              <w:t>Refractory pain, subfertility, failed medical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(secondary)</w:t>
            </w:r>
          </w:p>
        </w:tc>
        <w:tc>
          <w:tcPr>
            <w:tcW w:type="dxa" w:w="720"/>
            <w:vAlign w:val="top"/>
          </w:tcPr>
          <w:p>
            <w:pPr>
              <w:spacing w:after="40" w:before="0" w:line="259" w:lineRule="auto"/>
            </w:pPr>
            <w:r>
              <w:rPr>
                <w:rFonts w:ascii="Calibri" w:hAnsi="Calibri"/>
                <w:b w:val="0"/>
                <w:i w:val="0"/>
                <w:color w:val="212121"/>
                <w:sz w:val="16"/>
              </w:rPr>
              <w:t>Reserved for refractory cases or fertility work-up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and pain history</w:t>
            </w:r>
          </w:p>
        </w:tc>
        <w:tc>
          <w:tcPr>
            <w:tcW w:type="dxa" w:w="979"/>
            <w:vAlign w:val="top"/>
          </w:tcPr>
          <w:p>
            <w:pPr>
              <w:spacing w:after="40" w:before="0" w:line="259" w:lineRule="auto"/>
            </w:pPr>
            <w:r>
              <w:rPr>
                <w:rFonts w:ascii="Calibri" w:hAnsi="Calibri"/>
                <w:b w:val="0"/>
                <w:i w:val="0"/>
                <w:color w:val="212121"/>
                <w:sz w:val="16"/>
              </w:rPr>
              <w:t>Onset relative to menarche, timing with menses</w:t>
            </w:r>
          </w:p>
        </w:tc>
        <w:tc>
          <w:tcPr>
            <w:tcW w:type="dxa" w:w="950"/>
            <w:vAlign w:val="top"/>
          </w:tcPr>
          <w:p>
            <w:pPr>
              <w:spacing w:after="40" w:before="0" w:line="259" w:lineRule="auto"/>
            </w:pPr>
            <w:r>
              <w:rPr>
                <w:rFonts w:ascii="Calibri" w:hAnsi="Calibri"/>
                <w:b w:val="0"/>
                <w:i w:val="0"/>
                <w:color w:val="212121"/>
                <w:sz w:val="16"/>
              </w:rPr>
              <w:t>Cyclical pain from within 1-2 years of menarche, resolving in 72 h</w:t>
            </w:r>
          </w:p>
        </w:tc>
        <w:tc>
          <w:tcPr>
            <w:tcW w:type="dxa" w:w="950"/>
            <w:vAlign w:val="top"/>
          </w:tcPr>
          <w:p>
            <w:pPr>
              <w:spacing w:after="40" w:before="0" w:line="259" w:lineRule="auto"/>
            </w:pPr>
            <w:r>
              <w:rPr>
                <w:rFonts w:ascii="Calibri" w:hAnsi="Calibri"/>
                <w:b w:val="0"/>
                <w:i w:val="0"/>
                <w:color w:val="212121"/>
                <w:sz w:val="16"/>
              </w:rPr>
              <w:t>Onset years after menarche, acyclic or progressive pain</w:t>
            </w:r>
          </w:p>
        </w:tc>
        <w:tc>
          <w:tcPr>
            <w:tcW w:type="dxa" w:w="1036"/>
            <w:vAlign w:val="top"/>
          </w:tcPr>
          <w:p>
            <w:pPr>
              <w:spacing w:after="40" w:before="0" w:line="259" w:lineRule="auto"/>
            </w:pPr>
            <w:r>
              <w:rPr>
                <w:rFonts w:ascii="Calibri" w:hAnsi="Calibri"/>
                <w:b w:val="0"/>
                <w:i w:val="0"/>
                <w:color w:val="212121"/>
                <w:sz w:val="16"/>
              </w:rPr>
              <w:t>Distinguishes primary from secondary dysmenorrhea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Cornerstone of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characterisation (VAS / verbal grading)</w:t>
            </w:r>
          </w:p>
        </w:tc>
        <w:tc>
          <w:tcPr>
            <w:tcW w:type="dxa" w:w="979"/>
            <w:vAlign w:val="top"/>
          </w:tcPr>
          <w:p>
            <w:pPr>
              <w:spacing w:after="40" w:before="0" w:line="259" w:lineRule="auto"/>
            </w:pPr>
            <w:r>
              <w:rPr>
                <w:rFonts w:ascii="Calibri" w:hAnsi="Calibri"/>
                <w:b w:val="0"/>
                <w:i w:val="0"/>
                <w:color w:val="212121"/>
                <w:sz w:val="16"/>
              </w:rPr>
              <w:t>Severity, radiation, duration, systemic symptoms</w:t>
            </w:r>
          </w:p>
        </w:tc>
        <w:tc>
          <w:tcPr>
            <w:tcW w:type="dxa" w:w="950"/>
            <w:vAlign w:val="top"/>
          </w:tcPr>
          <w:p>
            <w:pPr>
              <w:spacing w:after="40" w:before="0" w:line="259" w:lineRule="auto"/>
            </w:pPr>
            <w:r>
              <w:rPr>
                <w:rFonts w:ascii="Calibri" w:hAnsi="Calibri"/>
                <w:b w:val="0"/>
                <w:i w:val="0"/>
                <w:color w:val="212121"/>
                <w:sz w:val="16"/>
              </w:rPr>
              <w:t>Mild, self-limited pain</w:t>
            </w:r>
          </w:p>
        </w:tc>
        <w:tc>
          <w:tcPr>
            <w:tcW w:type="dxa" w:w="950"/>
            <w:vAlign w:val="top"/>
          </w:tcPr>
          <w:p>
            <w:pPr>
              <w:spacing w:after="40" w:before="0" w:line="259" w:lineRule="auto"/>
            </w:pPr>
            <w:r>
              <w:rPr>
                <w:rFonts w:ascii="Calibri" w:hAnsi="Calibri"/>
                <w:b w:val="0"/>
                <w:i w:val="0"/>
                <w:color w:val="212121"/>
                <w:sz w:val="16"/>
              </w:rPr>
              <w:t>Severe (VAS &gt;= 7), disabling, poorly relieved</w:t>
            </w:r>
          </w:p>
        </w:tc>
        <w:tc>
          <w:tcPr>
            <w:tcW w:type="dxa" w:w="1036"/>
            <w:vAlign w:val="top"/>
          </w:tcPr>
          <w:p>
            <w:pPr>
              <w:spacing w:after="40" w:before="0" w:line="259" w:lineRule="auto"/>
            </w:pPr>
            <w:r>
              <w:rPr>
                <w:rFonts w:ascii="Calibri" w:hAnsi="Calibri"/>
                <w:b w:val="0"/>
                <w:i w:val="0"/>
                <w:color w:val="212121"/>
                <w:sz w:val="16"/>
              </w:rPr>
              <w:t>Grades severity and guides therapy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Track response over cycles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Secondary / red-flag symptoms</w:t>
            </w:r>
          </w:p>
        </w:tc>
        <w:tc>
          <w:tcPr>
            <w:tcW w:type="dxa" w:w="979"/>
            <w:vAlign w:val="top"/>
          </w:tcPr>
          <w:p>
            <w:pPr>
              <w:spacing w:after="40" w:before="0" w:line="259" w:lineRule="auto"/>
            </w:pPr>
            <w:r>
              <w:rPr>
                <w:rFonts w:ascii="Calibri" w:hAnsi="Calibri"/>
                <w:b w:val="0"/>
                <w:i w:val="0"/>
                <w:color w:val="212121"/>
                <w:sz w:val="16"/>
              </w:rPr>
              <w:t>Dyspareunia, dyschezia, abnormal bleeding, discharge, subfertility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Points to endometriosis, adenomyosis, fibroids or PID</w:t>
            </w:r>
          </w:p>
        </w:tc>
        <w:tc>
          <w:tcPr>
            <w:tcW w:type="dxa" w:w="1036"/>
            <w:vAlign w:val="top"/>
          </w:tcPr>
          <w:p>
            <w:pPr>
              <w:spacing w:after="40" w:before="0" w:line="259" w:lineRule="auto"/>
            </w:pPr>
            <w:r>
              <w:rPr>
                <w:rFonts w:ascii="Calibri" w:hAnsi="Calibri"/>
                <w:b w:val="0"/>
                <w:i w:val="0"/>
                <w:color w:val="212121"/>
                <w:sz w:val="16"/>
              </w:rPr>
              <w:t>Age &gt;25, refractory or worsening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Triggers pelvic exam and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and gynae-obstetric history</w:t>
            </w:r>
          </w:p>
        </w:tc>
        <w:tc>
          <w:tcPr>
            <w:tcW w:type="dxa" w:w="979"/>
            <w:vAlign w:val="top"/>
          </w:tcPr>
          <w:p>
            <w:pPr>
              <w:spacing w:after="40" w:before="0" w:line="259" w:lineRule="auto"/>
            </w:pPr>
            <w:r>
              <w:rPr>
                <w:rFonts w:ascii="Calibri" w:hAnsi="Calibri"/>
                <w:b w:val="0"/>
                <w:i w:val="0"/>
                <w:color w:val="212121"/>
                <w:sz w:val="16"/>
              </w:rPr>
              <w:t>Family history, parity, age at menarche, cycle length</w:t>
            </w:r>
          </w:p>
        </w:tc>
        <w:tc>
          <w:tcPr>
            <w:tcW w:type="dxa" w:w="950"/>
            <w:vAlign w:val="top"/>
          </w:tcPr>
          <w:p>
            <w:pPr>
              <w:spacing w:after="40" w:before="0" w:line="259" w:lineRule="auto"/>
            </w:pPr>
            <w:r>
              <w:rPr>
                <w:rFonts w:ascii="Calibri" w:hAnsi="Calibri"/>
                <w:b w:val="0"/>
                <w:i w:val="0"/>
                <w:color w:val="212121"/>
                <w:sz w:val="16"/>
              </w:rPr>
              <w:t>No family history, later menarche, parous</w:t>
            </w:r>
          </w:p>
        </w:tc>
        <w:tc>
          <w:tcPr>
            <w:tcW w:type="dxa" w:w="950"/>
            <w:vAlign w:val="top"/>
          </w:tcPr>
          <w:p>
            <w:pPr>
              <w:spacing w:after="40" w:before="0" w:line="259" w:lineRule="auto"/>
            </w:pPr>
            <w:r>
              <w:rPr>
                <w:rFonts w:ascii="Calibri" w:hAnsi="Calibri"/>
                <w:b w:val="0"/>
                <w:i w:val="0"/>
                <w:color w:val="212121"/>
                <w:sz w:val="16"/>
              </w:rPr>
              <w:t>Family history, early menarche, nulliparity, long cycles</w:t>
            </w:r>
          </w:p>
        </w:tc>
        <w:tc>
          <w:tcPr>
            <w:tcW w:type="dxa" w:w="1036"/>
            <w:vAlign w:val="top"/>
          </w:tcPr>
          <w:p>
            <w:pPr>
              <w:spacing w:after="40" w:before="0" w:line="259" w:lineRule="auto"/>
            </w:pPr>
            <w:r>
              <w:rPr>
                <w:rFonts w:ascii="Calibri" w:hAnsi="Calibri"/>
                <w:b w:val="0"/>
                <w:i w:val="0"/>
                <w:color w:val="212121"/>
                <w:sz w:val="16"/>
              </w:rPr>
              <w:t>Identifies genetic and hormonal predisposition</w:t>
            </w:r>
          </w:p>
        </w:tc>
        <w:tc>
          <w:tcPr>
            <w:tcW w:type="dxa" w:w="1036"/>
            <w:vAlign w:val="top"/>
          </w:tcPr>
          <w:p>
            <w:pPr>
              <w:spacing w:after="40" w:before="0" w:line="259" w:lineRule="auto"/>
            </w:pPr>
            <w:r>
              <w:rPr>
                <w:rFonts w:ascii="Calibri" w:hAnsi="Calibri"/>
                <w:b w:val="0"/>
                <w:i w:val="0"/>
                <w:color w:val="212121"/>
                <w:sz w:val="16"/>
              </w:rPr>
              <w:t>Adolescents, young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is a consistent risk factor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Lifestyle and psychosocial history</w:t>
            </w:r>
          </w:p>
        </w:tc>
        <w:tc>
          <w:tcPr>
            <w:tcW w:type="dxa" w:w="979"/>
            <w:vAlign w:val="top"/>
          </w:tcPr>
          <w:p>
            <w:pPr>
              <w:spacing w:after="40" w:before="0" w:line="259" w:lineRule="auto"/>
            </w:pPr>
            <w:r>
              <w:rPr>
                <w:rFonts w:ascii="Calibri" w:hAnsi="Calibri"/>
                <w:b w:val="0"/>
                <w:i w:val="0"/>
                <w:color w:val="212121"/>
                <w:sz w:val="16"/>
              </w:rPr>
              <w:t>Smoking, BMI, activity, diet, stress, sleep</w:t>
            </w:r>
          </w:p>
        </w:tc>
        <w:tc>
          <w:tcPr>
            <w:tcW w:type="dxa" w:w="950"/>
            <w:vAlign w:val="top"/>
          </w:tcPr>
          <w:p>
            <w:pPr>
              <w:spacing w:after="40" w:before="0" w:line="259" w:lineRule="auto"/>
            </w:pPr>
            <w:r>
              <w:rPr>
                <w:rFonts w:ascii="Calibri" w:hAnsi="Calibri"/>
                <w:b w:val="0"/>
                <w:i w:val="0"/>
                <w:color w:val="212121"/>
                <w:sz w:val="16"/>
              </w:rPr>
              <w:t>Non-smoker, active, balanced diet, low stress</w:t>
            </w:r>
          </w:p>
        </w:tc>
        <w:tc>
          <w:tcPr>
            <w:tcW w:type="dxa" w:w="950"/>
            <w:vAlign w:val="top"/>
          </w:tcPr>
          <w:p>
            <w:pPr>
              <w:spacing w:after="40" w:before="0" w:line="259" w:lineRule="auto"/>
            </w:pPr>
            <w:r>
              <w:rPr>
                <w:rFonts w:ascii="Calibri" w:hAnsi="Calibri"/>
                <w:b w:val="0"/>
                <w:i w:val="0"/>
                <w:color w:val="212121"/>
                <w:sz w:val="16"/>
              </w:rPr>
              <w:t>Smoker, low BMI, sedentary, poor diet, high stress</w:t>
            </w:r>
          </w:p>
        </w:tc>
        <w:tc>
          <w:tcPr>
            <w:tcW w:type="dxa" w:w="1036"/>
            <w:vAlign w:val="top"/>
          </w:tcPr>
          <w:p>
            <w:pPr>
              <w:spacing w:after="40" w:before="0" w:line="259" w:lineRule="auto"/>
            </w:pPr>
            <w:r>
              <w:rPr>
                <w:rFonts w:ascii="Calibri" w:hAnsi="Calibri"/>
                <w:b w:val="0"/>
                <w:i w:val="0"/>
                <w:color w:val="212121"/>
                <w:sz w:val="16"/>
              </w:rPr>
              <w:t>Identifies modifiable drivers of pain</w:t>
            </w:r>
          </w:p>
        </w:tc>
        <w:tc>
          <w:tcPr>
            <w:tcW w:type="dxa" w:w="1036"/>
            <w:vAlign w:val="top"/>
          </w:tcPr>
          <w:p>
            <w:pPr>
              <w:spacing w:after="40" w:before="0" w:line="259" w:lineRule="auto"/>
            </w:pPr>
            <w:r>
              <w:rPr>
                <w:rFonts w:ascii="Calibri" w:hAnsi="Calibri"/>
                <w:b w:val="0"/>
                <w:i w:val="0"/>
                <w:color w:val="212121"/>
                <w:sz w:val="16"/>
              </w:rPr>
              <w:t>Students, smokers, sedentary women</w:t>
            </w:r>
          </w:p>
        </w:tc>
        <w:tc>
          <w:tcPr>
            <w:tcW w:type="dxa" w:w="720"/>
            <w:vAlign w:val="top"/>
          </w:tcPr>
          <w:p>
            <w:pPr>
              <w:spacing w:after="40" w:before="0" w:line="259" w:lineRule="auto"/>
            </w:pPr>
            <w:r>
              <w:rPr>
                <w:rFonts w:ascii="Calibri" w:hAnsi="Calibri"/>
                <w:b w:val="0"/>
                <w:i w:val="0"/>
                <w:color w:val="212121"/>
                <w:sz w:val="16"/>
              </w:rPr>
              <w:t>Smoking; Physical activity;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lifestyle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Abdominal and pelvic examination</w:t>
            </w:r>
          </w:p>
        </w:tc>
        <w:tc>
          <w:tcPr>
            <w:tcW w:type="dxa" w:w="979"/>
            <w:vAlign w:val="top"/>
          </w:tcPr>
          <w:p>
            <w:pPr>
              <w:spacing w:after="40" w:before="0" w:line="259" w:lineRule="auto"/>
            </w:pPr>
            <w:r>
              <w:rPr>
                <w:rFonts w:ascii="Calibri" w:hAnsi="Calibri"/>
                <w:b w:val="0"/>
                <w:i w:val="0"/>
                <w:color w:val="212121"/>
                <w:sz w:val="16"/>
              </w:rPr>
              <w:t>Uterine size/tenderness, adnexa, cervical motion tenderness, nodularity</w:t>
            </w:r>
          </w:p>
        </w:tc>
        <w:tc>
          <w:tcPr>
            <w:tcW w:type="dxa" w:w="950"/>
            <w:vAlign w:val="top"/>
          </w:tcPr>
          <w:p>
            <w:pPr>
              <w:spacing w:after="40" w:before="0" w:line="259" w:lineRule="auto"/>
            </w:pPr>
            <w:r>
              <w:rPr>
                <w:rFonts w:ascii="Calibri" w:hAnsi="Calibri"/>
                <w:b w:val="0"/>
                <w:i w:val="0"/>
                <w:color w:val="212121"/>
                <w:sz w:val="16"/>
              </w:rPr>
              <w:t>Normal, nontender, mobile uterus (primary)</w:t>
            </w:r>
          </w:p>
        </w:tc>
        <w:tc>
          <w:tcPr>
            <w:tcW w:type="dxa" w:w="950"/>
            <w:vAlign w:val="top"/>
          </w:tcPr>
          <w:p>
            <w:pPr>
              <w:spacing w:after="40" w:before="0" w:line="259" w:lineRule="auto"/>
            </w:pPr>
            <w:r>
              <w:rPr>
                <w:rFonts w:ascii="Calibri" w:hAnsi="Calibri"/>
                <w:b w:val="0"/>
                <w:i w:val="0"/>
                <w:color w:val="212121"/>
                <w:sz w:val="16"/>
              </w:rPr>
              <w:t>Enlarged/tender uterus, mass, CMT, uterosacral nodularity</w:t>
            </w:r>
          </w:p>
        </w:tc>
        <w:tc>
          <w:tcPr>
            <w:tcW w:type="dxa" w:w="1036"/>
            <w:vAlign w:val="top"/>
          </w:tcPr>
          <w:p>
            <w:pPr>
              <w:spacing w:after="40" w:before="0" w:line="259" w:lineRule="auto"/>
            </w:pPr>
            <w:r>
              <w:rPr>
                <w:rFonts w:ascii="Calibri" w:hAnsi="Calibri"/>
                <w:b w:val="0"/>
                <w:i w:val="0"/>
                <w:color w:val="212121"/>
                <w:sz w:val="16"/>
              </w:rPr>
              <w:t>Detects structural or infective secondary causes</w:t>
            </w:r>
          </w:p>
        </w:tc>
        <w:tc>
          <w:tcPr>
            <w:tcW w:type="dxa" w:w="1036"/>
            <w:vAlign w:val="top"/>
          </w:tcPr>
          <w:p>
            <w:pPr>
              <w:spacing w:after="40" w:before="0" w:line="259" w:lineRule="auto"/>
            </w:pPr>
            <w:r>
              <w:rPr>
                <w:rFonts w:ascii="Calibri" w:hAnsi="Calibri"/>
                <w:b w:val="0"/>
                <w:i w:val="0"/>
                <w:color w:val="212121"/>
                <w:sz w:val="16"/>
              </w:rPr>
              <w:t>Suspected secondary dysmenorrhea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 required in typical adolescent primary dysmenorrhea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impact assessment</w:t>
            </w:r>
          </w:p>
        </w:tc>
        <w:tc>
          <w:tcPr>
            <w:tcW w:type="dxa" w:w="979"/>
            <w:vAlign w:val="top"/>
          </w:tcPr>
          <w:p>
            <w:pPr>
              <w:spacing w:after="40" w:before="0" w:line="259" w:lineRule="auto"/>
            </w:pPr>
            <w:r>
              <w:rPr>
                <w:rFonts w:ascii="Calibri" w:hAnsi="Calibri"/>
                <w:b w:val="0"/>
                <w:i w:val="0"/>
                <w:color w:val="212121"/>
                <w:sz w:val="16"/>
              </w:rPr>
              <w:t>School/work absenteeism, activity limitation</w:t>
            </w:r>
          </w:p>
        </w:tc>
        <w:tc>
          <w:tcPr>
            <w:tcW w:type="dxa" w:w="950"/>
            <w:vAlign w:val="top"/>
          </w:tcPr>
          <w:p>
            <w:pPr>
              <w:spacing w:after="40" w:before="0" w:line="259" w:lineRule="auto"/>
            </w:pPr>
            <w:r>
              <w:rPr>
                <w:rFonts w:ascii="Calibri" w:hAnsi="Calibri"/>
                <w:b w:val="0"/>
                <w:i w:val="0"/>
                <w:color w:val="212121"/>
                <w:sz w:val="16"/>
              </w:rPr>
              <w:t>No functional limitation</w:t>
            </w:r>
          </w:p>
        </w:tc>
        <w:tc>
          <w:tcPr>
            <w:tcW w:type="dxa" w:w="950"/>
            <w:vAlign w:val="top"/>
          </w:tcPr>
          <w:p>
            <w:pPr>
              <w:spacing w:after="40" w:before="0" w:line="259" w:lineRule="auto"/>
            </w:pPr>
            <w:r>
              <w:rPr>
                <w:rFonts w:ascii="Calibri" w:hAnsi="Calibri"/>
                <w:b w:val="0"/>
                <w:i w:val="0"/>
                <w:color w:val="212121"/>
                <w:sz w:val="16"/>
              </w:rPr>
              <w:t>Recurrent absence or activity restriction</w:t>
            </w:r>
          </w:p>
        </w:tc>
        <w:tc>
          <w:tcPr>
            <w:tcW w:type="dxa" w:w="1036"/>
            <w:vAlign w:val="top"/>
          </w:tcPr>
          <w:p>
            <w:pPr>
              <w:spacing w:after="40" w:before="0" w:line="259" w:lineRule="auto"/>
            </w:pPr>
            <w:r>
              <w:rPr>
                <w:rFonts w:ascii="Calibri" w:hAnsi="Calibri"/>
                <w:b w:val="0"/>
                <w:i w:val="0"/>
                <w:color w:val="212121"/>
                <w:sz w:val="16"/>
              </w:rPr>
              <w:t>Gauges burden and need for active treatment</w:t>
            </w:r>
          </w:p>
        </w:tc>
        <w:tc>
          <w:tcPr>
            <w:tcW w:type="dxa" w:w="1036"/>
            <w:vAlign w:val="top"/>
          </w:tcPr>
          <w:p>
            <w:pPr>
              <w:spacing w:after="40" w:before="0" w:line="259" w:lineRule="auto"/>
            </w:pPr>
            <w:r>
              <w:rPr>
                <w:rFonts w:ascii="Calibri" w:hAnsi="Calibri"/>
                <w:b w:val="0"/>
                <w:i w:val="0"/>
                <w:color w:val="212121"/>
                <w:sz w:val="16"/>
              </w:rPr>
              <w:t>Students, working women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About 40% of Indian schoolgirls miss school during menses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Cramping lower-abdominal / suprapubic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core symptom - spasmodic, colicky pain from prostaglandin-driven uterine contractions.</w:t>
            </w:r>
          </w:p>
        </w:tc>
      </w:tr>
      <w:tr>
        <w:trPr>
          <w:cantSplit/>
        </w:trPr>
        <w:tc>
          <w:tcPr>
            <w:tcW w:type="dxa" w:w="2304"/>
            <w:vAlign w:val="top"/>
          </w:tcPr>
          <w:p>
            <w:pPr>
              <w:spacing w:after="40" w:before="0" w:line="259" w:lineRule="auto"/>
            </w:pPr>
            <w:r>
              <w:rPr>
                <w:rFonts w:ascii="Calibri" w:hAnsi="Calibri"/>
                <w:b/>
                <w:i w:val="0"/>
                <w:color w:val="212121"/>
                <w:sz w:val="19"/>
              </w:rPr>
              <w:t>Pain radiating to the lower back and thighs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Referred pain along shared pelvic nerve pathways.</w:t>
            </w:r>
          </w:p>
        </w:tc>
      </w:tr>
      <w:tr>
        <w:trPr>
          <w:cantSplit/>
        </w:trPr>
        <w:tc>
          <w:tcPr>
            <w:tcW w:type="dxa" w:w="2304"/>
            <w:vAlign w:val="top"/>
          </w:tcPr>
          <w:p>
            <w:pPr>
              <w:spacing w:after="40" w:before="0" w:line="259" w:lineRule="auto"/>
            </w:pPr>
            <w:r>
              <w:rPr>
                <w:rFonts w:ascii="Calibri" w:hAnsi="Calibri"/>
                <w:b/>
                <w:i w:val="0"/>
                <w:color w:val="212121"/>
                <w:sz w:val="19"/>
              </w:rPr>
              <w:t>Pain starting just before or with menstrual flow</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Typically peaks at 24-48 hours and settles within 72 hours in primary dysmenorrhea.</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effect of circulating prostaglandins on the gut.</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Accompanies more severe episodes, from prostaglandin effects.</w:t>
            </w:r>
          </w:p>
        </w:tc>
      </w:tr>
      <w:tr>
        <w:trPr>
          <w:cantSplit/>
        </w:trPr>
        <w:tc>
          <w:tcPr>
            <w:tcW w:type="dxa" w:w="2304"/>
            <w:vAlign w:val="top"/>
          </w:tcPr>
          <w:p>
            <w:pPr>
              <w:spacing w:after="40" w:before="0" w:line="259" w:lineRule="auto"/>
            </w:pPr>
            <w:r>
              <w:rPr>
                <w:rFonts w:ascii="Calibri" w:hAnsi="Calibri"/>
                <w:b/>
                <w:i w:val="0"/>
                <w:color w:val="212121"/>
                <w:sz w:val="19"/>
              </w:rPr>
              <w:t>Diarrhoea / loose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Prostaglandins stimulate intestinal smooth muscle.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Frequently accompanies menstrual pain; overlaps with menstrual migraine.</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systemic accompaniment during painful periods.</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with severe pain and vasomotor changes.</w:t>
            </w:r>
          </w:p>
        </w:tc>
      </w:tr>
      <w:tr>
        <w:trPr>
          <w:cantSplit/>
        </w:trPr>
        <w:tc>
          <w:tcPr>
            <w:tcW w:type="dxa" w:w="2304"/>
            <w:vAlign w:val="top"/>
          </w:tcPr>
          <w:p>
            <w:pPr>
              <w:spacing w:after="40" w:before="0" w:line="259" w:lineRule="auto"/>
            </w:pPr>
            <w:r>
              <w:rPr>
                <w:rFonts w:ascii="Calibri" w:hAnsi="Calibri"/>
                <w:b/>
                <w:i w:val="0"/>
                <w:color w:val="212121"/>
                <w:sz w:val="19"/>
              </w:rPr>
              <w:t>Fainting (vasovagal 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Severe pain can trigger a vasovagal response.</w:t>
            </w:r>
          </w:p>
        </w:tc>
      </w:tr>
      <w:tr>
        <w:trPr>
          <w:cantSplit/>
        </w:trPr>
        <w:tc>
          <w:tcPr>
            <w:tcW w:type="dxa" w:w="2304"/>
            <w:vAlign w:val="top"/>
          </w:tcPr>
          <w:p>
            <w:pPr>
              <w:spacing w:after="40" w:before="0" w:line="259" w:lineRule="auto"/>
            </w:pPr>
            <w:r>
              <w:rPr>
                <w:rFonts w:ascii="Calibri" w:hAnsi="Calibri"/>
                <w:b/>
                <w:i w:val="0"/>
                <w:color w:val="212121"/>
                <w:sz w:val="19"/>
              </w:rPr>
              <w:t>Irritability, low mood and sleep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and hormonal cyclicity disturb mood and sleep.</w:t>
            </w:r>
          </w:p>
        </w:tc>
      </w:tr>
      <w:tr>
        <w:trPr>
          <w:cantSplit/>
        </w:trPr>
        <w:tc>
          <w:tcPr>
            <w:tcW w:type="dxa" w:w="2304"/>
            <w:vAlign w:val="top"/>
          </w:tcPr>
          <w:p>
            <w:pPr>
              <w:spacing w:after="40" w:before="0" w:line="259" w:lineRule="auto"/>
            </w:pPr>
            <w:r>
              <w:rPr>
                <w:rFonts w:ascii="Calibri" w:hAnsi="Calibri"/>
                <w:b/>
                <w:i w:val="0"/>
                <w:color w:val="212121"/>
                <w:sz w:val="19"/>
              </w:rPr>
              <w:t>Deep dyspareunia (pain with intercourse)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red flag suggesting secondary dysmenorrhea, especially endometriosis.</w:t>
            </w:r>
          </w:p>
        </w:tc>
      </w:tr>
      <w:tr>
        <w:trPr>
          <w:cantSplit/>
        </w:trPr>
        <w:tc>
          <w:tcPr>
            <w:tcW w:type="dxa" w:w="2304"/>
            <w:vAlign w:val="top"/>
          </w:tcPr>
          <w:p>
            <w:pPr>
              <w:spacing w:after="40" w:before="0" w:line="259" w:lineRule="auto"/>
            </w:pPr>
            <w:r>
              <w:rPr>
                <w:rFonts w:ascii="Calibri" w:hAnsi="Calibri"/>
                <w:b/>
                <w:i w:val="0"/>
                <w:color w:val="212121"/>
                <w:sz w:val="19"/>
              </w:rPr>
              <w:t>Cyclical dyschezia or painful bladder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Painful defecation or urination with periods points to endometriosis or deep pelvic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nontender, freely mobile uterus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expected examination finding in primary dysmenorrhea.</w:t>
            </w:r>
          </w:p>
        </w:tc>
      </w:tr>
      <w:tr>
        <w:trPr>
          <w:cantSplit/>
        </w:trPr>
        <w:tc>
          <w:tcPr>
            <w:tcW w:type="dxa" w:w="3456"/>
            <w:vAlign w:val="top"/>
          </w:tcPr>
          <w:p>
            <w:pPr>
              <w:spacing w:after="40" w:before="0" w:line="259" w:lineRule="auto"/>
            </w:pPr>
            <w:r>
              <w:rPr>
                <w:rFonts w:ascii="Calibri" w:hAnsi="Calibri"/>
                <w:b/>
                <w:i w:val="0"/>
                <w:color w:val="212121"/>
                <w:sz w:val="19"/>
              </w:rPr>
              <w:t>Lower abdominal / suprapubic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midline tenderness during a painful episode, without peritonism.</w:t>
            </w:r>
          </w:p>
        </w:tc>
      </w:tr>
      <w:tr>
        <w:trPr>
          <w:cantSplit/>
        </w:trPr>
        <w:tc>
          <w:tcPr>
            <w:tcW w:type="dxa" w:w="3456"/>
            <w:vAlign w:val="top"/>
          </w:tcPr>
          <w:p>
            <w:pPr>
              <w:spacing w:after="40" w:before="0" w:line="259" w:lineRule="auto"/>
            </w:pPr>
            <w:r>
              <w:rPr>
                <w:rFonts w:ascii="Calibri" w:hAnsi="Calibri"/>
                <w:b/>
                <w:i w:val="0"/>
                <w:color w:val="212121"/>
                <w:sz w:val="19"/>
              </w:rPr>
              <w:t>Pallor, sweating and tachycardia during a severe episode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response to intense visceral pain.</w:t>
            </w:r>
          </w:p>
        </w:tc>
      </w:tr>
      <w:tr>
        <w:trPr>
          <w:cantSplit/>
        </w:trPr>
        <w:tc>
          <w:tcPr>
            <w:tcW w:type="dxa" w:w="3456"/>
            <w:vAlign w:val="top"/>
          </w:tcPr>
          <w:p>
            <w:pPr>
              <w:spacing w:after="40" w:before="0" w:line="259" w:lineRule="auto"/>
            </w:pPr>
            <w:r>
              <w:rPr>
                <w:rFonts w:ascii="Calibri" w:hAnsi="Calibri"/>
                <w:b/>
                <w:i w:val="0"/>
                <w:color w:val="212121"/>
                <w:sz w:val="19"/>
              </w:rPr>
              <w:t>Cervical motion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pelvic inflammatory disease as a secondary cause.</w:t>
            </w:r>
          </w:p>
        </w:tc>
      </w:tr>
      <w:tr>
        <w:trPr>
          <w:cantSplit/>
        </w:trPr>
        <w:tc>
          <w:tcPr>
            <w:tcW w:type="dxa" w:w="3456"/>
            <w:vAlign w:val="top"/>
          </w:tcPr>
          <w:p>
            <w:pPr>
              <w:spacing w:after="40" w:before="0" w:line="259" w:lineRule="auto"/>
            </w:pPr>
            <w:r>
              <w:rPr>
                <w:rFonts w:ascii="Calibri" w:hAnsi="Calibri"/>
                <w:b/>
                <w:i w:val="0"/>
                <w:color w:val="212121"/>
                <w:sz w:val="19"/>
              </w:rPr>
              <w:t>Adnexal tenderness or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indicate endometrioma, tubo-ovarian pathology or PID.</w:t>
            </w:r>
          </w:p>
        </w:tc>
      </w:tr>
      <w:tr>
        <w:trPr>
          <w:cantSplit/>
        </w:trPr>
        <w:tc>
          <w:tcPr>
            <w:tcW w:type="dxa" w:w="3456"/>
            <w:vAlign w:val="top"/>
          </w:tcPr>
          <w:p>
            <w:pPr>
              <w:spacing w:after="40" w:before="0" w:line="259" w:lineRule="auto"/>
            </w:pPr>
            <w:r>
              <w:rPr>
                <w:rFonts w:ascii="Calibri" w:hAnsi="Calibri"/>
                <w:b/>
                <w:i w:val="0"/>
                <w:color w:val="212121"/>
                <w:sz w:val="19"/>
              </w:rPr>
              <w:t>Symmetrically enlarged, tender (boggy) uterus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Classic examination finding of adenomyosis.</w:t>
            </w:r>
          </w:p>
        </w:tc>
      </w:tr>
      <w:tr>
        <w:trPr>
          <w:cantSplit/>
        </w:trPr>
        <w:tc>
          <w:tcPr>
            <w:tcW w:type="dxa" w:w="3456"/>
            <w:vAlign w:val="top"/>
          </w:tcPr>
          <w:p>
            <w:pPr>
              <w:spacing w:after="40" w:before="0" w:line="259" w:lineRule="auto"/>
            </w:pPr>
            <w:r>
              <w:rPr>
                <w:rFonts w:ascii="Calibri" w:hAnsi="Calibri"/>
                <w:b/>
                <w:i w:val="0"/>
                <w:color w:val="212121"/>
                <w:sz w:val="19"/>
              </w:rPr>
              <w:t>Irregular, asymmetrically enlarged uterus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uterine fibroids.</w:t>
            </w:r>
          </w:p>
        </w:tc>
      </w:tr>
      <w:tr>
        <w:trPr>
          <w:cantSplit/>
        </w:trPr>
        <w:tc>
          <w:tcPr>
            <w:tcW w:type="dxa" w:w="3456"/>
            <w:vAlign w:val="top"/>
          </w:tcPr>
          <w:p>
            <w:pPr>
              <w:spacing w:after="40" w:before="0" w:line="259" w:lineRule="auto"/>
            </w:pPr>
            <w:r>
              <w:rPr>
                <w:rFonts w:ascii="Calibri" w:hAnsi="Calibri"/>
                <w:b/>
                <w:i w:val="0"/>
                <w:color w:val="212121"/>
                <w:sz w:val="19"/>
              </w:rPr>
              <w:t>Fixed, retroverted uterus with uterosacral nodularity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Highly suggestive of endometriosis with pelvic adhesions.</w:t>
            </w:r>
          </w:p>
        </w:tc>
      </w:tr>
      <w:tr>
        <w:trPr>
          <w:cantSplit/>
        </w:trPr>
        <w:tc>
          <w:tcPr>
            <w:tcW w:type="dxa" w:w="3456"/>
            <w:vAlign w:val="top"/>
          </w:tcPr>
          <w:p>
            <w:pPr>
              <w:spacing w:after="40" w:before="0" w:line="259" w:lineRule="auto"/>
            </w:pPr>
            <w:r>
              <w:rPr>
                <w:rFonts w:ascii="Calibri" w:hAnsi="Calibri"/>
                <w:b/>
                <w:i w:val="0"/>
                <w:color w:val="212121"/>
                <w:sz w:val="19"/>
              </w:rPr>
              <w:t>Abnormal, foul or mucopurulent cervical discharge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genital-tract infection / PID.</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With pelvic pain suggests acute pelvic inflammatory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recurrent cramping pelvic pain each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Nausea, vomiting and diarrhoea with dehydration in severe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Vasovagal syncope during intense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inability to attend school, college or work</w:t>
            </w:r>
          </w:p>
        </w:tc>
        <w:tc>
          <w:tcPr>
            <w:tcW w:type="dxa" w:w="2980"/>
            <w:vAlign w:val="top"/>
          </w:tcPr>
          <w:p>
            <w:pPr>
              <w:spacing w:after="40" w:before="0" w:line="259" w:lineRule="auto"/>
            </w:pPr>
            <w:r>
              <w:rPr>
                <w:rFonts w:ascii="Calibri" w:hAnsi="Calibri"/>
                <w:b w:val="0"/>
                <w:i w:val="0"/>
                <w:color w:val="212121"/>
                <w:sz w:val="19"/>
              </w:rPr>
              <w:t>Direct, cyclical consequences of prostaglandin-driven uterine ischaemia during menstruation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school and work absenteeism (about 12% of school/work activities missed monthly; roughly 40% of Indian schoolgirls miss school during menses)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concentration, academic and work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disruption and daytime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overuse and unsupervised self-medication (about 39% of Indian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low mood from chronic recurrent pain</w:t>
            </w:r>
          </w:p>
        </w:tc>
        <w:tc>
          <w:tcPr>
            <w:tcW w:type="dxa" w:w="2980"/>
            <w:vAlign w:val="top"/>
          </w:tcPr>
          <w:p>
            <w:pPr>
              <w:spacing w:after="40" w:before="0" w:line="259" w:lineRule="auto"/>
            </w:pPr>
            <w:r>
              <w:rPr>
                <w:rFonts w:ascii="Calibri" w:hAnsi="Calibri"/>
                <w:b w:val="0"/>
                <w:i w:val="0"/>
                <w:color w:val="212121"/>
                <w:sz w:val="19"/>
              </w:rPr>
              <w:t>Cumulative functional and psychosocial burden of poorly controlled, under-treated menstrual pain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Endometriosis-related chronic pelvic pain, adhesions and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PID-related tubal damage, ectopic-pregnancy risk and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 pain sensitisation / chronic pelvic pain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NSAID-related gastritis or peptic ulcer from heavy analgesic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diagnosis of serious secondary disease when pain is normalised</w:t>
            </w:r>
          </w:p>
        </w:tc>
        <w:tc>
          <w:tcPr>
            <w:tcW w:type="dxa" w:w="2980"/>
            <w:vAlign w:val="top"/>
          </w:tcPr>
          <w:p>
            <w:pPr>
              <w:spacing w:after="40" w:before="0" w:line="259" w:lineRule="auto"/>
            </w:pPr>
            <w:r>
              <w:rPr>
                <w:rFonts w:ascii="Calibri" w:hAnsi="Calibri"/>
                <w:b w:val="0"/>
                <w:i w:val="0"/>
                <w:color w:val="212121"/>
                <w:sz w:val="19"/>
              </w:rPr>
              <w:t>Irreversible or long-term outcomes, largely of untreated secondary causes and chronic analgesic misuse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Endometriosis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identifiable cause of secondary dysmenorrhea; found in up to about 29% of dysmenorrhea cases and around 35% of NSAID-resistant cases, and affecting roughly 10% of reproductive-age women.</w:t>
            </w:r>
          </w:p>
          <w:p>
            <w:pPr>
              <w:spacing w:after="40" w:before="0" w:line="259" w:lineRule="auto"/>
            </w:pPr>
            <w:r>
              <w:rPr>
                <w:rFonts w:ascii="Calibri" w:hAnsi="Calibri"/>
                <w:b/>
                <w:i w:val="0"/>
                <w:color w:val="212121"/>
                <w:sz w:val="19"/>
              </w:rPr>
              <w:t>Up to 29%</w:t>
            </w:r>
          </w:p>
        </w:tc>
      </w:tr>
      <w:tr>
        <w:trPr>
          <w:cantSplit/>
        </w:trPr>
        <w:tc>
          <w:tcPr>
            <w:tcW w:type="dxa" w:w="2232"/>
            <w:vAlign w:val="top"/>
          </w:tcPr>
          <w:p>
            <w:pPr>
              <w:spacing w:after="40" w:before="0" w:line="259" w:lineRule="auto"/>
            </w:pPr>
            <w:r>
              <w:rPr>
                <w:rFonts w:ascii="Calibri" w:hAnsi="Calibri"/>
                <w:b/>
                <w:i w:val="0"/>
                <w:color w:val="212121"/>
                <w:sz w:val="19"/>
              </w:rPr>
              <w:t>Premenstrual syndrome (PMS) / PMDD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Cyclical mood, breast and bloating symptoms frequently coexist with painful periods, sharing hormonal cyclicity.</w:t>
            </w:r>
          </w:p>
        </w:tc>
      </w:tr>
      <w:tr>
        <w:trPr>
          <w:cantSplit/>
        </w:trPr>
        <w:tc>
          <w:tcPr>
            <w:tcW w:type="dxa" w:w="2232"/>
            <w:vAlign w:val="top"/>
          </w:tcPr>
          <w:p>
            <w:pPr>
              <w:spacing w:after="40" w:before="0" w:line="259" w:lineRule="auto"/>
            </w:pPr>
            <w:r>
              <w:rPr>
                <w:rFonts w:ascii="Calibri" w:hAnsi="Calibri"/>
                <w:b/>
                <w:i w:val="0"/>
                <w:color w:val="212121"/>
                <w:sz w:val="19"/>
              </w:rPr>
              <w:t>Adenomyosis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Endometrial tissue within the myometrium causing heavy, worsening periods and a tender, enlarged uterus.</w:t>
            </w:r>
          </w:p>
        </w:tc>
      </w:tr>
      <w:tr>
        <w:trPr>
          <w:cantSplit/>
        </w:trPr>
        <w:tc>
          <w:tcPr>
            <w:tcW w:type="dxa" w:w="2232"/>
            <w:vAlign w:val="top"/>
          </w:tcPr>
          <w:p>
            <w:pPr>
              <w:spacing w:after="40" w:before="0" w:line="259" w:lineRule="auto"/>
            </w:pPr>
            <w:r>
              <w:rPr>
                <w:rFonts w:ascii="Calibri" w:hAnsi="Calibri"/>
                <w:b/>
                <w:i w:val="0"/>
                <w:color w:val="212121"/>
                <w:sz w:val="19"/>
              </w:rPr>
              <w:t>Uterine fibroids (leiomyoma)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structural cause of secondary dysmenorrhea, often with heavy or prolonged bleeding and pelvic pressure.</w:t>
            </w:r>
          </w:p>
        </w:tc>
      </w:tr>
      <w:tr>
        <w:trPr>
          <w:cantSplit/>
        </w:trPr>
        <w:tc>
          <w:tcPr>
            <w:tcW w:type="dxa" w:w="2232"/>
            <w:vAlign w:val="top"/>
          </w:tcPr>
          <w:p>
            <w:pPr>
              <w:spacing w:after="40" w:before="0" w:line="259" w:lineRule="auto"/>
            </w:pPr>
            <w:r>
              <w:rPr>
                <w:rFonts w:ascii="Calibri" w:hAnsi="Calibri"/>
                <w:b/>
                <w:i w:val="0"/>
                <w:color w:val="212121"/>
                <w:sz w:val="19"/>
              </w:rPr>
              <w:t>Pelvic inflammatory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Sexually transmitted infection of the upper genital tract causing secondary dysmenorrhea, discharge and, if untreated, infertility.</w:t>
            </w:r>
          </w:p>
        </w:tc>
      </w:tr>
      <w:tr>
        <w:trPr>
          <w:cantSplit/>
        </w:trPr>
        <w:tc>
          <w:tcPr>
            <w:tcW w:type="dxa" w:w="2232"/>
            <w:vAlign w:val="top"/>
          </w:tcPr>
          <w:p>
            <w:pPr>
              <w:spacing w:after="40" w:before="0" w:line="259" w:lineRule="auto"/>
            </w:pPr>
            <w:r>
              <w:rPr>
                <w:rFonts w:ascii="Calibri" w:hAnsi="Calibri"/>
                <w:b/>
                <w:i w:val="0"/>
                <w:color w:val="212121"/>
                <w:sz w:val="19"/>
              </w:rPr>
              <w:t>Irritable bowel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Frequently comorbid with menstrual pelvic pain through shared visceral hypersensitivity.</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Bidirectional relationship - psychological distress both worsens and results from chronic menstrual pain.</w:t>
            </w:r>
          </w:p>
        </w:tc>
      </w:tr>
      <w:tr>
        <w:trPr>
          <w:cantSplit/>
        </w:trPr>
        <w:tc>
          <w:tcPr>
            <w:tcW w:type="dxa" w:w="2232"/>
            <w:vAlign w:val="top"/>
          </w:tcPr>
          <w:p>
            <w:pPr>
              <w:spacing w:after="40" w:before="0" w:line="259" w:lineRule="auto"/>
            </w:pPr>
            <w:r>
              <w:rPr>
                <w:rFonts w:ascii="Calibri" w:hAnsi="Calibri"/>
                <w:b/>
                <w:i w:val="0"/>
                <w:color w:val="212121"/>
                <w:sz w:val="19"/>
              </w:rPr>
              <w:t>Chronic pelvic pain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Severe or untreated dysmenorrhea is a common antecedent of persistent non-cyclical pelvic pain.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mild-to-moderate cramps in the first 1-2 days of a period are common and usually not dangerous, but severe, worsening or disabling pain deserves medical evaluation and should not simply be endured.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that suggest a secondary cause (endometriosis, adenomyosis, fibroids, PID): pain starting years after periods began or after age 25, steadily worsening pain, pain outside menstruation, pain during sex, painful bowel or bladder symptoms, very heavy or irregular bleeding, abnormal discharge, or difficulty conceiving.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primary dysmenorrhea, take an NSAID such as ibuprofen or mefenamic acid at the first sign of pain, or 1-2 days before the period, and continue for 2-3 days, unless contraindicated (asthma, peptic ulcer,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local heat (hot-water bottle or heat patch) to the lower abdomen, which relieves cramps about as well as painkillers.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routinely miss school or work; seek care if pain regularly forces absence rather than accepting it as unavoidable.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repeated unsupervised self-medication and escalating painkiller doses; consult a clinician if NSAIDs give little relief after about 3 cycles.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and rural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menstruating individuals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aerobic or stretching exercise (brisk walking, cycling, swimming, yoga) for about 45-60 minutes at least 3 times a week throughout the cycle to reduce pain intensity.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light activity and gentle stretching even during menstruation; inactivity tends to worsen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yoga and core/pelvic stretching, which have evidence for easing menstrual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take regular movement breaks during study or desk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Desk-bound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skip breakfast or meals around your period; regular meals are linked to less menstrual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diet rich in oily fish/omega-3, fruits, vegetables, dairy/calcium, whole grains, millets and pulses.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on fried and junk food, excess salt, sugary drinks and heavy caffeine in the premenstrual and menstrual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crash dieting or extreme weight-loss diets, which are associated with worse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with water and warm fluids to reduce bloating.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Breakfast-skippers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Junk-food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dieters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good-quality sleep; poor sleep amplifies pain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schedule, especially during exams and the premenstrual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local heat and a comfortable curled (knees-to-chest) position to sleep better on painful nights.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under exam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second-hand smoke; smokers have about 1.45 times higher odds of dysmenorrhea, and risk falls after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quit services rather than substituting other habits.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adolescents and young women from environmental tobacco smoke at home and in hostels.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Passive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particularly in the premenstrual and menstrual phase, as it can worsen bloating and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water and warm fluids for symptom relief during periods.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with relaxation, slow breathing, yoga or mindfulness; high academic and work stress is linked to more severe dysmenorrhea.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low mood, which both worsen and result from chronic menstrual pain, and seek counselling or CBT when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acknowledgement and support at school and work so menstrual pain is managed openly rather than hidden.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stress management with heat, exercise and timely analgesia for the best relief.</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anxiety or depression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0834/" TargetMode="External"/><Relationship Id="rId10" Type="http://schemas.openxmlformats.org/officeDocument/2006/relationships/hyperlink" Target="https://www.aafp.org/pubs/afp/issues/2021/0800/p164.html" TargetMode="External"/><Relationship Id="rId11" Type="http://schemas.openxmlformats.org/officeDocument/2006/relationships/hyperlink" Target="https://doaj.org/article/5fa52876ff1e4fbabb69a0e89d18d7f4" TargetMode="External"/><Relationship Id="rId12" Type="http://schemas.openxmlformats.org/officeDocument/2006/relationships/hyperlink" Target="https://www.scienceopen.com/document_file/709072d5-58c9-4240-a233-48b361945ee7/API/jsafog-17-248.pdf" TargetMode="External"/><Relationship Id="rId13" Type="http://schemas.openxmlformats.org/officeDocument/2006/relationships/hyperlink" Target="https://www.cochrane.org/evidence/CD004142_exercise-dysmenorrhoea" TargetMode="External"/><Relationship Id="rId14" Type="http://schemas.openxmlformats.org/officeDocument/2006/relationships/hyperlink" Target="https://journals.plos.org/plosone/article?id=10.1371/journal.pone.0231201" TargetMode="External"/><Relationship Id="rId15" Type="http://schemas.openxmlformats.org/officeDocument/2006/relationships/hyperlink" Target="https://karger.com/goi/article/84/3/209/153726/Nutrition-as-a-Potential-Factor-of-Primary" TargetMode="External"/><Relationship Id="rId16" Type="http://schemas.openxmlformats.org/officeDocument/2006/relationships/hyperlink" Target="https://www.who.int/news-room/fact-sheets/detail/endometri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