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Premenstrual Syndrome (PMS) / Premenstrual Dysphoric Disorder (PMDD)</w:t>
      </w:r>
    </w:p>
    <w:p>
      <w:pPr>
        <w:spacing w:before="0" w:after="160"/>
      </w:pPr>
      <w:r>
        <w:rPr>
          <w:rFonts w:ascii="Calibri" w:hAnsi="Calibri"/>
          <w:b/>
          <w:i w:val="0"/>
          <w:color w:val="212121"/>
          <w:sz w:val="22"/>
        </w:rPr>
        <w:t xml:space="preserve">AKA </w:t>
      </w:r>
      <w:r>
        <w:rPr>
          <w:rFonts w:ascii="Calibri" w:hAnsi="Calibri"/>
          <w:b w:val="0"/>
          <w:i w:val="0"/>
          <w:color w:val="212121"/>
          <w:sz w:val="22"/>
        </w:rPr>
        <w:t>i.e., PMS, PMDD, Premenstrual Tension (PMT), Late Luteal Phase Dysphoric Disorder, Ovarian Cycle Syndrome, premenstrual molimina (mild form)</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Premenstrual syndrome (PMS) is a cyclical cluster of physical, emotional and behavioural symptoms that appear in the luteal phase of the menstrual cycle (after ovulation, in the roughly one to two weeks before menstruation) and resolve within a few days of menstrual onset, causing distress or functional impairment. Premenstrual dysphoric disorder (PMDD) is the severe, predominantly affective form, recognised as a distinct psychiatric diagnosis in DSM-5, in which at least five symptoms - including at least one core mood symptom such as marked irritability, mood swings, depression or anxiety - cause clinically significant impairment. Symptoms are driven not by abnormal hormone levels but by an abnormal central-nervous-system sensitivity to normal cyclical changes in ovarian steroids, with serotonergic and GABAergic pathways strongly implicated. Both are distinguished from mild, near-universal premenstrual molimina and from premenstrual exacerbation (PME) of a pre-existing disorder.</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Premenstrual symptoms are near-universal among menstruating Indian women: about 80-90% report at least one premenstrual symptom, and clinically significant PMS affects roughly a fifth to a third of women. Indian community and college-based studies most often report PMS in about 30% of menstruating women, with published estimates varying widely (from around 14% to over 60%) by diagnostic criteria and setting, while the severe form - premenstrual dysphoric disorder (PMDD) - affects an estimated 3-8%. For global context, the pooled worldwide prevalence of PMS is 47.8%, and about 20% of women have symptoms severe enough to disrupt daily activities.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PMS and PMDD are clinical diagnoses established by prospective daily symptom charting over at least two consecutive menstrual cycles; there is no confirmatory laboratory test, and blood work is used mainly to exclude mimics.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Prospective daily symptom rating (e.g., the Daily Record of Severity of Problems, DRSP) across at least two consecutive cycles showing symptoms confined to the luteal phase with a symptom-free interval in the follicular phase.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ACOG criteria for PMS: at least one affective symptom (e.g., depression, irritability, anxiety, social withdrawal) AND one somatic symptom (e.g., bloating, breast tenderness, headache) during the 5 days before menses in each of the three prior cycles.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Symptoms are relieved within 4 days of menstrual onset and do not recur until at least cycle day 13.</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Symptoms cause identifiable social, occupational or academic dysfunction and are not merely an exacerbation of another disorder (persistence outside the luteal phase indicates premenstrual exacerbation, PME).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DSM-5 criteria for PMDD: at least 5 of 11 symptoms present in the final week before menses, improving within a few days of onset and minimal or absent in the week after menses.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At least one PMDD symptom must be a core affective symptom - marked mood lability, marked irritability or anger, markedly depressed mood or hopelessness, or marked anxiety or tension.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PMDD symptoms cause clinically significant distress or interference (Criterion B) and are confirmed by prospective daily ratings over at least two symptomatic cycles (Criterion 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mimics: thyroid dysfunction, anaemia, perimenopause, and primary mood or anxiety disorders (which would present with inter-menstrual symptoms).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Premenstrual disorders form a spectrum, best classified by severity and by whether symptoms are primary or represent worsening of another condition:</w:t>
      </w:r>
    </w:p>
    <w:p>
      <w:pPr>
        <w:spacing w:before="0" w:after="80"/>
      </w:pPr>
      <w:r>
        <w:rPr>
          <w:rFonts w:ascii="Calibri" w:hAnsi="Calibri"/>
          <w:b w:val="0"/>
          <w:i w:val="0"/>
          <w:color w:val="212121"/>
          <w:sz w:val="21"/>
        </w:rPr>
        <w:t>(1) Physiological premenstrual symptoms (molimina): mild, near-universal cyclical symptoms causing no meaningful impairment and requiring no treatment.</w:t>
      </w:r>
    </w:p>
    <w:p>
      <w:pPr>
        <w:spacing w:before="0" w:after="80"/>
      </w:pPr>
      <w:r>
        <w:rPr>
          <w:rFonts w:ascii="Calibri" w:hAnsi="Calibri"/>
          <w:b w:val="0"/>
          <w:i w:val="0"/>
          <w:color w:val="212121"/>
          <w:sz w:val="21"/>
        </w:rPr>
        <w:t>(2) Premenstrual syndrome (PMS): moderate physical and emotional luteal-phase symptoms meeting ACOG criteria and causing distress or functional impairment; may be somatic-predominant or psychological-predominant.</w:t>
      </w:r>
    </w:p>
    <w:p>
      <w:pPr>
        <w:spacing w:before="0" w:after="80"/>
      </w:pPr>
      <w:r>
        <w:rPr>
          <w:rFonts w:ascii="Calibri" w:hAnsi="Calibri"/>
          <w:b w:val="0"/>
          <w:i w:val="0"/>
          <w:color w:val="212121"/>
          <w:sz w:val="21"/>
        </w:rPr>
        <w:t>(3) Premenstrual dysphoric disorder (PMDD): the severe, predominantly affective form recognised as a distinct psychiatric disorder in DSM-5, with at least one core mood symptom and substantial functional impairment.</w:t>
      </w:r>
    </w:p>
    <w:p>
      <w:pPr>
        <w:spacing w:before="0" w:after="80"/>
      </w:pPr>
      <w:r>
        <w:rPr>
          <w:rFonts w:ascii="Calibri" w:hAnsi="Calibri"/>
          <w:b w:val="0"/>
          <w:i w:val="0"/>
          <w:color w:val="212121"/>
          <w:sz w:val="21"/>
        </w:rPr>
        <w:t>(4) Premenstrual exacerbation (PME): cyclical luteal-phase worsening of a pre-existing condition (e.g., major depression, anxiety, migraine, epilepsy, asthma, irritable bowel syndrome), distinguished from primary PMS/PMDD by the persistence of symptoms outside the luteal phase.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Ovarian-steroid sensitivity: Normal cyclical rises and falls of estrogen and progesterone, but an abnormal central-nervous-system sensitivity to them, underlie the disorder; hormone levels are typically normal.</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Serotonergic dysregulation: Reduced serotonergic tone in the luteal phase is central to the mood symptoms and explains the efficacy of SSRIs, which can work rapidly and intermittently.</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GABA / allopregnanolone: The progesterone metabolite allopregnanolone modulates GABA-A receptors; altered sensitivity to it is linked to irritability, anxiety and mood symptoms.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Genetic predisposition: Premenstrual disorders cluster in families; variants in estrogen-receptor (ESR1) and serotonergic genes are implicated.</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Psychosocial stress and trauma: A history of trauma, high stress and pre-existing anxiety disorders raise risk, with HPA-axis (stress-hormone) dysregulation contributing.</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Nutritional and lifestyle factors: Low calcium, magnesium and vitamin D status, high salt/sugar/caffeine intake, obesity, smoking, poor sleep and physical inactivity all worsen symptom burden.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(reproductive age, late 20s-30s)</w:t>
            </w:r>
          </w:p>
        </w:tc>
        <w:tc>
          <w:tcPr>
            <w:tcW w:type="dxa" w:w="4276"/>
            <w:vAlign w:val="top"/>
          </w:tcPr>
          <w:p>
            <w:pPr>
              <w:spacing w:after="60" w:line="259" w:lineRule="auto"/>
            </w:pPr>
            <w:r>
              <w:rPr>
                <w:rFonts w:ascii="Calibri" w:hAnsi="Calibri"/>
                <w:b w:val="0"/>
                <w:i w:val="0"/>
                <w:color w:val="212121"/>
                <w:sz w:val="19"/>
              </w:rPr>
              <w:t>PMS and PMDD occur only during ovulatory cycles of reproductive life; symptom burden and help-seeking peak in the late 20s to 30s as cyclicity, responsibilities and life stress accumulate. The underlying mechanism is heightened central sensitivity to normal cyclical ovarian steroids.</w:t>
            </w:r>
          </w:p>
          <w:p>
            <w:pPr>
              <w:spacing w:after="40" w:before="60" w:line="259" w:lineRule="auto"/>
            </w:pPr>
            <w:r>
              <w:rPr>
                <w:rFonts w:ascii="Calibri" w:hAnsi="Calibri"/>
                <w:b w:val="0"/>
                <w:i w:val="0"/>
                <w:color w:val="212121"/>
                <w:sz w:val="19"/>
              </w:rPr>
              <w:t>Women in their 30s are the age group most likely to experience PMS, and symptoms often intensify approaching the menopausal transition.</w:t>
            </w:r>
          </w:p>
          <w:p>
            <w:pPr>
              <w:spacing w:after="40" w:line="252" w:lineRule="auto"/>
            </w:pPr>
            <w:hyperlink r:id="rId9">
              <w:r>
                <w:rPr>
                  <w:rFonts w:ascii="Calibri" w:hAnsi="Calibri" w:cs="Calibri"/>
                  <w:sz w:val="18"/>
                  <w:color w:val="1155CC"/>
                  <w:u w:val="single"/>
                </w:rPr>
                <w:t xml:space="preserve">womenshealth.gov - premenstrual syndrome</w:t>
              </w:r>
            </w:hyperlink>
          </w:p>
          <w:p>
            <w:pPr>
              <w:spacing w:before="60" w:after="40"/>
            </w:pPr>
            <w:r>
              <w:rPr>
                <w:rFonts w:ascii="Calibri" w:hAnsi="Calibri"/>
                <w:b w:val="0"/>
                <w:i w:val="0"/>
                <w:color w:val="5A5A5A"/>
                <w:sz w:val="18"/>
              </w:rPr>
              <w:t>#reproductiveage  #lutealphase  #PMS  #thirties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 and young women (students)</w:t>
            </w:r>
          </w:p>
        </w:tc>
        <w:tc>
          <w:tcPr>
            <w:tcW w:type="dxa" w:w="4276"/>
            <w:vAlign w:val="top"/>
          </w:tcPr>
          <w:p>
            <w:pPr>
              <w:spacing w:after="60" w:line="259" w:lineRule="auto"/>
            </w:pPr>
            <w:r>
              <w:rPr>
                <w:rFonts w:ascii="Calibri" w:hAnsi="Calibri"/>
                <w:b w:val="0"/>
                <w:i w:val="0"/>
                <w:color w:val="212121"/>
                <w:sz w:val="19"/>
              </w:rPr>
              <w:t>Menstrual cyclicity is established within a few years of menarche; academic pressure, poor sleep, high caffeine and irregular diet make Indian college students a high-burden group frequently studied for PMS/PMDD.</w:t>
            </w:r>
          </w:p>
          <w:p>
            <w:pPr>
              <w:spacing w:after="40" w:before="60" w:line="259" w:lineRule="auto"/>
            </w:pPr>
            <w:r>
              <w:rPr>
                <w:rFonts w:ascii="Calibri" w:hAnsi="Calibri"/>
                <w:b w:val="0"/>
                <w:i w:val="0"/>
                <w:color w:val="212121"/>
                <w:sz w:val="19"/>
              </w:rPr>
              <w:t>About 80-90% of menstruating women report at least one premenstrual symptom, and roughly 20% have symptoms severe enough to disrupt daily activities.</w:t>
            </w:r>
          </w:p>
          <w:p>
            <w:pPr>
              <w:spacing w:after="40" w:line="252" w:lineRule="auto"/>
            </w:pPr>
            <w:hyperlink r:id="rId10">
              <w:r>
                <w:rPr>
                  <w:rFonts w:ascii="Calibri" w:hAnsi="Calibri" w:cs="Calibri"/>
                  <w:sz w:val="18"/>
                  <w:color w:val="1155CC"/>
                  <w:u w:val="single"/>
                </w:rPr>
                <w:t xml:space="preserve">StatPearls - Premenstrual Syndrome</w:t>
              </w:r>
            </w:hyperlink>
          </w:p>
          <w:p>
            <w:pPr>
              <w:spacing w:before="60" w:after="40"/>
            </w:pPr>
            <w:r>
              <w:rPr>
                <w:rFonts w:ascii="Calibri" w:hAnsi="Calibri"/>
                <w:b w:val="0"/>
                <w:i w:val="0"/>
                <w:color w:val="5A5A5A"/>
                <w:sz w:val="18"/>
              </w:rPr>
              <w:t>#adolescents  #students  #academicstress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Menstruating women (female)</w:t>
            </w:r>
          </w:p>
        </w:tc>
        <w:tc>
          <w:tcPr>
            <w:tcW w:type="dxa" w:w="4276"/>
            <w:vAlign w:val="top"/>
          </w:tcPr>
          <w:p>
            <w:pPr>
              <w:spacing w:after="60" w:line="259" w:lineRule="auto"/>
            </w:pPr>
            <w:r>
              <w:rPr>
                <w:rFonts w:ascii="Calibri" w:hAnsi="Calibri"/>
                <w:b w:val="0"/>
                <w:i w:val="0"/>
                <w:color w:val="212121"/>
                <w:sz w:val="19"/>
              </w:rPr>
              <w:t>By definition PMS/PMDD occur only in individuals with ovulatory menstrual cycles; symptoms disappear with anovulation, pregnancy, ovulation suppression and menopause, underscoring their hormonal trigger.</w:t>
            </w:r>
          </w:p>
          <w:p>
            <w:pPr>
              <w:spacing w:after="40" w:before="60" w:line="259" w:lineRule="auto"/>
            </w:pPr>
            <w:r>
              <w:rPr>
                <w:rFonts w:ascii="Calibri" w:hAnsi="Calibri"/>
                <w:b w:val="0"/>
                <w:i w:val="0"/>
                <w:color w:val="212121"/>
                <w:sz w:val="19"/>
              </w:rPr>
              <w:t>Over 90% of women report some premenstrual symptoms during their reproductive years, and about three in four experience PMS at some point.</w:t>
            </w:r>
          </w:p>
          <w:p>
            <w:pPr>
              <w:spacing w:after="40" w:line="252" w:lineRule="auto"/>
            </w:pPr>
            <w:hyperlink r:id="rId9">
              <w:r>
                <w:rPr>
                  <w:rFonts w:ascii="Calibri" w:hAnsi="Calibri" w:cs="Calibri"/>
                  <w:sz w:val="18"/>
                  <w:color w:val="1155CC"/>
                  <w:u w:val="single"/>
                </w:rPr>
                <w:t xml:space="preserve">womenshealth.gov - premenstrual syndrome</w:t>
              </w:r>
            </w:hyperlink>
          </w:p>
          <w:p>
            <w:pPr>
              <w:spacing w:before="60" w:after="40"/>
            </w:pPr>
            <w:r>
              <w:rPr>
                <w:rFonts w:ascii="Calibri" w:hAnsi="Calibri"/>
                <w:b w:val="0"/>
                <w:i w:val="0"/>
                <w:color w:val="5A5A5A"/>
                <w:sz w:val="18"/>
              </w:rPr>
              <w:t>#female  #ovulation  #cyclical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working women and students</w:t>
            </w:r>
          </w:p>
        </w:tc>
        <w:tc>
          <w:tcPr>
            <w:tcW w:type="dxa" w:w="4276"/>
            <w:vAlign w:val="top"/>
          </w:tcPr>
          <w:p>
            <w:pPr>
              <w:spacing w:after="60" w:line="259" w:lineRule="auto"/>
            </w:pPr>
            <w:r>
              <w:rPr>
                <w:rFonts w:ascii="Calibri" w:hAnsi="Calibri"/>
                <w:b w:val="0"/>
                <w:i w:val="0"/>
                <w:color w:val="212121"/>
                <w:sz w:val="19"/>
              </w:rPr>
              <w:t>Occupational and academic stress, long work/screen hours, disrupted sleep and irregular meals amplify HPA-axis reactivity and symptom severity in urban Indian settings.</w:t>
            </w:r>
          </w:p>
          <w:p>
            <w:pPr>
              <w:spacing w:after="40" w:before="60" w:line="259" w:lineRule="auto"/>
            </w:pPr>
            <w:r>
              <w:rPr>
                <w:rFonts w:ascii="Calibri" w:hAnsi="Calibri"/>
                <w:b w:val="0"/>
                <w:i w:val="0"/>
                <w:color w:val="212121"/>
                <w:sz w:val="19"/>
              </w:rPr>
              <w:t>Higher stress and a personal or family history of depression increase the likelihood and severity of PMS.</w:t>
            </w:r>
          </w:p>
          <w:p>
            <w:pPr>
              <w:spacing w:after="40" w:line="252" w:lineRule="auto"/>
            </w:pPr>
            <w:hyperlink r:id="rId9">
              <w:r>
                <w:rPr>
                  <w:rFonts w:ascii="Calibri" w:hAnsi="Calibri" w:cs="Calibri"/>
                  <w:sz w:val="18"/>
                  <w:color w:val="1155CC"/>
                  <w:u w:val="single"/>
                </w:rPr>
                <w:t xml:space="preserve">womenshealth.gov - PMS risk factors</w:t>
              </w:r>
            </w:hyperlink>
          </w:p>
          <w:p>
            <w:pPr>
              <w:spacing w:before="60" w:after="40"/>
            </w:pPr>
            <w:r>
              <w:rPr>
                <w:rFonts w:ascii="Calibri" w:hAnsi="Calibri"/>
                <w:b w:val="0"/>
                <w:i w:val="0"/>
                <w:color w:val="5A5A5A"/>
                <w:sz w:val="18"/>
              </w:rPr>
              <w:t>#worklife  #stress  #urban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Indian reproductive-age women (South Asian)</w:t>
            </w:r>
          </w:p>
        </w:tc>
        <w:tc>
          <w:tcPr>
            <w:tcW w:type="dxa" w:w="4276"/>
            <w:vAlign w:val="top"/>
          </w:tcPr>
          <w:p>
            <w:pPr>
              <w:spacing w:after="60" w:line="259" w:lineRule="auto"/>
            </w:pPr>
            <w:r>
              <w:rPr>
                <w:rFonts w:ascii="Calibri" w:hAnsi="Calibri"/>
                <w:b w:val="0"/>
                <w:i w:val="0"/>
                <w:color w:val="212121"/>
                <w:sz w:val="19"/>
              </w:rPr>
              <w:t>Indian studies report PMS across a wide range; high refined-carbohydrate diets, widespread low calcium and vitamin D status and high perceived stress plausibly contribute to the burden.</w:t>
            </w:r>
          </w:p>
          <w:p>
            <w:pPr>
              <w:spacing w:after="40" w:before="60" w:line="259" w:lineRule="auto"/>
            </w:pPr>
            <w:r>
              <w:rPr>
                <w:rFonts w:ascii="Calibri" w:hAnsi="Calibri"/>
                <w:b w:val="0"/>
                <w:i w:val="0"/>
                <w:color w:val="212121"/>
                <w:sz w:val="19"/>
              </w:rPr>
              <w:t>Indian community and college studies commonly report clinically significant PMS in roughly a third of menstruating women and PMDD in about 3-8%, though estimates vary widely with criteria and setting.</w:t>
            </w:r>
          </w:p>
          <w:p>
            <w:pPr>
              <w:spacing w:before="60" w:after="40"/>
            </w:pPr>
            <w:r>
              <w:rPr>
                <w:rFonts w:ascii="Calibri" w:hAnsi="Calibri"/>
                <w:b w:val="0"/>
                <w:i w:val="0"/>
                <w:color w:val="5A5A5A"/>
                <w:sz w:val="18"/>
              </w:rPr>
              <w:t>#India  #SouthAsian  #vitaminD  #refinedcarbs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Environment / nutrition</w:t>
            </w:r>
          </w:p>
        </w:tc>
        <w:tc>
          <w:tcPr>
            <w:tcW w:type="dxa" w:w="2160"/>
            <w:vAlign w:val="top"/>
          </w:tcPr>
          <w:p>
            <w:pPr>
              <w:spacing w:after="40" w:before="0" w:line="259" w:lineRule="auto"/>
            </w:pPr>
            <w:r>
              <w:rPr>
                <w:rFonts w:ascii="Calibri" w:hAnsi="Calibri"/>
                <w:b w:val="0"/>
                <w:i w:val="0"/>
                <w:color w:val="212121"/>
                <w:sz w:val="19"/>
              </w:rPr>
              <w:t>Populations with low vitamin D or calcium status</w:t>
            </w:r>
          </w:p>
        </w:tc>
        <w:tc>
          <w:tcPr>
            <w:tcW w:type="dxa" w:w="4276"/>
            <w:vAlign w:val="top"/>
          </w:tcPr>
          <w:p>
            <w:pPr>
              <w:spacing w:after="60" w:line="259" w:lineRule="auto"/>
            </w:pPr>
            <w:r>
              <w:rPr>
                <w:rFonts w:ascii="Calibri" w:hAnsi="Calibri"/>
                <w:b w:val="0"/>
                <w:i w:val="0"/>
                <w:color w:val="212121"/>
                <w:sz w:val="19"/>
              </w:rPr>
              <w:t>Nutritional and electrolyte deficiencies - notably calcium, magnesium and vitamin D - are implicated in PMS pathophysiology; such deficiency is highly prevalent across India owing to diet and limited effective sun exposure.</w:t>
            </w:r>
          </w:p>
          <w:p>
            <w:pPr>
              <w:spacing w:after="40" w:before="60" w:line="259" w:lineRule="auto"/>
            </w:pPr>
            <w:r>
              <w:rPr>
                <w:rFonts w:ascii="Calibri" w:hAnsi="Calibri"/>
                <w:b w:val="0"/>
                <w:i w:val="0"/>
                <w:color w:val="212121"/>
                <w:sz w:val="19"/>
              </w:rPr>
              <w:t>Nutritional and electrolyte deficiencies are recognised contributors in the pathophysiology of PMS, and calcium supplementation reduces symptom severity.</w:t>
            </w:r>
          </w:p>
          <w:p>
            <w:pPr>
              <w:spacing w:after="40" w:line="252" w:lineRule="auto"/>
            </w:pPr>
            <w:hyperlink r:id="rId10">
              <w:r>
                <w:rPr>
                  <w:rFonts w:ascii="Calibri" w:hAnsi="Calibri" w:cs="Calibri"/>
                  <w:sz w:val="18"/>
                  <w:color w:val="1155CC"/>
                  <w:u w:val="single"/>
                </w:rPr>
                <w:t xml:space="preserve">StatPearls - PMS pathophysiology</w:t>
              </w:r>
            </w:hyperlink>
          </w:p>
          <w:p>
            <w:pPr>
              <w:spacing w:before="60" w:after="40"/>
            </w:pPr>
            <w:r>
              <w:rPr>
                <w:rFonts w:ascii="Calibri" w:hAnsi="Calibri"/>
                <w:b w:val="0"/>
                <w:i w:val="0"/>
                <w:color w:val="5A5A5A"/>
                <w:sz w:val="18"/>
              </w:rPr>
              <w:t>#vitaminD  #calcium  #magnesium</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women</w:t>
            </w:r>
          </w:p>
        </w:tc>
        <w:tc>
          <w:tcPr>
            <w:tcW w:type="dxa" w:w="4276"/>
            <w:vAlign w:val="top"/>
          </w:tcPr>
          <w:p>
            <w:pPr>
              <w:spacing w:after="60" w:line="259" w:lineRule="auto"/>
            </w:pPr>
            <w:r>
              <w:rPr>
                <w:rFonts w:ascii="Calibri" w:hAnsi="Calibri"/>
                <w:b w:val="0"/>
                <w:i w:val="0"/>
                <w:color w:val="212121"/>
                <w:sz w:val="19"/>
              </w:rPr>
              <w:t>Reduced physical activity is associated with greater symptom severity; exercise raises endorphins and serotonergic tone and reduces bloating and mood symptoms.</w:t>
            </w:r>
          </w:p>
          <w:p>
            <w:pPr>
              <w:spacing w:after="40" w:before="60" w:line="259" w:lineRule="auto"/>
            </w:pPr>
            <w:r>
              <w:rPr>
                <w:rFonts w:ascii="Calibri" w:hAnsi="Calibri"/>
                <w:b w:val="0"/>
                <w:i w:val="0"/>
                <w:color w:val="212121"/>
                <w:sz w:val="19"/>
              </w:rPr>
              <w:t>Reduced exercise is listed among the lifestyle contributors to PMS, and regular aerobic activity lowers symptom severity.</w:t>
            </w:r>
          </w:p>
          <w:p>
            <w:pPr>
              <w:spacing w:after="40" w:line="252" w:lineRule="auto"/>
            </w:pPr>
            <w:hyperlink r:id="rId10">
              <w:r>
                <w:rPr>
                  <w:rFonts w:ascii="Calibri" w:hAnsi="Calibri" w:cs="Calibri"/>
                  <w:sz w:val="18"/>
                  <w:color w:val="1155CC"/>
                  <w:u w:val="single"/>
                </w:rPr>
                <w:t xml:space="preserve">StatPearls - PMS lifestyle factors</w:t>
              </w:r>
            </w:hyperlink>
          </w:p>
          <w:p>
            <w:pPr>
              <w:spacing w:before="60" w:after="40"/>
            </w:pPr>
            <w:r>
              <w:rPr>
                <w:rFonts w:ascii="Calibri" w:hAnsi="Calibri"/>
                <w:b w:val="0"/>
                <w:i w:val="0"/>
                <w:color w:val="5A5A5A"/>
                <w:sz w:val="18"/>
              </w:rPr>
              <w:t>#sedentary  #inactivity  #endorphins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w:t>
            </w:r>
          </w:p>
        </w:tc>
        <w:tc>
          <w:tcPr>
            <w:tcW w:type="dxa" w:w="4276"/>
            <w:vAlign w:val="top"/>
          </w:tcPr>
          <w:p>
            <w:pPr>
              <w:spacing w:after="60" w:line="259" w:lineRule="auto"/>
            </w:pPr>
            <w:r>
              <w:rPr>
                <w:rFonts w:ascii="Calibri" w:hAnsi="Calibri"/>
                <w:b w:val="0"/>
                <w:i w:val="0"/>
                <w:color w:val="212121"/>
                <w:sz w:val="19"/>
              </w:rPr>
              <w:t>Smoking disrupts ovarian-steroid metabolism and serotonergic signalling, raising the risk of moderate-to-severe premenstrual symptoms.</w:t>
            </w:r>
          </w:p>
          <w:p>
            <w:pPr>
              <w:spacing w:after="40" w:before="60" w:line="259" w:lineRule="auto"/>
            </w:pPr>
            <w:r>
              <w:rPr>
                <w:rFonts w:ascii="Calibri" w:hAnsi="Calibri"/>
                <w:b w:val="0"/>
                <w:i w:val="0"/>
                <w:color w:val="212121"/>
                <w:sz w:val="19"/>
              </w:rPr>
              <w:t>Smoking carries a relative risk of about 2.1 for moderate-to-severe PMS.</w:t>
            </w:r>
          </w:p>
          <w:p>
            <w:pPr>
              <w:spacing w:after="40" w:line="252" w:lineRule="auto"/>
            </w:pPr>
            <w:hyperlink r:id="rId11">
              <w:r>
                <w:rPr>
                  <w:rFonts w:ascii="Calibri" w:hAnsi="Calibri" w:cs="Calibri"/>
                  <w:sz w:val="18"/>
                  <w:color w:val="1155CC"/>
                  <w:u w:val="single"/>
                </w:rPr>
                <w:t xml:space="preserve">StatPearls - PMDD risk factors</w:t>
              </w:r>
            </w:hyperlink>
          </w:p>
          <w:p>
            <w:pPr>
              <w:spacing w:before="60" w:after="40"/>
            </w:pPr>
            <w:r>
              <w:rPr>
                <w:rFonts w:ascii="Calibri" w:hAnsi="Calibri"/>
                <w:b w:val="0"/>
                <w:i w:val="0"/>
                <w:color w:val="5A5A5A"/>
                <w:sz w:val="18"/>
              </w:rPr>
              <w:t>#smoking  #nicotine  #RR2point1</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 heavy alcohol users</w:t>
            </w:r>
          </w:p>
        </w:tc>
        <w:tc>
          <w:tcPr>
            <w:tcW w:type="dxa" w:w="4276"/>
            <w:vAlign w:val="top"/>
          </w:tcPr>
          <w:p>
            <w:pPr>
              <w:spacing w:after="60" w:line="259" w:lineRule="auto"/>
            </w:pPr>
            <w:r>
              <w:rPr>
                <w:rFonts w:ascii="Calibri" w:hAnsi="Calibri"/>
                <w:b w:val="0"/>
                <w:i w:val="0"/>
                <w:color w:val="212121"/>
                <w:sz w:val="19"/>
              </w:rPr>
              <w:t>Alcohol use is associated with higher PMS risk and worse luteal-phase mood and sleep; premenstrual alcohol intolerance is also commonly reported.</w:t>
            </w:r>
          </w:p>
          <w:p>
            <w:pPr>
              <w:spacing w:after="40" w:before="60" w:line="259" w:lineRule="auto"/>
            </w:pPr>
            <w:r>
              <w:rPr>
                <w:rFonts w:ascii="Calibri" w:hAnsi="Calibri"/>
                <w:b w:val="0"/>
                <w:i w:val="0"/>
                <w:color w:val="212121"/>
                <w:sz w:val="19"/>
              </w:rPr>
              <w:t>Alcohol intolerance is a recognised premenstrual symptom, and regular or heavy use is linked to a greater symptom burden.</w:t>
            </w:r>
          </w:p>
          <w:p>
            <w:pPr>
              <w:spacing w:after="40" w:line="252" w:lineRule="auto"/>
            </w:pPr>
            <w:hyperlink r:id="rId12">
              <w:r>
                <w:rPr>
                  <w:rFonts w:ascii="Calibri" w:hAnsi="Calibri" w:cs="Calibri"/>
                  <w:sz w:val="18"/>
                  <w:color w:val="1155CC"/>
                  <w:u w:val="single"/>
                </w:rPr>
                <w:t xml:space="preserve">mayoclinic.org - PMS symptoms</w:t>
              </w:r>
            </w:hyperlink>
          </w:p>
          <w:p>
            <w:pPr>
              <w:spacing w:before="60" w:after="40"/>
            </w:pPr>
            <w:r>
              <w:rPr>
                <w:rFonts w:ascii="Calibri" w:hAnsi="Calibri"/>
                <w:b w:val="0"/>
                <w:i w:val="0"/>
                <w:color w:val="5A5A5A"/>
                <w:sz w:val="18"/>
              </w:rPr>
              <w:t>#alcohol  #luteal  #moodsymptoms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High BMI (&gt;= 25; Asian-Indian &gt;= 23)</w:t>
            </w:r>
          </w:p>
        </w:tc>
        <w:tc>
          <w:tcPr>
            <w:tcW w:type="dxa" w:w="4276"/>
            <w:vAlign w:val="top"/>
          </w:tcPr>
          <w:p>
            <w:pPr>
              <w:spacing w:after="60" w:line="259" w:lineRule="auto"/>
            </w:pPr>
            <w:r>
              <w:rPr>
                <w:rFonts w:ascii="Calibri" w:hAnsi="Calibri"/>
                <w:b w:val="0"/>
                <w:i w:val="0"/>
                <w:color w:val="212121"/>
                <w:sz w:val="19"/>
              </w:rPr>
              <w:t>Adiposity increases systemic inflammation and alters steroid metabolism; the risk of PMS rises in a roughly linear fashion with body mass index.</w:t>
            </w:r>
          </w:p>
          <w:p>
            <w:pPr>
              <w:spacing w:after="40" w:before="60" w:line="259" w:lineRule="auto"/>
            </w:pPr>
            <w:r>
              <w:rPr>
                <w:rFonts w:ascii="Calibri" w:hAnsi="Calibri"/>
                <w:b w:val="0"/>
                <w:i w:val="0"/>
                <w:color w:val="212121"/>
                <w:sz w:val="19"/>
              </w:rPr>
              <w:t>Obesity shows a linear relationship with PMS, with a relative risk of about 1.66 at a BMI of 35 or above.</w:t>
            </w:r>
          </w:p>
          <w:p>
            <w:pPr>
              <w:spacing w:after="40" w:line="252" w:lineRule="auto"/>
            </w:pPr>
            <w:hyperlink r:id="rId11">
              <w:r>
                <w:rPr>
                  <w:rFonts w:ascii="Calibri" w:hAnsi="Calibri" w:cs="Calibri"/>
                  <w:sz w:val="18"/>
                  <w:color w:val="1155CC"/>
                  <w:u w:val="single"/>
                </w:rPr>
                <w:t xml:space="preserve">StatPearls - PMDD and obesity</w:t>
              </w:r>
            </w:hyperlink>
          </w:p>
          <w:p>
            <w:pPr>
              <w:spacing w:before="60" w:after="40"/>
            </w:pPr>
            <w:r>
              <w:rPr>
                <w:rFonts w:ascii="Calibri" w:hAnsi="Calibri"/>
                <w:b w:val="0"/>
                <w:i w:val="0"/>
                <w:color w:val="5A5A5A"/>
                <w:sz w:val="18"/>
              </w:rPr>
              <w:t>#obesity  #BMI  #inflammation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Sleep</w:t>
            </w:r>
          </w:p>
        </w:tc>
        <w:tc>
          <w:tcPr>
            <w:tcW w:type="dxa" w:w="2160"/>
            <w:vAlign w:val="top"/>
          </w:tcPr>
          <w:p>
            <w:pPr>
              <w:spacing w:after="40" w:before="0" w:line="259" w:lineRule="auto"/>
            </w:pPr>
            <w:r>
              <w:rPr>
                <w:rFonts w:ascii="Calibri" w:hAnsi="Calibri"/>
                <w:b w:val="0"/>
                <w:i w:val="0"/>
                <w:color w:val="212121"/>
                <w:sz w:val="19"/>
              </w:rPr>
              <w:t>Poor / short sleepers, shift workers</w:t>
            </w:r>
          </w:p>
        </w:tc>
        <w:tc>
          <w:tcPr>
            <w:tcW w:type="dxa" w:w="4276"/>
            <w:vAlign w:val="top"/>
          </w:tcPr>
          <w:p>
            <w:pPr>
              <w:spacing w:after="60" w:line="259" w:lineRule="auto"/>
            </w:pPr>
            <w:r>
              <w:rPr>
                <w:rFonts w:ascii="Calibri" w:hAnsi="Calibri"/>
                <w:b w:val="0"/>
                <w:i w:val="0"/>
                <w:color w:val="212121"/>
                <w:sz w:val="19"/>
              </w:rPr>
              <w:t>Poor sleep quality worsens luteal-phase fatigue, irritability and concentration; sleep disturbance is both a symptom of and an aggravator for PMS.</w:t>
            </w:r>
          </w:p>
          <w:p>
            <w:pPr>
              <w:spacing w:after="40" w:before="60" w:line="259" w:lineRule="auto"/>
            </w:pPr>
            <w:r>
              <w:rPr>
                <w:rFonts w:ascii="Calibri" w:hAnsi="Calibri"/>
                <w:b w:val="0"/>
                <w:i w:val="0"/>
                <w:color w:val="212121"/>
                <w:sz w:val="19"/>
              </w:rPr>
              <w:t>Poor sleep quality is listed among the lifestyle contributors to PMS.</w:t>
            </w:r>
          </w:p>
          <w:p>
            <w:pPr>
              <w:spacing w:after="40" w:line="252" w:lineRule="auto"/>
            </w:pPr>
            <w:hyperlink r:id="rId10">
              <w:r>
                <w:rPr>
                  <w:rFonts w:ascii="Calibri" w:hAnsi="Calibri" w:cs="Calibri"/>
                  <w:sz w:val="18"/>
                  <w:color w:val="1155CC"/>
                  <w:u w:val="single"/>
                </w:rPr>
                <w:t xml:space="preserve">StatPearls - PMS lifestyle factors</w:t>
              </w:r>
            </w:hyperlink>
          </w:p>
          <w:p>
            <w:pPr>
              <w:spacing w:before="60" w:after="40"/>
            </w:pPr>
            <w:r>
              <w:rPr>
                <w:rFonts w:ascii="Calibri" w:hAnsi="Calibri"/>
                <w:b w:val="0"/>
                <w:i w:val="0"/>
                <w:color w:val="5A5A5A"/>
                <w:sz w:val="18"/>
              </w:rPr>
              <w:t>#sleep  #shiftwork  #fatigue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 sugar, salt, caffeine and junk-food intake</w:t>
            </w:r>
          </w:p>
        </w:tc>
        <w:tc>
          <w:tcPr>
            <w:tcW w:type="dxa" w:w="4276"/>
            <w:vAlign w:val="top"/>
          </w:tcPr>
          <w:p>
            <w:pPr>
              <w:spacing w:after="60" w:line="259" w:lineRule="auto"/>
            </w:pPr>
            <w:r>
              <w:rPr>
                <w:rFonts w:ascii="Calibri" w:hAnsi="Calibri"/>
                <w:b w:val="0"/>
                <w:i w:val="0"/>
                <w:color w:val="212121"/>
                <w:sz w:val="19"/>
              </w:rPr>
              <w:t>High-glycaemic and salty foods worsen bloating and mood lability, while caffeine aggravates breast tenderness, anxiety and insomnia in the luteal phase.</w:t>
            </w:r>
          </w:p>
          <w:p>
            <w:pPr>
              <w:spacing w:after="40" w:before="60" w:line="259" w:lineRule="auto"/>
            </w:pPr>
            <w:r>
              <w:rPr>
                <w:rFonts w:ascii="Calibri" w:hAnsi="Calibri"/>
                <w:b w:val="0"/>
                <w:i w:val="0"/>
                <w:color w:val="212121"/>
                <w:sz w:val="19"/>
              </w:rPr>
              <w:t>Junk food, sugary drinks, deep-fried foods and coffee are recognised dietary contributors to PMS.</w:t>
            </w:r>
          </w:p>
          <w:p>
            <w:pPr>
              <w:spacing w:after="40" w:line="252" w:lineRule="auto"/>
            </w:pPr>
            <w:hyperlink r:id="rId10">
              <w:r>
                <w:rPr>
                  <w:rFonts w:ascii="Calibri" w:hAnsi="Calibri" w:cs="Calibri"/>
                  <w:sz w:val="18"/>
                  <w:color w:val="1155CC"/>
                  <w:u w:val="single"/>
                </w:rPr>
                <w:t xml:space="preserve">StatPearls - PMS dietary factors</w:t>
              </w:r>
            </w:hyperlink>
          </w:p>
          <w:p>
            <w:pPr>
              <w:spacing w:before="60" w:after="40"/>
            </w:pPr>
            <w:r>
              <w:rPr>
                <w:rFonts w:ascii="Calibri" w:hAnsi="Calibri"/>
                <w:b w:val="0"/>
                <w:i w:val="0"/>
                <w:color w:val="5A5A5A"/>
                <w:sz w:val="18"/>
              </w:rPr>
              <w:t>#sugar  #salt  #caffeine  #junkfood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Low calcium intake</w:t>
            </w:r>
          </w:p>
        </w:tc>
        <w:tc>
          <w:tcPr>
            <w:tcW w:type="dxa" w:w="2160"/>
            <w:vAlign w:val="top"/>
          </w:tcPr>
          <w:p>
            <w:pPr>
              <w:spacing w:after="40" w:before="0" w:line="259" w:lineRule="auto"/>
            </w:pPr>
            <w:r>
              <w:rPr>
                <w:rFonts w:ascii="Calibri" w:hAnsi="Calibri"/>
                <w:b w:val="0"/>
                <w:i w:val="0"/>
                <w:color w:val="212121"/>
                <w:sz w:val="19"/>
              </w:rPr>
              <w:t>Low-dairy / low-calcium diets</w:t>
            </w:r>
          </w:p>
        </w:tc>
        <w:tc>
          <w:tcPr>
            <w:tcW w:type="dxa" w:w="4276"/>
            <w:vAlign w:val="top"/>
          </w:tcPr>
          <w:p>
            <w:pPr>
              <w:spacing w:after="60" w:line="259" w:lineRule="auto"/>
            </w:pPr>
            <w:r>
              <w:rPr>
                <w:rFonts w:ascii="Calibri" w:hAnsi="Calibri"/>
                <w:b w:val="0"/>
                <w:i w:val="0"/>
                <w:color w:val="212121"/>
                <w:sz w:val="19"/>
              </w:rPr>
              <w:t>Low dietary calcium is associated with higher PMS risk; calcium supplementation reduces symptom severity, supporting a contributory role.</w:t>
            </w:r>
          </w:p>
          <w:p>
            <w:pPr>
              <w:spacing w:after="40" w:before="60" w:line="259" w:lineRule="auto"/>
            </w:pPr>
            <w:r>
              <w:rPr>
                <w:rFonts w:ascii="Calibri" w:hAnsi="Calibri"/>
                <w:b w:val="0"/>
                <w:i w:val="0"/>
                <w:color w:val="212121"/>
                <w:sz w:val="19"/>
              </w:rPr>
              <w:t>Calcium (with vitamin B6) is a recommended element of PMS management, reflecting the role of low calcium status.</w:t>
            </w:r>
          </w:p>
          <w:p>
            <w:pPr>
              <w:spacing w:after="40" w:line="252" w:lineRule="auto"/>
            </w:pPr>
            <w:hyperlink r:id="rId11">
              <w:r>
                <w:rPr>
                  <w:rFonts w:ascii="Calibri" w:hAnsi="Calibri" w:cs="Calibri"/>
                  <w:sz w:val="18"/>
                  <w:color w:val="1155CC"/>
                  <w:u w:val="single"/>
                </w:rPr>
                <w:t xml:space="preserve">StatPearls - PMDD nutrition/treatment</w:t>
              </w:r>
            </w:hyperlink>
          </w:p>
          <w:p>
            <w:pPr>
              <w:spacing w:before="60" w:after="40"/>
            </w:pPr>
            <w:r>
              <w:rPr>
                <w:rFonts w:ascii="Calibri" w:hAnsi="Calibri"/>
                <w:b w:val="0"/>
                <w:i w:val="0"/>
                <w:color w:val="5A5A5A"/>
                <w:sz w:val="18"/>
              </w:rPr>
              <w:t>#calcium  #dairy  #diet</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PMS/PMDD or mood disorder</w:t>
            </w:r>
          </w:p>
        </w:tc>
        <w:tc>
          <w:tcPr>
            <w:tcW w:type="dxa" w:w="4276"/>
            <w:vAlign w:val="top"/>
          </w:tcPr>
          <w:p>
            <w:pPr>
              <w:spacing w:after="60" w:line="259" w:lineRule="auto"/>
            </w:pPr>
            <w:r>
              <w:rPr>
                <w:rFonts w:ascii="Calibri" w:hAnsi="Calibri"/>
                <w:b w:val="0"/>
                <w:i w:val="0"/>
                <w:color w:val="212121"/>
                <w:sz w:val="19"/>
              </w:rPr>
              <w:t>Premenstrual disorders cluster in families; heritability involves estrogen-receptor (ESR1) and serotonergic gene variants, and a family history of mood disorders adds risk.</w:t>
            </w:r>
          </w:p>
          <w:p>
            <w:pPr>
              <w:spacing w:after="40" w:before="60" w:line="259" w:lineRule="auto"/>
            </w:pPr>
            <w:r>
              <w:rPr>
                <w:rFonts w:ascii="Calibri" w:hAnsi="Calibri"/>
                <w:b w:val="0"/>
                <w:i w:val="0"/>
                <w:color w:val="212121"/>
                <w:sz w:val="19"/>
              </w:rPr>
              <w:t>A family history of PMS/PMDD and of depression or mood disorders are established risk factors.</w:t>
            </w:r>
          </w:p>
          <w:p>
            <w:pPr>
              <w:spacing w:after="40" w:line="252" w:lineRule="auto"/>
            </w:pPr>
            <w:hyperlink r:id="rId13">
              <w:r>
                <w:rPr>
                  <w:rFonts w:ascii="Calibri" w:hAnsi="Calibri" w:cs="Calibri"/>
                  <w:sz w:val="18"/>
                  <w:color w:val="1155CC"/>
                  <w:u w:val="single"/>
                </w:rPr>
                <w:t xml:space="preserve">hopkinsmedicine.org - PMDD risk factors</w:t>
              </w:r>
            </w:hyperlink>
          </w:p>
          <w:p>
            <w:pPr>
              <w:spacing w:before="60" w:after="40"/>
            </w:pPr>
            <w:r>
              <w:rPr>
                <w:rFonts w:ascii="Calibri" w:hAnsi="Calibri"/>
                <w:b w:val="0"/>
                <w:i w:val="0"/>
                <w:color w:val="5A5A5A"/>
                <w:sz w:val="18"/>
              </w:rPr>
              <w:t>#familyhistory  #ESR1  #heritable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Anxiety disorders</w:t>
            </w:r>
          </w:p>
        </w:tc>
        <w:tc>
          <w:tcPr>
            <w:tcW w:type="dxa" w:w="2160"/>
            <w:vAlign w:val="top"/>
          </w:tcPr>
          <w:p>
            <w:pPr>
              <w:spacing w:after="40" w:before="0" w:line="259" w:lineRule="auto"/>
            </w:pPr>
            <w:r>
              <w:rPr>
                <w:rFonts w:ascii="Calibri" w:hAnsi="Calibri"/>
                <w:b w:val="0"/>
                <w:i w:val="0"/>
                <w:color w:val="212121"/>
                <w:sz w:val="19"/>
              </w:rPr>
              <w:t>Women with a pre-existing anxiety disorder</w:t>
            </w:r>
          </w:p>
        </w:tc>
        <w:tc>
          <w:tcPr>
            <w:tcW w:type="dxa" w:w="4276"/>
            <w:vAlign w:val="top"/>
          </w:tcPr>
          <w:p>
            <w:pPr>
              <w:spacing w:after="60" w:line="259" w:lineRule="auto"/>
            </w:pPr>
            <w:r>
              <w:rPr>
                <w:rFonts w:ascii="Calibri" w:hAnsi="Calibri"/>
                <w:b w:val="0"/>
                <w:i w:val="0"/>
                <w:color w:val="212121"/>
                <w:sz w:val="19"/>
              </w:rPr>
              <w:t>Pre-existing anxiety and past trauma raise the risk of PMDD and drive premenstrual exacerbation of symptoms.</w:t>
            </w:r>
          </w:p>
          <w:p>
            <w:pPr>
              <w:spacing w:after="40" w:before="60" w:line="259" w:lineRule="auto"/>
            </w:pPr>
            <w:r>
              <w:rPr>
                <w:rFonts w:ascii="Calibri" w:hAnsi="Calibri"/>
                <w:b w:val="0"/>
                <w:i w:val="0"/>
                <w:color w:val="212121"/>
                <w:sz w:val="19"/>
              </w:rPr>
              <w:t>Traumatic events and pre-existing anxiety disorders are proven risk factors for PMDD.</w:t>
            </w:r>
          </w:p>
          <w:p>
            <w:pPr>
              <w:spacing w:after="40" w:line="252" w:lineRule="auto"/>
            </w:pPr>
            <w:hyperlink r:id="rId11">
              <w:r>
                <w:rPr>
                  <w:rFonts w:ascii="Calibri" w:hAnsi="Calibri" w:cs="Calibri"/>
                  <w:sz w:val="18"/>
                  <w:color w:val="1155CC"/>
                  <w:u w:val="single"/>
                </w:rPr>
                <w:t xml:space="preserve">StatPearls - PMDD risk factors</w:t>
              </w:r>
            </w:hyperlink>
          </w:p>
          <w:p>
            <w:pPr>
              <w:spacing w:before="60" w:after="40"/>
            </w:pPr>
            <w:r>
              <w:rPr>
                <w:rFonts w:ascii="Calibri" w:hAnsi="Calibri"/>
                <w:b w:val="0"/>
                <w:i w:val="0"/>
                <w:color w:val="5A5A5A"/>
                <w:sz w:val="18"/>
              </w:rPr>
              <w:t>#anxiety  #trauma  #PME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w:t>
            </w:r>
          </w:p>
        </w:tc>
        <w:tc>
          <w:tcPr>
            <w:tcW w:type="dxa" w:w="2160"/>
            <w:vAlign w:val="top"/>
          </w:tcPr>
          <w:p>
            <w:pPr>
              <w:spacing w:after="40" w:before="0" w:line="259" w:lineRule="auto"/>
            </w:pPr>
            <w:r>
              <w:rPr>
                <w:rFonts w:ascii="Calibri" w:hAnsi="Calibri"/>
                <w:b w:val="0"/>
                <w:i w:val="0"/>
                <w:color w:val="212121"/>
                <w:sz w:val="19"/>
              </w:rPr>
              <w:t>Personal or family history of depression</w:t>
            </w:r>
          </w:p>
        </w:tc>
        <w:tc>
          <w:tcPr>
            <w:tcW w:type="dxa" w:w="4276"/>
            <w:vAlign w:val="top"/>
          </w:tcPr>
          <w:p>
            <w:pPr>
              <w:spacing w:after="60" w:line="259" w:lineRule="auto"/>
            </w:pPr>
            <w:r>
              <w:rPr>
                <w:rFonts w:ascii="Calibri" w:hAnsi="Calibri"/>
                <w:b w:val="0"/>
                <w:i w:val="0"/>
                <w:color w:val="212121"/>
                <w:sz w:val="19"/>
              </w:rPr>
              <w:t>Depression shares serotonergic pathophysiology with PMDD; luteal-phase worsening (premenstrual exacerbation) is common and bidirectional.</w:t>
            </w:r>
          </w:p>
          <w:p>
            <w:pPr>
              <w:spacing w:after="40" w:before="60" w:line="259" w:lineRule="auto"/>
            </w:pPr>
            <w:r>
              <w:rPr>
                <w:rFonts w:ascii="Calibri" w:hAnsi="Calibri"/>
                <w:b w:val="0"/>
                <w:i w:val="0"/>
                <w:color w:val="212121"/>
                <w:sz w:val="19"/>
              </w:rPr>
              <w:t>A personal or family history of depression increases the risk and severity of PMS/PMDD.</w:t>
            </w:r>
          </w:p>
          <w:p>
            <w:pPr>
              <w:spacing w:after="40" w:line="252" w:lineRule="auto"/>
            </w:pPr>
            <w:hyperlink r:id="rId9">
              <w:r>
                <w:rPr>
                  <w:rFonts w:ascii="Calibri" w:hAnsi="Calibri" w:cs="Calibri"/>
                  <w:sz w:val="18"/>
                  <w:color w:val="1155CC"/>
                  <w:u w:val="single"/>
                </w:rPr>
                <w:t xml:space="preserve">womenshealth.gov - PMS risk factors</w:t>
              </w:r>
            </w:hyperlink>
          </w:p>
          <w:p>
            <w:pPr>
              <w:spacing w:before="60" w:after="40"/>
            </w:pPr>
            <w:r>
              <w:rPr>
                <w:rFonts w:ascii="Calibri" w:hAnsi="Calibri"/>
                <w:b w:val="0"/>
                <w:i w:val="0"/>
                <w:color w:val="5A5A5A"/>
                <w:sz w:val="18"/>
              </w:rPr>
              <w:t>#depression  #serotonin  #mooddisorder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Dysmenorrhoea</w:t>
            </w:r>
          </w:p>
        </w:tc>
        <w:tc>
          <w:tcPr>
            <w:tcW w:type="dxa" w:w="2160"/>
            <w:vAlign w:val="top"/>
          </w:tcPr>
          <w:p>
            <w:pPr>
              <w:spacing w:after="40" w:before="0" w:line="259" w:lineRule="auto"/>
            </w:pPr>
            <w:r>
              <w:rPr>
                <w:rFonts w:ascii="Calibri" w:hAnsi="Calibri"/>
                <w:b w:val="0"/>
                <w:i w:val="0"/>
                <w:color w:val="212121"/>
                <w:sz w:val="19"/>
              </w:rPr>
              <w:t>Women with comorbid painful menstruation</w:t>
            </w:r>
          </w:p>
        </w:tc>
        <w:tc>
          <w:tcPr>
            <w:tcW w:type="dxa" w:w="4276"/>
            <w:vAlign w:val="top"/>
          </w:tcPr>
          <w:p>
            <w:pPr>
              <w:spacing w:after="60" w:line="259" w:lineRule="auto"/>
            </w:pPr>
            <w:r>
              <w:rPr>
                <w:rFonts w:ascii="Calibri" w:hAnsi="Calibri"/>
                <w:b w:val="0"/>
                <w:i w:val="0"/>
                <w:color w:val="212121"/>
                <w:sz w:val="19"/>
              </w:rPr>
              <w:t>Dysmenorrhoea frequently co-occurs with PMS in Indian studies, compounding luteal and menstrual distress and functional impairment.</w:t>
            </w:r>
          </w:p>
          <w:p>
            <w:pPr>
              <w:spacing w:after="40" w:before="60" w:line="259" w:lineRule="auto"/>
            </w:pPr>
            <w:r>
              <w:rPr>
                <w:rFonts w:ascii="Calibri" w:hAnsi="Calibri"/>
                <w:b w:val="0"/>
                <w:i w:val="0"/>
                <w:color w:val="212121"/>
                <w:sz w:val="19"/>
              </w:rPr>
              <w:t>Painful menstruation commonly coexists with premenstrual symptoms, adding to the overall menstrual symptom burden.</w:t>
            </w:r>
          </w:p>
          <w:p>
            <w:pPr>
              <w:spacing w:before="60" w:after="40"/>
            </w:pPr>
            <w:r>
              <w:rPr>
                <w:rFonts w:ascii="Calibri" w:hAnsi="Calibri"/>
                <w:b w:val="0"/>
                <w:i w:val="0"/>
                <w:color w:val="5A5A5A"/>
                <w:sz w:val="18"/>
              </w:rPr>
              <w:t>#dysmenorrhoea  #menstrualpain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Menstrual migraine</w:t>
            </w:r>
          </w:p>
        </w:tc>
        <w:tc>
          <w:tcPr>
            <w:tcW w:type="dxa" w:w="2160"/>
            <w:vAlign w:val="top"/>
          </w:tcPr>
          <w:p>
            <w:pPr>
              <w:spacing w:after="40" w:before="0" w:line="259" w:lineRule="auto"/>
            </w:pPr>
            <w:r>
              <w:rPr>
                <w:rFonts w:ascii="Calibri" w:hAnsi="Calibri"/>
                <w:b w:val="0"/>
                <w:i w:val="0"/>
                <w:color w:val="212121"/>
                <w:sz w:val="19"/>
              </w:rPr>
              <w:t>Migraine with luteal exacerbation</w:t>
            </w:r>
          </w:p>
        </w:tc>
        <w:tc>
          <w:tcPr>
            <w:tcW w:type="dxa" w:w="4276"/>
            <w:vAlign w:val="top"/>
          </w:tcPr>
          <w:p>
            <w:pPr>
              <w:spacing w:after="60" w:line="259" w:lineRule="auto"/>
            </w:pPr>
            <w:r>
              <w:rPr>
                <w:rFonts w:ascii="Calibri" w:hAnsi="Calibri"/>
                <w:b w:val="0"/>
                <w:i w:val="0"/>
                <w:color w:val="212121"/>
                <w:sz w:val="19"/>
              </w:rPr>
              <w:t>Estrogen withdrawal in the late luteal phase triggers menstrual (catamenial) migraine, which frequently overlaps PMS symptoms.</w:t>
            </w:r>
          </w:p>
          <w:p>
            <w:pPr>
              <w:spacing w:after="40" w:before="60" w:line="259" w:lineRule="auto"/>
            </w:pPr>
            <w:r>
              <w:rPr>
                <w:rFonts w:ascii="Calibri" w:hAnsi="Calibri"/>
                <w:b w:val="0"/>
                <w:i w:val="0"/>
                <w:color w:val="212121"/>
                <w:sz w:val="19"/>
              </w:rPr>
              <w:t>Late-luteal estrogen withdrawal is a recognised trigger of menstrual migraine that overlaps with premenstrual symptoms.</w:t>
            </w:r>
          </w:p>
          <w:p>
            <w:pPr>
              <w:spacing w:before="60" w:after="40"/>
            </w:pPr>
            <w:r>
              <w:rPr>
                <w:rFonts w:ascii="Calibri" w:hAnsi="Calibri"/>
                <w:b w:val="0"/>
                <w:i w:val="0"/>
                <w:color w:val="5A5A5A"/>
                <w:sz w:val="18"/>
              </w:rPr>
              <w:t>#migraine  #estrogenwithdrawal  #catamenial</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Regular aerobic exercise and yoga reduce PMS symptom severity by raising endorphin and serotonergic tone and easing fluid retention; physical inactivity is associated with a greater luteal-phase symptom burden.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High salt, sugar, refined-carbohydrate, caffeine and junk-food intake worsens bloating, breast tenderness and mood lability, whereas adequate calcium, magnesium, vitamin D and complex carbohydrates (which raise tryptophan and serotonin) reduce symptoms.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sleep quality and insomnia intensify luteal-phase fatigue, irritability and poor concentration; sleep disturbance is both a symptom and an aggravator.</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carries a relative risk of about 2.1 for moderate-to-severe PMS, probably via effects on ovarian-steroid and serotonergic signalling.</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use is associated with higher PMS risk and worse luteal mood and sleep; premenstrual alcohol intolerance is common.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Stress, trauma and pre-existing anxiety or depressive disorders strongly increase risk and drive premenstrual exacerbation; HPA-axis dysregulation is implicated.</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may lessen bloating and fluid retention, but direct evidence for symptom prevention is limited.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High caffeine intake is associated with worse breast tenderness, anxiety, irritability and insomnia in the luteal phase.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Good menstrual hygiene supports overall menstrual health and comfort but is not a direct driver of PMS/PMDD symptoms.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Symptoms are provoked cyclically by the post-ovulatory luteal phase; acute stress, poor sleep, dietary excess and alcohol act as triggers.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Aerobic activity (minutes/week)</w:t>
            </w:r>
          </w:p>
        </w:tc>
        <w:tc>
          <w:tcPr>
            <w:tcW w:type="dxa" w:w="1655"/>
            <w:vAlign w:val="top"/>
          </w:tcPr>
          <w:p>
            <w:pPr>
              <w:spacing w:after="40" w:before="0" w:line="259" w:lineRule="auto"/>
            </w:pPr>
            <w:r>
              <w:rPr>
                <w:rFonts w:ascii="Calibri" w:hAnsi="Calibri"/>
                <w:b w:val="0"/>
                <w:i w:val="0"/>
                <w:color w:val="212121"/>
                <w:sz w:val="19"/>
              </w:rPr>
              <w:t>Reproductive-age women</w:t>
            </w:r>
          </w:p>
        </w:tc>
        <w:tc>
          <w:tcPr>
            <w:tcW w:type="dxa" w:w="1512"/>
            <w:vAlign w:val="top"/>
          </w:tcPr>
          <w:p>
            <w:pPr>
              <w:spacing w:after="40" w:before="0" w:line="259" w:lineRule="auto"/>
            </w:pPr>
            <w:r>
              <w:rPr>
                <w:rFonts w:ascii="Calibri" w:hAnsi="Calibri"/>
                <w:b w:val="0"/>
                <w:i w:val="0"/>
                <w:color w:val="212121"/>
                <w:sz w:val="19"/>
              </w:rPr>
              <w:t>&gt;= 150 min/week moderate</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60" w:line="259" w:lineRule="auto"/>
            </w:pPr>
            <w:r>
              <w:rPr>
                <w:rFonts w:ascii="Calibri" w:hAnsi="Calibri"/>
                <w:b w:val="0"/>
                <w:i w:val="0"/>
                <w:color w:val="212121"/>
                <w:sz w:val="19"/>
              </w:rPr>
              <w:t>Regular aerobic exercise reduces PMS symptom severity</w:t>
            </w:r>
          </w:p>
          <w:p>
            <w:pPr>
              <w:spacing w:after="40" w:line="252" w:lineRule="auto"/>
            </w:pPr>
            <w:hyperlink r:id="rId10">
              <w:r>
                <w:rPr>
                  <w:rFonts w:ascii="Calibri" w:hAnsi="Calibri" w:cs="Calibri"/>
                  <w:sz w:val="18"/>
                  <w:color w:val="1155CC"/>
                  <w:u w:val="single"/>
                </w:rPr>
                <w:t xml:space="preserve">https://www.ncbi.nlm.nih.gov/books/NBK560698/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(kg/m2)</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18.5-22.9 (Asian-Indian)</w:t>
            </w:r>
          </w:p>
        </w:tc>
        <w:tc>
          <w:tcPr>
            <w:tcW w:type="dxa" w:w="1512"/>
            <w:vAlign w:val="top"/>
          </w:tcPr>
          <w:p>
            <w:pPr>
              <w:spacing w:after="40" w:before="0" w:line="259" w:lineRule="auto"/>
            </w:pPr>
            <w:r>
              <w:rPr>
                <w:rFonts w:ascii="Calibri" w:hAnsi="Calibri"/>
                <w:b w:val="0"/>
                <w:i w:val="0"/>
                <w:color w:val="212121"/>
                <w:sz w:val="19"/>
              </w:rPr>
              <w:t>&gt;= 25; risk rises further to RR ~1.66 at BMI &gt;= 35</w:t>
            </w:r>
          </w:p>
        </w:tc>
        <w:tc>
          <w:tcPr>
            <w:tcW w:type="dxa" w:w="1468"/>
            <w:vAlign w:val="top"/>
          </w:tcPr>
          <w:p>
            <w:pPr>
              <w:spacing w:after="60" w:line="259" w:lineRule="auto"/>
            </w:pPr>
            <w:r>
              <w:rPr>
                <w:rFonts w:ascii="Calibri" w:hAnsi="Calibri"/>
                <w:b w:val="0"/>
                <w:i w:val="0"/>
                <w:color w:val="212121"/>
                <w:sz w:val="19"/>
              </w:rPr>
              <w:t>PMS risk increases roughly linearly with BMI</w:t>
            </w:r>
          </w:p>
          <w:p>
            <w:pPr>
              <w:spacing w:after="40" w:line="252" w:lineRule="auto"/>
            </w:pPr>
            <w:hyperlink r:id="rId11">
              <w:r>
                <w:rPr>
                  <w:rFonts w:ascii="Calibri" w:hAnsi="Calibri" w:cs="Calibri"/>
                  <w:sz w:val="18"/>
                  <w:color w:val="1155CC"/>
                  <w:u w:val="single"/>
                </w:rPr>
                <w:t xml:space="preserve">https://www.ncbi.nlm.nih.gov/books/NBK532307/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(cm)</w:t>
            </w:r>
          </w:p>
        </w:tc>
        <w:tc>
          <w:tcPr>
            <w:tcW w:type="dxa" w:w="1655"/>
            <w:vAlign w:val="top"/>
          </w:tcPr>
          <w:p>
            <w:pPr>
              <w:spacing w:after="40" w:before="0" w:line="259" w:lineRule="auto"/>
            </w:pPr>
            <w:r>
              <w:rPr>
                <w:rFonts w:ascii="Calibri" w:hAnsi="Calibri"/>
                <w:b w:val="0"/>
                <w:i w:val="0"/>
                <w:color w:val="212121"/>
                <w:sz w:val="19"/>
              </w:rPr>
              <w:t>Adult women</w:t>
            </w:r>
          </w:p>
        </w:tc>
        <w:tc>
          <w:tcPr>
            <w:tcW w:type="dxa" w:w="1512"/>
            <w:vAlign w:val="top"/>
          </w:tcPr>
          <w:p>
            <w:pPr>
              <w:spacing w:after="40" w:before="0" w:line="259" w:lineRule="auto"/>
            </w:pPr>
            <w:r>
              <w:rPr>
                <w:rFonts w:ascii="Calibri" w:hAnsi="Calibri"/>
                <w:b w:val="0"/>
                <w:i w:val="0"/>
                <w:color w:val="212121"/>
                <w:sz w:val="19"/>
              </w:rPr>
              <w:t>&lt; 80 cm (Asian-Indian)</w:t>
            </w:r>
          </w:p>
        </w:tc>
        <w:tc>
          <w:tcPr>
            <w:tcW w:type="dxa" w:w="1512"/>
            <w:vAlign w:val="top"/>
          </w:tcPr>
          <w:p>
            <w:pPr>
              <w:spacing w:after="40" w:before="0" w:line="259" w:lineRule="auto"/>
            </w:pPr>
            <w:r>
              <w:rPr>
                <w:rFonts w:ascii="Calibri" w:hAnsi="Calibri"/>
                <w:b w:val="0"/>
                <w:i w:val="0"/>
                <w:color w:val="212121"/>
                <w:sz w:val="19"/>
              </w:rPr>
              <w:t>&gt;= 80 cm</w:t>
            </w:r>
          </w:p>
        </w:tc>
        <w:tc>
          <w:tcPr>
            <w:tcW w:type="dxa" w:w="1468"/>
            <w:vAlign w:val="top"/>
          </w:tcPr>
          <w:p>
            <w:pPr>
              <w:spacing w:after="40" w:before="0" w:line="259" w:lineRule="auto"/>
            </w:pPr>
            <w:r>
              <w:rPr>
                <w:rFonts w:ascii="Calibri" w:hAnsi="Calibri"/>
                <w:b w:val="0"/>
                <w:i w:val="0"/>
                <w:color w:val="212121"/>
                <w:sz w:val="19"/>
              </w:rPr>
              <w:t>Central adiposity links to higher metabolic and symptom burden</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calcium (mg/day)</w:t>
            </w:r>
          </w:p>
        </w:tc>
        <w:tc>
          <w:tcPr>
            <w:tcW w:type="dxa" w:w="1655"/>
            <w:vAlign w:val="top"/>
          </w:tcPr>
          <w:p>
            <w:pPr>
              <w:spacing w:after="40" w:before="0" w:line="259" w:lineRule="auto"/>
            </w:pPr>
            <w:r>
              <w:rPr>
                <w:rFonts w:ascii="Calibri" w:hAnsi="Calibri"/>
                <w:b w:val="0"/>
                <w:i w:val="0"/>
                <w:color w:val="212121"/>
                <w:sz w:val="19"/>
              </w:rPr>
              <w:t>Reproductive-age women</w:t>
            </w:r>
          </w:p>
        </w:tc>
        <w:tc>
          <w:tcPr>
            <w:tcW w:type="dxa" w:w="1512"/>
            <w:vAlign w:val="top"/>
          </w:tcPr>
          <w:p>
            <w:pPr>
              <w:spacing w:after="40" w:before="0" w:line="259" w:lineRule="auto"/>
            </w:pPr>
            <w:r>
              <w:rPr>
                <w:rFonts w:ascii="Calibri" w:hAnsi="Calibri"/>
                <w:b w:val="0"/>
                <w:i w:val="0"/>
                <w:color w:val="212121"/>
                <w:sz w:val="19"/>
              </w:rPr>
              <w:t>1000-1200 mg/day</w:t>
            </w:r>
          </w:p>
        </w:tc>
        <w:tc>
          <w:tcPr>
            <w:tcW w:type="dxa" w:w="1512"/>
            <w:vAlign w:val="top"/>
          </w:tcPr>
          <w:p>
            <w:pPr>
              <w:spacing w:after="40" w:before="0" w:line="259" w:lineRule="auto"/>
            </w:pPr>
            <w:r>
              <w:rPr>
                <w:rFonts w:ascii="Calibri" w:hAnsi="Calibri"/>
                <w:b w:val="0"/>
                <w:i w:val="0"/>
                <w:color w:val="212121"/>
                <w:sz w:val="19"/>
              </w:rPr>
              <w:t>&lt; 500 mg/day</w:t>
            </w:r>
          </w:p>
        </w:tc>
        <w:tc>
          <w:tcPr>
            <w:tcW w:type="dxa" w:w="1468"/>
            <w:vAlign w:val="top"/>
          </w:tcPr>
          <w:p>
            <w:pPr>
              <w:spacing w:after="60" w:line="259" w:lineRule="auto"/>
            </w:pPr>
            <w:r>
              <w:rPr>
                <w:rFonts w:ascii="Calibri" w:hAnsi="Calibri"/>
                <w:b w:val="0"/>
                <w:i w:val="0"/>
                <w:color w:val="212121"/>
                <w:sz w:val="19"/>
              </w:rPr>
              <w:t>Low calcium intake is associated with higher PMS risk</w:t>
            </w:r>
          </w:p>
          <w:p>
            <w:pPr>
              <w:spacing w:after="40" w:line="252" w:lineRule="auto"/>
            </w:pPr>
            <w:hyperlink r:id="rId11">
              <w:r>
                <w:rPr>
                  <w:rFonts w:ascii="Calibri" w:hAnsi="Calibri" w:cs="Calibri"/>
                  <w:sz w:val="18"/>
                  <w:color w:val="1155CC"/>
                  <w:u w:val="single"/>
                </w:rPr>
                <w:t xml:space="preserve">https://www.ncbi.nlm.nih.gov/books/NBK532307/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Salt / sodium intake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5 g salt/day (WHO)</w:t>
            </w:r>
          </w:p>
        </w:tc>
        <w:tc>
          <w:tcPr>
            <w:tcW w:type="dxa" w:w="1512"/>
            <w:vAlign w:val="top"/>
          </w:tcPr>
          <w:p>
            <w:pPr>
              <w:spacing w:after="40" w:before="0" w:line="259" w:lineRule="auto"/>
            </w:pPr>
            <w:r>
              <w:rPr>
                <w:rFonts w:ascii="Calibri" w:hAnsi="Calibri"/>
                <w:b w:val="0"/>
                <w:i w:val="0"/>
                <w:color w:val="212121"/>
                <w:sz w:val="19"/>
              </w:rPr>
              <w:t>High-salt diet, especially in the luteal week</w:t>
            </w:r>
          </w:p>
        </w:tc>
        <w:tc>
          <w:tcPr>
            <w:tcW w:type="dxa" w:w="1468"/>
            <w:vAlign w:val="top"/>
          </w:tcPr>
          <w:p>
            <w:pPr>
              <w:spacing w:after="40" w:before="0" w:line="259" w:lineRule="auto"/>
            </w:pPr>
            <w:r>
              <w:rPr>
                <w:rFonts w:ascii="Calibri" w:hAnsi="Calibri"/>
                <w:b w:val="0"/>
                <w:i w:val="0"/>
                <w:color w:val="212121"/>
                <w:sz w:val="19"/>
              </w:rPr>
              <w:t>Excess salt aggravates bloating and fluid retention</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(mg/day)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200 mg/day</w:t>
            </w:r>
          </w:p>
        </w:tc>
        <w:tc>
          <w:tcPr>
            <w:tcW w:type="dxa" w:w="1512"/>
            <w:vAlign w:val="top"/>
          </w:tcPr>
          <w:p>
            <w:pPr>
              <w:spacing w:after="40" w:before="0" w:line="259" w:lineRule="auto"/>
            </w:pPr>
            <w:r>
              <w:rPr>
                <w:rFonts w:ascii="Calibri" w:hAnsi="Calibri"/>
                <w:b w:val="0"/>
                <w:i w:val="0"/>
                <w:color w:val="212121"/>
                <w:sz w:val="19"/>
              </w:rPr>
              <w:t>&gt; 400 mg/day</w:t>
            </w:r>
          </w:p>
        </w:tc>
        <w:tc>
          <w:tcPr>
            <w:tcW w:type="dxa" w:w="1468"/>
            <w:vAlign w:val="top"/>
          </w:tcPr>
          <w:p>
            <w:pPr>
              <w:spacing w:after="60" w:line="259" w:lineRule="auto"/>
            </w:pPr>
            <w:r>
              <w:rPr>
                <w:rFonts w:ascii="Calibri" w:hAnsi="Calibri"/>
                <w:b w:val="0"/>
                <w:i w:val="0"/>
                <w:color w:val="212121"/>
                <w:sz w:val="19"/>
              </w:rPr>
              <w:t>High caffeine worsens breast tenderness, anxiety and insomnia</w:t>
            </w:r>
          </w:p>
          <w:p>
            <w:pPr>
              <w:spacing w:after="40" w:line="252" w:lineRule="auto"/>
            </w:pPr>
            <w:hyperlink r:id="rId10">
              <w:r>
                <w:rPr>
                  <w:rFonts w:ascii="Calibri" w:hAnsi="Calibri" w:cs="Calibri"/>
                  <w:sz w:val="18"/>
                  <w:color w:val="1155CC"/>
                  <w:u w:val="single"/>
                </w:rPr>
                <w:t xml:space="preserve">https://www.ncbi.nlm.nih.gov/books/NBK560698/</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hours/night</w:t>
            </w:r>
          </w:p>
        </w:tc>
        <w:tc>
          <w:tcPr>
            <w:tcW w:type="dxa" w:w="1468"/>
            <w:vAlign w:val="top"/>
          </w:tcPr>
          <w:p>
            <w:pPr>
              <w:spacing w:after="60" w:line="259" w:lineRule="auto"/>
            </w:pPr>
            <w:r>
              <w:rPr>
                <w:rFonts w:ascii="Calibri" w:hAnsi="Calibri"/>
                <w:b w:val="0"/>
                <w:i w:val="0"/>
                <w:color w:val="212121"/>
                <w:sz w:val="19"/>
              </w:rPr>
              <w:t>Poor or short sleep worsens luteal fatigue and mood</w:t>
            </w:r>
          </w:p>
          <w:p>
            <w:pPr>
              <w:spacing w:after="40" w:line="252" w:lineRule="auto"/>
            </w:pPr>
            <w:hyperlink r:id="rId10">
              <w:r>
                <w:rPr>
                  <w:rFonts w:ascii="Calibri" w:hAnsi="Calibri" w:cs="Calibri"/>
                  <w:sz w:val="18"/>
                  <w:color w:val="1155CC"/>
                  <w:u w:val="single"/>
                </w:rPr>
                <w:t xml:space="preserve">https://www.ncbi.nlm.nih.gov/books/NBK560698/</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Reproductive-age women</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&gt;= 1 per day</w:t>
            </w:r>
          </w:p>
        </w:tc>
        <w:tc>
          <w:tcPr>
            <w:tcW w:type="dxa" w:w="1468"/>
            <w:vAlign w:val="top"/>
          </w:tcPr>
          <w:p>
            <w:pPr>
              <w:spacing w:after="60" w:line="259" w:lineRule="auto"/>
            </w:pPr>
            <w:r>
              <w:rPr>
                <w:rFonts w:ascii="Calibri" w:hAnsi="Calibri"/>
                <w:b w:val="0"/>
                <w:i w:val="0"/>
                <w:color w:val="212121"/>
                <w:sz w:val="19"/>
              </w:rPr>
              <w:t>Smoking RR ~2.1 for moderate-to-severe PMS</w:t>
            </w:r>
          </w:p>
          <w:p>
            <w:pPr>
              <w:spacing w:after="40" w:line="252" w:lineRule="auto"/>
            </w:pPr>
            <w:hyperlink r:id="rId11">
              <w:r>
                <w:rPr>
                  <w:rFonts w:ascii="Calibri" w:hAnsi="Calibri" w:cs="Calibri"/>
                  <w:sz w:val="18"/>
                  <w:color w:val="1155CC"/>
                  <w:u w:val="single"/>
                </w:rPr>
                <w:t xml:space="preserve">https://www.ncbi.nlm.nih.gov/books/NBK532307/</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(drinks/week)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None to minimal</w:t>
            </w:r>
          </w:p>
        </w:tc>
        <w:tc>
          <w:tcPr>
            <w:tcW w:type="dxa" w:w="1512"/>
            <w:vAlign w:val="top"/>
          </w:tcPr>
          <w:p>
            <w:pPr>
              <w:spacing w:after="40" w:before="0" w:line="259" w:lineRule="auto"/>
            </w:pPr>
            <w:r>
              <w:rPr>
                <w:rFonts w:ascii="Calibri" w:hAnsi="Calibri"/>
                <w:b w:val="0"/>
                <w:i w:val="0"/>
                <w:color w:val="212121"/>
                <w:sz w:val="19"/>
              </w:rPr>
              <w:t>Regular or heavy intake</w:t>
            </w:r>
          </w:p>
        </w:tc>
        <w:tc>
          <w:tcPr>
            <w:tcW w:type="dxa" w:w="1468"/>
            <w:vAlign w:val="top"/>
          </w:tcPr>
          <w:p>
            <w:pPr>
              <w:spacing w:after="40" w:before="0" w:line="259" w:lineRule="auto"/>
            </w:pPr>
            <w:r>
              <w:rPr>
                <w:rFonts w:ascii="Calibri" w:hAnsi="Calibri"/>
                <w:b w:val="0"/>
                <w:i w:val="0"/>
                <w:color w:val="212121"/>
                <w:sz w:val="19"/>
              </w:rPr>
              <w:t>Associated with higher PMS risk and premenstrual alcohol intolerance</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Fluid intake (L/day)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~2-2.5 L/day</w:t>
            </w:r>
          </w:p>
        </w:tc>
        <w:tc>
          <w:tcPr>
            <w:tcW w:type="dxa" w:w="1512"/>
            <w:vAlign w:val="top"/>
          </w:tcPr>
          <w:p>
            <w:pPr>
              <w:spacing w:after="40" w:before="0" w:line="259" w:lineRule="auto"/>
            </w:pPr>
            <w:r>
              <w:rPr>
                <w:rFonts w:ascii="Calibri" w:hAnsi="Calibri"/>
                <w:b w:val="0"/>
                <w:i w:val="0"/>
                <w:color w:val="212121"/>
                <w:sz w:val="19"/>
              </w:rPr>
              <w:t>&lt; 1.5 L/day</w:t>
            </w:r>
          </w:p>
        </w:tc>
        <w:tc>
          <w:tcPr>
            <w:tcW w:type="dxa" w:w="1468"/>
            <w:vAlign w:val="top"/>
          </w:tcPr>
          <w:p>
            <w:pPr>
              <w:spacing w:after="40" w:before="0" w:line="259" w:lineRule="auto"/>
            </w:pPr>
            <w:r>
              <w:rPr>
                <w:rFonts w:ascii="Calibri" w:hAnsi="Calibri"/>
                <w:b w:val="0"/>
                <w:i w:val="0"/>
                <w:color w:val="212121"/>
                <w:sz w:val="19"/>
              </w:rPr>
              <w:t>Adequate hydration may reduce bloating and fluid retention</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Prospective symptom rise (DRSP, luteal vs follicular)</w:t>
            </w:r>
          </w:p>
        </w:tc>
        <w:tc>
          <w:tcPr>
            <w:tcW w:type="dxa" w:w="1655"/>
            <w:vAlign w:val="top"/>
          </w:tcPr>
          <w:p>
            <w:pPr>
              <w:spacing w:after="40" w:before="0" w:line="259" w:lineRule="auto"/>
            </w:pPr>
            <w:r>
              <w:rPr>
                <w:rFonts w:ascii="Calibri" w:hAnsi="Calibri"/>
                <w:b w:val="0"/>
                <w:i w:val="0"/>
                <w:color w:val="212121"/>
                <w:sz w:val="19"/>
              </w:rPr>
              <w:t>Women with cyclical symptoms</w:t>
            </w:r>
          </w:p>
        </w:tc>
        <w:tc>
          <w:tcPr>
            <w:tcW w:type="dxa" w:w="1512"/>
            <w:vAlign w:val="top"/>
          </w:tcPr>
          <w:p>
            <w:pPr>
              <w:spacing w:after="40" w:before="0" w:line="259" w:lineRule="auto"/>
            </w:pPr>
            <w:r>
              <w:rPr>
                <w:rFonts w:ascii="Calibri" w:hAnsi="Calibri"/>
                <w:b w:val="0"/>
                <w:i w:val="0"/>
                <w:color w:val="212121"/>
                <w:sz w:val="19"/>
              </w:rPr>
              <w:t>&lt; 30% luteal increase</w:t>
            </w:r>
          </w:p>
        </w:tc>
        <w:tc>
          <w:tcPr>
            <w:tcW w:type="dxa" w:w="1512"/>
            <w:vAlign w:val="top"/>
          </w:tcPr>
          <w:p>
            <w:pPr>
              <w:spacing w:after="40" w:before="0" w:line="259" w:lineRule="auto"/>
            </w:pPr>
            <w:r>
              <w:rPr>
                <w:rFonts w:ascii="Calibri" w:hAnsi="Calibri"/>
                <w:b w:val="0"/>
                <w:i w:val="0"/>
                <w:color w:val="212121"/>
                <w:sz w:val="19"/>
              </w:rPr>
              <w:t>&gt;= 30% increase over follicular baseline</w:t>
            </w:r>
          </w:p>
        </w:tc>
        <w:tc>
          <w:tcPr>
            <w:tcW w:type="dxa" w:w="1468"/>
            <w:vAlign w:val="top"/>
          </w:tcPr>
          <w:p>
            <w:pPr>
              <w:spacing w:after="40" w:before="0" w:line="259" w:lineRule="auto"/>
            </w:pPr>
            <w:r>
              <w:rPr>
                <w:rFonts w:ascii="Calibri" w:hAnsi="Calibri"/>
                <w:b w:val="0"/>
                <w:i w:val="0"/>
                <w:color w:val="212121"/>
                <w:sz w:val="19"/>
              </w:rPr>
              <w:t>Confirms cyclical diagnosis and grades severity</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 function (TSH)</w:t>
            </w:r>
          </w:p>
        </w:tc>
        <w:tc>
          <w:tcPr>
            <w:tcW w:type="dxa" w:w="892"/>
            <w:vAlign w:val="top"/>
          </w:tcPr>
          <w:p>
            <w:pPr>
              <w:spacing w:after="40" w:before="0" w:line="259" w:lineRule="auto"/>
            </w:pPr>
            <w:r>
              <w:rPr>
                <w:rFonts w:ascii="Calibri" w:hAnsi="Calibri"/>
                <w:b w:val="0"/>
                <w:i w:val="0"/>
                <w:color w:val="212121"/>
                <w:sz w:val="16"/>
              </w:rPr>
              <w:t>Secondary-cause screen</w:t>
            </w:r>
          </w:p>
        </w:tc>
        <w:tc>
          <w:tcPr>
            <w:tcW w:type="dxa" w:w="950"/>
            <w:vAlign w:val="top"/>
          </w:tcPr>
          <w:p>
            <w:pPr>
              <w:spacing w:after="40" w:before="0" w:line="259" w:lineRule="auto"/>
            </w:pPr>
            <w:r>
              <w:rPr>
                <w:rFonts w:ascii="Calibri" w:hAnsi="Calibri"/>
                <w:b w:val="0"/>
                <w:i w:val="0"/>
                <w:color w:val="212121"/>
                <w:sz w:val="16"/>
              </w:rPr>
              <w:t>TSH 0.4-4.0 mIU/L</w:t>
            </w:r>
          </w:p>
        </w:tc>
        <w:tc>
          <w:tcPr>
            <w:tcW w:type="dxa" w:w="950"/>
            <w:vAlign w:val="top"/>
          </w:tcPr>
          <w:p>
            <w:pPr>
              <w:spacing w:after="40" w:before="0" w:line="259" w:lineRule="auto"/>
            </w:pPr>
            <w:r>
              <w:rPr>
                <w:rFonts w:ascii="Calibri" w:hAnsi="Calibri"/>
                <w:b w:val="0"/>
                <w:i w:val="0"/>
                <w:color w:val="212121"/>
                <w:sz w:val="16"/>
              </w:rPr>
              <w:t>Elevated (hypothyroid) or suppressed</w:t>
            </w:r>
          </w:p>
        </w:tc>
        <w:tc>
          <w:tcPr>
            <w:tcW w:type="dxa" w:w="1036"/>
            <w:vAlign w:val="top"/>
          </w:tcPr>
          <w:p>
            <w:pPr>
              <w:spacing w:after="40" w:before="0" w:line="259" w:lineRule="auto"/>
            </w:pPr>
            <w:r>
              <w:rPr>
                <w:rFonts w:ascii="Calibri" w:hAnsi="Calibri"/>
                <w:b w:val="0"/>
                <w:i w:val="0"/>
                <w:color w:val="212121"/>
                <w:sz w:val="16"/>
              </w:rPr>
              <w:t>Excludes thyroid disease mimicking fatigue, low mood and menstrual change</w:t>
            </w:r>
          </w:p>
        </w:tc>
        <w:tc>
          <w:tcPr>
            <w:tcW w:type="dxa" w:w="1036"/>
            <w:vAlign w:val="top"/>
          </w:tcPr>
          <w:p>
            <w:pPr>
              <w:spacing w:after="40" w:before="0" w:line="259" w:lineRule="auto"/>
            </w:pPr>
            <w:r>
              <w:rPr>
                <w:rFonts w:ascii="Calibri" w:hAnsi="Calibri"/>
                <w:b w:val="0"/>
                <w:i w:val="0"/>
                <w:color w:val="212121"/>
                <w:sz w:val="16"/>
              </w:rPr>
              <w:t>Women with fatigue, mood or cycle change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PMS is a clinical diagnosis; labs mainly exclude mimics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Haemoglobin / CBC</w:t>
            </w:r>
          </w:p>
        </w:tc>
        <w:tc>
          <w:tcPr>
            <w:tcW w:type="dxa" w:w="892"/>
            <w:vAlign w:val="top"/>
          </w:tcPr>
          <w:p>
            <w:pPr>
              <w:spacing w:after="40" w:before="0" w:line="259" w:lineRule="auto"/>
            </w:pPr>
            <w:r>
              <w:rPr>
                <w:rFonts w:ascii="Calibri" w:hAnsi="Calibri"/>
                <w:b w:val="0"/>
                <w:i w:val="0"/>
                <w:color w:val="212121"/>
                <w:sz w:val="16"/>
              </w:rPr>
              <w:t>Anaemia screen</w:t>
            </w:r>
          </w:p>
        </w:tc>
        <w:tc>
          <w:tcPr>
            <w:tcW w:type="dxa" w:w="950"/>
            <w:vAlign w:val="top"/>
          </w:tcPr>
          <w:p>
            <w:pPr>
              <w:spacing w:after="40" w:before="0" w:line="259" w:lineRule="auto"/>
            </w:pPr>
            <w:r>
              <w:rPr>
                <w:rFonts w:ascii="Calibri" w:hAnsi="Calibri"/>
                <w:b w:val="0"/>
                <w:i w:val="0"/>
                <w:color w:val="212121"/>
                <w:sz w:val="16"/>
              </w:rPr>
              <w:t>Hb &gt;= 12 g/dL (women)</w:t>
            </w:r>
          </w:p>
        </w:tc>
        <w:tc>
          <w:tcPr>
            <w:tcW w:type="dxa" w:w="950"/>
            <w:vAlign w:val="top"/>
          </w:tcPr>
          <w:p>
            <w:pPr>
              <w:spacing w:after="40" w:before="0" w:line="259" w:lineRule="auto"/>
            </w:pPr>
            <w:r>
              <w:rPr>
                <w:rFonts w:ascii="Calibri" w:hAnsi="Calibri"/>
                <w:b w:val="0"/>
                <w:i w:val="0"/>
                <w:color w:val="212121"/>
                <w:sz w:val="16"/>
              </w:rPr>
              <w:t>Hb &lt; 12 g/dL</w:t>
            </w:r>
          </w:p>
        </w:tc>
        <w:tc>
          <w:tcPr>
            <w:tcW w:type="dxa" w:w="1036"/>
            <w:vAlign w:val="top"/>
          </w:tcPr>
          <w:p>
            <w:pPr>
              <w:spacing w:after="40" w:before="0" w:line="259" w:lineRule="auto"/>
            </w:pPr>
            <w:r>
              <w:rPr>
                <w:rFonts w:ascii="Calibri" w:hAnsi="Calibri"/>
                <w:b w:val="0"/>
                <w:i w:val="0"/>
                <w:color w:val="212121"/>
                <w:sz w:val="16"/>
              </w:rPr>
              <w:t>Excludes anaemia as a cause of fatigue; iron-deficiency anaemia is highly prevalent in Indian women</w:t>
            </w:r>
          </w:p>
        </w:tc>
        <w:tc>
          <w:tcPr>
            <w:tcW w:type="dxa" w:w="1036"/>
            <w:vAlign w:val="top"/>
          </w:tcPr>
          <w:p>
            <w:pPr>
              <w:spacing w:after="40" w:before="0" w:line="259" w:lineRule="auto"/>
            </w:pPr>
            <w:r>
              <w:rPr>
                <w:rFonts w:ascii="Calibri" w:hAnsi="Calibri"/>
                <w:b w:val="0"/>
                <w:i w:val="0"/>
                <w:color w:val="212121"/>
                <w:sz w:val="16"/>
              </w:rPr>
              <w:t>Women with fatigue or heavy menses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Consider iron studies if low</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25-hydroxy vitamin D</w:t>
            </w:r>
          </w:p>
        </w:tc>
        <w:tc>
          <w:tcPr>
            <w:tcW w:type="dxa" w:w="892"/>
            <w:vAlign w:val="top"/>
          </w:tcPr>
          <w:p>
            <w:pPr>
              <w:spacing w:after="40" w:before="0" w:line="259" w:lineRule="auto"/>
            </w:pPr>
            <w:r>
              <w:rPr>
                <w:rFonts w:ascii="Calibri" w:hAnsi="Calibri"/>
                <w:b w:val="0"/>
                <w:i w:val="0"/>
                <w:color w:val="212121"/>
                <w:sz w:val="16"/>
              </w:rPr>
              <w:t>Nutritional screen</w:t>
            </w:r>
          </w:p>
        </w:tc>
        <w:tc>
          <w:tcPr>
            <w:tcW w:type="dxa" w:w="950"/>
            <w:vAlign w:val="top"/>
          </w:tcPr>
          <w:p>
            <w:pPr>
              <w:spacing w:after="40" w:before="0" w:line="259" w:lineRule="auto"/>
            </w:pPr>
            <w:r>
              <w:rPr>
                <w:rFonts w:ascii="Calibri" w:hAnsi="Calibri"/>
                <w:b w:val="0"/>
                <w:i w:val="0"/>
                <w:color w:val="212121"/>
                <w:sz w:val="16"/>
              </w:rPr>
              <w:t>&gt; 30 ng/mL</w:t>
            </w:r>
          </w:p>
        </w:tc>
        <w:tc>
          <w:tcPr>
            <w:tcW w:type="dxa" w:w="950"/>
            <w:vAlign w:val="top"/>
          </w:tcPr>
          <w:p>
            <w:pPr>
              <w:spacing w:after="40" w:before="0" w:line="259" w:lineRule="auto"/>
            </w:pPr>
            <w:r>
              <w:rPr>
                <w:rFonts w:ascii="Calibri" w:hAnsi="Calibri"/>
                <w:b w:val="0"/>
                <w:i w:val="0"/>
                <w:color w:val="212121"/>
                <w:sz w:val="16"/>
              </w:rPr>
              <w:t>&lt; 20 ng/mL (deficient)</w:t>
            </w:r>
          </w:p>
        </w:tc>
        <w:tc>
          <w:tcPr>
            <w:tcW w:type="dxa" w:w="1036"/>
            <w:vAlign w:val="top"/>
          </w:tcPr>
          <w:p>
            <w:pPr>
              <w:spacing w:after="40" w:before="0" w:line="259" w:lineRule="auto"/>
            </w:pPr>
            <w:r>
              <w:rPr>
                <w:rFonts w:ascii="Calibri" w:hAnsi="Calibri"/>
                <w:b w:val="0"/>
                <w:i w:val="0"/>
                <w:color w:val="212121"/>
                <w:sz w:val="16"/>
              </w:rPr>
              <w:t>Vitamin D deficiency is linked to PMS and is very common in India</w:t>
            </w:r>
          </w:p>
        </w:tc>
        <w:tc>
          <w:tcPr>
            <w:tcW w:type="dxa" w:w="1036"/>
            <w:vAlign w:val="top"/>
          </w:tcPr>
          <w:p>
            <w:pPr>
              <w:spacing w:after="40" w:before="0" w:line="259" w:lineRule="auto"/>
            </w:pPr>
            <w:r>
              <w:rPr>
                <w:rFonts w:ascii="Calibri" w:hAnsi="Calibri"/>
                <w:b w:val="0"/>
                <w:i w:val="0"/>
                <w:color w:val="212121"/>
                <w:sz w:val="16"/>
              </w:rPr>
              <w:t>Reproductive-age women, low sun exposure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Correcting deficiency may reduce symptoms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calcium / magnesium</w:t>
            </w:r>
          </w:p>
        </w:tc>
        <w:tc>
          <w:tcPr>
            <w:tcW w:type="dxa" w:w="892"/>
            <w:vAlign w:val="top"/>
          </w:tcPr>
          <w:p>
            <w:pPr>
              <w:spacing w:after="40" w:before="0" w:line="259" w:lineRule="auto"/>
            </w:pPr>
            <w:r>
              <w:rPr>
                <w:rFonts w:ascii="Calibri" w:hAnsi="Calibri"/>
                <w:b w:val="0"/>
                <w:i w:val="0"/>
                <w:color w:val="212121"/>
                <w:sz w:val="16"/>
              </w:rPr>
              <w:t>Nutritional screen</w:t>
            </w:r>
          </w:p>
        </w:tc>
        <w:tc>
          <w:tcPr>
            <w:tcW w:type="dxa" w:w="950"/>
            <w:vAlign w:val="top"/>
          </w:tcPr>
          <w:p>
            <w:pPr>
              <w:spacing w:after="40" w:before="0" w:line="259" w:lineRule="auto"/>
            </w:pPr>
            <w:r>
              <w:rPr>
                <w:rFonts w:ascii="Calibri" w:hAnsi="Calibri"/>
                <w:b w:val="0"/>
                <w:i w:val="0"/>
                <w:color w:val="212121"/>
                <w:sz w:val="16"/>
              </w:rPr>
              <w:t>Calcium 8.5-10.5 mg/dL</w:t>
            </w:r>
          </w:p>
        </w:tc>
        <w:tc>
          <w:tcPr>
            <w:tcW w:type="dxa" w:w="950"/>
            <w:vAlign w:val="top"/>
          </w:tcPr>
          <w:p>
            <w:pPr>
              <w:spacing w:after="40" w:before="0" w:line="259" w:lineRule="auto"/>
            </w:pPr>
            <w:r>
              <w:rPr>
                <w:rFonts w:ascii="Calibri" w:hAnsi="Calibri"/>
                <w:b w:val="0"/>
                <w:i w:val="0"/>
                <w:color w:val="212121"/>
                <w:sz w:val="16"/>
              </w:rPr>
              <w:t>Low or borderline</w:t>
            </w:r>
          </w:p>
        </w:tc>
        <w:tc>
          <w:tcPr>
            <w:tcW w:type="dxa" w:w="1036"/>
            <w:vAlign w:val="top"/>
          </w:tcPr>
          <w:p>
            <w:pPr>
              <w:spacing w:after="40" w:before="0" w:line="259" w:lineRule="auto"/>
            </w:pPr>
            <w:r>
              <w:rPr>
                <w:rFonts w:ascii="Calibri" w:hAnsi="Calibri"/>
                <w:b w:val="0"/>
                <w:i w:val="0"/>
                <w:color w:val="212121"/>
                <w:sz w:val="16"/>
              </w:rPr>
              <w:t>Low calcium/magnesium status is associated with PMS; supplementation reduces severity</w:t>
            </w:r>
          </w:p>
        </w:tc>
        <w:tc>
          <w:tcPr>
            <w:tcW w:type="dxa" w:w="1036"/>
            <w:vAlign w:val="top"/>
          </w:tcPr>
          <w:p>
            <w:pPr>
              <w:spacing w:after="40" w:before="0" w:line="259" w:lineRule="auto"/>
            </w:pPr>
            <w:r>
              <w:rPr>
                <w:rFonts w:ascii="Calibri" w:hAnsi="Calibri"/>
                <w:b w:val="0"/>
                <w:i w:val="0"/>
                <w:color w:val="212121"/>
                <w:sz w:val="16"/>
              </w:rPr>
              <w:t>Low-dairy diets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Guides supplementation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FSH / Estradiol</w:t>
            </w:r>
          </w:p>
        </w:tc>
        <w:tc>
          <w:tcPr>
            <w:tcW w:type="dxa" w:w="892"/>
            <w:vAlign w:val="top"/>
          </w:tcPr>
          <w:p>
            <w:pPr>
              <w:spacing w:after="40" w:before="0" w:line="259" w:lineRule="auto"/>
            </w:pPr>
            <w:r>
              <w:rPr>
                <w:rFonts w:ascii="Calibri" w:hAnsi="Calibri"/>
                <w:b w:val="0"/>
                <w:i w:val="0"/>
                <w:color w:val="212121"/>
                <w:sz w:val="16"/>
              </w:rPr>
              <w:t>Menopause screen</w:t>
            </w:r>
          </w:p>
        </w:tc>
        <w:tc>
          <w:tcPr>
            <w:tcW w:type="dxa" w:w="950"/>
            <w:vAlign w:val="top"/>
          </w:tcPr>
          <w:p>
            <w:pPr>
              <w:spacing w:after="40" w:before="0" w:line="259" w:lineRule="auto"/>
            </w:pPr>
            <w:r>
              <w:rPr>
                <w:rFonts w:ascii="Calibri" w:hAnsi="Calibri"/>
                <w:b w:val="0"/>
                <w:i w:val="0"/>
                <w:color w:val="212121"/>
                <w:sz w:val="16"/>
              </w:rPr>
              <w:t>Premenopausal range</w:t>
            </w:r>
          </w:p>
        </w:tc>
        <w:tc>
          <w:tcPr>
            <w:tcW w:type="dxa" w:w="950"/>
            <w:vAlign w:val="top"/>
          </w:tcPr>
          <w:p>
            <w:pPr>
              <w:spacing w:after="40" w:before="0" w:line="259" w:lineRule="auto"/>
            </w:pPr>
            <w:r>
              <w:rPr>
                <w:rFonts w:ascii="Calibri" w:hAnsi="Calibri"/>
                <w:b w:val="0"/>
                <w:i w:val="0"/>
                <w:color w:val="212121"/>
                <w:sz w:val="16"/>
              </w:rPr>
              <w:t>FSH elevated with low estradiol</w:t>
            </w:r>
          </w:p>
        </w:tc>
        <w:tc>
          <w:tcPr>
            <w:tcW w:type="dxa" w:w="1036"/>
            <w:vAlign w:val="top"/>
          </w:tcPr>
          <w:p>
            <w:pPr>
              <w:spacing w:after="40" w:before="0" w:line="259" w:lineRule="auto"/>
            </w:pPr>
            <w:r>
              <w:rPr>
                <w:rFonts w:ascii="Calibri" w:hAnsi="Calibri"/>
                <w:b w:val="0"/>
                <w:i w:val="0"/>
                <w:color w:val="212121"/>
                <w:sz w:val="16"/>
              </w:rPr>
              <w:t>Distinguishes perimenopausal symptoms from PMS in women over 40</w:t>
            </w:r>
          </w:p>
        </w:tc>
        <w:tc>
          <w:tcPr>
            <w:tcW w:type="dxa" w:w="1036"/>
            <w:vAlign w:val="top"/>
          </w:tcPr>
          <w:p>
            <w:pPr>
              <w:spacing w:after="40" w:before="0" w:line="259" w:lineRule="auto"/>
            </w:pPr>
            <w:r>
              <w:rPr>
                <w:rFonts w:ascii="Calibri" w:hAnsi="Calibri"/>
                <w:b w:val="0"/>
                <w:i w:val="0"/>
                <w:color w:val="212121"/>
                <w:sz w:val="16"/>
              </w:rPr>
              <w:t>Women &gt; 40 with new luteal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Only when perimenopause is suspected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prolactin</w:t>
            </w:r>
          </w:p>
        </w:tc>
        <w:tc>
          <w:tcPr>
            <w:tcW w:type="dxa" w:w="892"/>
            <w:vAlign w:val="top"/>
          </w:tcPr>
          <w:p>
            <w:pPr>
              <w:spacing w:after="40" w:before="0" w:line="259" w:lineRule="auto"/>
            </w:pPr>
            <w:r>
              <w:rPr>
                <w:rFonts w:ascii="Calibri" w:hAnsi="Calibri"/>
                <w:b w:val="0"/>
                <w:i w:val="0"/>
                <w:color w:val="212121"/>
                <w:sz w:val="16"/>
              </w:rPr>
              <w:t>Endocrine screen</w:t>
            </w:r>
          </w:p>
        </w:tc>
        <w:tc>
          <w:tcPr>
            <w:tcW w:type="dxa" w:w="950"/>
            <w:vAlign w:val="top"/>
          </w:tcPr>
          <w:p>
            <w:pPr>
              <w:spacing w:after="40" w:before="0" w:line="259" w:lineRule="auto"/>
            </w:pPr>
            <w:r>
              <w:rPr>
                <w:rFonts w:ascii="Calibri" w:hAnsi="Calibri"/>
                <w:b w:val="0"/>
                <w:i w:val="0"/>
                <w:color w:val="212121"/>
                <w:sz w:val="16"/>
              </w:rPr>
              <w:t>&lt; 25 ng/mL (women)</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Excludes hyperprolactinaemia causing cyclical mastalgia and cycle disturbance</w:t>
            </w:r>
          </w:p>
        </w:tc>
        <w:tc>
          <w:tcPr>
            <w:tcW w:type="dxa" w:w="1036"/>
            <w:vAlign w:val="top"/>
          </w:tcPr>
          <w:p>
            <w:pPr>
              <w:spacing w:after="40" w:before="0" w:line="259" w:lineRule="auto"/>
            </w:pPr>
            <w:r>
              <w:rPr>
                <w:rFonts w:ascii="Calibri" w:hAnsi="Calibri"/>
                <w:b w:val="0"/>
                <w:i w:val="0"/>
                <w:color w:val="212121"/>
                <w:sz w:val="16"/>
              </w:rPr>
              <w:t>Cyclical mastalgia, irregular cycles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Order if breast symptoms or galactorrhoea</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Prospective symptom diary (DRSP)</w:t>
            </w:r>
          </w:p>
        </w:tc>
        <w:tc>
          <w:tcPr>
            <w:tcW w:type="dxa" w:w="979"/>
            <w:vAlign w:val="top"/>
          </w:tcPr>
          <w:p>
            <w:pPr>
              <w:spacing w:after="40" w:before="0" w:line="259" w:lineRule="auto"/>
            </w:pPr>
            <w:r>
              <w:rPr>
                <w:rFonts w:ascii="Calibri" w:hAnsi="Calibri"/>
                <w:b w:val="0"/>
                <w:i w:val="0"/>
                <w:color w:val="212121"/>
                <w:sz w:val="16"/>
              </w:rPr>
              <w:t>Daily symptom severity across &gt;= 2 cycles</w:t>
            </w:r>
          </w:p>
        </w:tc>
        <w:tc>
          <w:tcPr>
            <w:tcW w:type="dxa" w:w="950"/>
            <w:vAlign w:val="top"/>
          </w:tcPr>
          <w:p>
            <w:pPr>
              <w:spacing w:after="40" w:before="0" w:line="259" w:lineRule="auto"/>
            </w:pPr>
            <w:r>
              <w:rPr>
                <w:rFonts w:ascii="Calibri" w:hAnsi="Calibri"/>
                <w:b w:val="0"/>
                <w:i w:val="0"/>
                <w:color w:val="212121"/>
                <w:sz w:val="16"/>
              </w:rPr>
              <w:t>No luteal-phase clustering</w:t>
            </w:r>
          </w:p>
        </w:tc>
        <w:tc>
          <w:tcPr>
            <w:tcW w:type="dxa" w:w="950"/>
            <w:vAlign w:val="top"/>
          </w:tcPr>
          <w:p>
            <w:pPr>
              <w:spacing w:after="40" w:before="0" w:line="259" w:lineRule="auto"/>
            </w:pPr>
            <w:r>
              <w:rPr>
                <w:rFonts w:ascii="Calibri" w:hAnsi="Calibri"/>
                <w:b w:val="0"/>
                <w:i w:val="0"/>
                <w:color w:val="212121"/>
                <w:sz w:val="16"/>
              </w:rPr>
              <w:t>Symptoms confined to the luteal phase with a symptom-free follicular phase</w:t>
            </w:r>
          </w:p>
        </w:tc>
        <w:tc>
          <w:tcPr>
            <w:tcW w:type="dxa" w:w="1036"/>
            <w:vAlign w:val="top"/>
          </w:tcPr>
          <w:p>
            <w:pPr>
              <w:spacing w:after="40" w:before="0" w:line="259" w:lineRule="auto"/>
            </w:pPr>
            <w:r>
              <w:rPr>
                <w:rFonts w:ascii="Calibri" w:hAnsi="Calibri"/>
                <w:b w:val="0"/>
                <w:i w:val="0"/>
                <w:color w:val="212121"/>
                <w:sz w:val="16"/>
              </w:rPr>
              <w:t>Cornerstone of diagnosis; confirms cyclicity (DSM-5 Criterion D for PMDD)</w:t>
            </w:r>
          </w:p>
        </w:tc>
        <w:tc>
          <w:tcPr>
            <w:tcW w:type="dxa" w:w="1036"/>
            <w:vAlign w:val="top"/>
          </w:tcPr>
          <w:p>
            <w:pPr>
              <w:spacing w:after="40" w:before="0" w:line="259" w:lineRule="auto"/>
            </w:pPr>
            <w:r>
              <w:rPr>
                <w:rFonts w:ascii="Calibri" w:hAnsi="Calibri"/>
                <w:b w:val="0"/>
                <w:i w:val="0"/>
                <w:color w:val="212121"/>
                <w:sz w:val="16"/>
              </w:rPr>
              <w:t>All suspected PMS/PMDD</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Retrospective recall is unreliable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Menstrual and gynaecological history</w:t>
            </w:r>
          </w:p>
        </w:tc>
        <w:tc>
          <w:tcPr>
            <w:tcW w:type="dxa" w:w="979"/>
            <w:vAlign w:val="top"/>
          </w:tcPr>
          <w:p>
            <w:pPr>
              <w:spacing w:after="40" w:before="0" w:line="259" w:lineRule="auto"/>
            </w:pPr>
            <w:r>
              <w:rPr>
                <w:rFonts w:ascii="Calibri" w:hAnsi="Calibri"/>
                <w:b w:val="0"/>
                <w:i w:val="0"/>
                <w:color w:val="212121"/>
                <w:sz w:val="16"/>
              </w:rPr>
              <w:t>Cycle regularity, ovulatory status, symptom timing</w:t>
            </w:r>
          </w:p>
        </w:tc>
        <w:tc>
          <w:tcPr>
            <w:tcW w:type="dxa" w:w="950"/>
            <w:vAlign w:val="top"/>
          </w:tcPr>
          <w:p>
            <w:pPr>
              <w:spacing w:after="40" w:before="0" w:line="259" w:lineRule="auto"/>
            </w:pPr>
            <w:r>
              <w:rPr>
                <w:rFonts w:ascii="Calibri" w:hAnsi="Calibri"/>
                <w:b w:val="0"/>
                <w:i w:val="0"/>
                <w:color w:val="212121"/>
                <w:sz w:val="16"/>
              </w:rPr>
              <w:t>Regular ovulatory cycles, symptoms only in luteal phase</w:t>
            </w:r>
          </w:p>
        </w:tc>
        <w:tc>
          <w:tcPr>
            <w:tcW w:type="dxa" w:w="950"/>
            <w:vAlign w:val="top"/>
          </w:tcPr>
          <w:p>
            <w:pPr>
              <w:spacing w:after="40" w:before="0" w:line="259" w:lineRule="auto"/>
            </w:pPr>
            <w:r>
              <w:rPr>
                <w:rFonts w:ascii="Calibri" w:hAnsi="Calibri"/>
                <w:b w:val="0"/>
                <w:i w:val="0"/>
                <w:color w:val="212121"/>
                <w:sz w:val="16"/>
              </w:rPr>
              <w:t>Symptoms outside the luteal phase suggest PME or another disorder</w:t>
            </w:r>
          </w:p>
        </w:tc>
        <w:tc>
          <w:tcPr>
            <w:tcW w:type="dxa" w:w="1036"/>
            <w:vAlign w:val="top"/>
          </w:tcPr>
          <w:p>
            <w:pPr>
              <w:spacing w:after="40" w:before="0" w:line="259" w:lineRule="auto"/>
            </w:pPr>
            <w:r>
              <w:rPr>
                <w:rFonts w:ascii="Calibri" w:hAnsi="Calibri"/>
                <w:b w:val="0"/>
                <w:i w:val="0"/>
                <w:color w:val="212121"/>
                <w:sz w:val="16"/>
              </w:rPr>
              <w:t>Establishes luteal timing and excludes non-cyclical causes</w:t>
            </w:r>
          </w:p>
        </w:tc>
        <w:tc>
          <w:tcPr>
            <w:tcW w:type="dxa" w:w="1036"/>
            <w:vAlign w:val="top"/>
          </w:tcPr>
          <w:p>
            <w:pPr>
              <w:spacing w:after="40" w:before="0" w:line="259" w:lineRule="auto"/>
            </w:pPr>
            <w:r>
              <w:rPr>
                <w:rFonts w:ascii="Calibri" w:hAnsi="Calibri"/>
                <w:b w:val="0"/>
                <w:i w:val="0"/>
                <w:color w:val="212121"/>
                <w:sz w:val="16"/>
              </w:rPr>
              <w:t>Reproductive-age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Anovulation abolishes PMS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Psychiatric screening</w:t>
            </w:r>
          </w:p>
        </w:tc>
        <w:tc>
          <w:tcPr>
            <w:tcW w:type="dxa" w:w="979"/>
            <w:vAlign w:val="top"/>
          </w:tcPr>
          <w:p>
            <w:pPr>
              <w:spacing w:after="40" w:before="0" w:line="259" w:lineRule="auto"/>
            </w:pPr>
            <w:r>
              <w:rPr>
                <w:rFonts w:ascii="Calibri" w:hAnsi="Calibri"/>
                <w:b w:val="0"/>
                <w:i w:val="0"/>
                <w:color w:val="212121"/>
                <w:sz w:val="16"/>
              </w:rPr>
              <w:t>Depression, anxiety, bipolar disorder, suicidality</w:t>
            </w:r>
          </w:p>
        </w:tc>
        <w:tc>
          <w:tcPr>
            <w:tcW w:type="dxa" w:w="950"/>
            <w:vAlign w:val="top"/>
          </w:tcPr>
          <w:p>
            <w:pPr>
              <w:spacing w:after="40" w:before="0" w:line="259" w:lineRule="auto"/>
            </w:pPr>
            <w:r>
              <w:rPr>
                <w:rFonts w:ascii="Calibri" w:hAnsi="Calibri"/>
                <w:b w:val="0"/>
                <w:i w:val="0"/>
                <w:color w:val="212121"/>
                <w:sz w:val="16"/>
              </w:rPr>
              <w:t>No underlying mood disorder; symptoms fully remit after menses</w:t>
            </w:r>
          </w:p>
        </w:tc>
        <w:tc>
          <w:tcPr>
            <w:tcW w:type="dxa" w:w="950"/>
            <w:vAlign w:val="top"/>
          </w:tcPr>
          <w:p>
            <w:pPr>
              <w:spacing w:after="40" w:before="0" w:line="259" w:lineRule="auto"/>
            </w:pPr>
            <w:r>
              <w:rPr>
                <w:rFonts w:ascii="Calibri" w:hAnsi="Calibri"/>
                <w:b w:val="0"/>
                <w:i w:val="0"/>
                <w:color w:val="212121"/>
                <w:sz w:val="16"/>
              </w:rPr>
              <w:t>Persistent inter-menstrual symptoms or positive depression/anxiety screen</w:t>
            </w:r>
          </w:p>
        </w:tc>
        <w:tc>
          <w:tcPr>
            <w:tcW w:type="dxa" w:w="1036"/>
            <w:vAlign w:val="top"/>
          </w:tcPr>
          <w:p>
            <w:pPr>
              <w:spacing w:after="40" w:before="0" w:line="259" w:lineRule="auto"/>
            </w:pPr>
            <w:r>
              <w:rPr>
                <w:rFonts w:ascii="Calibri" w:hAnsi="Calibri"/>
                <w:b w:val="0"/>
                <w:i w:val="0"/>
                <w:color w:val="212121"/>
                <w:sz w:val="16"/>
              </w:rPr>
              <w:t>Differentiates primary PMDD from premenstrual exacerbation of a mood disorder</w:t>
            </w:r>
          </w:p>
        </w:tc>
        <w:tc>
          <w:tcPr>
            <w:tcW w:type="dxa" w:w="1036"/>
            <w:vAlign w:val="top"/>
          </w:tcPr>
          <w:p>
            <w:pPr>
              <w:spacing w:after="40" w:before="0" w:line="259" w:lineRule="auto"/>
            </w:pPr>
            <w:r>
              <w:rPr>
                <w:rFonts w:ascii="Calibri" w:hAnsi="Calibri"/>
                <w:b w:val="0"/>
                <w:i w:val="0"/>
                <w:color w:val="212121"/>
                <w:sz w:val="16"/>
              </w:rPr>
              <w:t>Women with severe affective symptoms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Screen for suicidal ideation in severe PMDD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PMS/PMDD or mood disorders in relatives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First-degree relative affected</w:t>
            </w:r>
          </w:p>
        </w:tc>
        <w:tc>
          <w:tcPr>
            <w:tcW w:type="dxa" w:w="1036"/>
            <w:vAlign w:val="top"/>
          </w:tcPr>
          <w:p>
            <w:pPr>
              <w:spacing w:after="40" w:before="0" w:line="259" w:lineRule="auto"/>
            </w:pPr>
            <w:r>
              <w:rPr>
                <w:rFonts w:ascii="Calibri" w:hAnsi="Calibri"/>
                <w:b w:val="0"/>
                <w:i w:val="0"/>
                <w:color w:val="212121"/>
                <w:sz w:val="16"/>
              </w:rPr>
              <w:t>Supports a heritable predisposition</w:t>
            </w:r>
          </w:p>
        </w:tc>
        <w:tc>
          <w:tcPr>
            <w:tcW w:type="dxa" w:w="1036"/>
            <w:vAlign w:val="top"/>
          </w:tcPr>
          <w:p>
            <w:pPr>
              <w:spacing w:after="40" w:before="0" w:line="259" w:lineRule="auto"/>
            </w:pPr>
            <w:r>
              <w:rPr>
                <w:rFonts w:ascii="Calibri" w:hAnsi="Calibri"/>
                <w:b w:val="0"/>
                <w:i w:val="0"/>
                <w:color w:val="212121"/>
                <w:sz w:val="16"/>
              </w:rPr>
              <w:t>Women with a family history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Family history of PMS/PMDD and of depression are recognised risk factors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Functional impact assessment</w:t>
            </w:r>
          </w:p>
        </w:tc>
        <w:tc>
          <w:tcPr>
            <w:tcW w:type="dxa" w:w="979"/>
            <w:vAlign w:val="top"/>
          </w:tcPr>
          <w:p>
            <w:pPr>
              <w:spacing w:after="40" w:before="0" w:line="259" w:lineRule="auto"/>
            </w:pPr>
            <w:r>
              <w:rPr>
                <w:rFonts w:ascii="Calibri" w:hAnsi="Calibri"/>
                <w:b w:val="0"/>
                <w:i w:val="0"/>
                <w:color w:val="212121"/>
                <w:sz w:val="16"/>
              </w:rPr>
              <w:t>Work, academic, social and relationship impairment</w:t>
            </w:r>
          </w:p>
        </w:tc>
        <w:tc>
          <w:tcPr>
            <w:tcW w:type="dxa" w:w="950"/>
            <w:vAlign w:val="top"/>
          </w:tcPr>
          <w:p>
            <w:pPr>
              <w:spacing w:after="40" w:before="0" w:line="259" w:lineRule="auto"/>
            </w:pPr>
            <w:r>
              <w:rPr>
                <w:rFonts w:ascii="Calibri" w:hAnsi="Calibri"/>
                <w:b w:val="0"/>
                <w:i w:val="0"/>
                <w:color w:val="212121"/>
                <w:sz w:val="16"/>
              </w:rPr>
              <w:t>No meaningful impairment (molimina)</w:t>
            </w:r>
          </w:p>
        </w:tc>
        <w:tc>
          <w:tcPr>
            <w:tcW w:type="dxa" w:w="950"/>
            <w:vAlign w:val="top"/>
          </w:tcPr>
          <w:p>
            <w:pPr>
              <w:spacing w:after="40" w:before="0" w:line="259" w:lineRule="auto"/>
            </w:pPr>
            <w:r>
              <w:rPr>
                <w:rFonts w:ascii="Calibri" w:hAnsi="Calibri"/>
                <w:b w:val="0"/>
                <w:i w:val="0"/>
                <w:color w:val="212121"/>
                <w:sz w:val="16"/>
              </w:rPr>
              <w:t>Clear impairment (DSM-5 Criterion B)</w:t>
            </w:r>
          </w:p>
        </w:tc>
        <w:tc>
          <w:tcPr>
            <w:tcW w:type="dxa" w:w="1036"/>
            <w:vAlign w:val="top"/>
          </w:tcPr>
          <w:p>
            <w:pPr>
              <w:spacing w:after="40" w:before="0" w:line="259" w:lineRule="auto"/>
            </w:pPr>
            <w:r>
              <w:rPr>
                <w:rFonts w:ascii="Calibri" w:hAnsi="Calibri"/>
                <w:b w:val="0"/>
                <w:i w:val="0"/>
                <w:color w:val="212121"/>
                <w:sz w:val="16"/>
              </w:rPr>
              <w:t>Distinguishes PMS/PMDD from normal premenstrual symptoms</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Impairment defines clinical significance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Lifestyle history</w:t>
            </w:r>
          </w:p>
        </w:tc>
        <w:tc>
          <w:tcPr>
            <w:tcW w:type="dxa" w:w="979"/>
            <w:vAlign w:val="top"/>
          </w:tcPr>
          <w:p>
            <w:pPr>
              <w:spacing w:after="40" w:before="0" w:line="259" w:lineRule="auto"/>
            </w:pPr>
            <w:r>
              <w:rPr>
                <w:rFonts w:ascii="Calibri" w:hAnsi="Calibri"/>
                <w:b w:val="0"/>
                <w:i w:val="0"/>
                <w:color w:val="212121"/>
                <w:sz w:val="16"/>
              </w:rPr>
              <w:t>Activity, diet (salt/sugar/caffeine), tobacco, alcohol, sleep, stress</w:t>
            </w:r>
          </w:p>
        </w:tc>
        <w:tc>
          <w:tcPr>
            <w:tcW w:type="dxa" w:w="950"/>
            <w:vAlign w:val="top"/>
          </w:tcPr>
          <w:p>
            <w:pPr>
              <w:spacing w:after="40" w:before="0" w:line="259" w:lineRule="auto"/>
            </w:pPr>
            <w:r>
              <w:rPr>
                <w:rFonts w:ascii="Calibri" w:hAnsi="Calibri"/>
                <w:b w:val="0"/>
                <w:i w:val="0"/>
                <w:color w:val="212121"/>
                <w:sz w:val="16"/>
              </w:rPr>
              <w:t>Active, balanced diet, non-smoker, good sleep</w:t>
            </w:r>
          </w:p>
        </w:tc>
        <w:tc>
          <w:tcPr>
            <w:tcW w:type="dxa" w:w="950"/>
            <w:vAlign w:val="top"/>
          </w:tcPr>
          <w:p>
            <w:pPr>
              <w:spacing w:after="40" w:before="0" w:line="259" w:lineRule="auto"/>
            </w:pPr>
            <w:r>
              <w:rPr>
                <w:rFonts w:ascii="Calibri" w:hAnsi="Calibri"/>
                <w:b w:val="0"/>
                <w:i w:val="0"/>
                <w:color w:val="212121"/>
                <w:sz w:val="16"/>
              </w:rPr>
              <w:t>Sedentary, high salt/sugar/caffeine, smoking, poor sleep, high stress</w:t>
            </w:r>
          </w:p>
        </w:tc>
        <w:tc>
          <w:tcPr>
            <w:tcW w:type="dxa" w:w="1036"/>
            <w:vAlign w:val="top"/>
          </w:tcPr>
          <w:p>
            <w:pPr>
              <w:spacing w:after="40" w:before="0" w:line="259" w:lineRule="auto"/>
            </w:pPr>
            <w:r>
              <w:rPr>
                <w:rFonts w:ascii="Calibri" w:hAnsi="Calibri"/>
                <w:b w:val="0"/>
                <w:i w:val="0"/>
                <w:color w:val="212121"/>
                <w:sz w:val="16"/>
              </w:rPr>
              <w:t>Identifies modifiable aggravators</w:t>
            </w:r>
          </w:p>
        </w:tc>
        <w:tc>
          <w:tcPr>
            <w:tcW w:type="dxa" w:w="1036"/>
            <w:vAlign w:val="top"/>
          </w:tcPr>
          <w:p>
            <w:pPr>
              <w:spacing w:after="40" w:before="0" w:line="259" w:lineRule="auto"/>
            </w:pPr>
            <w:r>
              <w:rPr>
                <w:rFonts w:ascii="Calibri" w:hAnsi="Calibri"/>
                <w:b w:val="0"/>
                <w:i w:val="0"/>
                <w:color w:val="212121"/>
                <w:sz w:val="16"/>
              </w:rPr>
              <w:t>Students, working women</w:t>
            </w:r>
          </w:p>
        </w:tc>
        <w:tc>
          <w:tcPr>
            <w:tcW w:type="dxa" w:w="720"/>
            <w:vAlign w:val="top"/>
          </w:tcPr>
          <w:p>
            <w:pPr>
              <w:spacing w:after="40" w:before="0" w:line="259" w:lineRule="auto"/>
            </w:pPr>
            <w:r>
              <w:rPr>
                <w:rFonts w:ascii="Calibri" w:hAnsi="Calibri"/>
                <w:b w:val="0"/>
                <w:i w:val="0"/>
                <w:color w:val="212121"/>
                <w:sz w:val="16"/>
              </w:rPr>
              <w:t>Physical activity; Food; Smoking; Alcohol; Sleep</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Guides first-line lifestyle therapy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General and breast/abdominal examination</w:t>
            </w:r>
          </w:p>
        </w:tc>
        <w:tc>
          <w:tcPr>
            <w:tcW w:type="dxa" w:w="979"/>
            <w:vAlign w:val="top"/>
          </w:tcPr>
          <w:p>
            <w:pPr>
              <w:spacing w:after="40" w:before="0" w:line="259" w:lineRule="auto"/>
            </w:pPr>
            <w:r>
              <w:rPr>
                <w:rFonts w:ascii="Calibri" w:hAnsi="Calibri"/>
                <w:b w:val="0"/>
                <w:i w:val="0"/>
                <w:color w:val="212121"/>
                <w:sz w:val="16"/>
              </w:rPr>
              <w:t>Breast tenderness, bloating, peripheral oedema, weight change</w:t>
            </w:r>
          </w:p>
        </w:tc>
        <w:tc>
          <w:tcPr>
            <w:tcW w:type="dxa" w:w="950"/>
            <w:vAlign w:val="top"/>
          </w:tcPr>
          <w:p>
            <w:pPr>
              <w:spacing w:after="40" w:before="0" w:line="259" w:lineRule="auto"/>
            </w:pPr>
            <w:r>
              <w:rPr>
                <w:rFonts w:ascii="Calibri" w:hAnsi="Calibri"/>
                <w:b w:val="0"/>
                <w:i w:val="0"/>
                <w:color w:val="212121"/>
                <w:sz w:val="16"/>
              </w:rPr>
              <w:t>Normal in the follicular phase</w:t>
            </w:r>
          </w:p>
        </w:tc>
        <w:tc>
          <w:tcPr>
            <w:tcW w:type="dxa" w:w="950"/>
            <w:vAlign w:val="top"/>
          </w:tcPr>
          <w:p>
            <w:pPr>
              <w:spacing w:after="40" w:before="0" w:line="259" w:lineRule="auto"/>
            </w:pPr>
            <w:r>
              <w:rPr>
                <w:rFonts w:ascii="Calibri" w:hAnsi="Calibri"/>
                <w:b w:val="0"/>
                <w:i w:val="0"/>
                <w:color w:val="212121"/>
                <w:sz w:val="16"/>
              </w:rPr>
              <w:t>Cyclical mastalgia, bloating and fluid retention in the luteal phase</w:t>
            </w:r>
          </w:p>
        </w:tc>
        <w:tc>
          <w:tcPr>
            <w:tcW w:type="dxa" w:w="1036"/>
            <w:vAlign w:val="top"/>
          </w:tcPr>
          <w:p>
            <w:pPr>
              <w:spacing w:after="40" w:before="0" w:line="259" w:lineRule="auto"/>
            </w:pPr>
            <w:r>
              <w:rPr>
                <w:rFonts w:ascii="Calibri" w:hAnsi="Calibri"/>
                <w:b w:val="0"/>
                <w:i w:val="0"/>
                <w:color w:val="212121"/>
                <w:sz w:val="16"/>
              </w:rPr>
              <w:t>Documents somatic signs and excludes structural pathology</w:t>
            </w:r>
          </w:p>
        </w:tc>
        <w:tc>
          <w:tcPr>
            <w:tcW w:type="dxa" w:w="1036"/>
            <w:vAlign w:val="top"/>
          </w:tcPr>
          <w:p>
            <w:pPr>
              <w:spacing w:after="40" w:before="0" w:line="259" w:lineRule="auto"/>
            </w:pPr>
            <w:r>
              <w:rPr>
                <w:rFonts w:ascii="Calibri" w:hAnsi="Calibri"/>
                <w:b w:val="0"/>
                <w:i w:val="0"/>
                <w:color w:val="212121"/>
                <w:sz w:val="16"/>
              </w:rPr>
              <w:t>Women with somatic-predominant PMS</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Examination is typically normal between cycles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Irritability and anger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One of the most frequent and disruptive luteal symptoms and a core PMDD affective symptom.</w:t>
            </w:r>
          </w:p>
        </w:tc>
      </w:tr>
      <w:tr>
        <w:trPr>
          <w:cantSplit/>
        </w:trPr>
        <w:tc>
          <w:tcPr>
            <w:tcW w:type="dxa" w:w="2304"/>
            <w:vAlign w:val="top"/>
          </w:tcPr>
          <w:p>
            <w:pPr>
              <w:spacing w:after="40" w:before="0" w:line="259" w:lineRule="auto"/>
            </w:pPr>
            <w:r>
              <w:rPr>
                <w:rFonts w:ascii="Calibri" w:hAnsi="Calibri"/>
                <w:b/>
                <w:i w:val="0"/>
                <w:color w:val="212121"/>
                <w:sz w:val="19"/>
              </w:rPr>
              <w:t>Mood swings / emotional lability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Rapid shifts in mood, tearfulness and sensitivity; a core PMDD symptom.</w:t>
            </w:r>
          </w:p>
        </w:tc>
      </w:tr>
      <w:tr>
        <w:trPr>
          <w:cantSplit/>
        </w:trPr>
        <w:tc>
          <w:tcPr>
            <w:tcW w:type="dxa" w:w="2304"/>
            <w:vAlign w:val="top"/>
          </w:tcPr>
          <w:p>
            <w:pPr>
              <w:spacing w:after="40" w:before="0" w:line="259" w:lineRule="auto"/>
            </w:pPr>
            <w:r>
              <w:rPr>
                <w:rFonts w:ascii="Calibri" w:hAnsi="Calibri"/>
                <w:b/>
                <w:i w:val="0"/>
                <w:color w:val="212121"/>
                <w:sz w:val="19"/>
              </w:rPr>
              <w:t>Depressed mood / tearfulness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 mood, hopelessness or crying spells before menses; a core PMDD symptom.</w:t>
            </w:r>
          </w:p>
        </w:tc>
      </w:tr>
      <w:tr>
        <w:trPr>
          <w:cantSplit/>
        </w:trPr>
        <w:tc>
          <w:tcPr>
            <w:tcW w:type="dxa" w:w="2304"/>
            <w:vAlign w:val="top"/>
          </w:tcPr>
          <w:p>
            <w:pPr>
              <w:spacing w:after="40" w:before="0" w:line="259" w:lineRule="auto"/>
            </w:pPr>
            <w:r>
              <w:rPr>
                <w:rFonts w:ascii="Calibri" w:hAnsi="Calibri"/>
                <w:b/>
                <w:i w:val="0"/>
                <w:color w:val="212121"/>
                <w:sz w:val="19"/>
              </w:rPr>
              <w:t>Anxiety, tension or feeling 'keyed up'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Nervousness and tension in the luteal phase; a core PMDD symptom.</w:t>
            </w:r>
          </w:p>
        </w:tc>
      </w:tr>
      <w:tr>
        <w:trPr>
          <w:cantSplit/>
        </w:trPr>
        <w:tc>
          <w:tcPr>
            <w:tcW w:type="dxa" w:w="2304"/>
            <w:vAlign w:val="top"/>
          </w:tcPr>
          <w:p>
            <w:pPr>
              <w:spacing w:after="40" w:before="0" w:line="259" w:lineRule="auto"/>
            </w:pPr>
            <w:r>
              <w:rPr>
                <w:rFonts w:ascii="Calibri" w:hAnsi="Calibri"/>
                <w:b/>
                <w:i w:val="0"/>
                <w:color w:val="212121"/>
                <w:sz w:val="19"/>
              </w:rPr>
              <w:t>Abdominal bloating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Sensation of fullness and distension from luteal fluid retention.</w:t>
            </w:r>
          </w:p>
        </w:tc>
      </w:tr>
      <w:tr>
        <w:trPr>
          <w:cantSplit/>
        </w:trPr>
        <w:tc>
          <w:tcPr>
            <w:tcW w:type="dxa" w:w="2304"/>
            <w:vAlign w:val="top"/>
          </w:tcPr>
          <w:p>
            <w:pPr>
              <w:spacing w:after="40" w:before="0" w:line="259" w:lineRule="auto"/>
            </w:pPr>
            <w:r>
              <w:rPr>
                <w:rFonts w:ascii="Calibri" w:hAnsi="Calibri"/>
                <w:b/>
                <w:i w:val="0"/>
                <w:color w:val="212121"/>
                <w:sz w:val="19"/>
              </w:rPr>
              <w:t>Breast tenderness (mastalgia)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Cyclical breast swelling and tenderness relieved by menses.</w:t>
            </w:r>
          </w:p>
        </w:tc>
      </w:tr>
      <w:tr>
        <w:trPr>
          <w:cantSplit/>
        </w:trPr>
        <w:tc>
          <w:tcPr>
            <w:tcW w:type="dxa" w:w="2304"/>
            <w:vAlign w:val="top"/>
          </w:tcPr>
          <w:p>
            <w:pPr>
              <w:spacing w:after="40" w:before="0" w:line="259" w:lineRule="auto"/>
            </w:pPr>
            <w:r>
              <w:rPr>
                <w:rFonts w:ascii="Calibri" w:hAnsi="Calibri"/>
                <w:b/>
                <w:i w:val="0"/>
                <w:color w:val="212121"/>
                <w:sz w:val="19"/>
              </w:rPr>
              <w:t>Fatigue / low energy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Lethargy and tiredness that ease after menstruation begins.</w:t>
            </w:r>
          </w:p>
        </w:tc>
      </w:tr>
      <w:tr>
        <w:trPr>
          <w:cantSplit/>
        </w:trPr>
        <w:tc>
          <w:tcPr>
            <w:tcW w:type="dxa" w:w="2304"/>
            <w:vAlign w:val="top"/>
          </w:tcPr>
          <w:p>
            <w:pPr>
              <w:spacing w:after="40" w:before="0" w:line="259" w:lineRule="auto"/>
            </w:pPr>
            <w:r>
              <w:rPr>
                <w:rFonts w:ascii="Calibri" w:hAnsi="Calibri"/>
                <w:b/>
                <w:i w:val="0"/>
                <w:color w:val="212121"/>
                <w:sz w:val="19"/>
              </w:rPr>
              <w:t>Food cravings / appetite change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Cravings, often for sweet or salty foods, with increased appetite.</w:t>
            </w:r>
          </w:p>
        </w:tc>
      </w:tr>
      <w:tr>
        <w:trPr>
          <w:cantSplit/>
        </w:trPr>
        <w:tc>
          <w:tcPr>
            <w:tcW w:type="dxa" w:w="2304"/>
            <w:vAlign w:val="top"/>
          </w:tcPr>
          <w:p>
            <w:pPr>
              <w:spacing w:after="40" w:before="0" w:line="259" w:lineRule="auto"/>
            </w:pPr>
            <w:r>
              <w:rPr>
                <w:rFonts w:ascii="Calibri" w:hAnsi="Calibri"/>
                <w:b/>
                <w:i w:val="0"/>
                <w:color w:val="212121"/>
                <w:sz w:val="19"/>
              </w:rPr>
              <w:t>Sleep disturbance (insomnia or hypersomnia)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sleeping or oversleeping in the days before menses.</w:t>
            </w:r>
          </w:p>
        </w:tc>
      </w:tr>
      <w:tr>
        <w:trPr>
          <w:cantSplit/>
        </w:trPr>
        <w:tc>
          <w:tcPr>
            <w:tcW w:type="dxa" w:w="2304"/>
            <w:vAlign w:val="top"/>
          </w:tcPr>
          <w:p>
            <w:pPr>
              <w:spacing w:after="40" w:before="0" w:line="259" w:lineRule="auto"/>
            </w:pPr>
            <w:r>
              <w:rPr>
                <w:rFonts w:ascii="Calibri" w:hAnsi="Calibri"/>
                <w:b/>
                <w:i w:val="0"/>
                <w:color w:val="212121"/>
                <w:sz w:val="19"/>
              </w:rPr>
              <w:t>Difficulty concentrating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Reduced focus and 'brain fog' during symptomatic days.</w:t>
            </w:r>
          </w:p>
        </w:tc>
      </w:tr>
      <w:tr>
        <w:trPr>
          <w:cantSplit/>
        </w:trPr>
        <w:tc>
          <w:tcPr>
            <w:tcW w:type="dxa" w:w="2304"/>
            <w:vAlign w:val="top"/>
          </w:tcPr>
          <w:p>
            <w:pPr>
              <w:spacing w:after="40" w:before="0" w:line="259" w:lineRule="auto"/>
            </w:pPr>
            <w:r>
              <w:rPr>
                <w:rFonts w:ascii="Calibri" w:hAnsi="Calibri"/>
                <w:b/>
                <w:i w:val="0"/>
                <w:color w:val="212121"/>
                <w:sz w:val="19"/>
              </w:rPr>
              <w:t>Headache / menstrual migraine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Tension-type headache or estrogen-withdrawal migraine around menses.</w:t>
            </w:r>
          </w:p>
        </w:tc>
      </w:tr>
      <w:tr>
        <w:trPr>
          <w:cantSplit/>
        </w:trPr>
        <w:tc>
          <w:tcPr>
            <w:tcW w:type="dxa" w:w="2304"/>
            <w:vAlign w:val="top"/>
          </w:tcPr>
          <w:p>
            <w:pPr>
              <w:spacing w:after="40" w:before="0" w:line="259" w:lineRule="auto"/>
            </w:pPr>
            <w:r>
              <w:rPr>
                <w:rFonts w:ascii="Calibri" w:hAnsi="Calibri"/>
                <w:b/>
                <w:i w:val="0"/>
                <w:color w:val="212121"/>
                <w:sz w:val="19"/>
              </w:rPr>
              <w:t>Reduced libido</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Decreased sexual interest in the premenstrual phase.</w:t>
            </w:r>
          </w:p>
        </w:tc>
      </w:tr>
      <w:tr>
        <w:trPr>
          <w:cantSplit/>
        </w:trPr>
        <w:tc>
          <w:tcPr>
            <w:tcW w:type="dxa" w:w="2304"/>
            <w:vAlign w:val="top"/>
          </w:tcPr>
          <w:p>
            <w:pPr>
              <w:spacing w:after="40" w:before="0" w:line="259" w:lineRule="auto"/>
            </w:pPr>
            <w:r>
              <w:rPr>
                <w:rFonts w:ascii="Calibri" w:hAnsi="Calibri"/>
                <w:b/>
                <w:i w:val="0"/>
                <w:color w:val="212121"/>
                <w:sz w:val="19"/>
              </w:rPr>
              <w:t>Suicidal ideation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May occur in severe PMDD and requires urgent assessment and safety planning.</w:t>
            </w:r>
          </w:p>
        </w:tc>
      </w:tr>
      <w:tr>
        <w:trPr>
          <w:cantSplit/>
        </w:trPr>
        <w:tc>
          <w:tcPr>
            <w:tcW w:type="dxa" w:w="2304"/>
            <w:vAlign w:val="top"/>
          </w:tcPr>
          <w:p>
            <w:pPr>
              <w:spacing w:after="40" w:before="0" w:line="259" w:lineRule="auto"/>
            </w:pPr>
            <w:r>
              <w:rPr>
                <w:rFonts w:ascii="Calibri" w:hAnsi="Calibri"/>
                <w:b/>
                <w:i w:val="0"/>
                <w:color w:val="212121"/>
                <w:sz w:val="19"/>
              </w:rPr>
              <w:t>Panic attacks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Occasional in severe, anxiety-predominant PMDD.</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Cyclical weight gain / peripheral oedema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Transient luteal fluid retention causing puffiness and measurable weight gain.</w:t>
            </w:r>
          </w:p>
        </w:tc>
      </w:tr>
      <w:tr>
        <w:trPr>
          <w:cantSplit/>
        </w:trPr>
        <w:tc>
          <w:tcPr>
            <w:tcW w:type="dxa" w:w="3456"/>
            <w:vAlign w:val="top"/>
          </w:tcPr>
          <w:p>
            <w:pPr>
              <w:spacing w:after="40" w:before="0" w:line="259" w:lineRule="auto"/>
            </w:pPr>
            <w:r>
              <w:rPr>
                <w:rFonts w:ascii="Calibri" w:hAnsi="Calibri"/>
                <w:b/>
                <w:i w:val="0"/>
                <w:color w:val="212121"/>
                <w:sz w:val="19"/>
              </w:rPr>
              <w:t>Breast engorgement and tenderness on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Palpable, tender, sometimes nodular breasts in the luteal phase.</w:t>
            </w:r>
          </w:p>
        </w:tc>
      </w:tr>
      <w:tr>
        <w:trPr>
          <w:cantSplit/>
        </w:trPr>
        <w:tc>
          <w:tcPr>
            <w:tcW w:type="dxa" w:w="3456"/>
            <w:vAlign w:val="top"/>
          </w:tcPr>
          <w:p>
            <w:pPr>
              <w:spacing w:after="40" w:before="0" w:line="259" w:lineRule="auto"/>
            </w:pPr>
            <w:r>
              <w:rPr>
                <w:rFonts w:ascii="Calibri" w:hAnsi="Calibri"/>
                <w:b/>
                <w:i w:val="0"/>
                <w:color w:val="212121"/>
                <w:sz w:val="19"/>
              </w:rPr>
              <w:t>Abdominal distension / bloating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or measurable abdominal bloating premenstrually.</w:t>
            </w:r>
          </w:p>
        </w:tc>
      </w:tr>
      <w:tr>
        <w:trPr>
          <w:cantSplit/>
        </w:trPr>
        <w:tc>
          <w:tcPr>
            <w:tcW w:type="dxa" w:w="3456"/>
            <w:vAlign w:val="top"/>
          </w:tcPr>
          <w:p>
            <w:pPr>
              <w:spacing w:after="40" w:before="0" w:line="259" w:lineRule="auto"/>
            </w:pPr>
            <w:r>
              <w:rPr>
                <w:rFonts w:ascii="Calibri" w:hAnsi="Calibri"/>
                <w:b/>
                <w:i w:val="0"/>
                <w:color w:val="212121"/>
                <w:sz w:val="19"/>
              </w:rPr>
              <w:t>Tearfulness, irritability or low mood on luteal mental-state exam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Observable affective change during symptomatic days that remits after menses.</w:t>
            </w:r>
          </w:p>
        </w:tc>
      </w:tr>
      <w:tr>
        <w:trPr>
          <w:cantSplit/>
        </w:trPr>
        <w:tc>
          <w:tcPr>
            <w:tcW w:type="dxa" w:w="3456"/>
            <w:vAlign w:val="top"/>
          </w:tcPr>
          <w:p>
            <w:pPr>
              <w:spacing w:after="40" w:before="0" w:line="259" w:lineRule="auto"/>
            </w:pPr>
            <w:r>
              <w:rPr>
                <w:rFonts w:ascii="Calibri" w:hAnsi="Calibri"/>
                <w:b/>
                <w:i w:val="0"/>
                <w:color w:val="212121"/>
                <w:sz w:val="19"/>
              </w:rPr>
              <w:t>Prospective symptom chart showing luteal clustering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key diagnostic sign - documented symptoms in the luteal phase with a symptom-free follicular phase.</w:t>
            </w:r>
          </w:p>
        </w:tc>
      </w:tr>
      <w:tr>
        <w:trPr>
          <w:cantSplit/>
        </w:trPr>
        <w:tc>
          <w:tcPr>
            <w:tcW w:type="dxa" w:w="3456"/>
            <w:vAlign w:val="top"/>
          </w:tcPr>
          <w:p>
            <w:pPr>
              <w:spacing w:after="40" w:before="0" w:line="259" w:lineRule="auto"/>
            </w:pPr>
            <w:r>
              <w:rPr>
                <w:rFonts w:ascii="Calibri" w:hAnsi="Calibri"/>
                <w:b/>
                <w:i w:val="0"/>
                <w:color w:val="212121"/>
                <w:sz w:val="19"/>
              </w:rPr>
              <w:t>Acne / skin breakout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Premenstrual flare of acne linked to cyclical hormonal change.</w:t>
            </w:r>
          </w:p>
        </w:tc>
      </w:tr>
      <w:tr>
        <w:trPr>
          <w:cantSplit/>
        </w:trPr>
        <w:tc>
          <w:tcPr>
            <w:tcW w:type="dxa" w:w="3456"/>
            <w:vAlign w:val="top"/>
          </w:tcPr>
          <w:p>
            <w:pPr>
              <w:spacing w:after="40" w:before="0" w:line="259" w:lineRule="auto"/>
            </w:pPr>
            <w:r>
              <w:rPr>
                <w:rFonts w:ascii="Calibri" w:hAnsi="Calibri"/>
                <w:b/>
                <w:i w:val="0"/>
                <w:color w:val="212121"/>
                <w:sz w:val="19"/>
              </w:rPr>
              <w:t>Normal physical examination in the follicular phase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characteristically normal between-cycle exam supports the diagnosis and excludes structural disease.</w:t>
            </w:r>
          </w:p>
        </w:tc>
      </w:tr>
      <w:tr>
        <w:trPr>
          <w:cantSplit/>
        </w:trPr>
        <w:tc>
          <w:tcPr>
            <w:tcW w:type="dxa" w:w="3456"/>
            <w:vAlign w:val="top"/>
          </w:tcPr>
          <w:p>
            <w:pPr>
              <w:spacing w:after="40" w:before="0" w:line="259" w:lineRule="auto"/>
            </w:pPr>
            <w:r>
              <w:rPr>
                <w:rFonts w:ascii="Calibri" w:hAnsi="Calibri"/>
                <w:b/>
                <w:i w:val="0"/>
                <w:color w:val="212121"/>
                <w:sz w:val="19"/>
              </w:rPr>
              <w:t>Signs of self-harm</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Occasionally seen in severe PMDD and mandates urgent psychiatric evaluation.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Marked functional impairment at work, school and home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Interpersonal and marital conflict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Luteal-phase sleep disruption and fatigue</w:t>
            </w:r>
          </w:p>
        </w:tc>
        <w:tc>
          <w:tcPr>
            <w:tcW w:type="dxa" w:w="2980"/>
            <w:vAlign w:val="top"/>
          </w:tcPr>
          <w:p>
            <w:pPr>
              <w:spacing w:after="40" w:before="0" w:line="259" w:lineRule="auto"/>
            </w:pPr>
            <w:r>
              <w:rPr>
                <w:rFonts w:ascii="Calibri" w:hAnsi="Calibri"/>
                <w:b w:val="0"/>
                <w:i w:val="0"/>
                <w:color w:val="212121"/>
                <w:sz w:val="19"/>
              </w:rPr>
              <w:t>Direct cyclical impact of PMS/PMDD symptoms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Onset or worsening of major depressive or anxiety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Premenstrual exacerbation of migraine, epilepsy, asthma or irritable bowel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Absenteeism and reduced academic/occupational productivity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Relationship and family discord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Self-medication with alcohol, caffeine or analgesics</w:t>
            </w:r>
          </w:p>
        </w:tc>
        <w:tc>
          <w:tcPr>
            <w:tcW w:type="dxa" w:w="2980"/>
            <w:vAlign w:val="top"/>
          </w:tcPr>
          <w:p>
            <w:pPr>
              <w:spacing w:after="40" w:before="0" w:line="259" w:lineRule="auto"/>
            </w:pPr>
            <w:r>
              <w:rPr>
                <w:rFonts w:ascii="Calibri" w:hAnsi="Calibri"/>
                <w:b w:val="0"/>
                <w:i w:val="0"/>
                <w:color w:val="212121"/>
                <w:sz w:val="19"/>
              </w:rPr>
              <w:t>Downstream effects of recurrent, untreated cyclical symptoms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Suicidal behaviour and self-harm in severe PMDD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disability and social withdrawal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risk of perimenopausal and postpartum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psychiatric morbidity</w:t>
            </w:r>
          </w:p>
        </w:tc>
        <w:tc>
          <w:tcPr>
            <w:tcW w:type="dxa" w:w="2980"/>
            <w:vAlign w:val="top"/>
          </w:tcPr>
          <w:p>
            <w:pPr>
              <w:spacing w:after="40" w:before="0" w:line="259" w:lineRule="auto"/>
            </w:pPr>
            <w:r>
              <w:rPr>
                <w:rFonts w:ascii="Calibri" w:hAnsi="Calibri"/>
                <w:b w:val="0"/>
                <w:i w:val="0"/>
                <w:color w:val="212121"/>
                <w:sz w:val="19"/>
              </w:rPr>
              <w:t>Severe, disabling or life-threatening outcomes of longstanding severe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Major depressive disorder / depression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Shares serotonergic pathophysiology; a history of depression is a risk factor and mood disorders commonly show premenstrual exacerbation.</w:t>
            </w:r>
          </w:p>
        </w:tc>
      </w:tr>
      <w:tr>
        <w:trPr>
          <w:cantSplit/>
        </w:trPr>
        <w:tc>
          <w:tcPr>
            <w:tcW w:type="dxa" w:w="2232"/>
            <w:vAlign w:val="top"/>
          </w:tcPr>
          <w:p>
            <w:pPr>
              <w:spacing w:after="40" w:before="0" w:line="259" w:lineRule="auto"/>
            </w:pPr>
            <w:r>
              <w:rPr>
                <w:rFonts w:ascii="Calibri" w:hAnsi="Calibri"/>
                <w:b/>
                <w:i w:val="0"/>
                <w:color w:val="212121"/>
                <w:sz w:val="19"/>
              </w:rPr>
              <w:t>Anxiety disorders</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Pre-existing anxiety is a proven risk factor for PMDD and frequently coexists.</w:t>
            </w:r>
          </w:p>
        </w:tc>
      </w:tr>
      <w:tr>
        <w:trPr>
          <w:cantSplit/>
        </w:trPr>
        <w:tc>
          <w:tcPr>
            <w:tcW w:type="dxa" w:w="2232"/>
            <w:vAlign w:val="top"/>
          </w:tcPr>
          <w:p>
            <w:pPr>
              <w:spacing w:after="40" w:before="0" w:line="259" w:lineRule="auto"/>
            </w:pPr>
            <w:r>
              <w:rPr>
                <w:rFonts w:ascii="Calibri" w:hAnsi="Calibri"/>
                <w:b/>
                <w:i w:val="0"/>
                <w:color w:val="212121"/>
                <w:sz w:val="19"/>
              </w:rPr>
              <w:t>Dysmenorrhoea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Painful menstruation commonly co-occurs with PMS, compounding cyclical distress.</w:t>
            </w:r>
          </w:p>
        </w:tc>
      </w:tr>
      <w:tr>
        <w:trPr>
          <w:cantSplit/>
        </w:trPr>
        <w:tc>
          <w:tcPr>
            <w:tcW w:type="dxa" w:w="2232"/>
            <w:vAlign w:val="top"/>
          </w:tcPr>
          <w:p>
            <w:pPr>
              <w:spacing w:after="40" w:before="0" w:line="259" w:lineRule="auto"/>
            </w:pPr>
            <w:r>
              <w:rPr>
                <w:rFonts w:ascii="Calibri" w:hAnsi="Calibri"/>
                <w:b/>
                <w:i w:val="0"/>
                <w:color w:val="212121"/>
                <w:sz w:val="19"/>
              </w:rPr>
              <w:t>Menstrual (catamenial) migraine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Late-luteal estrogen withdrawal triggers migraine that overlaps with premenstrual symptoms.</w:t>
            </w:r>
          </w:p>
        </w:tc>
      </w:tr>
      <w:tr>
        <w:trPr>
          <w:cantSplit/>
        </w:trPr>
        <w:tc>
          <w:tcPr>
            <w:tcW w:type="dxa" w:w="2232"/>
            <w:vAlign w:val="top"/>
          </w:tcPr>
          <w:p>
            <w:pPr>
              <w:spacing w:after="40" w:before="0" w:line="259" w:lineRule="auto"/>
            </w:pPr>
            <w:r>
              <w:rPr>
                <w:rFonts w:ascii="Calibri" w:hAnsi="Calibri"/>
                <w:b/>
                <w:i w:val="0"/>
                <w:color w:val="212121"/>
                <w:sz w:val="19"/>
              </w:rPr>
              <w:t>Polycystic ovary syndrome (PCOS)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Hormonal and mood disturbances of PCOS frequently overlap with premenstrual symptoms in young women.</w:t>
            </w:r>
          </w:p>
        </w:tc>
      </w:tr>
      <w:tr>
        <w:trPr>
          <w:cantSplit/>
        </w:trPr>
        <w:tc>
          <w:tcPr>
            <w:tcW w:type="dxa" w:w="2232"/>
            <w:vAlign w:val="top"/>
          </w:tcPr>
          <w:p>
            <w:pPr>
              <w:spacing w:after="40" w:before="0" w:line="259" w:lineRule="auto"/>
            </w:pPr>
            <w:r>
              <w:rPr>
                <w:rFonts w:ascii="Calibri" w:hAnsi="Calibri"/>
                <w:b/>
                <w:i w:val="0"/>
                <w:color w:val="212121"/>
                <w:sz w:val="19"/>
              </w:rPr>
              <w:t>Irritable bowel syndrome (IBS)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Often worsens in the luteal phase as a premenstrual exacerbation.</w:t>
            </w:r>
          </w:p>
        </w:tc>
      </w:tr>
      <w:tr>
        <w:trPr>
          <w:cantSplit/>
        </w:trPr>
        <w:tc>
          <w:tcPr>
            <w:tcW w:type="dxa" w:w="2232"/>
            <w:vAlign w:val="top"/>
          </w:tcPr>
          <w:p>
            <w:pPr>
              <w:spacing w:after="40" w:before="0" w:line="259" w:lineRule="auto"/>
            </w:pPr>
            <w:r>
              <w:rPr>
                <w:rFonts w:ascii="Calibri" w:hAnsi="Calibri"/>
                <w:b/>
                <w:i w:val="0"/>
                <w:color w:val="212121"/>
                <w:sz w:val="19"/>
              </w:rPr>
              <w:t>Hypothyroidism</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Can mimic or aggravate premenstrual mood and fatigue symptoms; should be excluded.</w:t>
            </w:r>
          </w:p>
        </w:tc>
      </w:tr>
      <w:tr>
        <w:trPr>
          <w:cantSplit/>
        </w:trPr>
        <w:tc>
          <w:tcPr>
            <w:tcW w:type="dxa" w:w="2232"/>
            <w:vAlign w:val="top"/>
          </w:tcPr>
          <w:p>
            <w:pPr>
              <w:spacing w:after="40" w:before="0" w:line="259" w:lineRule="auto"/>
            </w:pPr>
            <w:r>
              <w:rPr>
                <w:rFonts w:ascii="Calibri" w:hAnsi="Calibri"/>
                <w:b/>
                <w:i w:val="0"/>
                <w:color w:val="212121"/>
                <w:sz w:val="19"/>
              </w:rPr>
              <w:t>Iron-deficiency anaemia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Highly prevalent in Indian women and compounds premenstrual fatigue.</w:t>
            </w:r>
          </w:p>
        </w:tc>
      </w:tr>
      <w:tr>
        <w:trPr>
          <w:cantSplit/>
        </w:trPr>
        <w:tc>
          <w:tcPr>
            <w:tcW w:type="dxa" w:w="2232"/>
            <w:vAlign w:val="top"/>
          </w:tcPr>
          <w:p>
            <w:pPr>
              <w:spacing w:after="40" w:before="0" w:line="259" w:lineRule="auto"/>
            </w:pPr>
            <w:r>
              <w:rPr>
                <w:rFonts w:ascii="Calibri" w:hAnsi="Calibri"/>
                <w:b/>
                <w:i w:val="0"/>
                <w:color w:val="212121"/>
                <w:sz w:val="19"/>
              </w:rPr>
              <w:t>Perimenopausal depression</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Women with PMS/PMDD are at higher risk of mood symptoms during the menopausal transition.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daily symptom diary for at least two menstrual cycles to confirm the luteal-phase pattern and severity.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the difference between mild premenstrual symptoms (molimina), PMS, PMDD, and premenstrual exacerbation of another condition.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that symptoms reflect brain sensitivity to normal hormone changes, are common and are treatable - not a character flaw.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red-flag symptoms, especially thoughts of self-harm, and seek urgent help.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first-line self-care: regular exercise, a balanced low-salt and low-caffeine diet, adequate sleep and stress management.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menstruating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 family history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Working women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aerobic activity (brisk walking, cycling, swimming) to reduce symptom severity.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yoga, stretching or relaxation exercises, which lower luteal-phase tension and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light activity and short post-meal walks in the premenstrual week to ease bloating and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as higher BMI is linked to greater PMS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and obese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 and working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moderate-severe PMS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salt in the luteal phase to limit bloating and fluid retention.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down refined sugar and high-glycaemic snacks that worsen mood swings and cravings.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caffeine (tea, coffee, cola, energy drinks), which aggravates breast tenderness, anxiety and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calcium (1000-1200 mg/day) and vitamin D from dairy, ragi, green leafy vegetables and safe sun exposure; consider magnesium and vitamin B6.</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Favour complex carbohydrates and whole grains/millets (ragi, jowar, bajra), which raise serotonin and steady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smaller, frequent meals every 2-3 hours to steady energy and reduce cravings.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menstruating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somatic-predominant PMS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Low-dairy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High-caffeine consumers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especially during the premenstrual week.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consistent sleep-wake schedule and a cool, dark, screen-free bedroom.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caffeine and heavy meals in the evening to improve sleep quality.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relaxation or breathing exercises before bed to ease luteal-phase insomnia.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luteal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fatigue-predominant PMS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quit smoking - smoking roughly doubles the risk of moderate-to-severe PMS.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where appropriate, pharmacotherapy to quit.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cessation with exercise and stress management for best results.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exposed to second-hand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who have started smoking</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which is associated with higher PMS risk and worse luteal mood and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aware of premenstrual alcohol intolerance and reduce intake in the luteal phase.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using alcohol to cope with premenstrual distress.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who drink regularly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mood-predominant PMS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young women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stress-management techniques - mindfulness, relaxation and breathing - and cognitive behavioural therapy (CBT), which has good evidence in PMS/PMDD.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moderate-to-severe PMS or PMDD, SSRIs (e.g., fluoxetine, sertraline, escitalopram) are first-line and may be taken continuously or only in the luteal phase.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combined oral contraceptives (e.g., drospirenone-containing) to suppress ovulation where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manage depression, anxiety and suicidality, arranging urgent care when self-harm risk is present.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psychoeducation and build a support network for the patient and family.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PMDD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Mood-predominant PMS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comorbid anxiety or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not responding to lifestyle measures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omenshealth.gov/menstrual-cycle/premenstrual-syndrome" TargetMode="External"/><Relationship Id="rId10" Type="http://schemas.openxmlformats.org/officeDocument/2006/relationships/hyperlink" Target="https://www.ncbi.nlm.nih.gov/books/NBK560698/" TargetMode="External"/><Relationship Id="rId11" Type="http://schemas.openxmlformats.org/officeDocument/2006/relationships/hyperlink" Target="https://www.ncbi.nlm.nih.gov/books/NBK532307/" TargetMode="External"/><Relationship Id="rId12" Type="http://schemas.openxmlformats.org/officeDocument/2006/relationships/hyperlink" Target="https://www.mayoclinic.org/diseases-conditions/premenstrual-syndrome/symptoms-causes/syc-20376780" TargetMode="External"/><Relationship Id="rId13" Type="http://schemas.openxmlformats.org/officeDocument/2006/relationships/hyperlink" Target="https://www.hopkinsmedicine.org/health/conditions-and-diseases/premenstrual-dysphoric-disorder-pmd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