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Adenomyosis</w:t>
      </w:r>
    </w:p>
    <w:p>
      <w:pPr>
        <w:spacing w:before="0" w:after="160"/>
      </w:pPr>
      <w:r>
        <w:rPr>
          <w:rFonts w:ascii="Calibri" w:hAnsi="Calibri"/>
          <w:b/>
          <w:i w:val="0"/>
          <w:color w:val="212121"/>
          <w:sz w:val="22"/>
        </w:rPr>
        <w:t xml:space="preserve">AKA </w:t>
      </w:r>
      <w:r>
        <w:rPr>
          <w:rFonts w:ascii="Calibri" w:hAnsi="Calibri"/>
          <w:b w:val="0"/>
          <w:i w:val="0"/>
          <w:color w:val="212121"/>
          <w:sz w:val="22"/>
        </w:rPr>
        <w:t>i.e., Adenomyosis uteri, Uterine adenomyosis, Endometriosis interna, “Adeno”</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Adenomyosis is a benign, estrogen-dependent gynaecological disorder characterised by the presence of ectopic endometrial glands and stroma deep within the myometrium (the muscular wall of the uterus), surrounded by reactive hypertrophy and hyperplasia of the adjacent smooth muscle. This heterotopic tissue drives abnormal uterine contractility, neuroangiogenesis, local hyperestrogenism and chronic inflammation, producing a diffusely enlarged, soft (“boggy”) uterus. It classically affects multiparous women in their 40s with heavy menstrual bleeding and progressively worsening dysmenorrhoea, but is increasingly recognised in younger and subfertile women now that it can be diagnosed non-invasively on imaging.</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Adenomyosis was historically diagnosed only on hysterectomy specimens, where its reported frequency ranges widely — roughly 20–36% of specimens (about 36% in one large clinicopathological series). Population-level pooled prevalence is about 1%, rising to approximately 41–49% among women attending clinics with gynaecological symptoms and around 31% among infertile women. In India, where hysterectomy for abnormal uterine bleeding is common and leiomyoma and adenomyosis are the leading histopathological findings, it is a major yet under-recognised cause of menstrual morbidity; disease-specific epidemiology remains sparse, prompting recent calls for dedicated Indian and South-Asian research.</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Adenomyosis is a clinicopathological diagnosis. It is definitively confirmed on histology of the myometrium, but is now diagnosed non-invasively during life using the following criteria: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Transvaginal ultrasound (first-line): a globular or asymmetrically enlarged uterus, myometrial cysts, echogenic subendometrial lines and buds, hyperechogenic islands, fan-shaped shadowing, translesional vascularity, and an irregular or interrupted junctional zone (MUSA consensus features);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Pelvic MRI (problem-solving / pre-treatment): junctional-zone (JZ) thickness ≥ 12 mm is the single most important criterion; a JZ-to-myometrium ratio &gt; 40% or myometrial high-signal foci on T2-/T1-weighted images support the diagnosis;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Histopathology (gold standard, usually on a hysterectomy specimen): endometrial glands and stroma situated &gt; 2.5 mm (or at least one low-power field) below the endometrial–myometrial junction, with surrounding smooth-muscle hyperplasia;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clinical picture: an enlarged, globular, tender, “boggy” uterus with heavy menstrual bleeding and/or secondary dysmenorrhoea, in the absence of a discrete fibroid or other lesion that explains the findings.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There is no single universally agreed classification; in practice adenomyosis is described by its location, distribution and extent, which guides prognosis and uterus-sparing treatment:</w:t>
      </w:r>
    </w:p>
    <w:p>
      <w:pPr>
        <w:spacing w:before="0" w:after="80"/>
      </w:pPr>
      <w:r>
        <w:rPr>
          <w:rFonts w:ascii="Calibri" w:hAnsi="Calibri"/>
          <w:b w:val="0"/>
          <w:i w:val="0"/>
          <w:color w:val="212121"/>
          <w:sz w:val="21"/>
        </w:rPr>
        <w:t>(1) Internal (inner) adenomyosis — arising from the junctional zone / inner myometrium, with an MRI JZ thickness &gt; 12 mm; this is the classic diffuse form contiguous with the endometrium;</w:t>
      </w:r>
    </w:p>
    <w:p>
      <w:pPr>
        <w:spacing w:before="0" w:after="80"/>
      </w:pPr>
      <w:r>
        <w:rPr>
          <w:rFonts w:ascii="Calibri" w:hAnsi="Calibri"/>
          <w:b w:val="0"/>
          <w:i w:val="0"/>
          <w:color w:val="212121"/>
          <w:sz w:val="21"/>
        </w:rPr>
        <w:t>(2) External (outer) adenomyosis — involving the outer myometrium and serosal side (JZ often &lt; 8 mm), strongly associated with deep infiltrating pelvic endometriosis and thought to invade from outside;</w:t>
      </w:r>
    </w:p>
    <w:p>
      <w:pPr>
        <w:spacing w:before="0" w:after="80"/>
      </w:pPr>
      <w:r>
        <w:rPr>
          <w:rFonts w:ascii="Calibri" w:hAnsi="Calibri"/>
          <w:b w:val="0"/>
          <w:i w:val="0"/>
          <w:color w:val="212121"/>
          <w:sz w:val="21"/>
        </w:rPr>
        <w:t>(3) Focal adenomyosis / adenomyoma — a localised, poorly circumscribed myometrial mass of adenomyotic tissue surrounded by normal myometrium; cystic adenomyosis (juvenile cystic adenomyoma) is a rare variant featuring a blood-filled myometrial cyst, sometimes seen in adolescents;</w:t>
      </w:r>
    </w:p>
    <w:p>
      <w:pPr>
        <w:spacing w:before="0" w:after="80"/>
      </w:pPr>
      <w:r>
        <w:rPr>
          <w:rFonts w:ascii="Calibri" w:hAnsi="Calibri"/>
          <w:b w:val="0"/>
          <w:i w:val="0"/>
          <w:color w:val="212121"/>
          <w:sz w:val="21"/>
        </w:rPr>
        <w:t>(4) Diffuse adenomyosis — numerous ectopic foci scattered throughout the myometrium (conventionally involving &gt; 25% of the myometrial volume), producing symmetrical, global uterine enlargement. Extent is further graded (mild / moderate / severe) by depth of myometrial penetration and lesion density.</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Endometrial–myometrial junction (EMJ) disruption: The dominant theory — breakdown of the normally sharp basal endometrium–myometrium boundary lets basal endometrium invaginate into the muscle; supported by higher rates after uterine instrumentation.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Prior uterine surgery / trauma: Dilatation and curettage, caesarean section, myomectomy and repeated deliveries breach the junctional zone and predispose to ingrowth.</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Estrogen dependence / local hyperestrogenism: Aromatase over-expression and increased estrogen-receptor signalling drive proliferation; early menarche, obesity and tamoxifen increase estrogen exposure.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Multiparity and a long reproductive span: Higher parity and prolonged cyclical estrogen exposure raise risk.</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Tissue-injury-and-repair (TIAR) with chronic inflammation: Repeated micro-trauma and abnormal uterine peristalsis trigger local inflammation, neuroangiogenesis, fibrosis and smooth-muscle hyperplasia.</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Genetic / epigenetic susceptibility: Altered estrogen/progesterone-pathway gene expression, familial clustering, and mechanisms shared with endometriosis.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Stem/progenitor cell and Mullerian metaplasia theories: De-novo differentiation of misplaced Mullerian remnants or bone-marrow-derived endometrial progenitor cells within the myometrium.</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(reproductive age, peak 40–50 years)</w:t>
            </w:r>
          </w:p>
        </w:tc>
        <w:tc>
          <w:tcPr>
            <w:tcW w:type="dxa" w:w="4276"/>
            <w:vAlign w:val="top"/>
          </w:tcPr>
          <w:p>
            <w:pPr>
              <w:spacing w:after="60" w:line="259" w:lineRule="auto"/>
            </w:pPr>
            <w:r>
              <w:rPr>
                <w:rFonts w:ascii="Calibri" w:hAnsi="Calibri"/>
                <w:b w:val="0"/>
                <w:i w:val="0"/>
                <w:color w:val="212121"/>
                <w:sz w:val="19"/>
              </w:rPr>
              <w:t>Cumulative estrogen exposure, childbirth and uterine procedures over the reproductive years progressively weaken the endometrial–myometrial junction, so symptomatic disease typically peaks in the 40s before menopause.</w:t>
            </w:r>
          </w:p>
          <w:p>
            <w:pPr>
              <w:spacing w:after="40" w:before="60" w:line="259" w:lineRule="auto"/>
            </w:pPr>
            <w:r>
              <w:rPr>
                <w:rFonts w:ascii="Calibri" w:hAnsi="Calibri"/>
                <w:b w:val="0"/>
                <w:i w:val="0"/>
                <w:color w:val="212121"/>
                <w:sz w:val="19"/>
              </w:rPr>
              <w:t>Classically diagnosed in multiparous women aged 40–50; heavy menstrual bleeding occurs in 40–60% and dysmenorrhoea in 15–30% of symptomatic patients.</w:t>
            </w:r>
          </w:p>
          <w:p>
            <w:pPr>
              <w:spacing w:after="40" w:line="252" w:lineRule="auto"/>
            </w:pPr>
            <w:hyperlink r:id="rId9">
              <w:r>
                <w:rPr>
                  <w:rFonts w:ascii="Calibri" w:hAnsi="Calibri" w:cs="Calibri"/>
                  <w:sz w:val="18"/>
                  <w:color w:val="1155CC"/>
                  <w:u w:val="single"/>
                </w:rPr>
                <w:t xml:space="preserve">aafp.org — adenomyosis diagnosis &amp; management</w:t>
              </w:r>
            </w:hyperlink>
          </w:p>
          <w:p>
            <w:pPr>
              <w:spacing w:before="60" w:after="40"/>
            </w:pPr>
            <w:r>
              <w:rPr>
                <w:rFonts w:ascii="Calibri" w:hAnsi="Calibri"/>
                <w:b w:val="0"/>
                <w:i w:val="0"/>
                <w:color w:val="5A5A5A"/>
                <w:sz w:val="18"/>
              </w:rPr>
              <w:t>#adenomyosis  #reproductiveage  #perimenopause  #multiparous  #estrogen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Younger and adolescent women</w:t>
            </w:r>
          </w:p>
        </w:tc>
        <w:tc>
          <w:tcPr>
            <w:tcW w:type="dxa" w:w="4276"/>
            <w:vAlign w:val="top"/>
          </w:tcPr>
          <w:p>
            <w:pPr>
              <w:spacing w:after="60" w:line="259" w:lineRule="auto"/>
            </w:pPr>
            <w:r>
              <w:rPr>
                <w:rFonts w:ascii="Calibri" w:hAnsi="Calibri"/>
                <w:b w:val="0"/>
                <w:i w:val="0"/>
                <w:color w:val="212121"/>
                <w:sz w:val="19"/>
              </w:rPr>
              <w:t>With transvaginal ultrasound and MRI now able to diagnose adenomyosis non-invasively, it is increasingly recognised in women under 40; rare cystic (juvenile) adenomyoma can present in adolescents with severe dysmenorrhoea.</w:t>
            </w:r>
          </w:p>
          <w:p>
            <w:pPr>
              <w:spacing w:after="40" w:before="60" w:line="259" w:lineRule="auto"/>
            </w:pPr>
            <w:r>
              <w:rPr>
                <w:rFonts w:ascii="Calibri" w:hAnsi="Calibri"/>
                <w:b w:val="0"/>
                <w:i w:val="0"/>
                <w:color w:val="212121"/>
                <w:sz w:val="19"/>
              </w:rPr>
              <w:t>Among women with gynaecological symptoms, imaging-based adenomyosis prevalence is about 41–49%.</w:t>
            </w:r>
          </w:p>
          <w:p>
            <w:pPr>
              <w:spacing w:after="40" w:line="252" w:lineRule="auto"/>
            </w:pPr>
            <w:hyperlink r:id="rId10">
              <w:r>
                <w:rPr>
                  <w:rFonts w:ascii="Calibri" w:hAnsi="Calibri" w:cs="Calibri"/>
                  <w:sz w:val="18"/>
                  <w:color w:val="1155CC"/>
                  <w:u w:val="single"/>
                </w:rPr>
                <w:t xml:space="preserve">link.springer.com — global prevalence meta-analysis (2025)</w:t>
              </w:r>
            </w:hyperlink>
          </w:p>
          <w:p>
            <w:pPr>
              <w:spacing w:before="60" w:after="40"/>
            </w:pPr>
            <w:r>
              <w:rPr>
                <w:rFonts w:ascii="Calibri" w:hAnsi="Calibri"/>
                <w:b w:val="0"/>
                <w:i w:val="0"/>
                <w:color w:val="5A5A5A"/>
                <w:sz w:val="18"/>
              </w:rPr>
              <w:t>#youngwomen  #dysmenorrhoea  #cysticadenomyoma  #underdiagnosed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 (persons with a uterus)</w:t>
            </w:r>
          </w:p>
        </w:tc>
        <w:tc>
          <w:tcPr>
            <w:tcW w:type="dxa" w:w="4276"/>
            <w:vAlign w:val="top"/>
          </w:tcPr>
          <w:p>
            <w:pPr>
              <w:spacing w:after="60" w:line="259" w:lineRule="auto"/>
            </w:pPr>
            <w:r>
              <w:rPr>
                <w:rFonts w:ascii="Calibri" w:hAnsi="Calibri"/>
                <w:b w:val="0"/>
                <w:i w:val="0"/>
                <w:color w:val="212121"/>
                <w:sz w:val="19"/>
              </w:rPr>
              <w:t>Adenomyosis is by definition a disease of the uterine myometrium and therefore affects only people with a uterus; it is estrogen-driven and regresses after menopause.</w:t>
            </w:r>
          </w:p>
          <w:p>
            <w:pPr>
              <w:spacing w:after="40" w:before="60" w:line="259" w:lineRule="auto"/>
            </w:pPr>
            <w:r>
              <w:rPr>
                <w:rFonts w:ascii="Calibri" w:hAnsi="Calibri"/>
                <w:b w:val="0"/>
                <w:i w:val="0"/>
                <w:color w:val="212121"/>
                <w:sz w:val="19"/>
              </w:rPr>
              <w:t>Exclusively affects individuals with a uterus; symptoms are cyclical and estrogen-dependent, usually improving after natural or surgical menopause.</w:t>
            </w:r>
          </w:p>
          <w:p>
            <w:pPr>
              <w:spacing w:before="60" w:after="40"/>
            </w:pPr>
            <w:r>
              <w:rPr>
                <w:rFonts w:ascii="Calibri" w:hAnsi="Calibri"/>
                <w:b w:val="0"/>
                <w:i w:val="0"/>
                <w:color w:val="5A5A5A"/>
                <w:sz w:val="18"/>
              </w:rPr>
              <w:t>#womenshealth  #uterus  #estrogendependent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Women with limited healthcare access / long diagnostic delay</w:t>
            </w:r>
          </w:p>
        </w:tc>
        <w:tc>
          <w:tcPr>
            <w:tcW w:type="dxa" w:w="4276"/>
            <w:vAlign w:val="top"/>
          </w:tcPr>
          <w:p>
            <w:pPr>
              <w:spacing w:after="60" w:line="259" w:lineRule="auto"/>
            </w:pPr>
            <w:r>
              <w:rPr>
                <w:rFonts w:ascii="Calibri" w:hAnsi="Calibri"/>
                <w:b w:val="0"/>
                <w:i w:val="0"/>
                <w:color w:val="212121"/>
                <w:sz w:val="19"/>
              </w:rPr>
              <w:t>Symptoms are often normalised as 'just heavy periods', and where imaging expertise or gynaecology access is limited, diagnosis is delayed for years, allowing anaemia and chronic pain to worsen.</w:t>
            </w:r>
          </w:p>
          <w:p>
            <w:pPr>
              <w:spacing w:after="40" w:before="60" w:line="259" w:lineRule="auto"/>
            </w:pPr>
            <w:r>
              <w:rPr>
                <w:rFonts w:ascii="Calibri" w:hAnsi="Calibri"/>
                <w:b w:val="0"/>
                <w:i w:val="0"/>
                <w:color w:val="212121"/>
                <w:sz w:val="19"/>
              </w:rPr>
              <w:t>Adenomyosis and endometriosis are highlighted as under-researched, under-diagnosed priorities in India and Sri Lanka, with calls for regional epidemiological data.</w:t>
            </w:r>
          </w:p>
          <w:p>
            <w:pPr>
              <w:spacing w:after="40" w:line="252" w:lineRule="auto"/>
            </w:pPr>
            <w:hyperlink r:id="rId11">
              <w:r>
                <w:rPr>
                  <w:rFonts w:ascii="Calibri" w:hAnsi="Calibri" w:cs="Calibri"/>
                  <w:sz w:val="18"/>
                  <w:color w:val="1155CC"/>
                  <w:u w:val="single"/>
                </w:rPr>
                <w:t xml:space="preserve">thelancet.com (Lansea) — endometriosis/adenomyosis research priorities in India</w:t>
              </w:r>
            </w:hyperlink>
          </w:p>
          <w:p>
            <w:pPr>
              <w:spacing w:before="60" w:after="40"/>
            </w:pPr>
            <w:r>
              <w:rPr>
                <w:rFonts w:ascii="Calibri" w:hAnsi="Calibri"/>
                <w:b w:val="0"/>
                <w:i w:val="0"/>
                <w:color w:val="5A5A5A"/>
                <w:sz w:val="18"/>
              </w:rPr>
              <w:t>#diagnosticdelay  #accessgap  #awareness  #India</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women with abnormal uterine bleeding</w:t>
            </w:r>
          </w:p>
        </w:tc>
        <w:tc>
          <w:tcPr>
            <w:tcW w:type="dxa" w:w="4276"/>
            <w:vAlign w:val="top"/>
          </w:tcPr>
          <w:p>
            <w:pPr>
              <w:spacing w:after="60" w:line="259" w:lineRule="auto"/>
            </w:pPr>
            <w:r>
              <w:rPr>
                <w:rFonts w:ascii="Calibri" w:hAnsi="Calibri"/>
                <w:b w:val="0"/>
                <w:i w:val="0"/>
                <w:color w:val="212121"/>
                <w:sz w:val="19"/>
              </w:rPr>
              <w:t>In Indian gynaecology practice, leiomyoma and adenomyosis are the leading histopathological findings in hysterectomy specimens performed for abnormal uterine bleeding, making adenomyosis a major contributor to menstrual morbidity and iron-deficiency anaemia.</w:t>
            </w:r>
          </w:p>
          <w:p>
            <w:pPr>
              <w:spacing w:after="40" w:before="60" w:line="259" w:lineRule="auto"/>
            </w:pPr>
            <w:r>
              <w:rPr>
                <w:rFonts w:ascii="Calibri" w:hAnsi="Calibri"/>
                <w:b w:val="0"/>
                <w:i w:val="0"/>
                <w:color w:val="212121"/>
                <w:sz w:val="19"/>
              </w:rPr>
              <w:t>Recognised as a leading yet under-studied cause of AUB in India; national disease-specific prevalence data are lacking, prompting calls for dedicated Indian research.</w:t>
            </w:r>
          </w:p>
          <w:p>
            <w:pPr>
              <w:spacing w:after="40" w:line="252" w:lineRule="auto"/>
            </w:pPr>
            <w:hyperlink r:id="rId11">
              <w:r>
                <w:rPr>
                  <w:rFonts w:ascii="Calibri" w:hAnsi="Calibri" w:cs="Calibri"/>
                  <w:sz w:val="18"/>
                  <w:color w:val="1155CC"/>
                  <w:u w:val="single"/>
                </w:rPr>
                <w:t xml:space="preserve">thelancet.com (Lansea) — India/Sri Lanka research priorities</w:t>
              </w:r>
            </w:hyperlink>
          </w:p>
          <w:p>
            <w:pPr>
              <w:spacing w:before="60" w:after="40"/>
            </w:pPr>
            <w:r>
              <w:rPr>
                <w:rFonts w:ascii="Calibri" w:hAnsi="Calibri"/>
                <w:b w:val="0"/>
                <w:i w:val="0"/>
                <w:color w:val="5A5A5A"/>
                <w:sz w:val="18"/>
              </w:rPr>
              <w:t>#India  #AUB  #hysterectomy  #anaemia  #menstrualhealth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Asian / symptomatic clinic populations</w:t>
            </w:r>
          </w:p>
        </w:tc>
        <w:tc>
          <w:tcPr>
            <w:tcW w:type="dxa" w:w="4276"/>
            <w:vAlign w:val="top"/>
          </w:tcPr>
          <w:p>
            <w:pPr>
              <w:spacing w:after="60" w:line="259" w:lineRule="auto"/>
            </w:pPr>
            <w:r>
              <w:rPr>
                <w:rFonts w:ascii="Calibri" w:hAnsi="Calibri"/>
                <w:b w:val="0"/>
                <w:i w:val="0"/>
                <w:color w:val="212121"/>
                <w:sz w:val="19"/>
              </w:rPr>
              <w:t>Asian cohorts contribute a substantial share of adenomyosis literature, and prevalence is high in symptomatic gynaecology-clinic and subfertility populations rather than the general community.</w:t>
            </w:r>
          </w:p>
          <w:p>
            <w:pPr>
              <w:spacing w:after="40" w:before="60" w:line="259" w:lineRule="auto"/>
            </w:pPr>
            <w:r>
              <w:rPr>
                <w:rFonts w:ascii="Calibri" w:hAnsi="Calibri"/>
                <w:b w:val="0"/>
                <w:i w:val="0"/>
                <w:color w:val="212121"/>
                <w:sz w:val="19"/>
              </w:rPr>
              <w:t>Pooled prevalence is ~1% in the general population but ~31% among infertile women and 41–49% among women with gynaecological symptoms.</w:t>
            </w:r>
          </w:p>
          <w:p>
            <w:pPr>
              <w:spacing w:after="40" w:line="252" w:lineRule="auto"/>
            </w:pPr>
            <w:hyperlink r:id="rId10">
              <w:r>
                <w:rPr>
                  <w:rFonts w:ascii="Calibri" w:hAnsi="Calibri" w:cs="Calibri"/>
                  <w:sz w:val="18"/>
                  <w:color w:val="1155CC"/>
                  <w:u w:val="single"/>
                </w:rPr>
                <w:t xml:space="preserve">link.springer.com — global prevalence meta-analysis</w:t>
              </w:r>
            </w:hyperlink>
          </w:p>
          <w:p>
            <w:pPr>
              <w:spacing w:before="60" w:after="40"/>
            </w:pPr>
            <w:r>
              <w:rPr>
                <w:rFonts w:ascii="Calibri" w:hAnsi="Calibri"/>
                <w:b w:val="0"/>
                <w:i w:val="0"/>
                <w:color w:val="5A5A5A"/>
                <w:sz w:val="18"/>
              </w:rPr>
              <w:t>#Asia  #subfertility  #symptomatic  #prevalence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Prior uterine procedures</w:t>
            </w:r>
          </w:p>
        </w:tc>
        <w:tc>
          <w:tcPr>
            <w:tcW w:type="dxa" w:w="2160"/>
            <w:vAlign w:val="top"/>
          </w:tcPr>
          <w:p>
            <w:pPr>
              <w:spacing w:after="40" w:before="0" w:line="259" w:lineRule="auto"/>
            </w:pPr>
            <w:r>
              <w:rPr>
                <w:rFonts w:ascii="Calibri" w:hAnsi="Calibri"/>
                <w:b w:val="0"/>
                <w:i w:val="0"/>
                <w:color w:val="212121"/>
                <w:sz w:val="19"/>
              </w:rPr>
              <w:t>Women with prior D&amp;C, caesarean or myomectomy</w:t>
            </w:r>
          </w:p>
        </w:tc>
        <w:tc>
          <w:tcPr>
            <w:tcW w:type="dxa" w:w="4276"/>
            <w:vAlign w:val="top"/>
          </w:tcPr>
          <w:p>
            <w:pPr>
              <w:spacing w:after="60" w:line="259" w:lineRule="auto"/>
            </w:pPr>
            <w:r>
              <w:rPr>
                <w:rFonts w:ascii="Calibri" w:hAnsi="Calibri"/>
                <w:b w:val="0"/>
                <w:i w:val="0"/>
                <w:color w:val="212121"/>
                <w:sz w:val="19"/>
              </w:rPr>
              <w:t>Any procedure that breaches the endometrial–myometrial junction — curettage, caesarean section, myomectomy — can allow basal endometrium to track into the myometrium, a leading mechanistic risk factor.</w:t>
            </w:r>
          </w:p>
          <w:p>
            <w:pPr>
              <w:spacing w:after="40" w:before="60" w:line="259" w:lineRule="auto"/>
            </w:pPr>
            <w:r>
              <w:rPr>
                <w:rFonts w:ascii="Calibri" w:hAnsi="Calibri"/>
                <w:b w:val="0"/>
                <w:i w:val="0"/>
                <w:color w:val="212121"/>
                <w:sz w:val="19"/>
              </w:rPr>
              <w:t>A history of uterine surgery was present in 42% of women with MRI-diagnosed adenomyosis versus 14% of controls (P = 0.002).</w:t>
            </w:r>
          </w:p>
          <w:p>
            <w:pPr>
              <w:spacing w:after="40" w:line="252" w:lineRule="auto"/>
            </w:pPr>
            <w:hyperlink r:id="rId12">
              <w:r>
                <w:rPr>
                  <w:rFonts w:ascii="Calibri" w:hAnsi="Calibri" w:cs="Calibri"/>
                  <w:sz w:val="18"/>
                  <w:color w:val="1155CC"/>
                  <w:u w:val="single"/>
                </w:rPr>
                <w:t xml:space="preserve">pmc.ncbi.nlm.nih.gov/PMC11981308 — MRI risk-factor study</w:t>
              </w:r>
            </w:hyperlink>
          </w:p>
          <w:p>
            <w:pPr>
              <w:spacing w:before="60" w:after="40"/>
            </w:pPr>
            <w:r>
              <w:rPr>
                <w:rFonts w:ascii="Calibri" w:hAnsi="Calibri"/>
                <w:b w:val="0"/>
                <w:i w:val="0"/>
                <w:color w:val="5A5A5A"/>
                <w:sz w:val="18"/>
              </w:rPr>
              <w:t>#uterinesurgery  #curettage  #caesarean  #junctionalzone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Heavy tobacco smokers</w:t>
            </w:r>
          </w:p>
        </w:tc>
        <w:tc>
          <w:tcPr>
            <w:tcW w:type="dxa" w:w="4276"/>
            <w:vAlign w:val="top"/>
          </w:tcPr>
          <w:p>
            <w:pPr>
              <w:spacing w:after="60" w:line="259" w:lineRule="auto"/>
            </w:pPr>
            <w:r>
              <w:rPr>
                <w:rFonts w:ascii="Calibri" w:hAnsi="Calibri"/>
                <w:b w:val="0"/>
                <w:i w:val="0"/>
                <w:color w:val="212121"/>
                <w:sz w:val="19"/>
              </w:rPr>
              <w:t>Although data are mixed, cumulative tobacco exposure has been linked with higher odds of adenomyosis and independently worsens anaemia and vascular health in women with heavy menstrual bleeding.</w:t>
            </w:r>
          </w:p>
          <w:p>
            <w:pPr>
              <w:spacing w:after="40" w:before="60" w:line="259" w:lineRule="auto"/>
            </w:pPr>
            <w:r>
              <w:rPr>
                <w:rFonts w:ascii="Calibri" w:hAnsi="Calibri"/>
                <w:b w:val="0"/>
                <w:i w:val="0"/>
                <w:color w:val="212121"/>
                <w:sz w:val="19"/>
              </w:rPr>
              <w:t>Heavy smoking (&gt; 15 pack-years) was associated with roughly a 50% increase in the odds of adenomyosis versus never-smoking (confidence intervals crossed 1.0).</w:t>
            </w:r>
          </w:p>
          <w:p>
            <w:pPr>
              <w:spacing w:after="40" w:line="252" w:lineRule="auto"/>
            </w:pPr>
            <w:hyperlink r:id="rId13">
              <w:r>
                <w:rPr>
                  <w:rFonts w:ascii="Calibri" w:hAnsi="Calibri" w:cs="Calibri"/>
                  <w:sz w:val="18"/>
                  <w:color w:val="1155CC"/>
                  <w:u w:val="single"/>
                </w:rPr>
                <w:t xml:space="preserve">pubmed.ncbi.nlm.nih.gov/36716812 — smoking &amp; adenomyosis risk</w:t>
              </w:r>
            </w:hyperlink>
          </w:p>
          <w:p>
            <w:pPr>
              <w:spacing w:before="60" w:after="40"/>
            </w:pPr>
            <w:r>
              <w:rPr>
                <w:rFonts w:ascii="Calibri" w:hAnsi="Calibri"/>
                <w:b w:val="0"/>
                <w:i w:val="0"/>
                <w:color w:val="5A5A5A"/>
                <w:sz w:val="18"/>
              </w:rPr>
              <w:t>#smoking  #packyears  #tobacco  #anaemia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Women with elevated BMI / central adiposity</w:t>
            </w:r>
          </w:p>
        </w:tc>
        <w:tc>
          <w:tcPr>
            <w:tcW w:type="dxa" w:w="4276"/>
            <w:vAlign w:val="top"/>
          </w:tcPr>
          <w:p>
            <w:pPr>
              <w:spacing w:after="60" w:line="259" w:lineRule="auto"/>
            </w:pPr>
            <w:r>
              <w:rPr>
                <w:rFonts w:ascii="Calibri" w:hAnsi="Calibri"/>
                <w:b w:val="0"/>
                <w:i w:val="0"/>
                <w:color w:val="212121"/>
                <w:sz w:val="19"/>
              </w:rPr>
              <w:t>Adipose tissue is an extra-gonadal site of aromatase activity that converts androgens to estrogen, adding to the systemic estrogen load that sustains adenomyotic tissue.</w:t>
            </w:r>
          </w:p>
          <w:p>
            <w:pPr>
              <w:spacing w:after="40" w:before="60" w:line="259" w:lineRule="auto"/>
            </w:pPr>
            <w:r>
              <w:rPr>
                <w:rFonts w:ascii="Calibri" w:hAnsi="Calibri"/>
                <w:b w:val="0"/>
                <w:i w:val="0"/>
                <w:color w:val="212121"/>
                <w:sz w:val="19"/>
              </w:rPr>
              <w:t>Increased estrogen exposure — including that from elevated BMI and higher parity — is a recognised risk factor for adenomyosis.</w:t>
            </w:r>
          </w:p>
          <w:p>
            <w:pPr>
              <w:spacing w:after="40" w:line="252" w:lineRule="auto"/>
            </w:pPr>
            <w:hyperlink r:id="rId14">
              <w:r>
                <w:rPr>
                  <w:rFonts w:ascii="Calibri" w:hAnsi="Calibri" w:cs="Calibri"/>
                  <w:sz w:val="18"/>
                  <w:color w:val="1155CC"/>
                  <w:u w:val="single"/>
                </w:rPr>
                <w:t xml:space="preserve">ncbi.nlm.nih.gov — Adenomyosis, StatPearls</w:t>
              </w:r>
            </w:hyperlink>
          </w:p>
          <w:p>
            <w:pPr>
              <w:spacing w:before="60" w:after="40"/>
            </w:pPr>
            <w:r>
              <w:rPr>
                <w:rFonts w:ascii="Calibri" w:hAnsi="Calibri"/>
                <w:b w:val="0"/>
                <w:i w:val="0"/>
                <w:color w:val="5A5A5A"/>
                <w:sz w:val="18"/>
              </w:rPr>
              <w:t>#obesity  #aromatase  #estrogen  #centraladiposity</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 red/processed-meat, high-fat, low-fibre diets</w:t>
            </w:r>
          </w:p>
        </w:tc>
        <w:tc>
          <w:tcPr>
            <w:tcW w:type="dxa" w:w="4276"/>
            <w:vAlign w:val="top"/>
          </w:tcPr>
          <w:p>
            <w:pPr>
              <w:spacing w:after="60" w:line="259" w:lineRule="auto"/>
            </w:pPr>
            <w:r>
              <w:rPr>
                <w:rFonts w:ascii="Calibri" w:hAnsi="Calibri"/>
                <w:b w:val="0"/>
                <w:i w:val="0"/>
                <w:color w:val="212121"/>
                <w:sz w:val="19"/>
              </w:rPr>
              <w:t>Diets high in red and processed meat, saturated/trans fats and refined carbohydrate and low in fibre are pro-inflammatory and tend to raise circulating estrogen, whereas fibre promotes estrogen excretion.</w:t>
            </w:r>
          </w:p>
          <w:p>
            <w:pPr>
              <w:spacing w:after="40" w:before="60" w:line="259" w:lineRule="auto"/>
            </w:pPr>
            <w:r>
              <w:rPr>
                <w:rFonts w:ascii="Calibri" w:hAnsi="Calibri"/>
                <w:b w:val="0"/>
                <w:i w:val="0"/>
                <w:color w:val="212121"/>
                <w:sz w:val="19"/>
              </w:rPr>
              <w:t>General clinical evidence links pro-inflammatory, high-fat, low-fibre dietary patterns with higher estrogenic tone and menstrual pain.</w:t>
            </w:r>
          </w:p>
          <w:p>
            <w:pPr>
              <w:spacing w:before="60" w:after="40"/>
            </w:pPr>
            <w:r>
              <w:rPr>
                <w:rFonts w:ascii="Calibri" w:hAnsi="Calibri"/>
                <w:b w:val="0"/>
                <w:i w:val="0"/>
                <w:color w:val="5A5A5A"/>
                <w:sz w:val="18"/>
              </w:rPr>
              <w:t>#diet  #redmeat  #lowfibre  #inflammation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alcohol consumers</w:t>
            </w:r>
          </w:p>
        </w:tc>
        <w:tc>
          <w:tcPr>
            <w:tcW w:type="dxa" w:w="4276"/>
            <w:vAlign w:val="top"/>
          </w:tcPr>
          <w:p>
            <w:pPr>
              <w:spacing w:after="60" w:line="259" w:lineRule="auto"/>
            </w:pPr>
            <w:r>
              <w:rPr>
                <w:rFonts w:ascii="Calibri" w:hAnsi="Calibri"/>
                <w:b w:val="0"/>
                <w:i w:val="0"/>
                <w:color w:val="212121"/>
                <w:sz w:val="19"/>
              </w:rPr>
              <w:t>Regular alcohol intake can raise circulating estrogen levels and aggravate iron loss and anaemia related to heavy menstrual bleeding.</w:t>
            </w:r>
          </w:p>
          <w:p>
            <w:pPr>
              <w:spacing w:after="40" w:before="60" w:line="259" w:lineRule="auto"/>
            </w:pPr>
            <w:r>
              <w:rPr>
                <w:rFonts w:ascii="Calibri" w:hAnsi="Calibri"/>
                <w:b w:val="0"/>
                <w:i w:val="0"/>
                <w:color w:val="212121"/>
                <w:sz w:val="19"/>
              </w:rPr>
              <w:t>Alcohol is a modifiable factor that increases circulating estrogen; direct adenomyosis-specific evidence is limited.</w:t>
            </w:r>
          </w:p>
          <w:p>
            <w:pPr>
              <w:spacing w:before="60" w:after="40"/>
            </w:pPr>
            <w:r>
              <w:rPr>
                <w:rFonts w:ascii="Calibri" w:hAnsi="Calibri"/>
                <w:b w:val="0"/>
                <w:i w:val="0"/>
                <w:color w:val="5A5A5A"/>
                <w:sz w:val="18"/>
              </w:rPr>
              <w:t>#alcohol  #estrogen  #modifiable</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 with adenomyosis or endometriosis</w:t>
            </w:r>
          </w:p>
        </w:tc>
        <w:tc>
          <w:tcPr>
            <w:tcW w:type="dxa" w:w="4276"/>
            <w:vAlign w:val="top"/>
          </w:tcPr>
          <w:p>
            <w:pPr>
              <w:spacing w:after="60" w:line="259" w:lineRule="auto"/>
            </w:pPr>
            <w:r>
              <w:rPr>
                <w:rFonts w:ascii="Calibri" w:hAnsi="Calibri"/>
                <w:b w:val="0"/>
                <w:i w:val="0"/>
                <w:color w:val="212121"/>
                <w:sz w:val="19"/>
              </w:rPr>
              <w:t>Familial clustering and shared heritable susceptibility mean women with an affected mother or sister — particularly with endometriosis — are at higher risk.</w:t>
            </w:r>
          </w:p>
          <w:p>
            <w:pPr>
              <w:spacing w:after="40" w:before="60" w:line="259" w:lineRule="auto"/>
            </w:pPr>
            <w:r>
              <w:rPr>
                <w:rFonts w:ascii="Calibri" w:hAnsi="Calibri"/>
                <w:b w:val="0"/>
                <w:i w:val="0"/>
                <w:color w:val="212121"/>
                <w:sz w:val="19"/>
              </w:rPr>
              <w:t>Adenomyosis shares susceptibility pathways with endometriosis and shows familial aggregation.</w:t>
            </w:r>
          </w:p>
          <w:p>
            <w:pPr>
              <w:spacing w:after="40" w:line="252" w:lineRule="auto"/>
            </w:pPr>
            <w:hyperlink r:id="rId14">
              <w:r>
                <w:rPr>
                  <w:rFonts w:ascii="Calibri" w:hAnsi="Calibri" w:cs="Calibri"/>
                  <w:sz w:val="18"/>
                  <w:color w:val="1155CC"/>
                  <w:u w:val="single"/>
                </w:rPr>
                <w:t xml:space="preserve">ncbi.nlm.nih.gov — Adenomyosis, StatPearls</w:t>
              </w:r>
            </w:hyperlink>
          </w:p>
          <w:p>
            <w:pPr>
              <w:spacing w:before="60" w:after="40"/>
            </w:pPr>
            <w:r>
              <w:rPr>
                <w:rFonts w:ascii="Calibri" w:hAnsi="Calibri"/>
                <w:b w:val="0"/>
                <w:i w:val="0"/>
                <w:color w:val="5A5A5A"/>
                <w:sz w:val="18"/>
              </w:rPr>
              <w:t>#familyhistory  #heritable  #susceptibility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Genetic / epigenetic</w:t>
            </w:r>
          </w:p>
        </w:tc>
        <w:tc>
          <w:tcPr>
            <w:tcW w:type="dxa" w:w="2160"/>
            <w:vAlign w:val="top"/>
          </w:tcPr>
          <w:p>
            <w:pPr>
              <w:spacing w:after="40" w:before="0" w:line="259" w:lineRule="auto"/>
            </w:pPr>
            <w:r>
              <w:rPr>
                <w:rFonts w:ascii="Calibri" w:hAnsi="Calibri"/>
                <w:b w:val="0"/>
                <w:i w:val="0"/>
                <w:color w:val="212121"/>
                <w:sz w:val="19"/>
              </w:rPr>
              <w:t>Women with endometriosis-associated molecular profile</w:t>
            </w:r>
          </w:p>
        </w:tc>
        <w:tc>
          <w:tcPr>
            <w:tcW w:type="dxa" w:w="4276"/>
            <w:vAlign w:val="top"/>
          </w:tcPr>
          <w:p>
            <w:pPr>
              <w:spacing w:after="60" w:line="259" w:lineRule="auto"/>
            </w:pPr>
            <w:r>
              <w:rPr>
                <w:rFonts w:ascii="Calibri" w:hAnsi="Calibri"/>
                <w:b w:val="0"/>
                <w:i w:val="0"/>
                <w:color w:val="212121"/>
                <w:sz w:val="19"/>
              </w:rPr>
              <w:t>Aromatase over-expression, progesterone resistance and altered estrogen-receptor and inflammatory gene expression are shared with endometriosis, linking the two conditions mechanistically.</w:t>
            </w:r>
          </w:p>
          <w:p>
            <w:pPr>
              <w:spacing w:after="40" w:before="60" w:line="259" w:lineRule="auto"/>
            </w:pPr>
            <w:r>
              <w:rPr>
                <w:rFonts w:ascii="Calibri" w:hAnsi="Calibri"/>
                <w:b w:val="0"/>
                <w:i w:val="0"/>
                <w:color w:val="212121"/>
                <w:sz w:val="19"/>
              </w:rPr>
              <w:t>Shared pathophysiology (local hyperestrogenism, progesterone resistance, inflammation) underlies the frequent co-occurrence of adenomyosis and endometriosis.</w:t>
            </w:r>
          </w:p>
          <w:p>
            <w:pPr>
              <w:spacing w:before="60" w:after="40"/>
            </w:pPr>
            <w:r>
              <w:rPr>
                <w:rFonts w:ascii="Calibri" w:hAnsi="Calibri"/>
                <w:b w:val="0"/>
                <w:i w:val="0"/>
                <w:color w:val="5A5A5A"/>
                <w:sz w:val="18"/>
              </w:rPr>
              <w:t>#epigenetics  #aromatase  #progesteroneresistance  #sharedpathways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Endometriosis</w:t>
            </w:r>
          </w:p>
        </w:tc>
        <w:tc>
          <w:tcPr>
            <w:tcW w:type="dxa" w:w="2160"/>
            <w:vAlign w:val="top"/>
          </w:tcPr>
          <w:p>
            <w:pPr>
              <w:spacing w:after="40" w:before="0" w:line="259" w:lineRule="auto"/>
            </w:pPr>
            <w:r>
              <w:rPr>
                <w:rFonts w:ascii="Calibri" w:hAnsi="Calibri"/>
                <w:b w:val="0"/>
                <w:i w:val="0"/>
                <w:color w:val="212121"/>
                <w:sz w:val="19"/>
              </w:rPr>
              <w:t>Women with endometriosis</w:t>
            </w:r>
          </w:p>
        </w:tc>
        <w:tc>
          <w:tcPr>
            <w:tcW w:type="dxa" w:w="4276"/>
            <w:vAlign w:val="top"/>
          </w:tcPr>
          <w:p>
            <w:pPr>
              <w:spacing w:after="60" w:line="259" w:lineRule="auto"/>
            </w:pPr>
            <w:r>
              <w:rPr>
                <w:rFonts w:ascii="Calibri" w:hAnsi="Calibri"/>
                <w:b w:val="0"/>
                <w:i w:val="0"/>
                <w:color w:val="212121"/>
                <w:sz w:val="19"/>
              </w:rPr>
              <w:t>Adenomyosis and endometriosis frequently coexist and share estrogen-driven, inflammatory mechanisms; their coexistence intensifies pelvic pain and subfertility and complicates management.</w:t>
            </w:r>
          </w:p>
          <w:p>
            <w:pPr>
              <w:spacing w:after="40" w:before="60" w:line="259" w:lineRule="auto"/>
            </w:pPr>
            <w:r>
              <w:rPr>
                <w:rFonts w:ascii="Calibri" w:hAnsi="Calibri"/>
                <w:b w:val="0"/>
                <w:i w:val="0"/>
                <w:color w:val="212121"/>
                <w:sz w:val="19"/>
              </w:rPr>
              <w:t>Endometriosis was present in 74% of women with MRI-diagnosed adenomyosis versus 26% of controls (P &lt; 0.0001); conversely adenomyosis is reported in 25–70% of women with endometriosis.</w:t>
            </w:r>
          </w:p>
          <w:p>
            <w:pPr>
              <w:spacing w:after="40" w:line="252" w:lineRule="auto"/>
            </w:pPr>
            <w:hyperlink r:id="rId12">
              <w:r>
                <w:rPr>
                  <w:rFonts w:ascii="Calibri" w:hAnsi="Calibri" w:cs="Calibri"/>
                  <w:sz w:val="18"/>
                  <w:color w:val="1155CC"/>
                  <w:u w:val="single"/>
                </w:rPr>
                <w:t xml:space="preserve">pmc.ncbi.nlm.nih.gov/PMC11981308 — MRI risk-factor study</w:t>
              </w:r>
            </w:hyperlink>
          </w:p>
          <w:p>
            <w:pPr>
              <w:spacing w:before="60" w:after="40"/>
            </w:pPr>
            <w:r>
              <w:rPr>
                <w:rFonts w:ascii="Calibri" w:hAnsi="Calibri"/>
                <w:b w:val="0"/>
                <w:i w:val="0"/>
                <w:color w:val="5A5A5A"/>
                <w:sz w:val="18"/>
              </w:rPr>
              <w:t>#endometriosis  #coexistence  #pelvicpain  #sharedpathophysiology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Uterine fibroids</w:t>
            </w:r>
          </w:p>
        </w:tc>
        <w:tc>
          <w:tcPr>
            <w:tcW w:type="dxa" w:w="2160"/>
            <w:vAlign w:val="top"/>
          </w:tcPr>
          <w:p>
            <w:pPr>
              <w:spacing w:after="40" w:before="0" w:line="259" w:lineRule="auto"/>
            </w:pPr>
            <w:r>
              <w:rPr>
                <w:rFonts w:ascii="Calibri" w:hAnsi="Calibri"/>
                <w:b w:val="0"/>
                <w:i w:val="0"/>
                <w:color w:val="212121"/>
                <w:sz w:val="19"/>
              </w:rPr>
              <w:t>Women with leiomyoma (fibroids)</w:t>
            </w:r>
          </w:p>
        </w:tc>
        <w:tc>
          <w:tcPr>
            <w:tcW w:type="dxa" w:w="4276"/>
            <w:vAlign w:val="top"/>
          </w:tcPr>
          <w:p>
            <w:pPr>
              <w:spacing w:after="60" w:line="259" w:lineRule="auto"/>
            </w:pPr>
            <w:r>
              <w:rPr>
                <w:rFonts w:ascii="Calibri" w:hAnsi="Calibri"/>
                <w:b w:val="0"/>
                <w:i w:val="0"/>
                <w:color w:val="212121"/>
                <w:sz w:val="19"/>
              </w:rPr>
              <w:t>Fibroids and adenomyosis often coexist in the same estrogen-rich uterus, compounding uterine enlargement and heavy menstrual bleeding and making imaging interpretation and treatment more complex.</w:t>
            </w:r>
          </w:p>
          <w:p>
            <w:pPr>
              <w:spacing w:after="40" w:before="60" w:line="259" w:lineRule="auto"/>
            </w:pPr>
            <w:r>
              <w:rPr>
                <w:rFonts w:ascii="Calibri" w:hAnsi="Calibri"/>
                <w:b w:val="0"/>
                <w:i w:val="0"/>
                <w:color w:val="212121"/>
                <w:sz w:val="19"/>
              </w:rPr>
              <w:t>Uterine fibroids coexist in up to 50% of women with adenomyosis and are the most common accompanying gynaecological condition.</w:t>
            </w:r>
          </w:p>
          <w:p>
            <w:pPr>
              <w:spacing w:after="40" w:line="252" w:lineRule="auto"/>
            </w:pPr>
            <w:hyperlink r:id="rId9">
              <w:r>
                <w:rPr>
                  <w:rFonts w:ascii="Calibri" w:hAnsi="Calibri" w:cs="Calibri"/>
                  <w:sz w:val="18"/>
                  <w:color w:val="1155CC"/>
                  <w:u w:val="single"/>
                </w:rPr>
                <w:t xml:space="preserve">aafp.org — adenomyosis diagnosis &amp; management</w:t>
              </w:r>
            </w:hyperlink>
          </w:p>
          <w:p>
            <w:pPr>
              <w:spacing w:before="60" w:after="40"/>
            </w:pPr>
            <w:r>
              <w:rPr>
                <w:rFonts w:ascii="Calibri" w:hAnsi="Calibri"/>
                <w:b w:val="0"/>
                <w:i w:val="0"/>
                <w:color w:val="5A5A5A"/>
                <w:sz w:val="18"/>
              </w:rPr>
              <w:t>#fibroids  #leiomyoma  #coexistence  #HMB</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Infertility / subfertility</w:t>
            </w:r>
          </w:p>
        </w:tc>
        <w:tc>
          <w:tcPr>
            <w:tcW w:type="dxa" w:w="2160"/>
            <w:vAlign w:val="top"/>
          </w:tcPr>
          <w:p>
            <w:pPr>
              <w:spacing w:after="40" w:before="0" w:line="259" w:lineRule="auto"/>
            </w:pPr>
            <w:r>
              <w:rPr>
                <w:rFonts w:ascii="Calibri" w:hAnsi="Calibri"/>
                <w:b w:val="0"/>
                <w:i w:val="0"/>
                <w:color w:val="212121"/>
                <w:sz w:val="19"/>
              </w:rPr>
              <w:t>Subfertile women / assisted-reproduction patients</w:t>
            </w:r>
          </w:p>
        </w:tc>
        <w:tc>
          <w:tcPr>
            <w:tcW w:type="dxa" w:w="4276"/>
            <w:vAlign w:val="top"/>
          </w:tcPr>
          <w:p>
            <w:pPr>
              <w:spacing w:after="60" w:line="259" w:lineRule="auto"/>
            </w:pPr>
            <w:r>
              <w:rPr>
                <w:rFonts w:ascii="Calibri" w:hAnsi="Calibri"/>
                <w:b w:val="0"/>
                <w:i w:val="0"/>
                <w:color w:val="212121"/>
                <w:sz w:val="19"/>
              </w:rPr>
              <w:t>Adenomyosis distorts the junctional zone and uterine peristalsis and creates a hostile, inflamed implantation environment, reducing fertility and IVF success and increasing miscarriage.</w:t>
            </w:r>
          </w:p>
          <w:p>
            <w:pPr>
              <w:spacing w:after="40" w:before="60" w:line="259" w:lineRule="auto"/>
            </w:pPr>
            <w:r>
              <w:rPr>
                <w:rFonts w:ascii="Calibri" w:hAnsi="Calibri"/>
                <w:b w:val="0"/>
                <w:i w:val="0"/>
                <w:color w:val="212121"/>
                <w:sz w:val="19"/>
              </w:rPr>
              <w:t>Prevalence is ~31% among infertile women; adenomyosis is associated with about a 28% lower probability of clinical pregnancy with IVF.</w:t>
            </w:r>
          </w:p>
          <w:p>
            <w:pPr>
              <w:spacing w:after="40" w:line="252" w:lineRule="auto"/>
            </w:pPr>
            <w:hyperlink r:id="rId9">
              <w:r>
                <w:rPr>
                  <w:rFonts w:ascii="Calibri" w:hAnsi="Calibri" w:cs="Calibri"/>
                  <w:sz w:val="18"/>
                  <w:color w:val="1155CC"/>
                  <w:u w:val="single"/>
                </w:rPr>
                <w:t xml:space="preserve">aafp.org — adenomyosis diagnosis &amp; management</w:t>
              </w:r>
            </w:hyperlink>
          </w:p>
          <w:p>
            <w:pPr>
              <w:spacing w:before="60" w:after="40"/>
            </w:pPr>
            <w:r>
              <w:rPr>
                <w:rFonts w:ascii="Calibri" w:hAnsi="Calibri"/>
                <w:b w:val="0"/>
                <w:i w:val="0"/>
                <w:color w:val="5A5A5A"/>
                <w:sz w:val="18"/>
              </w:rPr>
              <w:t>#infertility  #subfertility  #IVF  #implantation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Abnormal uterine bleeding</w:t>
            </w:r>
          </w:p>
        </w:tc>
        <w:tc>
          <w:tcPr>
            <w:tcW w:type="dxa" w:w="2160"/>
            <w:vAlign w:val="top"/>
          </w:tcPr>
          <w:p>
            <w:pPr>
              <w:spacing w:after="40" w:before="0" w:line="259" w:lineRule="auto"/>
            </w:pPr>
            <w:r>
              <w:rPr>
                <w:rFonts w:ascii="Calibri" w:hAnsi="Calibri"/>
                <w:b w:val="0"/>
                <w:i w:val="0"/>
                <w:color w:val="212121"/>
                <w:sz w:val="19"/>
              </w:rPr>
              <w:t>Women with heavy menstrual bleeding / AUB</w:t>
            </w:r>
          </w:p>
        </w:tc>
        <w:tc>
          <w:tcPr>
            <w:tcW w:type="dxa" w:w="4276"/>
            <w:vAlign w:val="top"/>
          </w:tcPr>
          <w:p>
            <w:pPr>
              <w:spacing w:after="60" w:line="259" w:lineRule="auto"/>
            </w:pPr>
            <w:r>
              <w:rPr>
                <w:rFonts w:ascii="Calibri" w:hAnsi="Calibri"/>
                <w:b w:val="0"/>
                <w:i w:val="0"/>
                <w:color w:val="212121"/>
                <w:sz w:val="19"/>
              </w:rPr>
              <w:t>Adenomyosis enlarges the endometrial surface, increases vascularity and impairs myometrial contraction, so it is a common structural cause of heavy or prolonged menstrual bleeding and resultant iron-deficiency anaemia.</w:t>
            </w:r>
          </w:p>
          <w:p>
            <w:pPr>
              <w:spacing w:after="40" w:before="60" w:line="259" w:lineRule="auto"/>
            </w:pPr>
            <w:r>
              <w:rPr>
                <w:rFonts w:ascii="Calibri" w:hAnsi="Calibri"/>
                <w:b w:val="0"/>
                <w:i w:val="0"/>
                <w:color w:val="212121"/>
                <w:sz w:val="19"/>
              </w:rPr>
              <w:t>Heavy menstrual bleeding is the most common symptom, affecting roughly 40–60% of symptomatic women.</w:t>
            </w:r>
          </w:p>
          <w:p>
            <w:pPr>
              <w:spacing w:after="40" w:line="252" w:lineRule="auto"/>
            </w:pPr>
            <w:hyperlink r:id="rId9">
              <w:r>
                <w:rPr>
                  <w:rFonts w:ascii="Calibri" w:hAnsi="Calibri" w:cs="Calibri"/>
                  <w:sz w:val="18"/>
                  <w:color w:val="1155CC"/>
                  <w:u w:val="single"/>
                </w:rPr>
                <w:t xml:space="preserve">aafp.org — adenomyosis diagnosis &amp; management</w:t>
              </w:r>
            </w:hyperlink>
          </w:p>
          <w:p>
            <w:pPr>
              <w:spacing w:before="60" w:after="40"/>
            </w:pPr>
            <w:r>
              <w:rPr>
                <w:rFonts w:ascii="Calibri" w:hAnsi="Calibri"/>
                <w:b w:val="0"/>
                <w:i w:val="0"/>
                <w:color w:val="5A5A5A"/>
                <w:sz w:val="18"/>
              </w:rPr>
              <w:t>#AUB  #menorrhagia  #irondeficiency  #anaemia</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Regular moderate-to-vigorous activity lowers systemic inflammation and helps control body weight and adipose-derived estrogen, and reduces dysmenorrhoea; sedentary behaviour and obesity increase estrogenic tone. Evidence is largely indirect / extrapolated from dysmenorrhoea and endometriosis studies.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Anti-inflammatory, high-fibre, plant-forward diets may lower circulating estrogen and menstrual pain, whereas high red/processed-meat and high-fat, low-fibre patterns raise estrogenic and inflammatory tone. Direct adenomyosis trial data are limited.</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or insufficient sleep heightens pain perception and inflammatory signalling, which can worsen chronic pelvic pain; no direct causal link to adenomyosis is established.</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Heavy tobacco exposure (&gt; 15 pack-years) has been associated with modestly higher odds of adenomyosis in one study, though overall evidence is mixed and often non-significant; smoking independently worsens anaemia and vascular health.</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can raise circulating estrogen and aggravate bleeding-related iron loss, providing biological plausibility, but direct adenomyosis-specific evidence is weak.</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The relationship is bidirectional: chronic pain and heavy bleeding drive anxiety and depression (about 29% and 14% respectively in adenomyosis, higher than in fibroids), and psychological distress amplifies pain perception and reduces quality of life.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general menstrual well-being and helps manage constipation/bloating, but there is no established direct link to adenomyosis onset or progression.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High caffeine intake has been associated with more menstrual pain in some studies, but findings are inconsistent and adenomyosis-specific data are lacking.</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Menstrual hygiene influences the risk of pelvic/genital infection and the practicality of managing heavy bleeding, but it does not cause adenomyosis.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Menstruation itself provokes cyclical pain and bleeding; prior uterine instrumentation (D&amp;C, caesarean, myomectomy) and unopposed estrogen or tamoxifen therapy can provoke or aggravate disease.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 women</w:t>
            </w:r>
          </w:p>
        </w:tc>
        <w:tc>
          <w:tcPr>
            <w:tcW w:type="dxa" w:w="1512"/>
            <w:vAlign w:val="top"/>
          </w:tcPr>
          <w:p>
            <w:pPr>
              <w:spacing w:after="40" w:before="0" w:line="259" w:lineRule="auto"/>
            </w:pPr>
            <w:r>
              <w:rPr>
                <w:rFonts w:ascii="Calibri" w:hAnsi="Calibri"/>
                <w:b w:val="0"/>
                <w:i w:val="0"/>
                <w:color w:val="212121"/>
                <w:sz w:val="19"/>
              </w:rPr>
              <w:t>18.5–22.9 kg/m² (Asian cut-off)</w:t>
            </w:r>
          </w:p>
        </w:tc>
        <w:tc>
          <w:tcPr>
            <w:tcW w:type="dxa" w:w="1512"/>
            <w:vAlign w:val="top"/>
          </w:tcPr>
          <w:p>
            <w:pPr>
              <w:spacing w:after="40" w:before="0" w:line="259" w:lineRule="auto"/>
            </w:pPr>
            <w:r>
              <w:rPr>
                <w:rFonts w:ascii="Calibri" w:hAnsi="Calibri"/>
                <w:b w:val="0"/>
                <w:i w:val="0"/>
                <w:color w:val="212121"/>
                <w:sz w:val="19"/>
              </w:rPr>
              <w:t>≥ 23 (overweight); ≥ 25 (obese) for Asians</w:t>
            </w:r>
          </w:p>
        </w:tc>
        <w:tc>
          <w:tcPr>
            <w:tcW w:type="dxa" w:w="1468"/>
            <w:vAlign w:val="top"/>
          </w:tcPr>
          <w:p>
            <w:pPr>
              <w:spacing w:after="40" w:before="0" w:line="259" w:lineRule="auto"/>
            </w:pPr>
            <w:r>
              <w:rPr>
                <w:rFonts w:ascii="Calibri" w:hAnsi="Calibri"/>
                <w:b w:val="0"/>
                <w:i w:val="0"/>
                <w:color w:val="212121"/>
                <w:sz w:val="19"/>
              </w:rPr>
              <w:t>Higher adiposity raises aromatase-derived estrogen that sustains adenomyotic tissue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Adult women</w:t>
            </w:r>
          </w:p>
        </w:tc>
        <w:tc>
          <w:tcPr>
            <w:tcW w:type="dxa" w:w="1512"/>
            <w:vAlign w:val="top"/>
          </w:tcPr>
          <w:p>
            <w:pPr>
              <w:spacing w:after="40" w:before="0" w:line="259" w:lineRule="auto"/>
            </w:pPr>
            <w:r>
              <w:rPr>
                <w:rFonts w:ascii="Calibri" w:hAnsi="Calibri"/>
                <w:b w:val="0"/>
                <w:i w:val="0"/>
                <w:color w:val="212121"/>
                <w:sz w:val="19"/>
              </w:rPr>
              <w:t>≥ 150 min/week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40" w:before="0" w:line="259" w:lineRule="auto"/>
            </w:pPr>
            <w:r>
              <w:rPr>
                <w:rFonts w:ascii="Calibri" w:hAnsi="Calibri"/>
                <w:b w:val="0"/>
                <w:i w:val="0"/>
                <w:color w:val="212121"/>
                <w:sz w:val="19"/>
              </w:rPr>
              <w:t>Regular activity reduces dysmenorrhoea, inflammation and weight-related estrogen</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fibre (g/day)</w:t>
            </w:r>
          </w:p>
        </w:tc>
        <w:tc>
          <w:tcPr>
            <w:tcW w:type="dxa" w:w="1655"/>
            <w:vAlign w:val="top"/>
          </w:tcPr>
          <w:p>
            <w:pPr>
              <w:spacing w:after="40" w:before="0" w:line="259" w:lineRule="auto"/>
            </w:pPr>
            <w:r>
              <w:rPr>
                <w:rFonts w:ascii="Calibri" w:hAnsi="Calibri"/>
                <w:b w:val="0"/>
                <w:i w:val="0"/>
                <w:color w:val="212121"/>
                <w:sz w:val="19"/>
              </w:rPr>
              <w:t>Adult women</w:t>
            </w:r>
          </w:p>
        </w:tc>
        <w:tc>
          <w:tcPr>
            <w:tcW w:type="dxa" w:w="1512"/>
            <w:vAlign w:val="top"/>
          </w:tcPr>
          <w:p>
            <w:pPr>
              <w:spacing w:after="40" w:before="0" w:line="259" w:lineRule="auto"/>
            </w:pPr>
            <w:r>
              <w:rPr>
                <w:rFonts w:ascii="Calibri" w:hAnsi="Calibri"/>
                <w:b w:val="0"/>
                <w:i w:val="0"/>
                <w:color w:val="212121"/>
                <w:sz w:val="19"/>
              </w:rPr>
              <w:t>25–30 g/day</w:t>
            </w:r>
          </w:p>
        </w:tc>
        <w:tc>
          <w:tcPr>
            <w:tcW w:type="dxa" w:w="1512"/>
            <w:vAlign w:val="top"/>
          </w:tcPr>
          <w:p>
            <w:pPr>
              <w:spacing w:after="40" w:before="0" w:line="259" w:lineRule="auto"/>
            </w:pPr>
            <w:r>
              <w:rPr>
                <w:rFonts w:ascii="Calibri" w:hAnsi="Calibri"/>
                <w:b w:val="0"/>
                <w:i w:val="0"/>
                <w:color w:val="212121"/>
                <w:sz w:val="19"/>
              </w:rPr>
              <w:t>&lt; 20 g/day</w:t>
            </w:r>
          </w:p>
        </w:tc>
        <w:tc>
          <w:tcPr>
            <w:tcW w:type="dxa" w:w="1468"/>
            <w:vAlign w:val="top"/>
          </w:tcPr>
          <w:p>
            <w:pPr>
              <w:spacing w:after="40" w:before="0" w:line="259" w:lineRule="auto"/>
            </w:pPr>
            <w:r>
              <w:rPr>
                <w:rFonts w:ascii="Calibri" w:hAnsi="Calibri"/>
                <w:b w:val="0"/>
                <w:i w:val="0"/>
                <w:color w:val="212121"/>
                <w:sz w:val="19"/>
              </w:rPr>
              <w:t>Fibre promotes enterohepatic excretion of estrogen and eases bowel symptoms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Fruit &amp; vegetable servings/day</w:t>
            </w:r>
          </w:p>
        </w:tc>
        <w:tc>
          <w:tcPr>
            <w:tcW w:type="dxa" w:w="1655"/>
            <w:vAlign w:val="top"/>
          </w:tcPr>
          <w:p>
            <w:pPr>
              <w:spacing w:after="40" w:before="0" w:line="259" w:lineRule="auto"/>
            </w:pPr>
            <w:r>
              <w:rPr>
                <w:rFonts w:ascii="Calibri" w:hAnsi="Calibri"/>
                <w:b w:val="0"/>
                <w:i w:val="0"/>
                <w:color w:val="212121"/>
                <w:sz w:val="19"/>
              </w:rPr>
              <w:t>Adult women</w:t>
            </w:r>
          </w:p>
        </w:tc>
        <w:tc>
          <w:tcPr>
            <w:tcW w:type="dxa" w:w="1512"/>
            <w:vAlign w:val="top"/>
          </w:tcPr>
          <w:p>
            <w:pPr>
              <w:spacing w:after="40" w:before="0" w:line="259" w:lineRule="auto"/>
            </w:pPr>
            <w:r>
              <w:rPr>
                <w:rFonts w:ascii="Calibri" w:hAnsi="Calibri"/>
                <w:b w:val="0"/>
                <w:i w:val="0"/>
                <w:color w:val="212121"/>
                <w:sz w:val="19"/>
              </w:rPr>
              <w:t>≥ 5 servings/day</w:t>
            </w:r>
          </w:p>
        </w:tc>
        <w:tc>
          <w:tcPr>
            <w:tcW w:type="dxa" w:w="1512"/>
            <w:vAlign w:val="top"/>
          </w:tcPr>
          <w:p>
            <w:pPr>
              <w:spacing w:after="40" w:before="0" w:line="259" w:lineRule="auto"/>
            </w:pPr>
            <w:r>
              <w:rPr>
                <w:rFonts w:ascii="Calibri" w:hAnsi="Calibri"/>
                <w:b w:val="0"/>
                <w:i w:val="0"/>
                <w:color w:val="212121"/>
                <w:sz w:val="19"/>
              </w:rPr>
              <w:t>&lt; 3 servings/day</w:t>
            </w:r>
          </w:p>
        </w:tc>
        <w:tc>
          <w:tcPr>
            <w:tcW w:type="dxa" w:w="1468"/>
            <w:vAlign w:val="top"/>
          </w:tcPr>
          <w:p>
            <w:pPr>
              <w:spacing w:after="40" w:before="0" w:line="259" w:lineRule="auto"/>
            </w:pPr>
            <w:r>
              <w:rPr>
                <w:rFonts w:ascii="Calibri" w:hAnsi="Calibri"/>
                <w:b w:val="0"/>
                <w:i w:val="0"/>
                <w:color w:val="212121"/>
                <w:sz w:val="19"/>
              </w:rPr>
              <w:t>Antioxidant/anti-inflammatory intake may lessen menstrual pain</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 women</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hours/night</w:t>
            </w:r>
          </w:p>
        </w:tc>
        <w:tc>
          <w:tcPr>
            <w:tcW w:type="dxa" w:w="1468"/>
            <w:vAlign w:val="top"/>
          </w:tcPr>
          <w:p>
            <w:pPr>
              <w:spacing w:after="40" w:before="0" w:line="259" w:lineRule="auto"/>
            </w:pPr>
            <w:r>
              <w:rPr>
                <w:rFonts w:ascii="Calibri" w:hAnsi="Calibri"/>
                <w:b w:val="0"/>
                <w:i w:val="0"/>
                <w:color w:val="212121"/>
                <w:sz w:val="19"/>
              </w:rPr>
              <w:t>Poor sleep amplifies pain perception and inflammatory tone</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Tobacco exposure (pack-years)</w:t>
            </w:r>
          </w:p>
        </w:tc>
        <w:tc>
          <w:tcPr>
            <w:tcW w:type="dxa" w:w="1655"/>
            <w:vAlign w:val="top"/>
          </w:tcPr>
          <w:p>
            <w:pPr>
              <w:spacing w:after="40" w:before="0" w:line="259" w:lineRule="auto"/>
            </w:pPr>
            <w:r>
              <w:rPr>
                <w:rFonts w:ascii="Calibri" w:hAnsi="Calibri"/>
                <w:b w:val="0"/>
                <w:i w:val="0"/>
                <w:color w:val="212121"/>
                <w:sz w:val="19"/>
              </w:rPr>
              <w:t>Women of reproductive age</w:t>
            </w:r>
          </w:p>
        </w:tc>
        <w:tc>
          <w:tcPr>
            <w:tcW w:type="dxa" w:w="1512"/>
            <w:vAlign w:val="top"/>
          </w:tcPr>
          <w:p>
            <w:pPr>
              <w:spacing w:after="40" w:before="0" w:line="259" w:lineRule="auto"/>
            </w:pPr>
            <w:r>
              <w:rPr>
                <w:rFonts w:ascii="Calibri" w:hAnsi="Calibri"/>
                <w:b w:val="0"/>
                <w:i w:val="0"/>
                <w:color w:val="212121"/>
                <w:sz w:val="19"/>
              </w:rPr>
              <w:t>0 pack-years</w:t>
            </w:r>
          </w:p>
        </w:tc>
        <w:tc>
          <w:tcPr>
            <w:tcW w:type="dxa" w:w="1512"/>
            <w:vAlign w:val="top"/>
          </w:tcPr>
          <w:p>
            <w:pPr>
              <w:spacing w:after="40" w:before="0" w:line="259" w:lineRule="auto"/>
            </w:pPr>
            <w:r>
              <w:rPr>
                <w:rFonts w:ascii="Calibri" w:hAnsi="Calibri"/>
                <w:b w:val="0"/>
                <w:i w:val="0"/>
                <w:color w:val="212121"/>
                <w:sz w:val="19"/>
              </w:rPr>
              <w:t>&gt; 15 pack-years</w:t>
            </w:r>
          </w:p>
        </w:tc>
        <w:tc>
          <w:tcPr>
            <w:tcW w:type="dxa" w:w="1468"/>
            <w:vAlign w:val="top"/>
          </w:tcPr>
          <w:p>
            <w:pPr>
              <w:spacing w:after="60" w:line="259" w:lineRule="auto"/>
            </w:pPr>
            <w:r>
              <w:rPr>
                <w:rFonts w:ascii="Calibri" w:hAnsi="Calibri"/>
                <w:b w:val="0"/>
                <w:i w:val="0"/>
                <w:color w:val="212121"/>
                <w:sz w:val="19"/>
              </w:rPr>
              <w:t>Heavy smoking linked to ~50% higher odds of adenomyosis and worsens anaemia</w:t>
            </w:r>
          </w:p>
          <w:p>
            <w:pPr>
              <w:spacing w:after="40" w:line="252" w:lineRule="auto"/>
            </w:pPr>
            <w:hyperlink r:id="rId13">
              <w:r>
                <w:rPr>
                  <w:rFonts w:ascii="Calibri" w:hAnsi="Calibri" w:cs="Calibri"/>
                  <w:sz w:val="18"/>
                  <w:color w:val="1155CC"/>
                  <w:u w:val="single"/>
                </w:rPr>
                <w:t xml:space="preserve">https://pubmed.ncbi.nlm.nih.gov/36716812/</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(drinks/week)</w:t>
            </w:r>
          </w:p>
        </w:tc>
        <w:tc>
          <w:tcPr>
            <w:tcW w:type="dxa" w:w="1655"/>
            <w:vAlign w:val="top"/>
          </w:tcPr>
          <w:p>
            <w:pPr>
              <w:spacing w:after="40" w:before="0" w:line="259" w:lineRule="auto"/>
            </w:pPr>
            <w:r>
              <w:rPr>
                <w:rFonts w:ascii="Calibri" w:hAnsi="Calibri"/>
                <w:b w:val="0"/>
                <w:i w:val="0"/>
                <w:color w:val="212121"/>
                <w:sz w:val="19"/>
              </w:rPr>
              <w:t>Adult women</w:t>
            </w:r>
          </w:p>
        </w:tc>
        <w:tc>
          <w:tcPr>
            <w:tcW w:type="dxa" w:w="1512"/>
            <w:vAlign w:val="top"/>
          </w:tcPr>
          <w:p>
            <w:pPr>
              <w:spacing w:after="40" w:before="0" w:line="259" w:lineRule="auto"/>
            </w:pPr>
            <w:r>
              <w:rPr>
                <w:rFonts w:ascii="Calibri" w:hAnsi="Calibri"/>
                <w:b w:val="0"/>
                <w:i w:val="0"/>
                <w:color w:val="212121"/>
                <w:sz w:val="19"/>
              </w:rPr>
              <w:t>0–≤ 7 drinks/week</w:t>
            </w:r>
          </w:p>
        </w:tc>
        <w:tc>
          <w:tcPr>
            <w:tcW w:type="dxa" w:w="1512"/>
            <w:vAlign w:val="top"/>
          </w:tcPr>
          <w:p>
            <w:pPr>
              <w:spacing w:after="40" w:before="0" w:line="259" w:lineRule="auto"/>
            </w:pPr>
            <w:r>
              <w:rPr>
                <w:rFonts w:ascii="Calibri" w:hAnsi="Calibri"/>
                <w:b w:val="0"/>
                <w:i w:val="0"/>
                <w:color w:val="212121"/>
                <w:sz w:val="19"/>
              </w:rPr>
              <w:t>&gt; 7 drinks/week</w:t>
            </w:r>
          </w:p>
        </w:tc>
        <w:tc>
          <w:tcPr>
            <w:tcW w:type="dxa" w:w="1468"/>
            <w:vAlign w:val="top"/>
          </w:tcPr>
          <w:p>
            <w:pPr>
              <w:spacing w:after="40" w:before="0" w:line="259" w:lineRule="auto"/>
            </w:pPr>
            <w:r>
              <w:rPr>
                <w:rFonts w:ascii="Calibri" w:hAnsi="Calibri"/>
                <w:b w:val="0"/>
                <w:i w:val="0"/>
                <w:color w:val="212121"/>
                <w:sz w:val="19"/>
              </w:rPr>
              <w:t>Excess alcohol raises circulating estrogen and worsens iron loss</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PHQ-9 / GAD-7 score</w:t>
            </w:r>
          </w:p>
        </w:tc>
        <w:tc>
          <w:tcPr>
            <w:tcW w:type="dxa" w:w="1655"/>
            <w:vAlign w:val="top"/>
          </w:tcPr>
          <w:p>
            <w:pPr>
              <w:spacing w:after="40" w:before="0" w:line="259" w:lineRule="auto"/>
            </w:pPr>
            <w:r>
              <w:rPr>
                <w:rFonts w:ascii="Calibri" w:hAnsi="Calibri"/>
                <w:b w:val="0"/>
                <w:i w:val="0"/>
                <w:color w:val="212121"/>
                <w:sz w:val="19"/>
              </w:rPr>
              <w:t>Women with chronic pelvic pain / HMB</w:t>
            </w:r>
          </w:p>
        </w:tc>
        <w:tc>
          <w:tcPr>
            <w:tcW w:type="dxa" w:w="1512"/>
            <w:vAlign w:val="top"/>
          </w:tcPr>
          <w:p>
            <w:pPr>
              <w:spacing w:after="40" w:before="0" w:line="259" w:lineRule="auto"/>
            </w:pPr>
            <w:r>
              <w:rPr>
                <w:rFonts w:ascii="Calibri" w:hAnsi="Calibri"/>
                <w:b w:val="0"/>
                <w:i w:val="0"/>
                <w:color w:val="212121"/>
                <w:sz w:val="19"/>
              </w:rPr>
              <w:t>&lt; 5 (minimal)</w:t>
            </w:r>
          </w:p>
        </w:tc>
        <w:tc>
          <w:tcPr>
            <w:tcW w:type="dxa" w:w="1512"/>
            <w:vAlign w:val="top"/>
          </w:tcPr>
          <w:p>
            <w:pPr>
              <w:spacing w:after="40" w:before="0" w:line="259" w:lineRule="auto"/>
            </w:pPr>
            <w:r>
              <w:rPr>
                <w:rFonts w:ascii="Calibri" w:hAnsi="Calibri"/>
                <w:b w:val="0"/>
                <w:i w:val="0"/>
                <w:color w:val="212121"/>
                <w:sz w:val="19"/>
              </w:rPr>
              <w:t>≥ 10 (moderate depression/anxiety)</w:t>
            </w:r>
          </w:p>
        </w:tc>
        <w:tc>
          <w:tcPr>
            <w:tcW w:type="dxa" w:w="1468"/>
            <w:vAlign w:val="top"/>
          </w:tcPr>
          <w:p>
            <w:pPr>
              <w:spacing w:after="60" w:line="259" w:lineRule="auto"/>
            </w:pPr>
            <w:r>
              <w:rPr>
                <w:rFonts w:ascii="Calibri" w:hAnsi="Calibri"/>
                <w:b w:val="0"/>
                <w:i w:val="0"/>
                <w:color w:val="212121"/>
                <w:sz w:val="19"/>
              </w:rPr>
              <w:t>Anxiety (~29%) and depression (~14%) are common; screen and treat</w:t>
            </w:r>
          </w:p>
          <w:p>
            <w:pPr>
              <w:spacing w:after="40" w:line="252" w:lineRule="auto"/>
            </w:pPr>
            <w:hyperlink r:id="rId15">
              <w:r>
                <w:rPr>
                  <w:rFonts w:ascii="Calibri" w:hAnsi="Calibri" w:cs="Calibri"/>
                  <w:sz w:val="18"/>
                  <w:color w:val="1155CC"/>
                  <w:u w:val="single"/>
                </w:rPr>
                <w:t xml:space="preserve">https://www.mdpi.com/2077-0383/11/9/2638</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Haemoglobin (g/dL)</w:t>
            </w:r>
          </w:p>
        </w:tc>
        <w:tc>
          <w:tcPr>
            <w:tcW w:type="dxa" w:w="1655"/>
            <w:vAlign w:val="top"/>
          </w:tcPr>
          <w:p>
            <w:pPr>
              <w:spacing w:after="40" w:before="0" w:line="259" w:lineRule="auto"/>
            </w:pPr>
            <w:r>
              <w:rPr>
                <w:rFonts w:ascii="Calibri" w:hAnsi="Calibri"/>
                <w:b w:val="0"/>
                <w:i w:val="0"/>
                <w:color w:val="212121"/>
                <w:sz w:val="19"/>
              </w:rPr>
              <w:t>Women with heavy menstrual bleeding</w:t>
            </w:r>
          </w:p>
        </w:tc>
        <w:tc>
          <w:tcPr>
            <w:tcW w:type="dxa" w:w="1512"/>
            <w:vAlign w:val="top"/>
          </w:tcPr>
          <w:p>
            <w:pPr>
              <w:spacing w:after="40" w:before="0" w:line="259" w:lineRule="auto"/>
            </w:pPr>
            <w:r>
              <w:rPr>
                <w:rFonts w:ascii="Calibri" w:hAnsi="Calibri"/>
                <w:b w:val="0"/>
                <w:i w:val="0"/>
                <w:color w:val="212121"/>
                <w:sz w:val="19"/>
              </w:rPr>
              <w:t>≥ 12 g/dL (non-pregnant women)</w:t>
            </w:r>
          </w:p>
        </w:tc>
        <w:tc>
          <w:tcPr>
            <w:tcW w:type="dxa" w:w="1512"/>
            <w:vAlign w:val="top"/>
          </w:tcPr>
          <w:p>
            <w:pPr>
              <w:spacing w:after="40" w:before="0" w:line="259" w:lineRule="auto"/>
            </w:pPr>
            <w:r>
              <w:rPr>
                <w:rFonts w:ascii="Calibri" w:hAnsi="Calibri"/>
                <w:b w:val="0"/>
                <w:i w:val="0"/>
                <w:color w:val="212121"/>
                <w:sz w:val="19"/>
              </w:rPr>
              <w:t>&lt; 12 g/dL (&lt; 11 in pregnancy)</w:t>
            </w:r>
          </w:p>
        </w:tc>
        <w:tc>
          <w:tcPr>
            <w:tcW w:type="dxa" w:w="1468"/>
            <w:vAlign w:val="top"/>
          </w:tcPr>
          <w:p>
            <w:pPr>
              <w:spacing w:after="40" w:before="0" w:line="259" w:lineRule="auto"/>
            </w:pPr>
            <w:r>
              <w:rPr>
                <w:rFonts w:ascii="Calibri" w:hAnsi="Calibri"/>
                <w:b w:val="0"/>
                <w:i w:val="0"/>
                <w:color w:val="212121"/>
                <w:sz w:val="19"/>
              </w:rPr>
              <w:t>Chronic menstrual blood loss causes iron-deficiency anaemia</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Menstrual blood loss (PBAC score)</w:t>
            </w:r>
          </w:p>
        </w:tc>
        <w:tc>
          <w:tcPr>
            <w:tcW w:type="dxa" w:w="1655"/>
            <w:vAlign w:val="top"/>
          </w:tcPr>
          <w:p>
            <w:pPr>
              <w:spacing w:after="40" w:before="0" w:line="259" w:lineRule="auto"/>
            </w:pPr>
            <w:r>
              <w:rPr>
                <w:rFonts w:ascii="Calibri" w:hAnsi="Calibri"/>
                <w:b w:val="0"/>
                <w:i w:val="0"/>
                <w:color w:val="212121"/>
                <w:sz w:val="19"/>
              </w:rPr>
              <w:t>Women with menorrhagia</w:t>
            </w:r>
          </w:p>
        </w:tc>
        <w:tc>
          <w:tcPr>
            <w:tcW w:type="dxa" w:w="1512"/>
            <w:vAlign w:val="top"/>
          </w:tcPr>
          <w:p>
            <w:pPr>
              <w:spacing w:after="40" w:before="0" w:line="259" w:lineRule="auto"/>
            </w:pPr>
            <w:r>
              <w:rPr>
                <w:rFonts w:ascii="Calibri" w:hAnsi="Calibri"/>
                <w:b w:val="0"/>
                <w:i w:val="0"/>
                <w:color w:val="212121"/>
                <w:sz w:val="19"/>
              </w:rPr>
              <w:t>&lt; 100</w:t>
            </w:r>
          </w:p>
        </w:tc>
        <w:tc>
          <w:tcPr>
            <w:tcW w:type="dxa" w:w="1512"/>
            <w:vAlign w:val="top"/>
          </w:tcPr>
          <w:p>
            <w:pPr>
              <w:spacing w:after="40" w:before="0" w:line="259" w:lineRule="auto"/>
            </w:pPr>
            <w:r>
              <w:rPr>
                <w:rFonts w:ascii="Calibri" w:hAnsi="Calibri"/>
                <w:b w:val="0"/>
                <w:i w:val="0"/>
                <w:color w:val="212121"/>
                <w:sz w:val="19"/>
              </w:rPr>
              <w:t>&gt; 100 (heavy menstrual bleeding)</w:t>
            </w:r>
          </w:p>
        </w:tc>
        <w:tc>
          <w:tcPr>
            <w:tcW w:type="dxa" w:w="1468"/>
            <w:vAlign w:val="top"/>
          </w:tcPr>
          <w:p>
            <w:pPr>
              <w:spacing w:after="40" w:before="0" w:line="259" w:lineRule="auto"/>
            </w:pPr>
            <w:r>
              <w:rPr>
                <w:rFonts w:ascii="Calibri" w:hAnsi="Calibri"/>
                <w:b w:val="0"/>
                <w:i w:val="0"/>
                <w:color w:val="212121"/>
                <w:sz w:val="19"/>
              </w:rPr>
              <w:t>Pictorial Blood-loss Assessment Chart quantifies heavy bleeding</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Junctional-zone thickness on MRI (mm)</w:t>
            </w:r>
          </w:p>
        </w:tc>
        <w:tc>
          <w:tcPr>
            <w:tcW w:type="dxa" w:w="1655"/>
            <w:vAlign w:val="top"/>
          </w:tcPr>
          <w:p>
            <w:pPr>
              <w:spacing w:after="40" w:before="0" w:line="259" w:lineRule="auto"/>
            </w:pPr>
            <w:r>
              <w:rPr>
                <w:rFonts w:ascii="Calibri" w:hAnsi="Calibri"/>
                <w:b w:val="0"/>
                <w:i w:val="0"/>
                <w:color w:val="212121"/>
                <w:sz w:val="19"/>
              </w:rPr>
              <w:t>Women being evaluated for adenomyosis</w:t>
            </w:r>
          </w:p>
        </w:tc>
        <w:tc>
          <w:tcPr>
            <w:tcW w:type="dxa" w:w="1512"/>
            <w:vAlign w:val="top"/>
          </w:tcPr>
          <w:p>
            <w:pPr>
              <w:spacing w:after="40" w:before="0" w:line="259" w:lineRule="auto"/>
            </w:pPr>
            <w:r>
              <w:rPr>
                <w:rFonts w:ascii="Calibri" w:hAnsi="Calibri"/>
                <w:b w:val="0"/>
                <w:i w:val="0"/>
                <w:color w:val="212121"/>
                <w:sz w:val="19"/>
              </w:rPr>
              <w:t>&lt; 8 mm</w:t>
            </w:r>
          </w:p>
        </w:tc>
        <w:tc>
          <w:tcPr>
            <w:tcW w:type="dxa" w:w="1512"/>
            <w:vAlign w:val="top"/>
          </w:tcPr>
          <w:p>
            <w:pPr>
              <w:spacing w:after="40" w:before="0" w:line="259" w:lineRule="auto"/>
            </w:pPr>
            <w:r>
              <w:rPr>
                <w:rFonts w:ascii="Calibri" w:hAnsi="Calibri"/>
                <w:b w:val="0"/>
                <w:i w:val="0"/>
                <w:color w:val="212121"/>
                <w:sz w:val="19"/>
              </w:rPr>
              <w:t>≥ 12 mm</w:t>
            </w:r>
          </w:p>
        </w:tc>
        <w:tc>
          <w:tcPr>
            <w:tcW w:type="dxa" w:w="1468"/>
            <w:vAlign w:val="top"/>
          </w:tcPr>
          <w:p>
            <w:pPr>
              <w:spacing w:after="60" w:line="259" w:lineRule="auto"/>
            </w:pPr>
            <w:r>
              <w:rPr>
                <w:rFonts w:ascii="Calibri" w:hAnsi="Calibri"/>
                <w:b w:val="0"/>
                <w:i w:val="0"/>
                <w:color w:val="212121"/>
                <w:sz w:val="19"/>
              </w:rPr>
              <w:t>JZ ≥ 12 mm is the key MRI diagnostic criterion</w:t>
            </w:r>
          </w:p>
          <w:p>
            <w:pPr>
              <w:spacing w:after="40" w:line="252" w:lineRule="auto"/>
            </w:pPr>
            <w:hyperlink r:id="rId16">
              <w:r>
                <w:rPr>
                  <w:rFonts w:ascii="Calibri" w:hAnsi="Calibri" w:cs="Calibri"/>
                  <w:sz w:val="18"/>
                  <w:color w:val="1155CC"/>
                  <w:u w:val="single"/>
                </w:rPr>
                <w:t xml:space="preserve">https://obgyn.onlinelibrary.wiley.com/doi/10.1002/uog.24786</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Uterine morphology &amp; junctional zone</w:t>
            </w:r>
          </w:p>
        </w:tc>
        <w:tc>
          <w:tcPr>
            <w:tcW w:type="dxa" w:w="892"/>
            <w:vAlign w:val="top"/>
          </w:tcPr>
          <w:p>
            <w:pPr>
              <w:spacing w:after="40" w:before="0" w:line="259" w:lineRule="auto"/>
            </w:pPr>
            <w:r>
              <w:rPr>
                <w:rFonts w:ascii="Calibri" w:hAnsi="Calibri"/>
                <w:b w:val="0"/>
                <w:i w:val="0"/>
                <w:color w:val="212121"/>
                <w:sz w:val="16"/>
              </w:rPr>
              <w:t>Transvaginal ultrasound (TVUS)</w:t>
            </w:r>
          </w:p>
        </w:tc>
        <w:tc>
          <w:tcPr>
            <w:tcW w:type="dxa" w:w="950"/>
            <w:vAlign w:val="top"/>
          </w:tcPr>
          <w:p>
            <w:pPr>
              <w:spacing w:after="40" w:before="0" w:line="259" w:lineRule="auto"/>
            </w:pPr>
            <w:r>
              <w:rPr>
                <w:rFonts w:ascii="Calibri" w:hAnsi="Calibri"/>
                <w:b w:val="0"/>
                <w:i w:val="0"/>
                <w:color w:val="212121"/>
                <w:sz w:val="16"/>
              </w:rPr>
              <w:t>Regular JZ, homogeneous myometrium, no cysts</w:t>
            </w:r>
          </w:p>
        </w:tc>
        <w:tc>
          <w:tcPr>
            <w:tcW w:type="dxa" w:w="950"/>
            <w:vAlign w:val="top"/>
          </w:tcPr>
          <w:p>
            <w:pPr>
              <w:spacing w:after="40" w:before="0" w:line="259" w:lineRule="auto"/>
            </w:pPr>
            <w:r>
              <w:rPr>
                <w:rFonts w:ascii="Calibri" w:hAnsi="Calibri"/>
                <w:b w:val="0"/>
                <w:i w:val="0"/>
                <w:color w:val="212121"/>
                <w:sz w:val="16"/>
              </w:rPr>
              <w:t>Globular uterus, myometrial cysts, subendometrial buds/lines, fan-shaped shadowing, irregular JZ</w:t>
            </w:r>
          </w:p>
        </w:tc>
        <w:tc>
          <w:tcPr>
            <w:tcW w:type="dxa" w:w="1036"/>
            <w:vAlign w:val="top"/>
          </w:tcPr>
          <w:p>
            <w:pPr>
              <w:spacing w:after="40" w:before="0" w:line="259" w:lineRule="auto"/>
            </w:pPr>
            <w:r>
              <w:rPr>
                <w:rFonts w:ascii="Calibri" w:hAnsi="Calibri"/>
                <w:b w:val="0"/>
                <w:i w:val="0"/>
                <w:color w:val="212121"/>
                <w:sz w:val="16"/>
              </w:rPr>
              <w:t>First-line, MUSA-based non-invasive diagnosis of adenomyosis</w:t>
            </w:r>
          </w:p>
        </w:tc>
        <w:tc>
          <w:tcPr>
            <w:tcW w:type="dxa" w:w="1036"/>
            <w:vAlign w:val="top"/>
          </w:tcPr>
          <w:p>
            <w:pPr>
              <w:spacing w:after="40" w:before="0" w:line="259" w:lineRule="auto"/>
            </w:pPr>
            <w:r>
              <w:rPr>
                <w:rFonts w:ascii="Calibri" w:hAnsi="Calibri"/>
                <w:b w:val="0"/>
                <w:i w:val="0"/>
                <w:color w:val="212121"/>
                <w:sz w:val="16"/>
              </w:rPr>
              <w:t>Women with HMB, dysmenorrhoea, enlarged/boggy uterus, subfertility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First-line</w:t>
            </w:r>
          </w:p>
        </w:tc>
        <w:tc>
          <w:tcPr>
            <w:tcW w:type="dxa" w:w="720"/>
            <w:vAlign w:val="top"/>
          </w:tcPr>
          <w:p>
            <w:pPr>
              <w:spacing w:after="40" w:before="0" w:line="259" w:lineRule="auto"/>
            </w:pPr>
            <w:r>
              <w:rPr>
                <w:rFonts w:ascii="Calibri" w:hAnsi="Calibri"/>
                <w:b w:val="0"/>
                <w:i w:val="0"/>
                <w:color w:val="212121"/>
                <w:sz w:val="16"/>
              </w:rPr>
              <w:t>Sensitivity ~72–84%; operator-dependent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Junctional-zone thickness</w:t>
            </w:r>
          </w:p>
        </w:tc>
        <w:tc>
          <w:tcPr>
            <w:tcW w:type="dxa" w:w="892"/>
            <w:vAlign w:val="top"/>
          </w:tcPr>
          <w:p>
            <w:pPr>
              <w:spacing w:after="40" w:before="0" w:line="259" w:lineRule="auto"/>
            </w:pPr>
            <w:r>
              <w:rPr>
                <w:rFonts w:ascii="Calibri" w:hAnsi="Calibri"/>
                <w:b w:val="0"/>
                <w:i w:val="0"/>
                <w:color w:val="212121"/>
                <w:sz w:val="16"/>
              </w:rPr>
              <w:t>Pelvic MRI (T2-weighted)</w:t>
            </w:r>
          </w:p>
        </w:tc>
        <w:tc>
          <w:tcPr>
            <w:tcW w:type="dxa" w:w="950"/>
            <w:vAlign w:val="top"/>
          </w:tcPr>
          <w:p>
            <w:pPr>
              <w:spacing w:after="40" w:before="0" w:line="259" w:lineRule="auto"/>
            </w:pPr>
            <w:r>
              <w:rPr>
                <w:rFonts w:ascii="Calibri" w:hAnsi="Calibri"/>
                <w:b w:val="0"/>
                <w:i w:val="0"/>
                <w:color w:val="212121"/>
                <w:sz w:val="16"/>
              </w:rPr>
              <w:t>JZ &lt; 8 mm</w:t>
            </w:r>
          </w:p>
        </w:tc>
        <w:tc>
          <w:tcPr>
            <w:tcW w:type="dxa" w:w="950"/>
            <w:vAlign w:val="top"/>
          </w:tcPr>
          <w:p>
            <w:pPr>
              <w:spacing w:after="40" w:before="0" w:line="259" w:lineRule="auto"/>
            </w:pPr>
            <w:r>
              <w:rPr>
                <w:rFonts w:ascii="Calibri" w:hAnsi="Calibri"/>
                <w:b w:val="0"/>
                <w:i w:val="0"/>
                <w:color w:val="212121"/>
                <w:sz w:val="16"/>
              </w:rPr>
              <w:t>JZ ≥ 12 mm, or high-signal myometrial foci</w:t>
            </w:r>
          </w:p>
        </w:tc>
        <w:tc>
          <w:tcPr>
            <w:tcW w:type="dxa" w:w="1036"/>
            <w:vAlign w:val="top"/>
          </w:tcPr>
          <w:p>
            <w:pPr>
              <w:spacing w:after="40" w:before="0" w:line="259" w:lineRule="auto"/>
            </w:pPr>
            <w:r>
              <w:rPr>
                <w:rFonts w:ascii="Calibri" w:hAnsi="Calibri"/>
                <w:b w:val="0"/>
                <w:i w:val="0"/>
                <w:color w:val="212121"/>
                <w:sz w:val="16"/>
              </w:rPr>
              <w:t>Problem-solving and pre-treatment mapping; distinguishes focal vs diffuse and adenomyoma from fibroid</w:t>
            </w:r>
          </w:p>
        </w:tc>
        <w:tc>
          <w:tcPr>
            <w:tcW w:type="dxa" w:w="1036"/>
            <w:vAlign w:val="top"/>
          </w:tcPr>
          <w:p>
            <w:pPr>
              <w:spacing w:after="40" w:before="0" w:line="259" w:lineRule="auto"/>
            </w:pPr>
            <w:r>
              <w:rPr>
                <w:rFonts w:ascii="Calibri" w:hAnsi="Calibri"/>
                <w:b w:val="0"/>
                <w:i w:val="0"/>
                <w:color w:val="212121"/>
                <w:sz w:val="16"/>
              </w:rPr>
              <w:t>Complex/coexisting fibroids, planning uterus-sparing surgery, equivocal TVUS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JZ 8–12 mm indeterminate; avoid over-reliance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Haemoglobin &amp; red-cell indices</w:t>
            </w:r>
          </w:p>
        </w:tc>
        <w:tc>
          <w:tcPr>
            <w:tcW w:type="dxa" w:w="892"/>
            <w:vAlign w:val="top"/>
          </w:tcPr>
          <w:p>
            <w:pPr>
              <w:spacing w:after="40" w:before="0" w:line="259" w:lineRule="auto"/>
            </w:pPr>
            <w:r>
              <w:rPr>
                <w:rFonts w:ascii="Calibri" w:hAnsi="Calibri"/>
                <w:b w:val="0"/>
                <w:i w:val="0"/>
                <w:color w:val="212121"/>
                <w:sz w:val="16"/>
              </w:rPr>
              <w:t>Complete blood count (CBC)</w:t>
            </w:r>
          </w:p>
        </w:tc>
        <w:tc>
          <w:tcPr>
            <w:tcW w:type="dxa" w:w="950"/>
            <w:vAlign w:val="top"/>
          </w:tcPr>
          <w:p>
            <w:pPr>
              <w:spacing w:after="40" w:before="0" w:line="259" w:lineRule="auto"/>
            </w:pPr>
            <w:r>
              <w:rPr>
                <w:rFonts w:ascii="Calibri" w:hAnsi="Calibri"/>
                <w:b w:val="0"/>
                <w:i w:val="0"/>
                <w:color w:val="212121"/>
                <w:sz w:val="16"/>
              </w:rPr>
              <w:t>Hb ≥ 12 g/dL; normal MCV</w:t>
            </w:r>
          </w:p>
        </w:tc>
        <w:tc>
          <w:tcPr>
            <w:tcW w:type="dxa" w:w="950"/>
            <w:vAlign w:val="top"/>
          </w:tcPr>
          <w:p>
            <w:pPr>
              <w:spacing w:after="40" w:before="0" w:line="259" w:lineRule="auto"/>
            </w:pPr>
            <w:r>
              <w:rPr>
                <w:rFonts w:ascii="Calibri" w:hAnsi="Calibri"/>
                <w:b w:val="0"/>
                <w:i w:val="0"/>
                <w:color w:val="212121"/>
                <w:sz w:val="16"/>
              </w:rPr>
              <w:t>Hb &lt; 12 g/dL; low MCV/MCH (microcytic)</w:t>
            </w:r>
          </w:p>
        </w:tc>
        <w:tc>
          <w:tcPr>
            <w:tcW w:type="dxa" w:w="1036"/>
            <w:vAlign w:val="top"/>
          </w:tcPr>
          <w:p>
            <w:pPr>
              <w:spacing w:after="40" w:before="0" w:line="259" w:lineRule="auto"/>
            </w:pPr>
            <w:r>
              <w:rPr>
                <w:rFonts w:ascii="Calibri" w:hAnsi="Calibri"/>
                <w:b w:val="0"/>
                <w:i w:val="0"/>
                <w:color w:val="212121"/>
                <w:sz w:val="16"/>
              </w:rPr>
              <w:t>Detects and grades iron-deficiency anaemia from chronic heavy bleeding</w:t>
            </w:r>
          </w:p>
        </w:tc>
        <w:tc>
          <w:tcPr>
            <w:tcW w:type="dxa" w:w="1036"/>
            <w:vAlign w:val="top"/>
          </w:tcPr>
          <w:p>
            <w:pPr>
              <w:spacing w:after="40" w:before="0" w:line="259" w:lineRule="auto"/>
            </w:pPr>
            <w:r>
              <w:rPr>
                <w:rFonts w:ascii="Calibri" w:hAnsi="Calibri"/>
                <w:b w:val="0"/>
                <w:i w:val="0"/>
                <w:color w:val="212121"/>
                <w:sz w:val="16"/>
              </w:rPr>
              <w:t>Women with menorrhagia, fatigue, pallor</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Guides iron therapy and transfusion decisions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Iron status</w:t>
            </w:r>
          </w:p>
        </w:tc>
        <w:tc>
          <w:tcPr>
            <w:tcW w:type="dxa" w:w="892"/>
            <w:vAlign w:val="top"/>
          </w:tcPr>
          <w:p>
            <w:pPr>
              <w:spacing w:after="40" w:before="0" w:line="259" w:lineRule="auto"/>
            </w:pPr>
            <w:r>
              <w:rPr>
                <w:rFonts w:ascii="Calibri" w:hAnsi="Calibri"/>
                <w:b w:val="0"/>
                <w:i w:val="0"/>
                <w:color w:val="212121"/>
                <w:sz w:val="16"/>
              </w:rPr>
              <w:t>Serum ferritin &amp; iron studies</w:t>
            </w:r>
          </w:p>
        </w:tc>
        <w:tc>
          <w:tcPr>
            <w:tcW w:type="dxa" w:w="950"/>
            <w:vAlign w:val="top"/>
          </w:tcPr>
          <w:p>
            <w:pPr>
              <w:spacing w:after="40" w:before="0" w:line="259" w:lineRule="auto"/>
            </w:pPr>
            <w:r>
              <w:rPr>
                <w:rFonts w:ascii="Calibri" w:hAnsi="Calibri"/>
                <w:b w:val="0"/>
                <w:i w:val="0"/>
                <w:color w:val="212121"/>
                <w:sz w:val="16"/>
              </w:rPr>
              <w:t>Ferritin ≥ 30 ng/mL</w:t>
            </w:r>
          </w:p>
        </w:tc>
        <w:tc>
          <w:tcPr>
            <w:tcW w:type="dxa" w:w="950"/>
            <w:vAlign w:val="top"/>
          </w:tcPr>
          <w:p>
            <w:pPr>
              <w:spacing w:after="40" w:before="0" w:line="259" w:lineRule="auto"/>
            </w:pPr>
            <w:r>
              <w:rPr>
                <w:rFonts w:ascii="Calibri" w:hAnsi="Calibri"/>
                <w:b w:val="0"/>
                <w:i w:val="0"/>
                <w:color w:val="212121"/>
                <w:sz w:val="16"/>
              </w:rPr>
              <w:t>Ferritin &lt; 30 ng/mL (depleted stores)</w:t>
            </w:r>
          </w:p>
        </w:tc>
        <w:tc>
          <w:tcPr>
            <w:tcW w:type="dxa" w:w="1036"/>
            <w:vAlign w:val="top"/>
          </w:tcPr>
          <w:p>
            <w:pPr>
              <w:spacing w:after="40" w:before="0" w:line="259" w:lineRule="auto"/>
            </w:pPr>
            <w:r>
              <w:rPr>
                <w:rFonts w:ascii="Calibri" w:hAnsi="Calibri"/>
                <w:b w:val="0"/>
                <w:i w:val="0"/>
                <w:color w:val="212121"/>
                <w:sz w:val="16"/>
              </w:rPr>
              <w:t>Confirms iron deficiency even before anaemia is overt</w:t>
            </w:r>
          </w:p>
        </w:tc>
        <w:tc>
          <w:tcPr>
            <w:tcW w:type="dxa" w:w="1036"/>
            <w:vAlign w:val="top"/>
          </w:tcPr>
          <w:p>
            <w:pPr>
              <w:spacing w:after="40" w:before="0" w:line="259" w:lineRule="auto"/>
            </w:pPr>
            <w:r>
              <w:rPr>
                <w:rFonts w:ascii="Calibri" w:hAnsi="Calibri"/>
                <w:b w:val="0"/>
                <w:i w:val="0"/>
                <w:color w:val="212121"/>
                <w:sz w:val="16"/>
              </w:rPr>
              <w:t>Women with HMB, vegetarians, adolescents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Ferritin is an acute-phase reactant; interpret with CRP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Beta-hCG</w:t>
            </w:r>
          </w:p>
        </w:tc>
        <w:tc>
          <w:tcPr>
            <w:tcW w:type="dxa" w:w="892"/>
            <w:vAlign w:val="top"/>
          </w:tcPr>
          <w:p>
            <w:pPr>
              <w:spacing w:after="40" w:before="0" w:line="259" w:lineRule="auto"/>
            </w:pPr>
            <w:r>
              <w:rPr>
                <w:rFonts w:ascii="Calibri" w:hAnsi="Calibri"/>
                <w:b w:val="0"/>
                <w:i w:val="0"/>
                <w:color w:val="212121"/>
                <w:sz w:val="16"/>
              </w:rPr>
              <w:t>Serum/urine pregnancy test</w:t>
            </w:r>
          </w:p>
        </w:tc>
        <w:tc>
          <w:tcPr>
            <w:tcW w:type="dxa" w:w="950"/>
            <w:vAlign w:val="top"/>
          </w:tcPr>
          <w:p>
            <w:pPr>
              <w:spacing w:after="40" w:before="0" w:line="259" w:lineRule="auto"/>
            </w:pPr>
            <w:r>
              <w:rPr>
                <w:rFonts w:ascii="Calibri" w:hAnsi="Calibri"/>
                <w:b w:val="0"/>
                <w:i w:val="0"/>
                <w:color w:val="212121"/>
                <w:sz w:val="16"/>
              </w:rPr>
              <w:t>Negative (non-pregnant)</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Excludes pregnancy/ectopic before evaluating or treating abnormal bleeding</w:t>
            </w:r>
          </w:p>
        </w:tc>
        <w:tc>
          <w:tcPr>
            <w:tcW w:type="dxa" w:w="1036"/>
            <w:vAlign w:val="top"/>
          </w:tcPr>
          <w:p>
            <w:pPr>
              <w:spacing w:after="40" w:before="0" w:line="259" w:lineRule="auto"/>
            </w:pPr>
            <w:r>
              <w:rPr>
                <w:rFonts w:ascii="Calibri" w:hAnsi="Calibri"/>
                <w:b w:val="0"/>
                <w:i w:val="0"/>
                <w:color w:val="212121"/>
                <w:sz w:val="16"/>
              </w:rPr>
              <w:t>All reproductive-age women with AUB</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Mandatory before imaging with contrast or hormonal therapy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Thyroid-stimulating hormone</w:t>
            </w:r>
          </w:p>
        </w:tc>
        <w:tc>
          <w:tcPr>
            <w:tcW w:type="dxa" w:w="892"/>
            <w:vAlign w:val="top"/>
          </w:tcPr>
          <w:p>
            <w:pPr>
              <w:spacing w:after="40" w:before="0" w:line="259" w:lineRule="auto"/>
            </w:pPr>
            <w:r>
              <w:rPr>
                <w:rFonts w:ascii="Calibri" w:hAnsi="Calibri"/>
                <w:b w:val="0"/>
                <w:i w:val="0"/>
                <w:color w:val="212121"/>
                <w:sz w:val="16"/>
              </w:rPr>
              <w:t>TSH (± prolactin)</w:t>
            </w:r>
          </w:p>
        </w:tc>
        <w:tc>
          <w:tcPr>
            <w:tcW w:type="dxa" w:w="950"/>
            <w:vAlign w:val="top"/>
          </w:tcPr>
          <w:p>
            <w:pPr>
              <w:spacing w:after="40" w:before="0" w:line="259" w:lineRule="auto"/>
            </w:pPr>
            <w:r>
              <w:rPr>
                <w:rFonts w:ascii="Calibri" w:hAnsi="Calibri"/>
                <w:b w:val="0"/>
                <w:i w:val="0"/>
                <w:color w:val="212121"/>
                <w:sz w:val="16"/>
              </w:rPr>
              <w:t>0.4–4.0 mIU/L</w:t>
            </w:r>
          </w:p>
        </w:tc>
        <w:tc>
          <w:tcPr>
            <w:tcW w:type="dxa" w:w="950"/>
            <w:vAlign w:val="top"/>
          </w:tcPr>
          <w:p>
            <w:pPr>
              <w:spacing w:after="40" w:before="0" w:line="259" w:lineRule="auto"/>
            </w:pPr>
            <w:r>
              <w:rPr>
                <w:rFonts w:ascii="Calibri" w:hAnsi="Calibri"/>
                <w:b w:val="0"/>
                <w:i w:val="0"/>
                <w:color w:val="212121"/>
                <w:sz w:val="16"/>
              </w:rPr>
              <w:t>&lt; 0.4 or &gt; 4.0 mIU/L</w:t>
            </w:r>
          </w:p>
        </w:tc>
        <w:tc>
          <w:tcPr>
            <w:tcW w:type="dxa" w:w="1036"/>
            <w:vAlign w:val="top"/>
          </w:tcPr>
          <w:p>
            <w:pPr>
              <w:spacing w:after="40" w:before="0" w:line="259" w:lineRule="auto"/>
            </w:pPr>
            <w:r>
              <w:rPr>
                <w:rFonts w:ascii="Calibri" w:hAnsi="Calibri"/>
                <w:b w:val="0"/>
                <w:i w:val="0"/>
                <w:color w:val="212121"/>
                <w:sz w:val="16"/>
              </w:rPr>
              <w:t>Excludes thyroid dysfunction as an alternative/contributory cause of AUB</w:t>
            </w:r>
          </w:p>
        </w:tc>
        <w:tc>
          <w:tcPr>
            <w:tcW w:type="dxa" w:w="1036"/>
            <w:vAlign w:val="top"/>
          </w:tcPr>
          <w:p>
            <w:pPr>
              <w:spacing w:after="40" w:before="0" w:line="259" w:lineRule="auto"/>
            </w:pPr>
            <w:r>
              <w:rPr>
                <w:rFonts w:ascii="Calibri" w:hAnsi="Calibri"/>
                <w:b w:val="0"/>
                <w:i w:val="0"/>
                <w:color w:val="212121"/>
                <w:sz w:val="16"/>
              </w:rPr>
              <w:t>Women with menstrual irregularity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Part of the AUB work-up (PALM-COEIN)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Tumour marker</w:t>
            </w:r>
          </w:p>
        </w:tc>
        <w:tc>
          <w:tcPr>
            <w:tcW w:type="dxa" w:w="1036"/>
            <w:vAlign w:val="top"/>
          </w:tcPr>
          <w:p>
            <w:pPr>
              <w:spacing w:after="40" w:before="0" w:line="259" w:lineRule="auto"/>
            </w:pPr>
            <w:r>
              <w:rPr>
                <w:rFonts w:ascii="Calibri" w:hAnsi="Calibri"/>
                <w:b w:val="0"/>
                <w:i w:val="0"/>
                <w:color w:val="212121"/>
                <w:sz w:val="16"/>
              </w:rPr>
              <w:t>CA-125</w:t>
            </w:r>
          </w:p>
        </w:tc>
        <w:tc>
          <w:tcPr>
            <w:tcW w:type="dxa" w:w="892"/>
            <w:vAlign w:val="top"/>
          </w:tcPr>
          <w:p>
            <w:pPr>
              <w:spacing w:after="40" w:before="0" w:line="259" w:lineRule="auto"/>
            </w:pPr>
            <w:r>
              <w:rPr>
                <w:rFonts w:ascii="Calibri" w:hAnsi="Calibri"/>
                <w:b w:val="0"/>
                <w:i w:val="0"/>
                <w:color w:val="212121"/>
                <w:sz w:val="16"/>
              </w:rPr>
              <w:t>Serum CA-125</w:t>
            </w:r>
          </w:p>
        </w:tc>
        <w:tc>
          <w:tcPr>
            <w:tcW w:type="dxa" w:w="950"/>
            <w:vAlign w:val="top"/>
          </w:tcPr>
          <w:p>
            <w:pPr>
              <w:spacing w:after="40" w:before="0" w:line="259" w:lineRule="auto"/>
            </w:pPr>
            <w:r>
              <w:rPr>
                <w:rFonts w:ascii="Calibri" w:hAnsi="Calibri"/>
                <w:b w:val="0"/>
                <w:i w:val="0"/>
                <w:color w:val="212121"/>
                <w:sz w:val="16"/>
              </w:rPr>
              <w:t>&lt; 35 U/mL</w:t>
            </w:r>
          </w:p>
        </w:tc>
        <w:tc>
          <w:tcPr>
            <w:tcW w:type="dxa" w:w="950"/>
            <w:vAlign w:val="top"/>
          </w:tcPr>
          <w:p>
            <w:pPr>
              <w:spacing w:after="40" w:before="0" w:line="259" w:lineRule="auto"/>
            </w:pPr>
            <w:r>
              <w:rPr>
                <w:rFonts w:ascii="Calibri" w:hAnsi="Calibri"/>
                <w:b w:val="0"/>
                <w:i w:val="0"/>
                <w:color w:val="212121"/>
                <w:sz w:val="16"/>
              </w:rPr>
              <w:t>Often mildly elevated</w:t>
            </w:r>
          </w:p>
        </w:tc>
        <w:tc>
          <w:tcPr>
            <w:tcW w:type="dxa" w:w="1036"/>
            <w:vAlign w:val="top"/>
          </w:tcPr>
          <w:p>
            <w:pPr>
              <w:spacing w:after="40" w:before="0" w:line="259" w:lineRule="auto"/>
            </w:pPr>
            <w:r>
              <w:rPr>
                <w:rFonts w:ascii="Calibri" w:hAnsi="Calibri"/>
                <w:b w:val="0"/>
                <w:i w:val="0"/>
                <w:color w:val="212121"/>
                <w:sz w:val="16"/>
              </w:rPr>
              <w:t>May be raised in adenomyosis/endometriosis; non-specific, not diagnostic</w:t>
            </w:r>
          </w:p>
        </w:tc>
        <w:tc>
          <w:tcPr>
            <w:tcW w:type="dxa" w:w="1036"/>
            <w:vAlign w:val="top"/>
          </w:tcPr>
          <w:p>
            <w:pPr>
              <w:spacing w:after="40" w:before="0" w:line="259" w:lineRule="auto"/>
            </w:pPr>
            <w:r>
              <w:rPr>
                <w:rFonts w:ascii="Calibri" w:hAnsi="Calibri"/>
                <w:b w:val="0"/>
                <w:i w:val="0"/>
                <w:color w:val="212121"/>
                <w:sz w:val="16"/>
              </w:rPr>
              <w:t>Women with coexisting endometriosis, pelvic mass evaluation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Use to exclude malignancy in an adnexal mass, not to diagnose adenomyosis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Endomyometrial tissue</w:t>
            </w:r>
          </w:p>
        </w:tc>
        <w:tc>
          <w:tcPr>
            <w:tcW w:type="dxa" w:w="892"/>
            <w:vAlign w:val="top"/>
          </w:tcPr>
          <w:p>
            <w:pPr>
              <w:spacing w:after="40" w:before="0" w:line="259" w:lineRule="auto"/>
            </w:pPr>
            <w:r>
              <w:rPr>
                <w:rFonts w:ascii="Calibri" w:hAnsi="Calibri"/>
                <w:b w:val="0"/>
                <w:i w:val="0"/>
                <w:color w:val="212121"/>
                <w:sz w:val="16"/>
              </w:rPr>
              <w:t>Histology of hysterectomy / biopsy specimen</w:t>
            </w:r>
          </w:p>
        </w:tc>
        <w:tc>
          <w:tcPr>
            <w:tcW w:type="dxa" w:w="950"/>
            <w:vAlign w:val="top"/>
          </w:tcPr>
          <w:p>
            <w:pPr>
              <w:spacing w:after="40" w:before="0" w:line="259" w:lineRule="auto"/>
            </w:pPr>
            <w:r>
              <w:rPr>
                <w:rFonts w:ascii="Calibri" w:hAnsi="Calibri"/>
                <w:b w:val="0"/>
                <w:i w:val="0"/>
                <w:color w:val="212121"/>
                <w:sz w:val="16"/>
              </w:rPr>
              <w:t>No sub-junctional glands/stroma</w:t>
            </w:r>
          </w:p>
        </w:tc>
        <w:tc>
          <w:tcPr>
            <w:tcW w:type="dxa" w:w="950"/>
            <w:vAlign w:val="top"/>
          </w:tcPr>
          <w:p>
            <w:pPr>
              <w:spacing w:after="40" w:before="0" w:line="259" w:lineRule="auto"/>
            </w:pPr>
            <w:r>
              <w:rPr>
                <w:rFonts w:ascii="Calibri" w:hAnsi="Calibri"/>
                <w:b w:val="0"/>
                <w:i w:val="0"/>
                <w:color w:val="212121"/>
                <w:sz w:val="16"/>
              </w:rPr>
              <w:t>Endometrial glands &amp; stroma &gt; 2.5 mm below the EMJ with myometrial hyperplasia</w:t>
            </w:r>
          </w:p>
        </w:tc>
        <w:tc>
          <w:tcPr>
            <w:tcW w:type="dxa" w:w="1036"/>
            <w:vAlign w:val="top"/>
          </w:tcPr>
          <w:p>
            <w:pPr>
              <w:spacing w:after="40" w:before="0" w:line="259" w:lineRule="auto"/>
            </w:pPr>
            <w:r>
              <w:rPr>
                <w:rFonts w:ascii="Calibri" w:hAnsi="Calibri"/>
                <w:b w:val="0"/>
                <w:i w:val="0"/>
                <w:color w:val="212121"/>
                <w:sz w:val="16"/>
              </w:rPr>
              <w:t>Gold-standard definitive diagnosis</w:t>
            </w:r>
          </w:p>
        </w:tc>
        <w:tc>
          <w:tcPr>
            <w:tcW w:type="dxa" w:w="1036"/>
            <w:vAlign w:val="top"/>
          </w:tcPr>
          <w:p>
            <w:pPr>
              <w:spacing w:after="40" w:before="0" w:line="259" w:lineRule="auto"/>
            </w:pPr>
            <w:r>
              <w:rPr>
                <w:rFonts w:ascii="Calibri" w:hAnsi="Calibri"/>
                <w:b w:val="0"/>
                <w:i w:val="0"/>
                <w:color w:val="212121"/>
                <w:sz w:val="16"/>
              </w:rPr>
              <w:t>Women undergoing hysterectomy for refractory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Usually retrospective on the surgical specimen</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Heavy/prolonged menses, worsening dysmenorrhoea, chronic pelvic pain</w:t>
            </w:r>
          </w:p>
        </w:tc>
        <w:tc>
          <w:tcPr>
            <w:tcW w:type="dxa" w:w="950"/>
            <w:vAlign w:val="top"/>
          </w:tcPr>
          <w:p>
            <w:pPr>
              <w:spacing w:after="40" w:before="0" w:line="259" w:lineRule="auto"/>
            </w:pPr>
            <w:r>
              <w:rPr>
                <w:rFonts w:ascii="Calibri" w:hAnsi="Calibri"/>
                <w:b w:val="0"/>
                <w:i w:val="0"/>
                <w:color w:val="212121"/>
                <w:sz w:val="16"/>
              </w:rPr>
              <w:t>Normal cyclical, painless menses</w:t>
            </w:r>
          </w:p>
        </w:tc>
        <w:tc>
          <w:tcPr>
            <w:tcW w:type="dxa" w:w="950"/>
            <w:vAlign w:val="top"/>
          </w:tcPr>
          <w:p>
            <w:pPr>
              <w:spacing w:after="40" w:before="0" w:line="259" w:lineRule="auto"/>
            </w:pPr>
            <w:r>
              <w:rPr>
                <w:rFonts w:ascii="Calibri" w:hAnsi="Calibri"/>
                <w:b w:val="0"/>
                <w:i w:val="0"/>
                <w:color w:val="212121"/>
                <w:sz w:val="16"/>
              </w:rPr>
              <w:t>Menorrhagia, secondary/progressive dysmenorrhoea, deep dyspareunia</w:t>
            </w:r>
          </w:p>
        </w:tc>
        <w:tc>
          <w:tcPr>
            <w:tcW w:type="dxa" w:w="1036"/>
            <w:vAlign w:val="top"/>
          </w:tcPr>
          <w:p>
            <w:pPr>
              <w:spacing w:after="40" w:before="0" w:line="259" w:lineRule="auto"/>
            </w:pPr>
            <w:r>
              <w:rPr>
                <w:rFonts w:ascii="Calibri" w:hAnsi="Calibri"/>
                <w:b w:val="0"/>
                <w:i w:val="0"/>
                <w:color w:val="212121"/>
                <w:sz w:val="16"/>
              </w:rPr>
              <w:t>Cardinal symptom triad suggesting adenomyosis</w:t>
            </w:r>
          </w:p>
        </w:tc>
        <w:tc>
          <w:tcPr>
            <w:tcW w:type="dxa" w:w="1036"/>
            <w:vAlign w:val="top"/>
          </w:tcPr>
          <w:p>
            <w:pPr>
              <w:spacing w:after="40" w:before="0" w:line="259" w:lineRule="auto"/>
            </w:pPr>
            <w:r>
              <w:rPr>
                <w:rFonts w:ascii="Calibri" w:hAnsi="Calibri"/>
                <w:b w:val="0"/>
                <w:i w:val="0"/>
                <w:color w:val="212121"/>
                <w:sz w:val="16"/>
              </w:rPr>
              <w:t>Reproductive-age women, perimenopausal women</w:t>
            </w:r>
          </w:p>
        </w:tc>
        <w:tc>
          <w:tcPr>
            <w:tcW w:type="dxa" w:w="720"/>
            <w:vAlign w:val="top"/>
          </w:tcPr>
          <w:p>
            <w:pPr>
              <w:spacing w:after="40" w:before="0" w:line="259" w:lineRule="auto"/>
            </w:pPr>
            <w:r>
              <w:rPr>
                <w:rFonts w:ascii="Calibri" w:hAnsi="Calibri"/>
                <w:b w:val="0"/>
                <w:i w:val="0"/>
                <w:color w:val="212121"/>
                <w:sz w:val="16"/>
              </w:rPr>
              <w:t>Provoking factors; 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Symptoms overlap fibroids/endometriosis; up to a third are asymptomatic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Menstrual &amp; obstetric / surgical history</w:t>
            </w:r>
          </w:p>
        </w:tc>
        <w:tc>
          <w:tcPr>
            <w:tcW w:type="dxa" w:w="979"/>
            <w:vAlign w:val="top"/>
          </w:tcPr>
          <w:p>
            <w:pPr>
              <w:spacing w:after="40" w:before="0" w:line="259" w:lineRule="auto"/>
            </w:pPr>
            <w:r>
              <w:rPr>
                <w:rFonts w:ascii="Calibri" w:hAnsi="Calibri"/>
                <w:b w:val="0"/>
                <w:i w:val="0"/>
                <w:color w:val="212121"/>
                <w:sz w:val="16"/>
              </w:rPr>
              <w:t>Parity, prior D&amp;C, caesarean, myomectomy, tamoxifen use</w:t>
            </w:r>
          </w:p>
        </w:tc>
        <w:tc>
          <w:tcPr>
            <w:tcW w:type="dxa" w:w="950"/>
            <w:vAlign w:val="top"/>
          </w:tcPr>
          <w:p>
            <w:pPr>
              <w:spacing w:after="40" w:before="0" w:line="259" w:lineRule="auto"/>
            </w:pPr>
            <w:r>
              <w:rPr>
                <w:rFonts w:ascii="Calibri" w:hAnsi="Calibri"/>
                <w:b w:val="0"/>
                <w:i w:val="0"/>
                <w:color w:val="212121"/>
                <w:sz w:val="16"/>
              </w:rPr>
              <w:t>Nulliparous, no uterine surgery</w:t>
            </w:r>
          </w:p>
        </w:tc>
        <w:tc>
          <w:tcPr>
            <w:tcW w:type="dxa" w:w="950"/>
            <w:vAlign w:val="top"/>
          </w:tcPr>
          <w:p>
            <w:pPr>
              <w:spacing w:after="40" w:before="0" w:line="259" w:lineRule="auto"/>
            </w:pPr>
            <w:r>
              <w:rPr>
                <w:rFonts w:ascii="Calibri" w:hAnsi="Calibri"/>
                <w:b w:val="0"/>
                <w:i w:val="0"/>
                <w:color w:val="212121"/>
                <w:sz w:val="16"/>
              </w:rPr>
              <w:t>Multiparity and/or prior junction-disrupting procedures</w:t>
            </w:r>
          </w:p>
        </w:tc>
        <w:tc>
          <w:tcPr>
            <w:tcW w:type="dxa" w:w="1036"/>
            <w:vAlign w:val="top"/>
          </w:tcPr>
          <w:p>
            <w:pPr>
              <w:spacing w:after="40" w:before="0" w:line="259" w:lineRule="auto"/>
            </w:pPr>
            <w:r>
              <w:rPr>
                <w:rFonts w:ascii="Calibri" w:hAnsi="Calibri"/>
                <w:b w:val="0"/>
                <w:i w:val="0"/>
                <w:color w:val="212121"/>
                <w:sz w:val="16"/>
              </w:rPr>
              <w:t>Identifies mechanistic risk factors for EMJ disruption</w:t>
            </w:r>
          </w:p>
        </w:tc>
        <w:tc>
          <w:tcPr>
            <w:tcW w:type="dxa" w:w="1036"/>
            <w:vAlign w:val="top"/>
          </w:tcPr>
          <w:p>
            <w:pPr>
              <w:spacing w:after="40" w:before="0" w:line="259" w:lineRule="auto"/>
            </w:pPr>
            <w:r>
              <w:rPr>
                <w:rFonts w:ascii="Calibri" w:hAnsi="Calibri"/>
                <w:b w:val="0"/>
                <w:i w:val="0"/>
                <w:color w:val="212121"/>
                <w:sz w:val="16"/>
              </w:rPr>
              <w:t>Multiparous women, post-caesarean/curettage, tamoxifen users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Document number and type of uterine procedures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&amp; associated-disease history</w:t>
            </w:r>
          </w:p>
        </w:tc>
        <w:tc>
          <w:tcPr>
            <w:tcW w:type="dxa" w:w="979"/>
            <w:vAlign w:val="top"/>
          </w:tcPr>
          <w:p>
            <w:pPr>
              <w:spacing w:after="40" w:before="0" w:line="259" w:lineRule="auto"/>
            </w:pPr>
            <w:r>
              <w:rPr>
                <w:rFonts w:ascii="Calibri" w:hAnsi="Calibri"/>
                <w:b w:val="0"/>
                <w:i w:val="0"/>
                <w:color w:val="212121"/>
                <w:sz w:val="16"/>
              </w:rPr>
              <w:t>Endometriosis/adenomyosis in relatives; known endometriosis/fibroids</w:t>
            </w:r>
          </w:p>
        </w:tc>
        <w:tc>
          <w:tcPr>
            <w:tcW w:type="dxa" w:w="950"/>
            <w:vAlign w:val="top"/>
          </w:tcPr>
          <w:p>
            <w:pPr>
              <w:spacing w:after="40" w:before="0" w:line="259" w:lineRule="auto"/>
            </w:pPr>
            <w:r>
              <w:rPr>
                <w:rFonts w:ascii="Calibri" w:hAnsi="Calibri"/>
                <w:b w:val="0"/>
                <w:i w:val="0"/>
                <w:color w:val="212121"/>
                <w:sz w:val="16"/>
              </w:rPr>
              <w:t>No relevant family or personal history</w:t>
            </w:r>
          </w:p>
        </w:tc>
        <w:tc>
          <w:tcPr>
            <w:tcW w:type="dxa" w:w="950"/>
            <w:vAlign w:val="top"/>
          </w:tcPr>
          <w:p>
            <w:pPr>
              <w:spacing w:after="40" w:before="0" w:line="259" w:lineRule="auto"/>
            </w:pPr>
            <w:r>
              <w:rPr>
                <w:rFonts w:ascii="Calibri" w:hAnsi="Calibri"/>
                <w:b w:val="0"/>
                <w:i w:val="0"/>
                <w:color w:val="212121"/>
                <w:sz w:val="16"/>
              </w:rPr>
              <w:t>First-degree relative affected; personal endometriosis/fibroids</w:t>
            </w:r>
          </w:p>
        </w:tc>
        <w:tc>
          <w:tcPr>
            <w:tcW w:type="dxa" w:w="1036"/>
            <w:vAlign w:val="top"/>
          </w:tcPr>
          <w:p>
            <w:pPr>
              <w:spacing w:after="40" w:before="0" w:line="259" w:lineRule="auto"/>
            </w:pPr>
            <w:r>
              <w:rPr>
                <w:rFonts w:ascii="Calibri" w:hAnsi="Calibri"/>
                <w:b w:val="0"/>
                <w:i w:val="0"/>
                <w:color w:val="212121"/>
                <w:sz w:val="16"/>
              </w:rPr>
              <w:t>Genetic susceptibility and likely coexisting pathology</w:t>
            </w:r>
          </w:p>
        </w:tc>
        <w:tc>
          <w:tcPr>
            <w:tcW w:type="dxa" w:w="1036"/>
            <w:vAlign w:val="top"/>
          </w:tcPr>
          <w:p>
            <w:pPr>
              <w:spacing w:after="40" w:before="0" w:line="259" w:lineRule="auto"/>
            </w:pPr>
            <w:r>
              <w:rPr>
                <w:rFonts w:ascii="Calibri" w:hAnsi="Calibri"/>
                <w:b w:val="0"/>
                <w:i w:val="0"/>
                <w:color w:val="212121"/>
                <w:sz w:val="16"/>
              </w:rPr>
              <w:t>Women with endometriosis, positive family history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expectation of coexisting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Bimanual pelvic examination</w:t>
            </w:r>
          </w:p>
        </w:tc>
        <w:tc>
          <w:tcPr>
            <w:tcW w:type="dxa" w:w="979"/>
            <w:vAlign w:val="top"/>
          </w:tcPr>
          <w:p>
            <w:pPr>
              <w:spacing w:after="40" w:before="0" w:line="259" w:lineRule="auto"/>
            </w:pPr>
            <w:r>
              <w:rPr>
                <w:rFonts w:ascii="Calibri" w:hAnsi="Calibri"/>
                <w:b w:val="0"/>
                <w:i w:val="0"/>
                <w:color w:val="212121"/>
                <w:sz w:val="16"/>
              </w:rPr>
              <w:t>Uterine size, shape, consistency, tenderness</w:t>
            </w:r>
          </w:p>
        </w:tc>
        <w:tc>
          <w:tcPr>
            <w:tcW w:type="dxa" w:w="950"/>
            <w:vAlign w:val="top"/>
          </w:tcPr>
          <w:p>
            <w:pPr>
              <w:spacing w:after="40" w:before="0" w:line="259" w:lineRule="auto"/>
            </w:pPr>
            <w:r>
              <w:rPr>
                <w:rFonts w:ascii="Calibri" w:hAnsi="Calibri"/>
                <w:b w:val="0"/>
                <w:i w:val="0"/>
                <w:color w:val="212121"/>
                <w:sz w:val="16"/>
              </w:rPr>
              <w:t>Normal-size, firm, non-tender, mobile uterus</w:t>
            </w:r>
          </w:p>
        </w:tc>
        <w:tc>
          <w:tcPr>
            <w:tcW w:type="dxa" w:w="950"/>
            <w:vAlign w:val="top"/>
          </w:tcPr>
          <w:p>
            <w:pPr>
              <w:spacing w:after="40" w:before="0" w:line="259" w:lineRule="auto"/>
            </w:pPr>
            <w:r>
              <w:rPr>
                <w:rFonts w:ascii="Calibri" w:hAnsi="Calibri"/>
                <w:b w:val="0"/>
                <w:i w:val="0"/>
                <w:color w:val="212121"/>
                <w:sz w:val="16"/>
              </w:rPr>
              <w:t>Diffusely enlarged, globular, soft (“boggy”), tender uterus</w:t>
            </w:r>
          </w:p>
        </w:tc>
        <w:tc>
          <w:tcPr>
            <w:tcW w:type="dxa" w:w="1036"/>
            <w:vAlign w:val="top"/>
          </w:tcPr>
          <w:p>
            <w:pPr>
              <w:spacing w:after="40" w:before="0" w:line="259" w:lineRule="auto"/>
            </w:pPr>
            <w:r>
              <w:rPr>
                <w:rFonts w:ascii="Calibri" w:hAnsi="Calibri"/>
                <w:b w:val="0"/>
                <w:i w:val="0"/>
                <w:color w:val="212121"/>
                <w:sz w:val="16"/>
              </w:rPr>
              <w:t>Classic clinical sign of adenomyosis (vs nodular fibroid uterus)</w:t>
            </w:r>
          </w:p>
        </w:tc>
        <w:tc>
          <w:tcPr>
            <w:tcW w:type="dxa" w:w="1036"/>
            <w:vAlign w:val="top"/>
          </w:tcPr>
          <w:p>
            <w:pPr>
              <w:spacing w:after="40" w:before="0" w:line="259" w:lineRule="auto"/>
            </w:pPr>
            <w:r>
              <w:rPr>
                <w:rFonts w:ascii="Calibri" w:hAnsi="Calibri"/>
                <w:b w:val="0"/>
                <w:i w:val="0"/>
                <w:color w:val="212121"/>
                <w:sz w:val="16"/>
              </w:rPr>
              <w:t>Women with HMB/pelvic pain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Tenderness is more typical than with fibroids; often maximal peri-menstrually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General / systemic examination</w:t>
            </w:r>
          </w:p>
        </w:tc>
        <w:tc>
          <w:tcPr>
            <w:tcW w:type="dxa" w:w="979"/>
            <w:vAlign w:val="top"/>
          </w:tcPr>
          <w:p>
            <w:pPr>
              <w:spacing w:after="40" w:before="0" w:line="259" w:lineRule="auto"/>
            </w:pPr>
            <w:r>
              <w:rPr>
                <w:rFonts w:ascii="Calibri" w:hAnsi="Calibri"/>
                <w:b w:val="0"/>
                <w:i w:val="0"/>
                <w:color w:val="212121"/>
                <w:sz w:val="16"/>
              </w:rPr>
              <w:t>Pallor and signs of anaemia</w:t>
            </w:r>
          </w:p>
        </w:tc>
        <w:tc>
          <w:tcPr>
            <w:tcW w:type="dxa" w:w="950"/>
            <w:vAlign w:val="top"/>
          </w:tcPr>
          <w:p>
            <w:pPr>
              <w:spacing w:after="40" w:before="0" w:line="259" w:lineRule="auto"/>
            </w:pPr>
            <w:r>
              <w:rPr>
                <w:rFonts w:ascii="Calibri" w:hAnsi="Calibri"/>
                <w:b w:val="0"/>
                <w:i w:val="0"/>
                <w:color w:val="212121"/>
                <w:sz w:val="16"/>
              </w:rPr>
              <w:t>No pallor; stable vitals</w:t>
            </w:r>
          </w:p>
        </w:tc>
        <w:tc>
          <w:tcPr>
            <w:tcW w:type="dxa" w:w="950"/>
            <w:vAlign w:val="top"/>
          </w:tcPr>
          <w:p>
            <w:pPr>
              <w:spacing w:after="40" w:before="0" w:line="259" w:lineRule="auto"/>
            </w:pPr>
            <w:r>
              <w:rPr>
                <w:rFonts w:ascii="Calibri" w:hAnsi="Calibri"/>
                <w:b w:val="0"/>
                <w:i w:val="0"/>
                <w:color w:val="212121"/>
                <w:sz w:val="16"/>
              </w:rPr>
              <w:t>Conjunctival/palmar pallor, tachycardia, fatigue</w:t>
            </w:r>
          </w:p>
        </w:tc>
        <w:tc>
          <w:tcPr>
            <w:tcW w:type="dxa" w:w="1036"/>
            <w:vAlign w:val="top"/>
          </w:tcPr>
          <w:p>
            <w:pPr>
              <w:spacing w:after="40" w:before="0" w:line="259" w:lineRule="auto"/>
            </w:pPr>
            <w:r>
              <w:rPr>
                <w:rFonts w:ascii="Calibri" w:hAnsi="Calibri"/>
                <w:b w:val="0"/>
                <w:i w:val="0"/>
                <w:color w:val="212121"/>
                <w:sz w:val="16"/>
              </w:rPr>
              <w:t>Reflects chronic blood loss and iron-deficiency anaemia</w:t>
            </w:r>
          </w:p>
        </w:tc>
        <w:tc>
          <w:tcPr>
            <w:tcW w:type="dxa" w:w="1036"/>
            <w:vAlign w:val="top"/>
          </w:tcPr>
          <w:p>
            <w:pPr>
              <w:spacing w:after="40" w:before="0" w:line="259" w:lineRule="auto"/>
            </w:pPr>
            <w:r>
              <w:rPr>
                <w:rFonts w:ascii="Calibri" w:hAnsi="Calibri"/>
                <w:b w:val="0"/>
                <w:i w:val="0"/>
                <w:color w:val="212121"/>
                <w:sz w:val="16"/>
              </w:rPr>
              <w:t>Women with heavy menstrual bleeding</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Prompts CBC and iron studies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Impact &amp; quality-of-life assessment</w:t>
            </w:r>
          </w:p>
        </w:tc>
        <w:tc>
          <w:tcPr>
            <w:tcW w:type="dxa" w:w="979"/>
            <w:vAlign w:val="top"/>
          </w:tcPr>
          <w:p>
            <w:pPr>
              <w:spacing w:after="40" w:before="0" w:line="259" w:lineRule="auto"/>
            </w:pPr>
            <w:r>
              <w:rPr>
                <w:rFonts w:ascii="Calibri" w:hAnsi="Calibri"/>
                <w:b w:val="0"/>
                <w:i w:val="0"/>
                <w:color w:val="212121"/>
                <w:sz w:val="16"/>
              </w:rPr>
              <w:t>Dyspareunia, fertility concerns, mood, work/school impact</w:t>
            </w:r>
          </w:p>
        </w:tc>
        <w:tc>
          <w:tcPr>
            <w:tcW w:type="dxa" w:w="950"/>
            <w:vAlign w:val="top"/>
          </w:tcPr>
          <w:p>
            <w:pPr>
              <w:spacing w:after="40" w:before="0" w:line="259" w:lineRule="auto"/>
            </w:pPr>
            <w:r>
              <w:rPr>
                <w:rFonts w:ascii="Calibri" w:hAnsi="Calibri"/>
                <w:b w:val="0"/>
                <w:i w:val="0"/>
                <w:color w:val="212121"/>
                <w:sz w:val="16"/>
              </w:rPr>
              <w:t>No functional impairment</w:t>
            </w:r>
          </w:p>
        </w:tc>
        <w:tc>
          <w:tcPr>
            <w:tcW w:type="dxa" w:w="950"/>
            <w:vAlign w:val="top"/>
          </w:tcPr>
          <w:p>
            <w:pPr>
              <w:spacing w:after="40" w:before="0" w:line="259" w:lineRule="auto"/>
            </w:pPr>
            <w:r>
              <w:rPr>
                <w:rFonts w:ascii="Calibri" w:hAnsi="Calibri"/>
                <w:b w:val="0"/>
                <w:i w:val="0"/>
                <w:color w:val="212121"/>
                <w:sz w:val="16"/>
              </w:rPr>
              <w:t>Painful intercourse, subfertility, anxiety/depression, absenteeism</w:t>
            </w:r>
          </w:p>
        </w:tc>
        <w:tc>
          <w:tcPr>
            <w:tcW w:type="dxa" w:w="1036"/>
            <w:vAlign w:val="top"/>
          </w:tcPr>
          <w:p>
            <w:pPr>
              <w:spacing w:after="40" w:before="0" w:line="259" w:lineRule="auto"/>
            </w:pPr>
            <w:r>
              <w:rPr>
                <w:rFonts w:ascii="Calibri" w:hAnsi="Calibri"/>
                <w:b w:val="0"/>
                <w:i w:val="0"/>
                <w:color w:val="212121"/>
                <w:sz w:val="16"/>
              </w:rPr>
              <w:t>Captures the substantial psychosocial and reproductive burden</w:t>
            </w:r>
          </w:p>
        </w:tc>
        <w:tc>
          <w:tcPr>
            <w:tcW w:type="dxa" w:w="1036"/>
            <w:vAlign w:val="top"/>
          </w:tcPr>
          <w:p>
            <w:pPr>
              <w:spacing w:after="40" w:before="0" w:line="259" w:lineRule="auto"/>
            </w:pPr>
            <w:r>
              <w:rPr>
                <w:rFonts w:ascii="Calibri" w:hAnsi="Calibri"/>
                <w:b w:val="0"/>
                <w:i w:val="0"/>
                <w:color w:val="212121"/>
                <w:sz w:val="16"/>
              </w:rPr>
              <w:t>Women with chronic pain, subfertility, anxiety/depression</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Screen with PHQ-9/GAD-7; address holistically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Heavy menstrual bleeding (menorrhagia)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most common symptom (about 40–60% of symptomatic women); prolonged, heavy periods with clots, often causing anaemia.</w:t>
            </w:r>
          </w:p>
        </w:tc>
      </w:tr>
      <w:tr>
        <w:trPr>
          <w:cantSplit/>
        </w:trPr>
        <w:tc>
          <w:tcPr>
            <w:tcW w:type="dxa" w:w="2304"/>
            <w:vAlign w:val="top"/>
          </w:tcPr>
          <w:p>
            <w:pPr>
              <w:spacing w:after="40" w:before="0" w:line="259" w:lineRule="auto"/>
            </w:pPr>
            <w:r>
              <w:rPr>
                <w:rFonts w:ascii="Calibri" w:hAnsi="Calibri"/>
                <w:b/>
                <w:i w:val="0"/>
                <w:color w:val="212121"/>
                <w:sz w:val="19"/>
              </w:rPr>
              <w:t>Secondary dysmenorrhoea (painful, progressively worsening periods)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Cramping pelvic pain that typically intensifies over successive cycles; driven by prostaglandins and abnormal uterine contractility.</w:t>
            </w:r>
          </w:p>
        </w:tc>
      </w:tr>
      <w:tr>
        <w:trPr>
          <w:cantSplit/>
        </w:trPr>
        <w:tc>
          <w:tcPr>
            <w:tcW w:type="dxa" w:w="2304"/>
            <w:vAlign w:val="top"/>
          </w:tcPr>
          <w:p>
            <w:pPr>
              <w:spacing w:after="40" w:before="0" w:line="259" w:lineRule="auto"/>
            </w:pPr>
            <w:r>
              <w:rPr>
                <w:rFonts w:ascii="Calibri" w:hAnsi="Calibri"/>
                <w:b/>
                <w:i w:val="0"/>
                <w:color w:val="212121"/>
                <w:sz w:val="19"/>
              </w:rPr>
              <w:t>Chronic pelvic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Persistent non-cyclical lower-abdominal/pelvic pain and pressure, sometimes present between periods.</w:t>
            </w:r>
          </w:p>
        </w:tc>
      </w:tr>
      <w:tr>
        <w:trPr>
          <w:cantSplit/>
        </w:trPr>
        <w:tc>
          <w:tcPr>
            <w:tcW w:type="dxa" w:w="2304"/>
            <w:vAlign w:val="top"/>
          </w:tcPr>
          <w:p>
            <w:pPr>
              <w:spacing w:after="40" w:before="0" w:line="259" w:lineRule="auto"/>
            </w:pPr>
            <w:r>
              <w:rPr>
                <w:rFonts w:ascii="Calibri" w:hAnsi="Calibri"/>
                <w:b/>
                <w:i w:val="0"/>
                <w:color w:val="212121"/>
                <w:sz w:val="19"/>
              </w:rPr>
              <w:t>Prolonged / frequent menstruation &amp; intermenstrual bleeding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Extended bleeding days or spotting between cycles due to increased, abnormal endometrial surface and vascularity.</w:t>
            </w:r>
          </w:p>
        </w:tc>
      </w:tr>
      <w:tr>
        <w:trPr>
          <w:cantSplit/>
        </w:trPr>
        <w:tc>
          <w:tcPr>
            <w:tcW w:type="dxa" w:w="2304"/>
            <w:vAlign w:val="top"/>
          </w:tcPr>
          <w:p>
            <w:pPr>
              <w:spacing w:after="40" w:before="0" w:line="259" w:lineRule="auto"/>
            </w:pPr>
            <w:r>
              <w:rPr>
                <w:rFonts w:ascii="Calibri" w:hAnsi="Calibri"/>
                <w:b/>
                <w:i w:val="0"/>
                <w:color w:val="212121"/>
                <w:sz w:val="19"/>
              </w:rPr>
              <w:t>Passage of large blood clots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Clot passage reflects the volume of menstrual loss and impaired myometrial haemostasis.</w:t>
            </w:r>
          </w:p>
        </w:tc>
      </w:tr>
      <w:tr>
        <w:trPr>
          <w:cantSplit/>
        </w:trPr>
        <w:tc>
          <w:tcPr>
            <w:tcW w:type="dxa" w:w="2304"/>
            <w:vAlign w:val="top"/>
          </w:tcPr>
          <w:p>
            <w:pPr>
              <w:spacing w:after="40" w:before="0" w:line="259" w:lineRule="auto"/>
            </w:pPr>
            <w:r>
              <w:rPr>
                <w:rFonts w:ascii="Calibri" w:hAnsi="Calibri"/>
                <w:b/>
                <w:i w:val="0"/>
                <w:color w:val="212121"/>
                <w:sz w:val="19"/>
              </w:rPr>
              <w:t>Fatigue and weakness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Usually secondary to chronic iron-deficiency anaemia from ongoing heavy bleeding.</w:t>
            </w:r>
          </w:p>
        </w:tc>
      </w:tr>
      <w:tr>
        <w:trPr>
          <w:cantSplit/>
        </w:trPr>
        <w:tc>
          <w:tcPr>
            <w:tcW w:type="dxa" w:w="2304"/>
            <w:vAlign w:val="top"/>
          </w:tcPr>
          <w:p>
            <w:pPr>
              <w:spacing w:after="40" w:before="0" w:line="259" w:lineRule="auto"/>
            </w:pPr>
            <w:r>
              <w:rPr>
                <w:rFonts w:ascii="Calibri" w:hAnsi="Calibri"/>
                <w:b/>
                <w:i w:val="0"/>
                <w:color w:val="212121"/>
                <w:sz w:val="19"/>
              </w:rPr>
              <w:t>Deep dyspareunia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Pain during deep intercourse, especially when the posterior wall is involved or endometriosis coexists.</w:t>
            </w:r>
          </w:p>
        </w:tc>
      </w:tr>
      <w:tr>
        <w:trPr>
          <w:cantSplit/>
        </w:trPr>
        <w:tc>
          <w:tcPr>
            <w:tcW w:type="dxa" w:w="2304"/>
            <w:vAlign w:val="top"/>
          </w:tcPr>
          <w:p>
            <w:pPr>
              <w:spacing w:after="40" w:before="0" w:line="259" w:lineRule="auto"/>
            </w:pPr>
            <w:r>
              <w:rPr>
                <w:rFonts w:ascii="Calibri" w:hAnsi="Calibri"/>
                <w:b/>
                <w:i w:val="0"/>
                <w:color w:val="212121"/>
                <w:sz w:val="19"/>
              </w:rPr>
              <w:t>Pelvic pressure / bloating / abdominal distension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Bulk effect from a diffusely enlarged, globular uterus.</w:t>
            </w:r>
          </w:p>
        </w:tc>
      </w:tr>
      <w:tr>
        <w:trPr>
          <w:cantSplit/>
        </w:trPr>
        <w:tc>
          <w:tcPr>
            <w:tcW w:type="dxa" w:w="2304"/>
            <w:vAlign w:val="top"/>
          </w:tcPr>
          <w:p>
            <w:pPr>
              <w:spacing w:after="40" w:before="0" w:line="259" w:lineRule="auto"/>
            </w:pPr>
            <w:r>
              <w:rPr>
                <w:rFonts w:ascii="Calibri" w:hAnsi="Calibri"/>
                <w:b/>
                <w:i w:val="0"/>
                <w:color w:val="212121"/>
                <w:sz w:val="19"/>
              </w:rPr>
              <w:t>Subfertility / difficulty conceiving &amp; recurrent pregnancy loss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Distorted junctional zone, altered peristalsis and inflammation impair implantation and increase miscarriage.</w:t>
            </w:r>
          </w:p>
        </w:tc>
      </w:tr>
      <w:tr>
        <w:trPr>
          <w:cantSplit/>
        </w:trPr>
        <w:tc>
          <w:tcPr>
            <w:tcW w:type="dxa" w:w="2304"/>
            <w:vAlign w:val="top"/>
          </w:tcPr>
          <w:p>
            <w:pPr>
              <w:spacing w:after="40" w:before="0" w:line="259" w:lineRule="auto"/>
            </w:pPr>
            <w:r>
              <w:rPr>
                <w:rFonts w:ascii="Calibri" w:hAnsi="Calibri"/>
                <w:b/>
                <w:i w:val="0"/>
                <w:color w:val="212121"/>
                <w:sz w:val="19"/>
              </w:rPr>
              <w:t>Low back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Referred pelvic pain, often perimenstrual.</w:t>
            </w:r>
          </w:p>
        </w:tc>
      </w:tr>
      <w:tr>
        <w:trPr>
          <w:cantSplit/>
        </w:trPr>
        <w:tc>
          <w:tcPr>
            <w:tcW w:type="dxa" w:w="2304"/>
            <w:vAlign w:val="top"/>
          </w:tcPr>
          <w:p>
            <w:pPr>
              <w:spacing w:after="40" w:before="0" w:line="259" w:lineRule="auto"/>
            </w:pPr>
            <w:r>
              <w:rPr>
                <w:rFonts w:ascii="Calibri" w:hAnsi="Calibri"/>
                <w:b/>
                <w:i w:val="0"/>
                <w:color w:val="212121"/>
                <w:sz w:val="19"/>
              </w:rPr>
              <w:t>Asymptomatic (incidental finding)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Up to about one-third of women with adenomyosis have no symptoms and are diagnosed incidentally on imaging or histology.</w:t>
            </w:r>
          </w:p>
        </w:tc>
      </w:tr>
      <w:tr>
        <w:trPr>
          <w:cantSplit/>
        </w:trPr>
        <w:tc>
          <w:tcPr>
            <w:tcW w:type="dxa" w:w="2304"/>
            <w:vAlign w:val="top"/>
          </w:tcPr>
          <w:p>
            <w:pPr>
              <w:spacing w:after="40" w:before="0" w:line="259" w:lineRule="auto"/>
            </w:pPr>
            <w:r>
              <w:rPr>
                <w:rFonts w:ascii="Calibri" w:hAnsi="Calibri"/>
                <w:b/>
                <w:i w:val="0"/>
                <w:color w:val="212121"/>
                <w:sz w:val="19"/>
              </w:rPr>
              <w:t>Urinary frequency</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Occurs when a bulky uterus presses on the bladder.</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Diffusely enlarged, globular uterus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Symmetrical, usually &lt; 12 weeks’ gestational size enlargement, in contrast to the irregular, nodular contour of fibroids.</w:t>
            </w:r>
          </w:p>
        </w:tc>
      </w:tr>
      <w:tr>
        <w:trPr>
          <w:cantSplit/>
        </w:trPr>
        <w:tc>
          <w:tcPr>
            <w:tcW w:type="dxa" w:w="3456"/>
            <w:vAlign w:val="top"/>
          </w:tcPr>
          <w:p>
            <w:pPr>
              <w:spacing w:after="40" w:before="0" w:line="259" w:lineRule="auto"/>
            </w:pPr>
            <w:r>
              <w:rPr>
                <w:rFonts w:ascii="Calibri" w:hAnsi="Calibri"/>
                <w:b/>
                <w:i w:val="0"/>
                <w:color w:val="212121"/>
                <w:sz w:val="19"/>
              </w:rPr>
              <w:t>Soft, “boggy” uterine consistency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Characteristic soft, doughy feel of the adenomyotic uterus on bimanual palpation.</w:t>
            </w:r>
          </w:p>
        </w:tc>
      </w:tr>
      <w:tr>
        <w:trPr>
          <w:cantSplit/>
        </w:trPr>
        <w:tc>
          <w:tcPr>
            <w:tcW w:type="dxa" w:w="3456"/>
            <w:vAlign w:val="top"/>
          </w:tcPr>
          <w:p>
            <w:pPr>
              <w:spacing w:after="40" w:before="0" w:line="259" w:lineRule="auto"/>
            </w:pPr>
            <w:r>
              <w:rPr>
                <w:rFonts w:ascii="Calibri" w:hAnsi="Calibri"/>
                <w:b/>
                <w:i w:val="0"/>
                <w:color w:val="212121"/>
                <w:sz w:val="19"/>
              </w:rPr>
              <w:t>Uterine tenderness on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Tenderness — often maximal perimenstrually — is more typical than with fibroid-related enlargement.</w:t>
            </w:r>
          </w:p>
        </w:tc>
      </w:tr>
      <w:tr>
        <w:trPr>
          <w:cantSplit/>
        </w:trPr>
        <w:tc>
          <w:tcPr>
            <w:tcW w:type="dxa" w:w="3456"/>
            <w:vAlign w:val="top"/>
          </w:tcPr>
          <w:p>
            <w:pPr>
              <w:spacing w:after="40" w:before="0" w:line="259" w:lineRule="auto"/>
            </w:pPr>
            <w:r>
              <w:rPr>
                <w:rFonts w:ascii="Calibri" w:hAnsi="Calibri"/>
                <w:b/>
                <w:i w:val="0"/>
                <w:color w:val="212121"/>
                <w:sz w:val="19"/>
              </w:rPr>
              <w:t>Pallor (conjunctival / palmar)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Reflects iron-deficiency anaemia from chronic heavy menstrual bleeding.</w:t>
            </w:r>
          </w:p>
        </w:tc>
      </w:tr>
      <w:tr>
        <w:trPr>
          <w:cantSplit/>
        </w:trPr>
        <w:tc>
          <w:tcPr>
            <w:tcW w:type="dxa" w:w="3456"/>
            <w:vAlign w:val="top"/>
          </w:tcPr>
          <w:p>
            <w:pPr>
              <w:spacing w:after="40" w:before="0" w:line="259" w:lineRule="auto"/>
            </w:pPr>
            <w:r>
              <w:rPr>
                <w:rFonts w:ascii="Calibri" w:hAnsi="Calibri"/>
                <w:b/>
                <w:i w:val="0"/>
                <w:color w:val="212121"/>
                <w:sz w:val="19"/>
              </w:rPr>
              <w:t>Mobile, symmetrically enlarged uterus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Usually retains mobility; a fixed uterus suggests coexisting deep endometriosis or adhesions.</w:t>
            </w:r>
          </w:p>
        </w:tc>
      </w:tr>
      <w:tr>
        <w:trPr>
          <w:cantSplit/>
        </w:trPr>
        <w:tc>
          <w:tcPr>
            <w:tcW w:type="dxa" w:w="3456"/>
            <w:vAlign w:val="top"/>
          </w:tcPr>
          <w:p>
            <w:pPr>
              <w:spacing w:after="40" w:before="0" w:line="259" w:lineRule="auto"/>
            </w:pPr>
            <w:r>
              <w:rPr>
                <w:rFonts w:ascii="Calibri" w:hAnsi="Calibri"/>
                <w:b/>
                <w:i w:val="0"/>
                <w:color w:val="212121"/>
                <w:sz w:val="19"/>
              </w:rPr>
              <w:t>Myometrial cysts / heterogeneous myometrium on TVUS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Sonographic sign — anechoic myometrial cysts and asymmetric wall thickening on transvaginal ultrasound.</w:t>
            </w:r>
          </w:p>
        </w:tc>
      </w:tr>
      <w:tr>
        <w:trPr>
          <w:cantSplit/>
        </w:trPr>
        <w:tc>
          <w:tcPr>
            <w:tcW w:type="dxa" w:w="3456"/>
            <w:vAlign w:val="top"/>
          </w:tcPr>
          <w:p>
            <w:pPr>
              <w:spacing w:after="40" w:before="0" w:line="259" w:lineRule="auto"/>
            </w:pPr>
            <w:r>
              <w:rPr>
                <w:rFonts w:ascii="Calibri" w:hAnsi="Calibri"/>
                <w:b/>
                <w:i w:val="0"/>
                <w:color w:val="212121"/>
                <w:sz w:val="19"/>
              </w:rPr>
              <w:t>Junctional-zone thickening on MRI (≥ 12 mm)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Imaging sign that is the key MRI diagnostic criterion for adenomyosis.</w:t>
            </w:r>
          </w:p>
        </w:tc>
      </w:tr>
      <w:tr>
        <w:trPr>
          <w:cantSplit/>
        </w:trPr>
        <w:tc>
          <w:tcPr>
            <w:tcW w:type="dxa" w:w="3456"/>
            <w:vAlign w:val="top"/>
          </w:tcPr>
          <w:p>
            <w:pPr>
              <w:spacing w:after="40" w:before="0" w:line="259" w:lineRule="auto"/>
            </w:pPr>
            <w:r>
              <w:rPr>
                <w:rFonts w:ascii="Calibri" w:hAnsi="Calibri"/>
                <w:b/>
                <w:i w:val="0"/>
                <w:color w:val="212121"/>
                <w:sz w:val="19"/>
              </w:rPr>
              <w:t>Fullness / tenderness in the pouch of Douglas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Suggests coexisting posterior deep infiltrating endometriosis.</w:t>
            </w:r>
          </w:p>
        </w:tc>
      </w:tr>
      <w:tr>
        <w:trPr>
          <w:cantSplit/>
        </w:trPr>
        <w:tc>
          <w:tcPr>
            <w:tcW w:type="dxa" w:w="3456"/>
            <w:vAlign w:val="top"/>
          </w:tcPr>
          <w:p>
            <w:pPr>
              <w:spacing w:after="40" w:before="0" w:line="259" w:lineRule="auto"/>
            </w:pPr>
            <w:r>
              <w:rPr>
                <w:rFonts w:ascii="Calibri" w:hAnsi="Calibri"/>
                <w:b/>
                <w:i w:val="0"/>
                <w:color w:val="212121"/>
                <w:sz w:val="19"/>
              </w:rPr>
              <w:t>Palpable focal myometrial mass (adenomyoma)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localised, ill-defined tender swelling in focal disease, which can mimic a fibroid.</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heavy and prolonged menstrual bleeding (menorrhagia)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Iron-deficiency anaemia (may become transfusion-dependent)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secondary dysmenorrhoea and chronic pelvic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Deep dyspareunia</w:t>
            </w:r>
          </w:p>
        </w:tc>
        <w:tc>
          <w:tcPr>
            <w:tcW w:type="dxa" w:w="2980"/>
            <w:vAlign w:val="top"/>
          </w:tcPr>
          <w:p>
            <w:pPr>
              <w:spacing w:after="40" w:before="0" w:line="259" w:lineRule="auto"/>
            </w:pPr>
            <w:r>
              <w:rPr>
                <w:rFonts w:ascii="Calibri" w:hAnsi="Calibri"/>
                <w:b w:val="0"/>
                <w:i w:val="0"/>
                <w:color w:val="212121"/>
                <w:sz w:val="19"/>
              </w:rPr>
              <w:t>Direct consequences of the enlarged, hypervascular, abnormally contracting adenomyotic uterus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Subfertility / infertility and reduced IVF success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Adverse pregnancy outcomes: miscarriage, preterm birth, PPROM, pre-eclampsia, fetal malpresentation, placental complications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risk of postpartum haemorrhage / uterine atony; rare uterine rupture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Anxiety, depression and impaired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Dependence on hormonal therapy or need for surgical intervention</w:t>
            </w:r>
          </w:p>
        </w:tc>
        <w:tc>
          <w:tcPr>
            <w:tcW w:type="dxa" w:w="2980"/>
            <w:vAlign w:val="top"/>
          </w:tcPr>
          <w:p>
            <w:pPr>
              <w:spacing w:after="40" w:before="0" w:line="259" w:lineRule="auto"/>
            </w:pPr>
            <w:r>
              <w:rPr>
                <w:rFonts w:ascii="Calibri" w:hAnsi="Calibri"/>
                <w:b w:val="0"/>
                <w:i w:val="0"/>
                <w:color w:val="212121"/>
                <w:sz w:val="19"/>
              </w:rPr>
              <w:t>Result from disturbed implantation, myometrial dysfunction and the chronic pain / bleeding burden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Hysterectomy (definitive treatment, with permanent loss of fertility)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Chronic-pain syndrome and analgesic/opioid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Surgical and anaesthetic complications of major gynaecological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association with endometrial and ovarian malignancy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Cumulative psychosocial, occupational and economic impact</w:t>
            </w:r>
          </w:p>
        </w:tc>
        <w:tc>
          <w:tcPr>
            <w:tcW w:type="dxa" w:w="2980"/>
            <w:vAlign w:val="top"/>
          </w:tcPr>
          <w:p>
            <w:pPr>
              <w:spacing w:after="40" w:before="0" w:line="259" w:lineRule="auto"/>
            </w:pPr>
            <w:r>
              <w:rPr>
                <w:rFonts w:ascii="Calibri" w:hAnsi="Calibri"/>
                <w:b w:val="0"/>
                <w:i w:val="0"/>
                <w:color w:val="212121"/>
                <w:sz w:val="19"/>
              </w:rPr>
              <w:t>Irreversible, disabling or long-term outcomes of longstanding or refractory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Endometriosis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Frequently coexists and shares estrogen-driven, inflammatory mechanisms; coexistence intensifies pain and subfertility and complicates treatment.</w:t>
            </w:r>
          </w:p>
          <w:p>
            <w:pPr>
              <w:spacing w:after="40" w:before="0" w:line="259" w:lineRule="auto"/>
            </w:pPr>
            <w:r>
              <w:rPr>
                <w:rFonts w:ascii="Calibri" w:hAnsi="Calibri"/>
                <w:b/>
                <w:i w:val="0"/>
                <w:color w:val="212121"/>
                <w:sz w:val="19"/>
              </w:rPr>
              <w:t>Up to 74% (adenomyosis with endometriosis on MRI)</w:t>
            </w:r>
          </w:p>
        </w:tc>
      </w:tr>
      <w:tr>
        <w:trPr>
          <w:cantSplit/>
        </w:trPr>
        <w:tc>
          <w:tcPr>
            <w:tcW w:type="dxa" w:w="2232"/>
            <w:vAlign w:val="top"/>
          </w:tcPr>
          <w:p>
            <w:pPr>
              <w:spacing w:after="40" w:before="0" w:line="259" w:lineRule="auto"/>
            </w:pPr>
            <w:r>
              <w:rPr>
                <w:rFonts w:ascii="Calibri" w:hAnsi="Calibri"/>
                <w:b/>
                <w:i w:val="0"/>
                <w:color w:val="212121"/>
                <w:sz w:val="19"/>
              </w:rPr>
              <w:t>Uterine fibroids (leiomyoma)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 in the same estrogen-rich uterus, compounding uterine enlargement and heavy bleeding and complicating imaging and surgery.</w:t>
            </w:r>
          </w:p>
          <w:p>
            <w:pPr>
              <w:spacing w:after="40" w:before="0" w:line="259" w:lineRule="auto"/>
            </w:pPr>
            <w:r>
              <w:rPr>
                <w:rFonts w:ascii="Calibri" w:hAnsi="Calibri"/>
                <w:b/>
                <w:i w:val="0"/>
                <w:color w:val="212121"/>
                <w:sz w:val="19"/>
              </w:rPr>
              <w:t>Up to 50%</w:t>
            </w:r>
          </w:p>
        </w:tc>
      </w:tr>
      <w:tr>
        <w:trPr>
          <w:cantSplit/>
        </w:trPr>
        <w:tc>
          <w:tcPr>
            <w:tcW w:type="dxa" w:w="2232"/>
            <w:vAlign w:val="top"/>
          </w:tcPr>
          <w:p>
            <w:pPr>
              <w:spacing w:after="40" w:before="0" w:line="259" w:lineRule="auto"/>
            </w:pPr>
            <w:r>
              <w:rPr>
                <w:rFonts w:ascii="Calibri" w:hAnsi="Calibri"/>
                <w:b/>
                <w:i w:val="0"/>
                <w:color w:val="212121"/>
                <w:sz w:val="19"/>
              </w:rPr>
              <w:t>Iron-deficiency anaemia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Results from chronic heavy menstrual bleeding; a leading cause of fatigue and morbidity, especially in Indian women.</w:t>
            </w:r>
          </w:p>
        </w:tc>
      </w:tr>
      <w:tr>
        <w:trPr>
          <w:cantSplit/>
        </w:trPr>
        <w:tc>
          <w:tcPr>
            <w:tcW w:type="dxa" w:w="2232"/>
            <w:vAlign w:val="top"/>
          </w:tcPr>
          <w:p>
            <w:pPr>
              <w:spacing w:after="40" w:before="0" w:line="259" w:lineRule="auto"/>
            </w:pPr>
            <w:r>
              <w:rPr>
                <w:rFonts w:ascii="Calibri" w:hAnsi="Calibri"/>
                <w:b/>
                <w:i w:val="0"/>
                <w:color w:val="212121"/>
                <w:sz w:val="19"/>
              </w:rPr>
              <w:t>Abnormal uterine bleeding (HMB)</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Adenomyosis is a common structural cause of heavy/prolonged menstrual bleeding within the PALM-COEIN framework.</w:t>
            </w:r>
          </w:p>
          <w:p>
            <w:pPr>
              <w:spacing w:after="40" w:before="0" w:line="259" w:lineRule="auto"/>
            </w:pPr>
            <w:r>
              <w:rPr>
                <w:rFonts w:ascii="Calibri" w:hAnsi="Calibri"/>
                <w:b/>
                <w:i w:val="0"/>
                <w:color w:val="212121"/>
                <w:sz w:val="19"/>
              </w:rPr>
              <w:t>HMB in ~40–60% of symptomatic women</w:t>
            </w:r>
          </w:p>
        </w:tc>
      </w:tr>
      <w:tr>
        <w:trPr>
          <w:cantSplit/>
        </w:trPr>
        <w:tc>
          <w:tcPr>
            <w:tcW w:type="dxa" w:w="2232"/>
            <w:vAlign w:val="top"/>
          </w:tcPr>
          <w:p>
            <w:pPr>
              <w:spacing w:after="40" w:before="0" w:line="259" w:lineRule="auto"/>
            </w:pPr>
            <w:r>
              <w:rPr>
                <w:rFonts w:ascii="Calibri" w:hAnsi="Calibri"/>
                <w:b/>
                <w:i w:val="0"/>
                <w:color w:val="212121"/>
                <w:sz w:val="19"/>
              </w:rPr>
              <w:t>Infertility / subfertility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Distorted junctional zone, abnormal peristalsis and inflammation impair implantation and reduce IVF success.</w:t>
            </w:r>
          </w:p>
          <w:p>
            <w:pPr>
              <w:spacing w:after="40" w:before="0" w:line="259" w:lineRule="auto"/>
            </w:pPr>
            <w:r>
              <w:rPr>
                <w:rFonts w:ascii="Calibri" w:hAnsi="Calibri"/>
                <w:b/>
                <w:i w:val="0"/>
                <w:color w:val="212121"/>
                <w:sz w:val="19"/>
              </w:rPr>
              <w:t>~31% prevalence in infertile women; ~28% lower IVF pregnancy</w:t>
            </w:r>
          </w:p>
        </w:tc>
      </w:tr>
      <w:tr>
        <w:trPr>
          <w:cantSplit/>
        </w:trPr>
        <w:tc>
          <w:tcPr>
            <w:tcW w:type="dxa" w:w="2232"/>
            <w:vAlign w:val="top"/>
          </w:tcPr>
          <w:p>
            <w:pPr>
              <w:spacing w:after="40" w:before="0" w:line="259" w:lineRule="auto"/>
            </w:pPr>
            <w:r>
              <w:rPr>
                <w:rFonts w:ascii="Calibri" w:hAnsi="Calibri"/>
                <w:b/>
                <w:i w:val="0"/>
                <w:color w:val="212121"/>
                <w:sz w:val="19"/>
              </w:rPr>
              <w:t>Anxiety and depression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pain and heavy bleeding drive mood disorders; rates exceed those in women with fibroids.</w:t>
            </w:r>
          </w:p>
          <w:p>
            <w:pPr>
              <w:spacing w:after="40" w:before="0" w:line="259" w:lineRule="auto"/>
            </w:pPr>
            <w:r>
              <w:rPr>
                <w:rFonts w:ascii="Calibri" w:hAnsi="Calibri"/>
                <w:b/>
                <w:i w:val="0"/>
                <w:color w:val="212121"/>
                <w:sz w:val="19"/>
              </w:rPr>
              <w:t>Anxiety ~29%, depression ~14%</w:t>
            </w:r>
          </w:p>
        </w:tc>
      </w:tr>
      <w:tr>
        <w:trPr>
          <w:cantSplit/>
        </w:trPr>
        <w:tc>
          <w:tcPr>
            <w:tcW w:type="dxa" w:w="2232"/>
            <w:vAlign w:val="top"/>
          </w:tcPr>
          <w:p>
            <w:pPr>
              <w:spacing w:after="40" w:before="0" w:line="259" w:lineRule="auto"/>
            </w:pPr>
            <w:r>
              <w:rPr>
                <w:rFonts w:ascii="Calibri" w:hAnsi="Calibri"/>
                <w:b/>
                <w:i w:val="0"/>
                <w:color w:val="212121"/>
                <w:sz w:val="19"/>
              </w:rPr>
              <w:t>Adverse pregnancy outcomes (preterm birth, pre-eclampsia, malpresentation, PPH)</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Adenomyosis is associated with obstetric complications through impaired placentation and myometrial dysfunction.</w:t>
            </w:r>
          </w:p>
        </w:tc>
      </w:tr>
      <w:tr>
        <w:trPr>
          <w:cantSplit/>
        </w:trPr>
        <w:tc>
          <w:tcPr>
            <w:tcW w:type="dxa" w:w="2232"/>
            <w:vAlign w:val="top"/>
          </w:tcPr>
          <w:p>
            <w:pPr>
              <w:spacing w:after="40" w:before="0" w:line="259" w:lineRule="auto"/>
            </w:pPr>
            <w:r>
              <w:rPr>
                <w:rFonts w:ascii="Calibri" w:hAnsi="Calibri"/>
                <w:b/>
                <w:i w:val="0"/>
                <w:color w:val="212121"/>
                <w:sz w:val="19"/>
              </w:rPr>
              <w:t>Endometrial polyps / endometrial hyperplasia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Estrogen-related endometrial proliferation commonly coexists and must be excluded in the AUB work-up.</w:t>
            </w:r>
          </w:p>
        </w:tc>
      </w:tr>
      <w:tr>
        <w:trPr>
          <w:cantSplit/>
        </w:trPr>
        <w:tc>
          <w:tcPr>
            <w:tcW w:type="dxa" w:w="2232"/>
            <w:vAlign w:val="top"/>
          </w:tcPr>
          <w:p>
            <w:pPr>
              <w:spacing w:after="40" w:before="0" w:line="259" w:lineRule="auto"/>
            </w:pPr>
            <w:r>
              <w:rPr>
                <w:rFonts w:ascii="Calibri" w:hAnsi="Calibri"/>
                <w:b/>
                <w:i w:val="0"/>
                <w:color w:val="212121"/>
                <w:sz w:val="19"/>
              </w:rPr>
              <w:t>Endometrial carcinoma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history of adenomyosis is associated with increased odds of endometrial cancer; coexisting adenomyosis can influence tumour characteristics.</w:t>
            </w:r>
          </w:p>
          <w:p>
            <w:pPr>
              <w:spacing w:after="40" w:before="0" w:line="259" w:lineRule="auto"/>
            </w:pPr>
            <w:r>
              <w:rPr>
                <w:rFonts w:ascii="Calibri" w:hAnsi="Calibri"/>
                <w:b/>
                <w:i w:val="0"/>
                <w:color w:val="212121"/>
                <w:sz w:val="19"/>
              </w:rPr>
              <w:t>Adjusted OR ~3.8</w:t>
            </w:r>
          </w:p>
        </w:tc>
      </w:tr>
      <w:tr>
        <w:trPr>
          <w:cantSplit/>
        </w:trPr>
        <w:tc>
          <w:tcPr>
            <w:tcW w:type="dxa" w:w="2232"/>
            <w:vAlign w:val="top"/>
          </w:tcPr>
          <w:p>
            <w:pPr>
              <w:spacing w:after="40" w:before="0" w:line="259" w:lineRule="auto"/>
            </w:pPr>
            <w:r>
              <w:rPr>
                <w:rFonts w:ascii="Calibri" w:hAnsi="Calibri"/>
                <w:b/>
                <w:i w:val="0"/>
                <w:color w:val="212121"/>
                <w:sz w:val="19"/>
              </w:rPr>
              <w:t>Ovarian carcinoma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Adenomyosis (like endometriosis) is associated with a modestly increased risk of ovarian cancer.</w:t>
            </w:r>
          </w:p>
          <w:p>
            <w:pPr>
              <w:spacing w:after="40" w:before="0" w:line="259" w:lineRule="auto"/>
            </w:pPr>
            <w:r>
              <w:rPr>
                <w:rFonts w:ascii="Calibri" w:hAnsi="Calibri"/>
                <w:b/>
                <w:i w:val="0"/>
                <w:color w:val="212121"/>
                <w:sz w:val="19"/>
              </w:rPr>
              <w:t>Adjusted OR ~2.3</w:t>
            </w:r>
          </w:p>
        </w:tc>
      </w:tr>
      <w:tr>
        <w:trPr>
          <w:cantSplit/>
        </w:trPr>
        <w:tc>
          <w:tcPr>
            <w:tcW w:type="dxa" w:w="2232"/>
            <w:vAlign w:val="top"/>
          </w:tcPr>
          <w:p>
            <w:pPr>
              <w:spacing w:after="40" w:before="0" w:line="259" w:lineRule="auto"/>
            </w:pPr>
            <w:r>
              <w:rPr>
                <w:rFonts w:ascii="Calibri" w:hAnsi="Calibri"/>
                <w:b/>
                <w:i w:val="0"/>
                <w:color w:val="212121"/>
                <w:sz w:val="19"/>
              </w:rPr>
              <w:t>Obesity / hyperestrogenism</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Adipose aromatase increases estrogen that sustains adenomyotic tissue; obesity also worsens surgical risk.</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adenomyosis is a benign, estrogen-dependent condition — progressively heavier or more painful periods are not simply 'normal' and deserve evaluation.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Track menstrual bleeding (pad/clot counts or a PBAC diary) and pain to detect worsening early and to guide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a transvaginal ultrasound rather than tolerating symptoms for years; diagnostic delay is common and worsens anaemia and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correct iron-deficiency anaemia if periods are heavy (diet plus iron supplementation as advised).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Minimise unnecessary uterine instrumentation (elective D&amp;C) and discuss uterus-sparing treatment options where fertility is desired.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family-planning goals early, since some effective treatments and definitive hysterectomy affect fertility.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heavy or painful periods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Reproductive-age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prior uterine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Subfertile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Perimenopausal women</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Engage in regular moderate aerobic activity (brisk walking, cycling, swimming; ≥ 150 min/week) to reduce dysmenorrhoea and systemic inflammation.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gentle stretching, yoga, pelvic-floor and core work, and local heat therapy for menstrual pain relief.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body weight (Asian BMI 18.5–22.9) to lower adipose-derived estrogen.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prolonged inactivity during menstruation — light movement often eases cramps.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adenomyosis and dysmenorrhoea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chronic pelvic pain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an anti-inflammatory, plant-forward diet rich in fruits, vegetables, whole grains, millets (ragi/jowar/bajra) and legumes.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25–30 g/day of dietary fibre to support estrogen excretion.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iron-rich foods (green leafy vegetables, legumes, jaggery, lean meat/fish) with vitamin-C sources to offset menstrual iron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red and processed meat, trans/saturated fats and refined sugar.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omega-3 sources (fish, flaxseed, walnuts) for their anti-inflammatory effect.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heavy menstrual bleeding/anaemia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 women at risk of iron deficiency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to modulate pain perception and inflammatory tone.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consistent sleep schedule, particularly during painful menstrual days.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good sleep hygiene and non-pharmacological pain relief (heat, relaxation) to limit night-time pain disruption.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chronic pelvic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severe dysmenorrhoea</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tobacco in all forms; heavy smoking is linked to higher adenomyosis odds and worsens anaemia and vascular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and use structured cessation support (counselling, nicotine replacement) for those who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who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Reproductive-age women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intake, which can raise circulating estrogen and aggravate bleeding-related iron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within low-risk limits (≤ 7 drinks/week) or abstain, especially when trying to conceive.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 alcohol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trying to conceive</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routinely for anxiety and depression (PHQ-9 / GAD-7), which are common in adenomyosis (~29% and ~14%).</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chronic-pain coping strategies — cognitive behavioural therapy, mindfulness and relaxation techniques.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impact of dyspareunia and subfertility on relationships and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Signpost to support groups and multidisciplinary pain services for refractory cases.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chronic pelvic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anxiety/depression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subfertility</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afp.org/pubs/afp/issues/2022/0100/p33.html" TargetMode="External"/><Relationship Id="rId10" Type="http://schemas.openxmlformats.org/officeDocument/2006/relationships/hyperlink" Target="https://link.springer.com/article/10.1186/s12958-025-01483-z" TargetMode="External"/><Relationship Id="rId11" Type="http://schemas.openxmlformats.org/officeDocument/2006/relationships/hyperlink" Target="https://www.thelancet.com/journals/lansea/article/PIIS2772-3682(25)00018-6/fulltext" TargetMode="External"/><Relationship Id="rId12" Type="http://schemas.openxmlformats.org/officeDocument/2006/relationships/hyperlink" Target="https://pmc.ncbi.nlm.nih.gov/articles/PMC11981308/" TargetMode="External"/><Relationship Id="rId13" Type="http://schemas.openxmlformats.org/officeDocument/2006/relationships/hyperlink" Target="https://pubmed.ncbi.nlm.nih.gov/36716812/" TargetMode="External"/><Relationship Id="rId14" Type="http://schemas.openxmlformats.org/officeDocument/2006/relationships/hyperlink" Target="https://www.ncbi.nlm.nih.gov/books/NBK539868/" TargetMode="External"/><Relationship Id="rId15" Type="http://schemas.openxmlformats.org/officeDocument/2006/relationships/hyperlink" Target="https://www.mdpi.com/2077-0383/11/9/2638" TargetMode="External"/><Relationship Id="rId16" Type="http://schemas.openxmlformats.org/officeDocument/2006/relationships/hyperlink" Target="https://obgyn.onlinelibrary.wiley.com/doi/10.1002/uog.247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