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Uterine Fibroids / Leiomyoma</w:t>
      </w:r>
    </w:p>
    <w:p>
      <w:pPr>
        <w:spacing w:before="0" w:after="160"/>
      </w:pPr>
      <w:r>
        <w:rPr>
          <w:rFonts w:ascii="Calibri" w:hAnsi="Calibri"/>
          <w:b/>
          <w:i w:val="0"/>
          <w:color w:val="212121"/>
          <w:sz w:val="22"/>
        </w:rPr>
        <w:t xml:space="preserve">AKA </w:t>
      </w:r>
      <w:r>
        <w:rPr>
          <w:rFonts w:ascii="Calibri" w:hAnsi="Calibri"/>
          <w:b w:val="0"/>
          <w:i w:val="0"/>
          <w:color w:val="212121"/>
          <w:sz w:val="22"/>
        </w:rPr>
        <w:t>i.e., Uterine leiomyoma, Myoma, Fibromyoma, Uterine myoma, Fibroid tumours (benign smooth-muscle tumours of the uterus)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Uterine fibroids (leiomyomas) are benign, monoclonal tumours arising from the smooth muscle (myometrium) of the uterus and are the most common benign gynaecological tumours in women of reproductive age. Their growth is sex-hormone dependent - driven mainly by estrogen and progesterone - so they typically enlarge during the reproductive years and regress after menopause. Fibroids range from clinically silent to causing heavy menstrual bleeding, pelvic pressure and pain, subfertility and pregnancy complications, and they vary widely in number, size and location within the uterus.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Uterine fibroids are among the commonest gynaecological conditions in Indian women of reproductive age, with community and hospital studies reporting figures of roughly 20-30%. A large semi-urban study in Telangana found an ultrasound-detected prevalence of 11.6% among 4,487 women, while a tertiary-care study in south-eastern India reported a point prevalence of about 20% in reproductive-age women; because many fibroids are asymptomatic the true burden is higher, and by menopause an estimated 50-70% of women harbour fibroids. Fibroids are the second most common reason for hysterectomy in India after heavy menstrual bleeding.</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Uterine fibroids are diagnosed by combining clinical assessment with pelvic imaging; investigation also gauges the impact of bleeding and helps exclude mimics such as adenomyosis, endometrial pathology and (rarely) leiomyosarcoma: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bimanual pelvic examination revealing an enlarged, firm, irregular, non-tender, mobile uterus, conventionally described in weeks-of-gestation size;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transvaginal / transabdominal ultrasonography - the first-line test (about 95-100% sensitivity for a uterus &lt; 10 weeks size) - showing well-defined, hypoechoic myometrial masses with or without calcification;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saline-infusion sonohysterography (SIS) to delineate submucosal fibroids distorting the endometrial cavity;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magnetic resonance imaging (MRI) for precise mapping of number, size, location and FIGO type, for surgical or uterine-artery-embolisation planning, and to distinguish adenomyosis or sarcoma;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hysteroscopy for direct visualisation and simultaneous resection of submucosal (FIGO type 0-2) fibroids;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complete blood count / haemoglobin and serum ferritin to detect iron-deficiency anaemia from menorrhagia, with beta-hCG, TSH and prolactin to exclude other causes of abnormal uterine bleeding.</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Fibroids are classified by their anatomical relationship to the uterine wall; the FIGO leiomyoma subclassification (types 0-8) is the internationally used system and maps onto three broad categories:</w:t>
      </w:r>
    </w:p>
    <w:p>
      <w:pPr>
        <w:spacing w:before="0" w:after="80"/>
      </w:pPr>
      <w:r>
        <w:rPr>
          <w:rFonts w:ascii="Calibri" w:hAnsi="Calibri"/>
          <w:b w:val="0"/>
          <w:i w:val="0"/>
          <w:color w:val="212121"/>
          <w:sz w:val="21"/>
        </w:rPr>
        <w:t>(1) Submucosal fibroids (FIGO types 0-2) project into the endometrial cavity - type 0 is pedunculated and wholly intracavitary, type 1 has &lt; 50% intramural extension and type 2 has &gt;= 50% intramural extension; though least common, they most strongly cause heavy menstrual bleeding and subfertility;</w:t>
      </w:r>
    </w:p>
    <w:p>
      <w:pPr>
        <w:spacing w:before="0" w:after="80"/>
      </w:pPr>
      <w:r>
        <w:rPr>
          <w:rFonts w:ascii="Calibri" w:hAnsi="Calibri"/>
          <w:b w:val="0"/>
          <w:i w:val="0"/>
          <w:color w:val="212121"/>
          <w:sz w:val="21"/>
        </w:rPr>
        <w:t>(2) Intramural fibroids (FIGO types 3-4) lie within the myometrial wall - type 3 abuts the endometrium (100% intramural) and type 4 is entirely intramural; this is the most frequent type and chiefly enlarges the uterus;</w:t>
      </w:r>
    </w:p>
    <w:p>
      <w:pPr>
        <w:spacing w:before="0" w:after="80"/>
      </w:pPr>
      <w:r>
        <w:rPr>
          <w:rFonts w:ascii="Calibri" w:hAnsi="Calibri"/>
          <w:b w:val="0"/>
          <w:i w:val="0"/>
          <w:color w:val="212121"/>
          <w:sz w:val="21"/>
        </w:rPr>
        <w:t>(3) Subserosal fibroids (FIGO types 5-7) project outward beneath the serosa - type 5 is &gt;= 50% intramural, type 6 is &lt; 50% intramural and type 7 is pedunculated subserosal; they predominantly produce bulk and pressure symptoms on bladder, bowel and pelvic structures;</w:t>
      </w:r>
    </w:p>
    <w:p>
      <w:pPr>
        <w:spacing w:before="0" w:after="80"/>
      </w:pPr>
      <w:r>
        <w:rPr>
          <w:rFonts w:ascii="Calibri" w:hAnsi="Calibri"/>
          <w:b w:val="0"/>
          <w:i w:val="0"/>
          <w:color w:val="212121"/>
          <w:sz w:val="21"/>
        </w:rPr>
        <w:t>(4) Other / hybrid lesions (FIGO type 8) are not attached to the myometrium - for example cervical or parasitic fibroids (detached and taking blood supply from adjacent structures) - while hybrid tumours (e.g. type 2-5) contact both the endometrium and the serosa.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Sex-steroid hormones (estrogen and progesterone): Fibroids overexpress estrogen and progesterone receptors and proliferate under hormonal stimulation during the reproductive years, then typically shrink after menopause when hormone levels fall.</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Somatic and germline genetic changes: Fibroids are monoclonal; MED12 mutations occur in about 70% of tumours, with HMGA2 rearrangements and germline fumarate-hydratase (FH) mutations (hereditary leiomyomatosis and renal cell cancer) in a minority.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Family history and ethnicity: There is strong familial clustering, and women of African descent develop fibroids earlier, more frequently and more severely than other groups.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Reproductive factors: Early menarche, nulliparity and late menopause increase cumulative estrogen exposure and risk, whereas increasing parity is protective.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Obesity and metabolic factors: Adipose-tissue aromatisation raises circulating estrogen, and insulin resistance and hypertension are linked to higher fibroid risk and growth.</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Vitamin D deficiency: Low serum 25-hydroxyvitamin D - near-universal in Indian women - is associated with a higher risk of fibroids, as vitamin D normally restrains myometrial cell proliferation and extracellular-matrix production.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Extracellular-matrix and growth-factor dysregulation: Excess collagen deposition and up-regulated TGF-beta and IGF signalling drive the fibrotic, stiff expansion of these tumours.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(reproductive age, ~30-45 years)</w:t>
            </w:r>
          </w:p>
        </w:tc>
        <w:tc>
          <w:tcPr>
            <w:tcW w:type="dxa" w:w="4276"/>
            <w:vAlign w:val="top"/>
          </w:tcPr>
          <w:p>
            <w:pPr>
              <w:spacing w:after="60" w:line="259" w:lineRule="auto"/>
            </w:pPr>
            <w:r>
              <w:rPr>
                <w:rFonts w:ascii="Calibri" w:hAnsi="Calibri"/>
                <w:b w:val="0"/>
                <w:i w:val="0"/>
                <w:color w:val="212121"/>
                <w:sz w:val="19"/>
              </w:rPr>
              <w:t>Fibroids grow fastest during the peak reproductive years under sustained estrogen and progesterone exposure, so most symptomatic disease is detected in the fourth and fifth decades.</w:t>
            </w:r>
          </w:p>
          <w:p>
            <w:pPr>
              <w:spacing w:after="40" w:before="60" w:line="259" w:lineRule="auto"/>
            </w:pPr>
            <w:r>
              <w:rPr>
                <w:rFonts w:ascii="Calibri" w:hAnsi="Calibri"/>
                <w:b w:val="0"/>
                <w:i w:val="0"/>
                <w:color w:val="212121"/>
                <w:sz w:val="19"/>
              </w:rPr>
              <w:t>In a semi-urban Telangana study fibroids peaked at 40-59 years (57.3%) followed by 20-39 years (37.2%).</w:t>
            </w:r>
          </w:p>
          <w:p>
            <w:pPr>
              <w:spacing w:after="40" w:line="252" w:lineRule="auto"/>
            </w:pPr>
            <w:hyperlink r:id="rId9">
              <w:r>
                <w:rPr>
                  <w:rFonts w:ascii="Calibri" w:hAnsi="Calibri" w:cs="Calibri"/>
                  <w:sz w:val="18"/>
                  <w:color w:val="1155CC"/>
                  <w:u w:val="single"/>
                </w:rPr>
                <w:t xml:space="preserve">ijrcog.org - Telangana fibroid prevalence study</w:t>
              </w:r>
            </w:hyperlink>
          </w:p>
          <w:p>
            <w:pPr>
              <w:spacing w:before="60" w:after="40"/>
            </w:pPr>
            <w:r>
              <w:rPr>
                <w:rFonts w:ascii="Calibri" w:hAnsi="Calibri"/>
                <w:b w:val="0"/>
                <w:i w:val="0"/>
                <w:color w:val="5A5A5A"/>
                <w:sz w:val="18"/>
              </w:rPr>
              <w:t>#reproductiveage  #estrogen  #myometrium  #peakincidence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(peri- and post-menopausal)</w:t>
            </w:r>
          </w:p>
        </w:tc>
        <w:tc>
          <w:tcPr>
            <w:tcW w:type="dxa" w:w="4276"/>
            <w:vAlign w:val="top"/>
          </w:tcPr>
          <w:p>
            <w:pPr>
              <w:spacing w:after="60" w:line="259" w:lineRule="auto"/>
            </w:pPr>
            <w:r>
              <w:rPr>
                <w:rFonts w:ascii="Calibri" w:hAnsi="Calibri"/>
                <w:b w:val="0"/>
                <w:i w:val="0"/>
                <w:color w:val="212121"/>
                <w:sz w:val="19"/>
              </w:rPr>
              <w:t>Fibroids usually regress after menopause as estrogen falls; persistence or new growth of a uterine mass in a post-menopausal woman is atypical and raises concern for leiomyosarcoma.</w:t>
            </w:r>
          </w:p>
          <w:p>
            <w:pPr>
              <w:spacing w:after="40" w:before="60" w:line="259" w:lineRule="auto"/>
            </w:pPr>
            <w:r>
              <w:rPr>
                <w:rFonts w:ascii="Calibri" w:hAnsi="Calibri"/>
                <w:b w:val="0"/>
                <w:i w:val="0"/>
                <w:color w:val="212121"/>
                <w:sz w:val="19"/>
              </w:rPr>
              <w:t>By the time they reach menopause an estimated 50-70% of women harbour one or more fibroids.</w:t>
            </w:r>
          </w:p>
          <w:p>
            <w:pPr>
              <w:spacing w:after="40" w:line="252" w:lineRule="auto"/>
            </w:pPr>
            <w:hyperlink r:id="rId10">
              <w:r>
                <w:rPr>
                  <w:rFonts w:ascii="Calibri" w:hAnsi="Calibri" w:cs="Calibri"/>
                  <w:sz w:val="18"/>
                  <w:color w:val="1155CC"/>
                  <w:u w:val="single"/>
                </w:rPr>
                <w:t xml:space="preserve">ncbi.nlm.nih.gov - StatPearls Uterine Leiomyomata</w:t>
              </w:r>
            </w:hyperlink>
          </w:p>
          <w:p>
            <w:pPr>
              <w:spacing w:before="60" w:after="40"/>
            </w:pPr>
            <w:r>
              <w:rPr>
                <w:rFonts w:ascii="Calibri" w:hAnsi="Calibri"/>
                <w:b w:val="0"/>
                <w:i w:val="0"/>
                <w:color w:val="5A5A5A"/>
                <w:sz w:val="18"/>
              </w:rPr>
              <w:t>#menopause  #regression  #sarcomaconcern  #postmenopausal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(women of reproductive age)</w:t>
            </w:r>
          </w:p>
        </w:tc>
        <w:tc>
          <w:tcPr>
            <w:tcW w:type="dxa" w:w="4276"/>
            <w:vAlign w:val="top"/>
          </w:tcPr>
          <w:p>
            <w:pPr>
              <w:spacing w:after="60" w:line="259" w:lineRule="auto"/>
            </w:pPr>
            <w:r>
              <w:rPr>
                <w:rFonts w:ascii="Calibri" w:hAnsi="Calibri"/>
                <w:b w:val="0"/>
                <w:i w:val="0"/>
                <w:color w:val="212121"/>
                <w:sz w:val="19"/>
              </w:rPr>
              <w:t>Fibroids arise only from the uterine myometrium, making this an exclusively female, hormone-dependent condition and the most common benign uterine tumour of the reproductive years.</w:t>
            </w:r>
          </w:p>
          <w:p>
            <w:pPr>
              <w:spacing w:after="40" w:before="60" w:line="259" w:lineRule="auto"/>
            </w:pPr>
            <w:r>
              <w:rPr>
                <w:rFonts w:ascii="Calibri" w:hAnsi="Calibri"/>
                <w:b w:val="0"/>
                <w:i w:val="0"/>
                <w:color w:val="212121"/>
                <w:sz w:val="19"/>
              </w:rPr>
              <w:t>Fibroids are present in roughly 20-40% of women of reproductive age and are the leading benign uterine tumour.</w:t>
            </w:r>
          </w:p>
          <w:p>
            <w:pPr>
              <w:spacing w:after="40" w:line="252" w:lineRule="auto"/>
            </w:pPr>
            <w:hyperlink r:id="rId10">
              <w:r>
                <w:rPr>
                  <w:rFonts w:ascii="Calibri" w:hAnsi="Calibri" w:cs="Calibri"/>
                  <w:sz w:val="18"/>
                  <w:color w:val="1155CC"/>
                  <w:u w:val="single"/>
                </w:rPr>
                <w:t xml:space="preserve">ncbi.nlm.nih.gov - StatPearls Uterine Leiomyomata</w:t>
              </w:r>
            </w:hyperlink>
          </w:p>
          <w:p>
            <w:pPr>
              <w:spacing w:before="60" w:after="40"/>
            </w:pPr>
            <w:r>
              <w:rPr>
                <w:rFonts w:ascii="Calibri" w:hAnsi="Calibri"/>
                <w:b w:val="0"/>
                <w:i w:val="0"/>
                <w:color w:val="5A5A5A"/>
                <w:sz w:val="18"/>
              </w:rPr>
              <w:t>#women  #uterus  #benigntumour  #hormonedependent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 low-literacy Indian women</w:t>
            </w:r>
          </w:p>
        </w:tc>
        <w:tc>
          <w:tcPr>
            <w:tcW w:type="dxa" w:w="4276"/>
            <w:vAlign w:val="top"/>
          </w:tcPr>
          <w:p>
            <w:pPr>
              <w:spacing w:after="60" w:line="259" w:lineRule="auto"/>
            </w:pPr>
            <w:r>
              <w:rPr>
                <w:rFonts w:ascii="Calibri" w:hAnsi="Calibri"/>
                <w:b w:val="0"/>
                <w:i w:val="0"/>
                <w:color w:val="212121"/>
                <w:sz w:val="19"/>
              </w:rPr>
              <w:t>Limited health literacy and access delay diagnosis, so women often present late with large fibroids, severe anaemia and bulk symptoms; poverty and illiteracy are over-represented among cases.</w:t>
            </w:r>
          </w:p>
          <w:p>
            <w:pPr>
              <w:spacing w:after="40" w:before="60" w:line="259" w:lineRule="auto"/>
            </w:pPr>
            <w:r>
              <w:rPr>
                <w:rFonts w:ascii="Calibri" w:hAnsi="Calibri"/>
                <w:b w:val="0"/>
                <w:i w:val="0"/>
                <w:color w:val="212121"/>
                <w:sz w:val="19"/>
              </w:rPr>
              <w:t>In the Telangana study 61.9% of affected women had no formal education and 59.8% were married.</w:t>
            </w:r>
          </w:p>
          <w:p>
            <w:pPr>
              <w:spacing w:after="40" w:line="252" w:lineRule="auto"/>
            </w:pPr>
            <w:hyperlink r:id="rId9">
              <w:r>
                <w:rPr>
                  <w:rFonts w:ascii="Calibri" w:hAnsi="Calibri" w:cs="Calibri"/>
                  <w:sz w:val="18"/>
                  <w:color w:val="1155CC"/>
                  <w:u w:val="single"/>
                </w:rPr>
                <w:t xml:space="preserve">ijrcog.org - Telangana fibroid prevalence study</w:t>
              </w:r>
            </w:hyperlink>
          </w:p>
          <w:p>
            <w:pPr>
              <w:spacing w:before="60" w:after="40"/>
            </w:pPr>
            <w:r>
              <w:rPr>
                <w:rFonts w:ascii="Calibri" w:hAnsi="Calibri"/>
                <w:b w:val="0"/>
                <w:i w:val="0"/>
                <w:color w:val="5A5A5A"/>
                <w:sz w:val="18"/>
              </w:rPr>
              <w:t>#healthaccess  #latediagnosis  #literacy  #ruralwomen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Women of African descent (Black women)</w:t>
            </w:r>
          </w:p>
        </w:tc>
        <w:tc>
          <w:tcPr>
            <w:tcW w:type="dxa" w:w="4276"/>
            <w:vAlign w:val="top"/>
          </w:tcPr>
          <w:p>
            <w:pPr>
              <w:spacing w:after="60" w:line="259" w:lineRule="auto"/>
            </w:pPr>
            <w:r>
              <w:rPr>
                <w:rFonts w:ascii="Calibri" w:hAnsi="Calibri"/>
                <w:b w:val="0"/>
                <w:i w:val="0"/>
                <w:color w:val="212121"/>
                <w:sz w:val="19"/>
              </w:rPr>
              <w:t>Black women develop fibroids 2-3 times more often, at younger ages and with larger, more numerous tumours, reflecting genetic, vitamin-D and hormonal differences.</w:t>
            </w:r>
          </w:p>
          <w:p>
            <w:pPr>
              <w:spacing w:after="40" w:before="60" w:line="259" w:lineRule="auto"/>
            </w:pPr>
            <w:r>
              <w:rPr>
                <w:rFonts w:ascii="Calibri" w:hAnsi="Calibri"/>
                <w:b w:val="0"/>
                <w:i w:val="0"/>
                <w:color w:val="212121"/>
                <w:sz w:val="19"/>
              </w:rPr>
              <w:t>Cumulative incidence reaches ~80% in Black women vs 50-70% in White women; US survey diagnosis 12.5% vs 7.1%.</w:t>
            </w:r>
          </w:p>
          <w:p>
            <w:pPr>
              <w:spacing w:after="40" w:line="252" w:lineRule="auto"/>
            </w:pPr>
            <w:hyperlink r:id="rId11">
              <w:r>
                <w:rPr>
                  <w:rFonts w:ascii="Calibri" w:hAnsi="Calibri" w:cs="Calibri"/>
                  <w:sz w:val="18"/>
                  <w:color w:val="1155CC"/>
                  <w:u w:val="single"/>
                </w:rPr>
                <w:t xml:space="preserve">cdc.gov - NCHS fibroids, endometriosis &amp; PCOS 2022-23</w:t>
              </w:r>
            </w:hyperlink>
          </w:p>
          <w:p>
            <w:pPr>
              <w:spacing w:before="60" w:after="40"/>
            </w:pPr>
            <w:r>
              <w:rPr>
                <w:rFonts w:ascii="Calibri" w:hAnsi="Calibri"/>
                <w:b w:val="0"/>
                <w:i w:val="0"/>
                <w:color w:val="5A5A5A"/>
                <w:sz w:val="18"/>
              </w:rPr>
              <w:t>#ethnicity  #disparity  #earlyonset  #geneticrisk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Indian / South Asian women</w:t>
            </w:r>
          </w:p>
        </w:tc>
        <w:tc>
          <w:tcPr>
            <w:tcW w:type="dxa" w:w="4276"/>
            <w:vAlign w:val="top"/>
          </w:tcPr>
          <w:p>
            <w:pPr>
              <w:spacing w:after="60" w:line="259" w:lineRule="auto"/>
            </w:pPr>
            <w:r>
              <w:rPr>
                <w:rFonts w:ascii="Calibri" w:hAnsi="Calibri"/>
                <w:b w:val="0"/>
                <w:i w:val="0"/>
                <w:color w:val="212121"/>
                <w:sz w:val="19"/>
              </w:rPr>
              <w:t>Indian women carry a high fibroid burden that is compounded by very high background rates of anaemia and vitamin-D deficiency, worsening the clinical impact of menorrhagia.</w:t>
            </w:r>
          </w:p>
          <w:p>
            <w:pPr>
              <w:spacing w:after="40" w:before="60" w:line="259" w:lineRule="auto"/>
            </w:pPr>
            <w:r>
              <w:rPr>
                <w:rFonts w:ascii="Calibri" w:hAnsi="Calibri"/>
                <w:b w:val="0"/>
                <w:i w:val="0"/>
                <w:color w:val="212121"/>
                <w:sz w:val="19"/>
              </w:rPr>
              <w:t>Indian reproductive-age prevalence is reported at ~11.6% (Telangana) to ~20% (south-east India).</w:t>
            </w:r>
          </w:p>
          <w:p>
            <w:pPr>
              <w:spacing w:after="40" w:line="252" w:lineRule="auto"/>
            </w:pPr>
            <w:hyperlink r:id="rId12">
              <w:r>
                <w:rPr>
                  <w:rFonts w:ascii="Calibri" w:hAnsi="Calibri" w:cs="Calibri"/>
                  <w:sz w:val="18"/>
                  <w:color w:val="1155CC"/>
                  <w:u w:val="single"/>
                </w:rPr>
                <w:t xml:space="preserve">ijrcog.org - south-eastern India fibroid survey</w:t>
              </w:r>
            </w:hyperlink>
          </w:p>
          <w:p>
            <w:pPr>
              <w:spacing w:before="60" w:after="40"/>
            </w:pPr>
            <w:r>
              <w:rPr>
                <w:rFonts w:ascii="Calibri" w:hAnsi="Calibri"/>
                <w:b w:val="0"/>
                <w:i w:val="0"/>
                <w:color w:val="5A5A5A"/>
                <w:sz w:val="18"/>
              </w:rPr>
              <w:t>#india  #southasian  #anaemiaburden  #vitaminddeficiency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 sedentary women</w:t>
            </w:r>
          </w:p>
        </w:tc>
        <w:tc>
          <w:tcPr>
            <w:tcW w:type="dxa" w:w="4276"/>
            <w:vAlign w:val="top"/>
          </w:tcPr>
          <w:p>
            <w:pPr>
              <w:spacing w:after="60" w:line="259" w:lineRule="auto"/>
            </w:pPr>
            <w:r>
              <w:rPr>
                <w:rFonts w:ascii="Calibri" w:hAnsi="Calibri"/>
                <w:b w:val="0"/>
                <w:i w:val="0"/>
                <w:color w:val="212121"/>
                <w:sz w:val="19"/>
              </w:rPr>
              <w:t>Physical inactivity is linked to higher fibroid risk through weight gain, higher circulating estrogen and metabolic dysfunction, whereas regular exercise is protective.</w:t>
            </w:r>
          </w:p>
          <w:p>
            <w:pPr>
              <w:spacing w:after="40" w:before="60" w:line="259" w:lineRule="auto"/>
            </w:pPr>
            <w:r>
              <w:rPr>
                <w:rFonts w:ascii="Calibri" w:hAnsi="Calibri"/>
                <w:b w:val="0"/>
                <w:i w:val="0"/>
                <w:color w:val="212121"/>
                <w:sz w:val="19"/>
              </w:rPr>
              <w:t>Women doing &gt;= 7 hours/week of physical activity had about a 40% lower risk of fibroids.</w:t>
            </w:r>
          </w:p>
          <w:p>
            <w:pPr>
              <w:spacing w:after="40" w:line="252" w:lineRule="auto"/>
            </w:pPr>
            <w:hyperlink r:id="rId13">
              <w:r>
                <w:rPr>
                  <w:rFonts w:ascii="Calibri" w:hAnsi="Calibri" w:cs="Calibri"/>
                  <w:sz w:val="18"/>
                  <w:color w:val="1155CC"/>
                  <w:u w:val="single"/>
                </w:rPr>
                <w:t xml:space="preserve">nutritionguide.pcrm.org - Uterine Fibroids</w:t>
              </w:r>
            </w:hyperlink>
          </w:p>
          <w:p>
            <w:pPr>
              <w:spacing w:before="60" w:after="40"/>
            </w:pPr>
            <w:r>
              <w:rPr>
                <w:rFonts w:ascii="Calibri" w:hAnsi="Calibri"/>
                <w:b w:val="0"/>
                <w:i w:val="0"/>
                <w:color w:val="5A5A5A"/>
                <w:sz w:val="18"/>
              </w:rPr>
              <w:t>#sedentary  #physicalactivity  #estrogen  #weightgain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smokers</w:t>
            </w:r>
          </w:p>
        </w:tc>
        <w:tc>
          <w:tcPr>
            <w:tcW w:type="dxa" w:w="4276"/>
            <w:vAlign w:val="top"/>
          </w:tcPr>
          <w:p>
            <w:pPr>
              <w:spacing w:after="60" w:line="259" w:lineRule="auto"/>
            </w:pPr>
            <w:r>
              <w:rPr>
                <w:rFonts w:ascii="Calibri" w:hAnsi="Calibri"/>
                <w:b w:val="0"/>
                <w:i w:val="0"/>
                <w:color w:val="212121"/>
                <w:sz w:val="19"/>
              </w:rPr>
              <w:t>Smoking is weakly and inversely associated with fibroids (anti-estrogenic effect), but it is strongly harmful to overall and reproductive health and is never protective in practice.</w:t>
            </w:r>
          </w:p>
          <w:p>
            <w:pPr>
              <w:spacing w:after="40" w:before="60" w:line="259" w:lineRule="auto"/>
            </w:pPr>
            <w:r>
              <w:rPr>
                <w:rFonts w:ascii="Calibri" w:hAnsi="Calibri"/>
                <w:b w:val="0"/>
                <w:i w:val="0"/>
                <w:color w:val="212121"/>
                <w:sz w:val="19"/>
              </w:rPr>
              <w:t>Epidemiological data list smoking among factors associated with a modestly decreased fibroid risk.</w:t>
            </w:r>
          </w:p>
          <w:p>
            <w:pPr>
              <w:spacing w:after="40" w:line="252" w:lineRule="auto"/>
            </w:pPr>
            <w:hyperlink r:id="rId10">
              <w:r>
                <w:rPr>
                  <w:rFonts w:ascii="Calibri" w:hAnsi="Calibri" w:cs="Calibri"/>
                  <w:sz w:val="18"/>
                  <w:color w:val="1155CC"/>
                  <w:u w:val="single"/>
                </w:rPr>
                <w:t xml:space="preserve">ncbi.nlm.nih.gov - StatPearls Uterine Leiomyomata</w:t>
              </w:r>
            </w:hyperlink>
          </w:p>
          <w:p>
            <w:pPr>
              <w:spacing w:before="60" w:after="40"/>
            </w:pPr>
            <w:r>
              <w:rPr>
                <w:rFonts w:ascii="Calibri" w:hAnsi="Calibri"/>
                <w:b w:val="0"/>
                <w:i w:val="0"/>
                <w:color w:val="5A5A5A"/>
                <w:sz w:val="18"/>
              </w:rPr>
              <w:t>#smoking  #antiestrogen  #notprotective  #reproductiveharm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alcohol / beer consumers</w:t>
            </w:r>
          </w:p>
        </w:tc>
        <w:tc>
          <w:tcPr>
            <w:tcW w:type="dxa" w:w="4276"/>
            <w:vAlign w:val="top"/>
          </w:tcPr>
          <w:p>
            <w:pPr>
              <w:spacing w:after="60" w:line="259" w:lineRule="auto"/>
            </w:pPr>
            <w:r>
              <w:rPr>
                <w:rFonts w:ascii="Calibri" w:hAnsi="Calibri"/>
                <w:b w:val="0"/>
                <w:i w:val="0"/>
                <w:color w:val="212121"/>
                <w:sz w:val="19"/>
              </w:rPr>
              <w:t>Alcohol raises circulating estrogen and is associated with a dose-dependent increase in fibroid risk, with beer showing the strongest relationship.</w:t>
            </w:r>
          </w:p>
          <w:p>
            <w:pPr>
              <w:spacing w:after="40" w:before="60" w:line="259" w:lineRule="auto"/>
            </w:pPr>
            <w:r>
              <w:rPr>
                <w:rFonts w:ascii="Calibri" w:hAnsi="Calibri"/>
                <w:b w:val="0"/>
                <w:i w:val="0"/>
                <w:color w:val="212121"/>
                <w:sz w:val="19"/>
              </w:rPr>
              <w:t>Drinking one or more beers per day was linked to a greater-than-50% increased risk of leiomyomata.</w:t>
            </w:r>
          </w:p>
          <w:p>
            <w:pPr>
              <w:spacing w:after="40" w:line="252" w:lineRule="auto"/>
            </w:pPr>
            <w:hyperlink r:id="rId13">
              <w:r>
                <w:rPr>
                  <w:rFonts w:ascii="Calibri" w:hAnsi="Calibri" w:cs="Calibri"/>
                  <w:sz w:val="18"/>
                  <w:color w:val="1155CC"/>
                  <w:u w:val="single"/>
                </w:rPr>
                <w:t xml:space="preserve">nutritionguide.pcrm.org - Uterine Fibroids</w:t>
              </w:r>
            </w:hyperlink>
          </w:p>
          <w:p>
            <w:pPr>
              <w:spacing w:before="60" w:after="40"/>
            </w:pPr>
            <w:r>
              <w:rPr>
                <w:rFonts w:ascii="Calibri" w:hAnsi="Calibri"/>
                <w:b w:val="0"/>
                <w:i w:val="0"/>
                <w:color w:val="5A5A5A"/>
                <w:sz w:val="18"/>
              </w:rPr>
              <w:t>#alcohol  #beer  #estrogen  #dosedependent</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red-meat, low-produce diets</w:t>
            </w:r>
          </w:p>
        </w:tc>
        <w:tc>
          <w:tcPr>
            <w:tcW w:type="dxa" w:w="4276"/>
            <w:vAlign w:val="top"/>
          </w:tcPr>
          <w:p>
            <w:pPr>
              <w:spacing w:after="60" w:line="259" w:lineRule="auto"/>
            </w:pPr>
            <w:r>
              <w:rPr>
                <w:rFonts w:ascii="Calibri" w:hAnsi="Calibri"/>
                <w:b w:val="0"/>
                <w:i w:val="0"/>
                <w:color w:val="212121"/>
                <w:sz w:val="19"/>
              </w:rPr>
              <w:t>Diets high in red and processed meat raise fibroid risk while green vegetables and fruit are protective, likely via effects on estrogen metabolism and inflammation.</w:t>
            </w:r>
          </w:p>
          <w:p>
            <w:pPr>
              <w:spacing w:after="40" w:before="60" w:line="259" w:lineRule="auto"/>
            </w:pPr>
            <w:r>
              <w:rPr>
                <w:rFonts w:ascii="Calibri" w:hAnsi="Calibri"/>
                <w:b w:val="0"/>
                <w:i w:val="0"/>
                <w:color w:val="212121"/>
                <w:sz w:val="19"/>
              </w:rPr>
              <w:t>Eating &gt; 1 serving/day of red meat was associated with a 70% greater risk of uterine myoma.</w:t>
            </w:r>
          </w:p>
          <w:p>
            <w:pPr>
              <w:spacing w:after="40" w:line="252" w:lineRule="auto"/>
            </w:pPr>
            <w:hyperlink r:id="rId13">
              <w:r>
                <w:rPr>
                  <w:rFonts w:ascii="Calibri" w:hAnsi="Calibri" w:cs="Calibri"/>
                  <w:sz w:val="18"/>
                  <w:color w:val="1155CC"/>
                  <w:u w:val="single"/>
                </w:rPr>
                <w:t xml:space="preserve">nutritionguide.pcrm.org - Uterine Fibroids</w:t>
              </w:r>
            </w:hyperlink>
          </w:p>
          <w:p>
            <w:pPr>
              <w:spacing w:before="60" w:after="40"/>
            </w:pPr>
            <w:r>
              <w:rPr>
                <w:rFonts w:ascii="Calibri" w:hAnsi="Calibri"/>
                <w:b w:val="0"/>
                <w:i w:val="0"/>
                <w:color w:val="5A5A5A"/>
                <w:sz w:val="18"/>
              </w:rPr>
              <w:t>#redmeat  #greenvegetables  #diet  #estrogenmetabolism</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women (BMI 25-29.9)</w:t>
            </w:r>
          </w:p>
        </w:tc>
        <w:tc>
          <w:tcPr>
            <w:tcW w:type="dxa" w:w="4276"/>
            <w:vAlign w:val="top"/>
          </w:tcPr>
          <w:p>
            <w:pPr>
              <w:spacing w:after="60" w:line="259" w:lineRule="auto"/>
            </w:pPr>
            <w:r>
              <w:rPr>
                <w:rFonts w:ascii="Calibri" w:hAnsi="Calibri"/>
                <w:b w:val="0"/>
                <w:i w:val="0"/>
                <w:color w:val="212121"/>
                <w:sz w:val="19"/>
              </w:rPr>
              <w:t>Excess adipose tissue aromatises androgens to estrogen, increasing hormonal drive to fibroid growth; overweight is common among Indian women presenting with fibroids.</w:t>
            </w:r>
          </w:p>
          <w:p>
            <w:pPr>
              <w:spacing w:after="40" w:before="60" w:line="259" w:lineRule="auto"/>
            </w:pPr>
            <w:r>
              <w:rPr>
                <w:rFonts w:ascii="Calibri" w:hAnsi="Calibri"/>
                <w:b w:val="0"/>
                <w:i w:val="0"/>
                <w:color w:val="212121"/>
                <w:sz w:val="19"/>
              </w:rPr>
              <w:t>About 34.9% of Indian fibroid patients in the Telangana study were overweight (BMI 25-29.9).</w:t>
            </w:r>
          </w:p>
          <w:p>
            <w:pPr>
              <w:spacing w:after="40" w:line="252" w:lineRule="auto"/>
            </w:pPr>
            <w:hyperlink r:id="rId9">
              <w:r>
                <w:rPr>
                  <w:rFonts w:ascii="Calibri" w:hAnsi="Calibri" w:cs="Calibri"/>
                  <w:sz w:val="18"/>
                  <w:color w:val="1155CC"/>
                  <w:u w:val="single"/>
                </w:rPr>
                <w:t xml:space="preserve">ijrcog.org - Telangana fibroid prevalence study</w:t>
              </w:r>
            </w:hyperlink>
          </w:p>
          <w:p>
            <w:pPr>
              <w:spacing w:before="60" w:after="40"/>
            </w:pPr>
            <w:r>
              <w:rPr>
                <w:rFonts w:ascii="Calibri" w:hAnsi="Calibri"/>
                <w:b w:val="0"/>
                <w:i w:val="0"/>
                <w:color w:val="5A5A5A"/>
                <w:sz w:val="18"/>
              </w:rPr>
              <w:t>#overweight  #aromatase  #estrogen  #bmi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women (BMI &gt;= 30) with adult weight gain</w:t>
            </w:r>
          </w:p>
        </w:tc>
        <w:tc>
          <w:tcPr>
            <w:tcW w:type="dxa" w:w="4276"/>
            <w:vAlign w:val="top"/>
          </w:tcPr>
          <w:p>
            <w:pPr>
              <w:spacing w:after="60" w:line="259" w:lineRule="auto"/>
            </w:pPr>
            <w:r>
              <w:rPr>
                <w:rFonts w:ascii="Calibri" w:hAnsi="Calibri"/>
                <w:b w:val="0"/>
                <w:i w:val="0"/>
                <w:color w:val="212121"/>
                <w:sz w:val="19"/>
              </w:rPr>
              <w:t>Obesity and adult weight gain further increase estrogen and insulin resistance, raising both the risk of developing fibroids and their rate of growth.</w:t>
            </w:r>
          </w:p>
          <w:p>
            <w:pPr>
              <w:spacing w:after="40" w:before="60" w:line="259" w:lineRule="auto"/>
            </w:pPr>
            <w:r>
              <w:rPr>
                <w:rFonts w:ascii="Calibri" w:hAnsi="Calibri"/>
                <w:b w:val="0"/>
                <w:i w:val="0"/>
                <w:color w:val="212121"/>
                <w:sz w:val="19"/>
              </w:rPr>
              <w:t>Higher BMI and weight gain during adulthood are consistently associated with increased fibroid risk.</w:t>
            </w:r>
          </w:p>
          <w:p>
            <w:pPr>
              <w:spacing w:after="40" w:line="252" w:lineRule="auto"/>
            </w:pPr>
            <w:hyperlink r:id="rId13">
              <w:r>
                <w:rPr>
                  <w:rFonts w:ascii="Calibri" w:hAnsi="Calibri" w:cs="Calibri"/>
                  <w:sz w:val="18"/>
                  <w:color w:val="1155CC"/>
                  <w:u w:val="single"/>
                </w:rPr>
                <w:t xml:space="preserve">nutritionguide.pcrm.org - Uterine Fibroids</w:t>
              </w:r>
            </w:hyperlink>
          </w:p>
          <w:p>
            <w:pPr>
              <w:spacing w:before="60" w:after="40"/>
            </w:pPr>
            <w:r>
              <w:rPr>
                <w:rFonts w:ascii="Calibri" w:hAnsi="Calibri"/>
                <w:b w:val="0"/>
                <w:i w:val="0"/>
                <w:color w:val="5A5A5A"/>
                <w:sz w:val="18"/>
              </w:rPr>
              <w:t>#obesity  #insulinresistance  #weightgain  #metabolic</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fibroids</w:t>
            </w:r>
          </w:p>
        </w:tc>
        <w:tc>
          <w:tcPr>
            <w:tcW w:type="dxa" w:w="4276"/>
            <w:vAlign w:val="top"/>
          </w:tcPr>
          <w:p>
            <w:pPr>
              <w:spacing w:after="60" w:line="259" w:lineRule="auto"/>
            </w:pPr>
            <w:r>
              <w:rPr>
                <w:rFonts w:ascii="Calibri" w:hAnsi="Calibri"/>
                <w:b w:val="0"/>
                <w:i w:val="0"/>
                <w:color w:val="212121"/>
                <w:sz w:val="19"/>
              </w:rPr>
              <w:t>Inherited susceptibility strongly increases risk; rare germline FH mutations cause hereditary leiomyomatosis with multiple early-onset fibroids and renal cancer risk.</w:t>
            </w:r>
          </w:p>
          <w:p>
            <w:pPr>
              <w:spacing w:after="40" w:before="60" w:line="259" w:lineRule="auto"/>
            </w:pPr>
            <w:r>
              <w:rPr>
                <w:rFonts w:ascii="Calibri" w:hAnsi="Calibri"/>
                <w:b w:val="0"/>
                <w:i w:val="0"/>
                <w:color w:val="212121"/>
                <w:sz w:val="19"/>
              </w:rPr>
              <w:t>A first-degree family history is a well-established risk factor, roughly doubling to trebling individual risk.</w:t>
            </w:r>
          </w:p>
          <w:p>
            <w:pPr>
              <w:spacing w:after="40" w:line="252" w:lineRule="auto"/>
            </w:pPr>
            <w:hyperlink r:id="rId14">
              <w:r>
                <w:rPr>
                  <w:rFonts w:ascii="Calibri" w:hAnsi="Calibri" w:cs="Calibri"/>
                  <w:sz w:val="18"/>
                  <w:color w:val="1155CC"/>
                  <w:u w:val="single"/>
                </w:rPr>
                <w:t xml:space="preserve">nichd.nih.gov - who is at risk for uterine fibroids</w:t>
              </w:r>
            </w:hyperlink>
          </w:p>
          <w:p>
            <w:pPr>
              <w:spacing w:before="60" w:after="40"/>
            </w:pPr>
            <w:r>
              <w:rPr>
                <w:rFonts w:ascii="Calibri" w:hAnsi="Calibri"/>
                <w:b w:val="0"/>
                <w:i w:val="0"/>
                <w:color w:val="5A5A5A"/>
                <w:sz w:val="18"/>
              </w:rPr>
              <w:t>#familyhistory  #MED12  #hereditary  #genetic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Reproductive history</w:t>
            </w:r>
          </w:p>
        </w:tc>
        <w:tc>
          <w:tcPr>
            <w:tcW w:type="dxa" w:w="2160"/>
            <w:vAlign w:val="top"/>
          </w:tcPr>
          <w:p>
            <w:pPr>
              <w:spacing w:after="40" w:before="0" w:line="259" w:lineRule="auto"/>
            </w:pPr>
            <w:r>
              <w:rPr>
                <w:rFonts w:ascii="Calibri" w:hAnsi="Calibri"/>
                <w:b w:val="0"/>
                <w:i w:val="0"/>
                <w:color w:val="212121"/>
                <w:sz w:val="19"/>
              </w:rPr>
              <w:t>Nulliparous women / early menarche</w:t>
            </w:r>
          </w:p>
        </w:tc>
        <w:tc>
          <w:tcPr>
            <w:tcW w:type="dxa" w:w="4276"/>
            <w:vAlign w:val="top"/>
          </w:tcPr>
          <w:p>
            <w:pPr>
              <w:spacing w:after="60" w:line="259" w:lineRule="auto"/>
            </w:pPr>
            <w:r>
              <w:rPr>
                <w:rFonts w:ascii="Calibri" w:hAnsi="Calibri"/>
                <w:b w:val="0"/>
                <w:i w:val="0"/>
                <w:color w:val="212121"/>
                <w:sz w:val="19"/>
              </w:rPr>
              <w:t>Never having carried a pregnancy and early menarche lengthen lifetime estrogen exposure and raise fibroid risk, whereas each additional term pregnancy lowers it.</w:t>
            </w:r>
          </w:p>
          <w:p>
            <w:pPr>
              <w:spacing w:after="40" w:before="60" w:line="259" w:lineRule="auto"/>
            </w:pPr>
            <w:r>
              <w:rPr>
                <w:rFonts w:ascii="Calibri" w:hAnsi="Calibri"/>
                <w:b w:val="0"/>
                <w:i w:val="0"/>
                <w:color w:val="212121"/>
                <w:sz w:val="19"/>
              </w:rPr>
              <w:t>Women with more than five pregnancies have roughly a quarter of the fibroid risk of nulliparous women.</w:t>
            </w:r>
          </w:p>
          <w:p>
            <w:pPr>
              <w:spacing w:after="40" w:line="252" w:lineRule="auto"/>
            </w:pPr>
            <w:hyperlink r:id="rId10">
              <w:r>
                <w:rPr>
                  <w:rFonts w:ascii="Calibri" w:hAnsi="Calibri" w:cs="Calibri"/>
                  <w:sz w:val="18"/>
                  <w:color w:val="1155CC"/>
                  <w:u w:val="single"/>
                </w:rPr>
                <w:t xml:space="preserve">ncbi.nlm.nih.gov - StatPearls Uterine Leiomyomata</w:t>
              </w:r>
            </w:hyperlink>
          </w:p>
          <w:p>
            <w:pPr>
              <w:spacing w:before="60" w:after="40"/>
            </w:pPr>
            <w:r>
              <w:rPr>
                <w:rFonts w:ascii="Calibri" w:hAnsi="Calibri"/>
                <w:b w:val="0"/>
                <w:i w:val="0"/>
                <w:color w:val="5A5A5A"/>
                <w:sz w:val="18"/>
              </w:rPr>
              <w:t>#nulliparity  #earlymenarche  #parity  #estrogenexposure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Women with hypertension</w:t>
            </w:r>
          </w:p>
        </w:tc>
        <w:tc>
          <w:tcPr>
            <w:tcW w:type="dxa" w:w="4276"/>
            <w:vAlign w:val="top"/>
          </w:tcPr>
          <w:p>
            <w:pPr>
              <w:spacing w:after="60" w:line="259" w:lineRule="auto"/>
            </w:pPr>
            <w:r>
              <w:rPr>
                <w:rFonts w:ascii="Calibri" w:hAnsi="Calibri"/>
                <w:b w:val="0"/>
                <w:i w:val="0"/>
                <w:color w:val="212121"/>
                <w:sz w:val="19"/>
              </w:rPr>
              <w:t>Hypertension shares smooth-muscle and vascular pathophysiology with fibroids; chronic vascular injury and atherogenic changes in myometrial vessels may promote fibroid development.</w:t>
            </w:r>
          </w:p>
          <w:p>
            <w:pPr>
              <w:spacing w:after="40" w:before="60" w:line="259" w:lineRule="auto"/>
            </w:pPr>
            <w:r>
              <w:rPr>
                <w:rFonts w:ascii="Calibri" w:hAnsi="Calibri"/>
                <w:b w:val="0"/>
                <w:i w:val="0"/>
                <w:color w:val="212121"/>
                <w:sz w:val="19"/>
              </w:rPr>
              <w:t>Hypertension has been associated with up to a five-fold increased risk of uterine fibroids.</w:t>
            </w:r>
          </w:p>
          <w:p>
            <w:pPr>
              <w:spacing w:after="40" w:line="252" w:lineRule="auto"/>
            </w:pPr>
            <w:hyperlink r:id="rId10">
              <w:r>
                <w:rPr>
                  <w:rFonts w:ascii="Calibri" w:hAnsi="Calibri" w:cs="Calibri"/>
                  <w:sz w:val="18"/>
                  <w:color w:val="1155CC"/>
                  <w:u w:val="single"/>
                </w:rPr>
                <w:t xml:space="preserve">ncbi.nlm.nih.gov - StatPearls Uterine Leiomyomata</w:t>
              </w:r>
            </w:hyperlink>
          </w:p>
          <w:p>
            <w:pPr>
              <w:spacing w:before="60" w:after="40"/>
            </w:pPr>
            <w:r>
              <w:rPr>
                <w:rFonts w:ascii="Calibri" w:hAnsi="Calibri"/>
                <w:b w:val="0"/>
                <w:i w:val="0"/>
                <w:color w:val="5A5A5A"/>
                <w:sz w:val="18"/>
              </w:rPr>
              <w:t>#hypertension  #smoothmuscle  #vascular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Anaemia</w:t>
            </w:r>
          </w:p>
        </w:tc>
        <w:tc>
          <w:tcPr>
            <w:tcW w:type="dxa" w:w="2160"/>
            <w:vAlign w:val="top"/>
          </w:tcPr>
          <w:p>
            <w:pPr>
              <w:spacing w:after="40" w:before="0" w:line="259" w:lineRule="auto"/>
            </w:pPr>
            <w:r>
              <w:rPr>
                <w:rFonts w:ascii="Calibri" w:hAnsi="Calibri"/>
                <w:b w:val="0"/>
                <w:i w:val="0"/>
                <w:color w:val="212121"/>
                <w:sz w:val="19"/>
              </w:rPr>
              <w:t>Women with chronic heavy menstrual bleeding</w:t>
            </w:r>
          </w:p>
        </w:tc>
        <w:tc>
          <w:tcPr>
            <w:tcW w:type="dxa" w:w="4276"/>
            <w:vAlign w:val="top"/>
          </w:tcPr>
          <w:p>
            <w:pPr>
              <w:spacing w:after="60" w:line="259" w:lineRule="auto"/>
            </w:pPr>
            <w:r>
              <w:rPr>
                <w:rFonts w:ascii="Calibri" w:hAnsi="Calibri"/>
                <w:b w:val="0"/>
                <w:i w:val="0"/>
                <w:color w:val="212121"/>
                <w:sz w:val="19"/>
              </w:rPr>
              <w:t>Menorrhagia from fibroids causes chronic iron loss and iron-deficiency anaemia, which is especially severe in India where baseline anaemia in women is already very high.</w:t>
            </w:r>
          </w:p>
          <w:p>
            <w:pPr>
              <w:spacing w:after="40" w:before="60" w:line="259" w:lineRule="auto"/>
            </w:pPr>
            <w:r>
              <w:rPr>
                <w:rFonts w:ascii="Calibri" w:hAnsi="Calibri"/>
                <w:b w:val="0"/>
                <w:i w:val="0"/>
                <w:color w:val="212121"/>
                <w:sz w:val="19"/>
              </w:rPr>
              <w:t>57% of Indian women aged 15-49 are anaemic (NFHS-5), up from 53% in NFHS-4.</w:t>
            </w:r>
          </w:p>
          <w:p>
            <w:pPr>
              <w:spacing w:after="40" w:line="252" w:lineRule="auto"/>
            </w:pPr>
            <w:hyperlink r:id="rId15">
              <w:r>
                <w:rPr>
                  <w:rFonts w:ascii="Calibri" w:hAnsi="Calibri" w:cs="Calibri"/>
                  <w:sz w:val="18"/>
                  <w:color w:val="1155CC"/>
                  <w:u w:val="single"/>
                </w:rPr>
                <w:t xml:space="preserve">springer - NFHS-4/5 anaemia in women of reproductive age</w:t>
              </w:r>
            </w:hyperlink>
          </w:p>
          <w:p>
            <w:pPr>
              <w:spacing w:before="60" w:after="40"/>
            </w:pPr>
            <w:r>
              <w:rPr>
                <w:rFonts w:ascii="Calibri" w:hAnsi="Calibri"/>
                <w:b w:val="0"/>
                <w:i w:val="0"/>
                <w:color w:val="5A5A5A"/>
                <w:sz w:val="18"/>
              </w:rPr>
              <w:t>#anaemia  #irondeficiency  #menorrhagia  #nfhs5</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Vitamin D deficiency</w:t>
            </w:r>
          </w:p>
        </w:tc>
        <w:tc>
          <w:tcPr>
            <w:tcW w:type="dxa" w:w="2160"/>
            <w:vAlign w:val="top"/>
          </w:tcPr>
          <w:p>
            <w:pPr>
              <w:spacing w:after="40" w:before="0" w:line="259" w:lineRule="auto"/>
            </w:pPr>
            <w:r>
              <w:rPr>
                <w:rFonts w:ascii="Calibri" w:hAnsi="Calibri"/>
                <w:b w:val="0"/>
                <w:i w:val="0"/>
                <w:color w:val="212121"/>
                <w:sz w:val="19"/>
              </w:rPr>
              <w:t>Vitamin D-deficient women</w:t>
            </w:r>
          </w:p>
        </w:tc>
        <w:tc>
          <w:tcPr>
            <w:tcW w:type="dxa" w:w="4276"/>
            <w:vAlign w:val="top"/>
          </w:tcPr>
          <w:p>
            <w:pPr>
              <w:spacing w:after="60" w:line="259" w:lineRule="auto"/>
            </w:pPr>
            <w:r>
              <w:rPr>
                <w:rFonts w:ascii="Calibri" w:hAnsi="Calibri"/>
                <w:b w:val="0"/>
                <w:i w:val="0"/>
                <w:color w:val="212121"/>
                <w:sz w:val="19"/>
              </w:rPr>
              <w:t>Vitamin D restrains myometrial cell proliferation and matrix production, so deficiency - almost universal among Indian women - is linked to higher fibroid risk and larger tumour burden.</w:t>
            </w:r>
          </w:p>
          <w:p>
            <w:pPr>
              <w:spacing w:after="40" w:before="60" w:line="259" w:lineRule="auto"/>
            </w:pPr>
            <w:r>
              <w:rPr>
                <w:rFonts w:ascii="Calibri" w:hAnsi="Calibri"/>
                <w:b w:val="0"/>
                <w:i w:val="0"/>
                <w:color w:val="212121"/>
                <w:sz w:val="19"/>
              </w:rPr>
              <w:t>Among Indian women, 64.1% had 25(OH)D &lt; 20 ng/mL and 98.75% had &lt; 30 ng/mL.</w:t>
            </w:r>
          </w:p>
          <w:p>
            <w:pPr>
              <w:spacing w:after="40" w:line="252" w:lineRule="auto"/>
            </w:pPr>
            <w:hyperlink r:id="rId16">
              <w:r>
                <w:rPr>
                  <w:rFonts w:ascii="Calibri" w:hAnsi="Calibri" w:cs="Calibri"/>
                  <w:sz w:val="18"/>
                  <w:color w:val="1155CC"/>
                  <w:u w:val="single"/>
                </w:rPr>
                <w:t xml:space="preserve">ijrcog.org - vitamin D deficiency in Indian women</w:t>
              </w:r>
            </w:hyperlink>
          </w:p>
          <w:p>
            <w:pPr>
              <w:spacing w:before="60" w:after="40"/>
            </w:pPr>
            <w:r>
              <w:rPr>
                <w:rFonts w:ascii="Calibri" w:hAnsi="Calibri"/>
                <w:b w:val="0"/>
                <w:i w:val="0"/>
                <w:color w:val="5A5A5A"/>
                <w:sz w:val="18"/>
              </w:rPr>
              <w:t>#vitamind  #deficiency  #matrix  #indianwomen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Endometriosis</w:t>
            </w:r>
          </w:p>
        </w:tc>
        <w:tc>
          <w:tcPr>
            <w:tcW w:type="dxa" w:w="2160"/>
            <w:vAlign w:val="top"/>
          </w:tcPr>
          <w:p>
            <w:pPr>
              <w:spacing w:after="40" w:before="0" w:line="259" w:lineRule="auto"/>
            </w:pPr>
            <w:r>
              <w:rPr>
                <w:rFonts w:ascii="Calibri" w:hAnsi="Calibri"/>
                <w:b w:val="0"/>
                <w:i w:val="0"/>
                <w:color w:val="212121"/>
                <w:sz w:val="19"/>
              </w:rPr>
              <w:t>Women with endometriosis</w:t>
            </w:r>
          </w:p>
        </w:tc>
        <w:tc>
          <w:tcPr>
            <w:tcW w:type="dxa" w:w="4276"/>
            <w:vAlign w:val="top"/>
          </w:tcPr>
          <w:p>
            <w:pPr>
              <w:spacing w:after="60" w:line="259" w:lineRule="auto"/>
            </w:pPr>
            <w:r>
              <w:rPr>
                <w:rFonts w:ascii="Calibri" w:hAnsi="Calibri"/>
                <w:b w:val="0"/>
                <w:i w:val="0"/>
                <w:color w:val="212121"/>
                <w:sz w:val="19"/>
              </w:rPr>
              <w:t>Fibroids and endometriosis are both estrogen-dependent uterine disorders that frequently coexist, complicating the evaluation of pelvic pain, bleeding and infertility.</w:t>
            </w:r>
          </w:p>
          <w:p>
            <w:pPr>
              <w:spacing w:after="40" w:before="60" w:line="259" w:lineRule="auto"/>
            </w:pPr>
            <w:r>
              <w:rPr>
                <w:rFonts w:ascii="Calibri" w:hAnsi="Calibri"/>
                <w:b w:val="0"/>
                <w:i w:val="0"/>
                <w:color w:val="212121"/>
                <w:sz w:val="19"/>
              </w:rPr>
              <w:t>Reported concomitance of fibroids and endometriosis is about 12-20%.</w:t>
            </w:r>
          </w:p>
          <w:p>
            <w:pPr>
              <w:spacing w:after="40" w:line="252" w:lineRule="auto"/>
            </w:pPr>
            <w:hyperlink r:id="rId17">
              <w:r>
                <w:rPr>
                  <w:rFonts w:ascii="Calibri" w:hAnsi="Calibri" w:cs="Calibri"/>
                  <w:sz w:val="18"/>
                  <w:color w:val="1155CC"/>
                  <w:u w:val="single"/>
                </w:rPr>
                <w:t xml:space="preserve">ogscience.org - comorbidity of adenomyosis and endometriosis</w:t>
              </w:r>
            </w:hyperlink>
          </w:p>
          <w:p>
            <w:pPr>
              <w:spacing w:before="60" w:after="40"/>
            </w:pPr>
            <w:r>
              <w:rPr>
                <w:rFonts w:ascii="Calibri" w:hAnsi="Calibri"/>
                <w:b w:val="0"/>
                <w:i w:val="0"/>
                <w:color w:val="5A5A5A"/>
                <w:sz w:val="18"/>
              </w:rPr>
              <w:t>#endometriosis  #estrogendependent  #pelvicpain  #coexistence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Infertility</w:t>
            </w:r>
          </w:p>
        </w:tc>
        <w:tc>
          <w:tcPr>
            <w:tcW w:type="dxa" w:w="2160"/>
            <w:vAlign w:val="top"/>
          </w:tcPr>
          <w:p>
            <w:pPr>
              <w:spacing w:after="40" w:before="0" w:line="259" w:lineRule="auto"/>
            </w:pPr>
            <w:r>
              <w:rPr>
                <w:rFonts w:ascii="Calibri" w:hAnsi="Calibri"/>
                <w:b w:val="0"/>
                <w:i w:val="0"/>
                <w:color w:val="212121"/>
                <w:sz w:val="19"/>
              </w:rPr>
              <w:t>Subfertile women (esp. submucosal fibroids)</w:t>
            </w:r>
          </w:p>
        </w:tc>
        <w:tc>
          <w:tcPr>
            <w:tcW w:type="dxa" w:w="4276"/>
            <w:vAlign w:val="top"/>
          </w:tcPr>
          <w:p>
            <w:pPr>
              <w:spacing w:after="60" w:line="259" w:lineRule="auto"/>
            </w:pPr>
            <w:r>
              <w:rPr>
                <w:rFonts w:ascii="Calibri" w:hAnsi="Calibri"/>
                <w:b w:val="0"/>
                <w:i w:val="0"/>
                <w:color w:val="212121"/>
                <w:sz w:val="19"/>
              </w:rPr>
              <w:t>Cavity-distorting submucosal and large intramural fibroids impair implantation and can obstruct the tubes or distort the cavity, contributing to subfertility and pregnancy loss.</w:t>
            </w:r>
          </w:p>
          <w:p>
            <w:pPr>
              <w:spacing w:after="40" w:before="60" w:line="259" w:lineRule="auto"/>
            </w:pPr>
            <w:r>
              <w:rPr>
                <w:rFonts w:ascii="Calibri" w:hAnsi="Calibri"/>
                <w:b w:val="0"/>
                <w:i w:val="0"/>
                <w:color w:val="212121"/>
                <w:sz w:val="19"/>
              </w:rPr>
              <w:t>Infertility was recorded in 23.9% of Indian women presenting with fibroids in the Telangana study.</w:t>
            </w:r>
          </w:p>
          <w:p>
            <w:pPr>
              <w:spacing w:after="40" w:line="252" w:lineRule="auto"/>
            </w:pPr>
            <w:hyperlink r:id="rId9">
              <w:r>
                <w:rPr>
                  <w:rFonts w:ascii="Calibri" w:hAnsi="Calibri" w:cs="Calibri"/>
                  <w:sz w:val="18"/>
                  <w:color w:val="1155CC"/>
                  <w:u w:val="single"/>
                </w:rPr>
                <w:t xml:space="preserve">ijrcog.org - Telangana fibroid prevalence study</w:t>
              </w:r>
            </w:hyperlink>
          </w:p>
          <w:p>
            <w:pPr>
              <w:spacing w:before="60" w:after="40"/>
            </w:pPr>
            <w:r>
              <w:rPr>
                <w:rFonts w:ascii="Calibri" w:hAnsi="Calibri"/>
                <w:b w:val="0"/>
                <w:i w:val="0"/>
                <w:color w:val="5A5A5A"/>
                <w:sz w:val="18"/>
              </w:rPr>
              <w:t>#infertility  #submucosal  #implantation  #subfertility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Regular exercise lowers circulating estrogen and body fat; women doing &gt;= 7 hours/week of physical activity had about a 40% lower fibroid risk, while sedentary behaviour is associated with higher prevalence.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strongly modulates risk: &gt; 1 serving/day of red meat raised risk ~70% and daily beer/alcohol &gt; 50%, whereas green vegetables, fruit and adequate vitamin D are protective.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Circadian disruption and shift work lower melatonin and may alter estrogen metabolism, but a direct causal link with fibroids is weak and under-studied.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weakly and inversely associated with fibroids through anti-estrogenic effects, but this is not clinically protective and is outweighed by major reproductive and systemic harms.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raises estrogen dose-dependently; one or more beers per day is linked to a greater-than-50% increased fibroid risk, rising with years of consumption.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pain, heavy bleeding, anaemia and infertility from fibroids increase depression and anxiety; a direct causal effect of mood on fibroid growth is not established.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established role in fibroid development, though adequate fluids help offset fatigue and constipation associated with large fibroids.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Some studies link high caffeine or coffee intake to fibroids in younger women, but overall evidence is inconsistent and effect sizes are small.</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Hygiene does not cause fibroids; however, good menstrual hygiene is important for managing the heavy, prolonged bleeding fibroids produce.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High-estrogen states - obesity, exogenous estrogen and, transiently, pregnancy - can provoke rapid fibroid enlargement; red degeneration classically occurs in pregnancy.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18.5-24.9 kg/m2</w:t>
            </w:r>
          </w:p>
        </w:tc>
        <w:tc>
          <w:tcPr>
            <w:tcW w:type="dxa" w:w="1512"/>
            <w:vAlign w:val="top"/>
          </w:tcPr>
          <w:p>
            <w:pPr>
              <w:spacing w:after="40" w:before="0" w:line="259" w:lineRule="auto"/>
            </w:pPr>
            <w:r>
              <w:rPr>
                <w:rFonts w:ascii="Calibri" w:hAnsi="Calibri"/>
                <w:b w:val="0"/>
                <w:i w:val="0"/>
                <w:color w:val="212121"/>
                <w:sz w:val="19"/>
              </w:rPr>
              <w:t>&gt;= 25 (overweight); &gt;= 30 (obesity)</w:t>
            </w:r>
          </w:p>
        </w:tc>
        <w:tc>
          <w:tcPr>
            <w:tcW w:type="dxa" w:w="1468"/>
            <w:vAlign w:val="top"/>
          </w:tcPr>
          <w:p>
            <w:pPr>
              <w:spacing w:after="60" w:line="259" w:lineRule="auto"/>
            </w:pPr>
            <w:r>
              <w:rPr>
                <w:rFonts w:ascii="Calibri" w:hAnsi="Calibri"/>
                <w:b w:val="0"/>
                <w:i w:val="0"/>
                <w:color w:val="212121"/>
                <w:sz w:val="19"/>
              </w:rPr>
              <w:t>Higher BMI raises adipose estrogen and fibroid risk</w:t>
            </w:r>
          </w:p>
          <w:p>
            <w:pPr>
              <w:spacing w:after="40" w:line="252" w:lineRule="auto"/>
            </w:pPr>
            <w:hyperlink r:id="rId13">
              <w:r>
                <w:rPr>
                  <w:rFonts w:ascii="Calibri" w:hAnsi="Calibri" w:cs="Calibri"/>
                  <w:sz w:val="18"/>
                  <w:color w:val="1155CC"/>
                  <w:u w:val="single"/>
                </w:rPr>
                <w:t xml:space="preserve">https://nutritionguide.pcrm.org/nutritionguide/view/Nutrition_Guide_for_Clinicians/1342088/all/Uterine_Fibroids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Weekly physical activity (hours)</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&gt;= 7 hours/week</w:t>
            </w:r>
          </w:p>
        </w:tc>
        <w:tc>
          <w:tcPr>
            <w:tcW w:type="dxa" w:w="1512"/>
            <w:vAlign w:val="top"/>
          </w:tcPr>
          <w:p>
            <w:pPr>
              <w:spacing w:after="40" w:before="0" w:line="259" w:lineRule="auto"/>
            </w:pPr>
            <w:r>
              <w:rPr>
                <w:rFonts w:ascii="Calibri" w:hAnsi="Calibri"/>
                <w:b w:val="0"/>
                <w:i w:val="0"/>
                <w:color w:val="212121"/>
                <w:sz w:val="19"/>
              </w:rPr>
              <w:t>&lt; 2-3 hours/week (largely sedentary)</w:t>
            </w:r>
          </w:p>
        </w:tc>
        <w:tc>
          <w:tcPr>
            <w:tcW w:type="dxa" w:w="1468"/>
            <w:vAlign w:val="top"/>
          </w:tcPr>
          <w:p>
            <w:pPr>
              <w:spacing w:after="60" w:line="259" w:lineRule="auto"/>
            </w:pPr>
            <w:r>
              <w:rPr>
                <w:rFonts w:ascii="Calibri" w:hAnsi="Calibri"/>
                <w:b w:val="0"/>
                <w:i w:val="0"/>
                <w:color w:val="212121"/>
                <w:sz w:val="19"/>
              </w:rPr>
              <w:t>~40% lower fibroid risk at &gt;= 7 h/week of activity</w:t>
            </w:r>
          </w:p>
          <w:p>
            <w:pPr>
              <w:spacing w:after="40" w:line="252" w:lineRule="auto"/>
            </w:pPr>
            <w:hyperlink r:id="rId13">
              <w:r>
                <w:rPr>
                  <w:rFonts w:ascii="Calibri" w:hAnsi="Calibri" w:cs="Calibri"/>
                  <w:sz w:val="18"/>
                  <w:color w:val="1155CC"/>
                  <w:u w:val="single"/>
                </w:rPr>
                <w:t xml:space="preserve">https://nutritionguide.pcrm.org/nutritionguide/view/Nutrition_Guide_for_Clinicians/1342088/all/Uterine_Fibroids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&lt; 80 cm</w:t>
            </w:r>
          </w:p>
        </w:tc>
        <w:tc>
          <w:tcPr>
            <w:tcW w:type="dxa" w:w="1512"/>
            <w:vAlign w:val="top"/>
          </w:tcPr>
          <w:p>
            <w:pPr>
              <w:spacing w:after="40" w:before="0" w:line="259" w:lineRule="auto"/>
            </w:pPr>
            <w:r>
              <w:rPr>
                <w:rFonts w:ascii="Calibri" w:hAnsi="Calibri"/>
                <w:b w:val="0"/>
                <w:i w:val="0"/>
                <w:color w:val="212121"/>
                <w:sz w:val="19"/>
              </w:rPr>
              <w:t>&gt;= 80 cm (central adiposity)</w:t>
            </w:r>
          </w:p>
        </w:tc>
        <w:tc>
          <w:tcPr>
            <w:tcW w:type="dxa" w:w="1468"/>
            <w:vAlign w:val="top"/>
          </w:tcPr>
          <w:p>
            <w:pPr>
              <w:spacing w:after="40" w:before="0" w:line="259" w:lineRule="auto"/>
            </w:pPr>
            <w:r>
              <w:rPr>
                <w:rFonts w:ascii="Calibri" w:hAnsi="Calibri"/>
                <w:b w:val="0"/>
                <w:i w:val="0"/>
                <w:color w:val="212121"/>
                <w:sz w:val="19"/>
              </w:rPr>
              <w:t>Central fat reflects higher estrogenic drive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Red / processed meat</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&lt;= 1 serving/day (prefer plant protein)</w:t>
            </w:r>
          </w:p>
        </w:tc>
        <w:tc>
          <w:tcPr>
            <w:tcW w:type="dxa" w:w="1512"/>
            <w:vAlign w:val="top"/>
          </w:tcPr>
          <w:p>
            <w:pPr>
              <w:spacing w:after="40" w:before="0" w:line="259" w:lineRule="auto"/>
            </w:pPr>
            <w:r>
              <w:rPr>
                <w:rFonts w:ascii="Calibri" w:hAnsi="Calibri"/>
                <w:b w:val="0"/>
                <w:i w:val="0"/>
                <w:color w:val="212121"/>
                <w:sz w:val="19"/>
              </w:rPr>
              <w:t>&gt; 1 serving/day</w:t>
            </w:r>
          </w:p>
        </w:tc>
        <w:tc>
          <w:tcPr>
            <w:tcW w:type="dxa" w:w="1468"/>
            <w:vAlign w:val="top"/>
          </w:tcPr>
          <w:p>
            <w:pPr>
              <w:spacing w:after="60" w:line="259" w:lineRule="auto"/>
            </w:pPr>
            <w:r>
              <w:rPr>
                <w:rFonts w:ascii="Calibri" w:hAnsi="Calibri"/>
                <w:b w:val="0"/>
                <w:i w:val="0"/>
                <w:color w:val="212121"/>
                <w:sz w:val="19"/>
              </w:rPr>
              <w:t>&gt; 1 serving/day linked to ~70% higher myoma risk</w:t>
            </w:r>
          </w:p>
          <w:p>
            <w:pPr>
              <w:spacing w:after="40" w:line="252" w:lineRule="auto"/>
            </w:pPr>
            <w:hyperlink r:id="rId13">
              <w:r>
                <w:rPr>
                  <w:rFonts w:ascii="Calibri" w:hAnsi="Calibri" w:cs="Calibri"/>
                  <w:sz w:val="18"/>
                  <w:color w:val="1155CC"/>
                  <w:u w:val="single"/>
                </w:rPr>
                <w:t xml:space="preserve">https://nutritionguide.pcrm.org/nutritionguide/view/Nutrition_Guide_for_Clinicians/1342088/all/Uterine_Fibroids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Green vegetable &amp; fruit intake</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Daily generous servings</w:t>
            </w:r>
          </w:p>
        </w:tc>
        <w:tc>
          <w:tcPr>
            <w:tcW w:type="dxa" w:w="1512"/>
            <w:vAlign w:val="top"/>
          </w:tcPr>
          <w:p>
            <w:pPr>
              <w:spacing w:after="40" w:before="0" w:line="259" w:lineRule="auto"/>
            </w:pPr>
            <w:r>
              <w:rPr>
                <w:rFonts w:ascii="Calibri" w:hAnsi="Calibri"/>
                <w:b w:val="0"/>
                <w:i w:val="0"/>
                <w:color w:val="212121"/>
                <w:sz w:val="19"/>
              </w:rPr>
              <w:t>Minimal intake</w:t>
            </w:r>
          </w:p>
        </w:tc>
        <w:tc>
          <w:tcPr>
            <w:tcW w:type="dxa" w:w="1468"/>
            <w:vAlign w:val="top"/>
          </w:tcPr>
          <w:p>
            <w:pPr>
              <w:spacing w:after="60" w:line="259" w:lineRule="auto"/>
            </w:pPr>
            <w:r>
              <w:rPr>
                <w:rFonts w:ascii="Calibri" w:hAnsi="Calibri"/>
                <w:b w:val="0"/>
                <w:i w:val="0"/>
                <w:color w:val="212121"/>
                <w:sz w:val="19"/>
              </w:rPr>
              <w:t>Produce intake inversely related to fibroid risk</w:t>
            </w:r>
          </w:p>
          <w:p>
            <w:pPr>
              <w:spacing w:after="40" w:line="252" w:lineRule="auto"/>
            </w:pPr>
            <w:hyperlink r:id="rId13">
              <w:r>
                <w:rPr>
                  <w:rFonts w:ascii="Calibri" w:hAnsi="Calibri" w:cs="Calibri"/>
                  <w:sz w:val="18"/>
                  <w:color w:val="1155CC"/>
                  <w:u w:val="single"/>
                </w:rPr>
                <w:t xml:space="preserve">https://nutritionguide.pcrm.org/nutritionguide/view/Nutrition_Guide_for_Clinicians/1342088/all/Uterine_Fibroids</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 beer intake</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None / minimal</w:t>
            </w:r>
          </w:p>
        </w:tc>
        <w:tc>
          <w:tcPr>
            <w:tcW w:type="dxa" w:w="1512"/>
            <w:vAlign w:val="top"/>
          </w:tcPr>
          <w:p>
            <w:pPr>
              <w:spacing w:after="40" w:before="0" w:line="259" w:lineRule="auto"/>
            </w:pPr>
            <w:r>
              <w:rPr>
                <w:rFonts w:ascii="Calibri" w:hAnsi="Calibri"/>
                <w:b w:val="0"/>
                <w:i w:val="0"/>
                <w:color w:val="212121"/>
                <w:sz w:val="19"/>
              </w:rPr>
              <w:t>&gt;= 1 drink (esp. beer) per day</w:t>
            </w:r>
          </w:p>
        </w:tc>
        <w:tc>
          <w:tcPr>
            <w:tcW w:type="dxa" w:w="1468"/>
            <w:vAlign w:val="top"/>
          </w:tcPr>
          <w:p>
            <w:pPr>
              <w:spacing w:after="60" w:line="259" w:lineRule="auto"/>
            </w:pPr>
            <w:r>
              <w:rPr>
                <w:rFonts w:ascii="Calibri" w:hAnsi="Calibri"/>
                <w:b w:val="0"/>
                <w:i w:val="0"/>
                <w:color w:val="212121"/>
                <w:sz w:val="19"/>
              </w:rPr>
              <w:t>&gt;= 1 beer/day linked to &gt; 50% higher risk</w:t>
            </w:r>
          </w:p>
          <w:p>
            <w:pPr>
              <w:spacing w:after="40" w:line="252" w:lineRule="auto"/>
            </w:pPr>
            <w:hyperlink r:id="rId13">
              <w:r>
                <w:rPr>
                  <w:rFonts w:ascii="Calibri" w:hAnsi="Calibri" w:cs="Calibri"/>
                  <w:sz w:val="18"/>
                  <w:color w:val="1155CC"/>
                  <w:u w:val="single"/>
                </w:rPr>
                <w:t xml:space="preserve">https://nutritionguide.pcrm.org/nutritionguide/view/Nutrition_Guide_for_Clinicians/1342088/all/Uterine_Fibroids</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25-hydroxyvitamin D</w:t>
            </w:r>
          </w:p>
        </w:tc>
        <w:tc>
          <w:tcPr>
            <w:tcW w:type="dxa" w:w="1655"/>
            <w:vAlign w:val="top"/>
          </w:tcPr>
          <w:p>
            <w:pPr>
              <w:spacing w:after="40" w:before="0" w:line="259" w:lineRule="auto"/>
            </w:pPr>
            <w:r>
              <w:rPr>
                <w:rFonts w:ascii="Calibri" w:hAnsi="Calibri"/>
                <w:b w:val="0"/>
                <w:i w:val="0"/>
                <w:color w:val="212121"/>
                <w:sz w:val="19"/>
              </w:rPr>
              <w:t>Indian women</w:t>
            </w:r>
          </w:p>
        </w:tc>
        <w:tc>
          <w:tcPr>
            <w:tcW w:type="dxa" w:w="1512"/>
            <w:vAlign w:val="top"/>
          </w:tcPr>
          <w:p>
            <w:pPr>
              <w:spacing w:after="40" w:before="0" w:line="259" w:lineRule="auto"/>
            </w:pPr>
            <w:r>
              <w:rPr>
                <w:rFonts w:ascii="Calibri" w:hAnsi="Calibri"/>
                <w:b w:val="0"/>
                <w:i w:val="0"/>
                <w:color w:val="212121"/>
                <w:sz w:val="19"/>
              </w:rPr>
              <w:t>&gt;= 30 ng/mL</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60" w:line="259" w:lineRule="auto"/>
            </w:pPr>
            <w:r>
              <w:rPr>
                <w:rFonts w:ascii="Calibri" w:hAnsi="Calibri"/>
                <w:b w:val="0"/>
                <w:i w:val="0"/>
                <w:color w:val="212121"/>
                <w:sz w:val="19"/>
              </w:rPr>
              <w:t>Low vitamin D associated with higher fibroid risk</w:t>
            </w:r>
          </w:p>
          <w:p>
            <w:pPr>
              <w:spacing w:after="40" w:line="252" w:lineRule="auto"/>
            </w:pPr>
            <w:hyperlink r:id="rId16">
              <w:r>
                <w:rPr>
                  <w:rFonts w:ascii="Calibri" w:hAnsi="Calibri" w:cs="Calibri"/>
                  <w:sz w:val="18"/>
                  <w:color w:val="1155CC"/>
                  <w:u w:val="single"/>
                </w:rPr>
                <w:t xml:space="preserve">https://www.ijrcog.org/index.php/ijrcog/article/download/4658/3530/0</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Haemoglobin</w:t>
            </w:r>
          </w:p>
        </w:tc>
        <w:tc>
          <w:tcPr>
            <w:tcW w:type="dxa" w:w="1655"/>
            <w:vAlign w:val="top"/>
          </w:tcPr>
          <w:p>
            <w:pPr>
              <w:spacing w:after="40" w:before="0" w:line="259" w:lineRule="auto"/>
            </w:pPr>
            <w:r>
              <w:rPr>
                <w:rFonts w:ascii="Calibri" w:hAnsi="Calibri"/>
                <w:b w:val="0"/>
                <w:i w:val="0"/>
                <w:color w:val="212121"/>
                <w:sz w:val="19"/>
              </w:rPr>
              <w:t>Women with menorrhagia</w:t>
            </w:r>
          </w:p>
        </w:tc>
        <w:tc>
          <w:tcPr>
            <w:tcW w:type="dxa" w:w="1512"/>
            <w:vAlign w:val="top"/>
          </w:tcPr>
          <w:p>
            <w:pPr>
              <w:spacing w:after="40" w:before="0" w:line="259" w:lineRule="auto"/>
            </w:pPr>
            <w:r>
              <w:rPr>
                <w:rFonts w:ascii="Calibri" w:hAnsi="Calibri"/>
                <w:b w:val="0"/>
                <w:i w:val="0"/>
                <w:color w:val="212121"/>
                <w:sz w:val="19"/>
              </w:rPr>
              <w:t>&gt;= 12 g/dL</w:t>
            </w:r>
          </w:p>
        </w:tc>
        <w:tc>
          <w:tcPr>
            <w:tcW w:type="dxa" w:w="1512"/>
            <w:vAlign w:val="top"/>
          </w:tcPr>
          <w:p>
            <w:pPr>
              <w:spacing w:after="40" w:before="0" w:line="259" w:lineRule="auto"/>
            </w:pPr>
            <w:r>
              <w:rPr>
                <w:rFonts w:ascii="Calibri" w:hAnsi="Calibri"/>
                <w:b w:val="0"/>
                <w:i w:val="0"/>
                <w:color w:val="212121"/>
                <w:sz w:val="19"/>
              </w:rPr>
              <w:t>&lt; 12 g/dL (anaemia)</w:t>
            </w:r>
          </w:p>
        </w:tc>
        <w:tc>
          <w:tcPr>
            <w:tcW w:type="dxa" w:w="1468"/>
            <w:vAlign w:val="top"/>
          </w:tcPr>
          <w:p>
            <w:pPr>
              <w:spacing w:after="60" w:line="259" w:lineRule="auto"/>
            </w:pPr>
            <w:r>
              <w:rPr>
                <w:rFonts w:ascii="Calibri" w:hAnsi="Calibri"/>
                <w:b w:val="0"/>
                <w:i w:val="0"/>
                <w:color w:val="212121"/>
                <w:sz w:val="19"/>
              </w:rPr>
              <w:t>Falls with fibroid-related heavy menstrual bleeding</w:t>
            </w:r>
          </w:p>
          <w:p>
            <w:pPr>
              <w:spacing w:after="40" w:line="252" w:lineRule="auto"/>
            </w:pPr>
            <w:hyperlink r:id="rId15">
              <w:r>
                <w:rPr>
                  <w:rFonts w:ascii="Calibri" w:hAnsi="Calibri" w:cs="Calibri"/>
                  <w:sz w:val="18"/>
                  <w:color w:val="1155CC"/>
                  <w:u w:val="single"/>
                </w:rPr>
                <w:t xml:space="preserve">https://link.springer.com/article/10.1186/s12889-024-17789-3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ferritin</w:t>
            </w:r>
          </w:p>
        </w:tc>
        <w:tc>
          <w:tcPr>
            <w:tcW w:type="dxa" w:w="1655"/>
            <w:vAlign w:val="top"/>
          </w:tcPr>
          <w:p>
            <w:pPr>
              <w:spacing w:after="40" w:before="0" w:line="259" w:lineRule="auto"/>
            </w:pPr>
            <w:r>
              <w:rPr>
                <w:rFonts w:ascii="Calibri" w:hAnsi="Calibri"/>
                <w:b w:val="0"/>
                <w:i w:val="0"/>
                <w:color w:val="212121"/>
                <w:sz w:val="19"/>
              </w:rPr>
              <w:t>Women with heavy bleeding</w:t>
            </w:r>
          </w:p>
        </w:tc>
        <w:tc>
          <w:tcPr>
            <w:tcW w:type="dxa" w:w="1512"/>
            <w:vAlign w:val="top"/>
          </w:tcPr>
          <w:p>
            <w:pPr>
              <w:spacing w:after="40" w:before="0" w:line="259" w:lineRule="auto"/>
            </w:pPr>
            <w:r>
              <w:rPr>
                <w:rFonts w:ascii="Calibri" w:hAnsi="Calibri"/>
                <w:b w:val="0"/>
                <w:i w:val="0"/>
                <w:color w:val="212121"/>
                <w:sz w:val="19"/>
              </w:rPr>
              <w:t>30-200 ng/mL</w:t>
            </w:r>
          </w:p>
        </w:tc>
        <w:tc>
          <w:tcPr>
            <w:tcW w:type="dxa" w:w="1512"/>
            <w:vAlign w:val="top"/>
          </w:tcPr>
          <w:p>
            <w:pPr>
              <w:spacing w:after="40" w:before="0" w:line="259" w:lineRule="auto"/>
            </w:pPr>
            <w:r>
              <w:rPr>
                <w:rFonts w:ascii="Calibri" w:hAnsi="Calibri"/>
                <w:b w:val="0"/>
                <w:i w:val="0"/>
                <w:color w:val="212121"/>
                <w:sz w:val="19"/>
              </w:rPr>
              <w:t>&lt; 30 ng/mL (iron deficiency)</w:t>
            </w:r>
          </w:p>
        </w:tc>
        <w:tc>
          <w:tcPr>
            <w:tcW w:type="dxa" w:w="1468"/>
            <w:vAlign w:val="top"/>
          </w:tcPr>
          <w:p>
            <w:pPr>
              <w:spacing w:after="40" w:before="0" w:line="259" w:lineRule="auto"/>
            </w:pPr>
            <w:r>
              <w:rPr>
                <w:rFonts w:ascii="Calibri" w:hAnsi="Calibri"/>
                <w:b w:val="0"/>
                <w:i w:val="0"/>
                <w:color w:val="212121"/>
                <w:sz w:val="19"/>
              </w:rPr>
              <w:t>Depleted iron stores from chronic menstrual loss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Menstrual blood loss (PBAC score)</w:t>
            </w:r>
          </w:p>
        </w:tc>
        <w:tc>
          <w:tcPr>
            <w:tcW w:type="dxa" w:w="1655"/>
            <w:vAlign w:val="top"/>
          </w:tcPr>
          <w:p>
            <w:pPr>
              <w:spacing w:after="40" w:before="0" w:line="259" w:lineRule="auto"/>
            </w:pPr>
            <w:r>
              <w:rPr>
                <w:rFonts w:ascii="Calibri" w:hAnsi="Calibri"/>
                <w:b w:val="0"/>
                <w:i w:val="0"/>
                <w:color w:val="212121"/>
                <w:sz w:val="19"/>
              </w:rPr>
              <w:t>Women with fibroids</w:t>
            </w:r>
          </w:p>
        </w:tc>
        <w:tc>
          <w:tcPr>
            <w:tcW w:type="dxa" w:w="1512"/>
            <w:vAlign w:val="top"/>
          </w:tcPr>
          <w:p>
            <w:pPr>
              <w:spacing w:after="40" w:before="0" w:line="259" w:lineRule="auto"/>
            </w:pPr>
            <w:r>
              <w:rPr>
                <w:rFonts w:ascii="Calibri" w:hAnsi="Calibri"/>
                <w:b w:val="0"/>
                <w:i w:val="0"/>
                <w:color w:val="212121"/>
                <w:sz w:val="19"/>
              </w:rPr>
              <w:t>&lt; 100</w:t>
            </w:r>
          </w:p>
        </w:tc>
        <w:tc>
          <w:tcPr>
            <w:tcW w:type="dxa" w:w="1512"/>
            <w:vAlign w:val="top"/>
          </w:tcPr>
          <w:p>
            <w:pPr>
              <w:spacing w:after="40" w:before="0" w:line="259" w:lineRule="auto"/>
            </w:pPr>
            <w:r>
              <w:rPr>
                <w:rFonts w:ascii="Calibri" w:hAnsi="Calibri"/>
                <w:b w:val="0"/>
                <w:i w:val="0"/>
                <w:color w:val="212121"/>
                <w:sz w:val="19"/>
              </w:rPr>
              <w:t>&gt;= 100 (heavy menstrual bleeding)</w:t>
            </w:r>
          </w:p>
        </w:tc>
        <w:tc>
          <w:tcPr>
            <w:tcW w:type="dxa" w:w="1468"/>
            <w:vAlign w:val="top"/>
          </w:tcPr>
          <w:p>
            <w:pPr>
              <w:spacing w:after="40" w:before="0" w:line="259" w:lineRule="auto"/>
            </w:pPr>
            <w:r>
              <w:rPr>
                <w:rFonts w:ascii="Calibri" w:hAnsi="Calibri"/>
                <w:b w:val="0"/>
                <w:i w:val="0"/>
                <w:color w:val="212121"/>
                <w:sz w:val="19"/>
              </w:rPr>
              <w:t>Quantifies menorrhagia and treatment response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Blood pressure</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&lt; 120/80 mmHg</w:t>
            </w:r>
          </w:p>
        </w:tc>
        <w:tc>
          <w:tcPr>
            <w:tcW w:type="dxa" w:w="1512"/>
            <w:vAlign w:val="top"/>
          </w:tcPr>
          <w:p>
            <w:pPr>
              <w:spacing w:after="40" w:before="0" w:line="259" w:lineRule="auto"/>
            </w:pPr>
            <w:r>
              <w:rPr>
                <w:rFonts w:ascii="Calibri" w:hAnsi="Calibri"/>
                <w:b w:val="0"/>
                <w:i w:val="0"/>
                <w:color w:val="212121"/>
                <w:sz w:val="19"/>
              </w:rPr>
              <w:t>&gt;= 140/90 mmHg</w:t>
            </w:r>
          </w:p>
        </w:tc>
        <w:tc>
          <w:tcPr>
            <w:tcW w:type="dxa" w:w="1468"/>
            <w:vAlign w:val="top"/>
          </w:tcPr>
          <w:p>
            <w:pPr>
              <w:spacing w:after="60" w:line="259" w:lineRule="auto"/>
            </w:pPr>
            <w:r>
              <w:rPr>
                <w:rFonts w:ascii="Calibri" w:hAnsi="Calibri"/>
                <w:b w:val="0"/>
                <w:i w:val="0"/>
                <w:color w:val="212121"/>
                <w:sz w:val="19"/>
              </w:rPr>
              <w:t>Hypertension associated with higher fibroid risk</w:t>
            </w:r>
          </w:p>
          <w:p>
            <w:pPr>
              <w:spacing w:after="40" w:line="252" w:lineRule="auto"/>
            </w:pPr>
            <w:hyperlink r:id="rId10">
              <w:r>
                <w:rPr>
                  <w:rFonts w:ascii="Calibri" w:hAnsi="Calibri" w:cs="Calibri"/>
                  <w:sz w:val="18"/>
                  <w:color w:val="1155CC"/>
                  <w:u w:val="single"/>
                </w:rPr>
                <w:t xml:space="preserve">https://www.ncbi.nlm.nih.gov/books/NBK546680/</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Haemoglobin / Complete blood count</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&gt;= 12 g/dL (non-pregnant women)</w:t>
            </w:r>
          </w:p>
        </w:tc>
        <w:tc>
          <w:tcPr>
            <w:tcW w:type="dxa" w:w="950"/>
            <w:vAlign w:val="top"/>
          </w:tcPr>
          <w:p>
            <w:pPr>
              <w:spacing w:after="40" w:before="0" w:line="259" w:lineRule="auto"/>
            </w:pPr>
            <w:r>
              <w:rPr>
                <w:rFonts w:ascii="Calibri" w:hAnsi="Calibri"/>
                <w:b w:val="0"/>
                <w:i w:val="0"/>
                <w:color w:val="212121"/>
                <w:sz w:val="16"/>
              </w:rPr>
              <w:t>&lt; 12 g/dL</w:t>
            </w:r>
          </w:p>
        </w:tc>
        <w:tc>
          <w:tcPr>
            <w:tcW w:type="dxa" w:w="1036"/>
            <w:vAlign w:val="top"/>
          </w:tcPr>
          <w:p>
            <w:pPr>
              <w:spacing w:after="40" w:before="0" w:line="259" w:lineRule="auto"/>
            </w:pPr>
            <w:r>
              <w:rPr>
                <w:rFonts w:ascii="Calibri" w:hAnsi="Calibri"/>
                <w:b w:val="0"/>
                <w:i w:val="0"/>
                <w:color w:val="212121"/>
                <w:sz w:val="16"/>
              </w:rPr>
              <w:t>Detects iron-deficiency anaemia from menorrhagia and guides transfusion/iron therapy</w:t>
            </w:r>
          </w:p>
        </w:tc>
        <w:tc>
          <w:tcPr>
            <w:tcW w:type="dxa" w:w="1036"/>
            <w:vAlign w:val="top"/>
          </w:tcPr>
          <w:p>
            <w:pPr>
              <w:spacing w:after="40" w:before="0" w:line="259" w:lineRule="auto"/>
            </w:pPr>
            <w:r>
              <w:rPr>
                <w:rFonts w:ascii="Calibri" w:hAnsi="Calibri"/>
                <w:b w:val="0"/>
                <w:i w:val="0"/>
                <w:color w:val="212121"/>
                <w:sz w:val="16"/>
              </w:rPr>
              <w:t>Women with heavy menstrual bleeding, pallor, fatigue</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Essential baseline</w:t>
            </w:r>
          </w:p>
        </w:tc>
        <w:tc>
          <w:tcPr>
            <w:tcW w:type="dxa" w:w="720"/>
            <w:vAlign w:val="top"/>
          </w:tcPr>
          <w:p>
            <w:pPr>
              <w:spacing w:after="40" w:before="0" w:line="259" w:lineRule="auto"/>
            </w:pPr>
            <w:r>
              <w:rPr>
                <w:rFonts w:ascii="Calibri" w:hAnsi="Calibri"/>
                <w:b w:val="0"/>
                <w:i w:val="0"/>
                <w:color w:val="212121"/>
                <w:sz w:val="16"/>
              </w:rPr>
              <w:t>Anaemia is the commonest complication of fibroids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ferritin</w:t>
            </w:r>
          </w:p>
        </w:tc>
        <w:tc>
          <w:tcPr>
            <w:tcW w:type="dxa" w:w="892"/>
            <w:vAlign w:val="top"/>
          </w:tcPr>
          <w:p>
            <w:pPr>
              <w:spacing w:after="40" w:before="0" w:line="259" w:lineRule="auto"/>
            </w:pPr>
            <w:r>
              <w:rPr>
                <w:rFonts w:ascii="Calibri" w:hAnsi="Calibri"/>
                <w:b w:val="0"/>
                <w:i w:val="0"/>
                <w:color w:val="212121"/>
                <w:sz w:val="16"/>
              </w:rPr>
              <w:t>Iron studies</w:t>
            </w:r>
          </w:p>
        </w:tc>
        <w:tc>
          <w:tcPr>
            <w:tcW w:type="dxa" w:w="950"/>
            <w:vAlign w:val="top"/>
          </w:tcPr>
          <w:p>
            <w:pPr>
              <w:spacing w:after="40" w:before="0" w:line="259" w:lineRule="auto"/>
            </w:pPr>
            <w:r>
              <w:rPr>
                <w:rFonts w:ascii="Calibri" w:hAnsi="Calibri"/>
                <w:b w:val="0"/>
                <w:i w:val="0"/>
                <w:color w:val="212121"/>
                <w:sz w:val="16"/>
              </w:rPr>
              <w:t>30-200 ng/mL</w:t>
            </w:r>
          </w:p>
        </w:tc>
        <w:tc>
          <w:tcPr>
            <w:tcW w:type="dxa" w:w="950"/>
            <w:vAlign w:val="top"/>
          </w:tcPr>
          <w:p>
            <w:pPr>
              <w:spacing w:after="40" w:before="0" w:line="259" w:lineRule="auto"/>
            </w:pPr>
            <w:r>
              <w:rPr>
                <w:rFonts w:ascii="Calibri" w:hAnsi="Calibri"/>
                <w:b w:val="0"/>
                <w:i w:val="0"/>
                <w:color w:val="212121"/>
                <w:sz w:val="16"/>
              </w:rPr>
              <w:t>&lt; 30 ng/mL</w:t>
            </w:r>
          </w:p>
        </w:tc>
        <w:tc>
          <w:tcPr>
            <w:tcW w:type="dxa" w:w="1036"/>
            <w:vAlign w:val="top"/>
          </w:tcPr>
          <w:p>
            <w:pPr>
              <w:spacing w:after="40" w:before="0" w:line="259" w:lineRule="auto"/>
            </w:pPr>
            <w:r>
              <w:rPr>
                <w:rFonts w:ascii="Calibri" w:hAnsi="Calibri"/>
                <w:b w:val="0"/>
                <w:i w:val="0"/>
                <w:color w:val="212121"/>
                <w:sz w:val="16"/>
              </w:rPr>
              <w:t>Confirms depleted iron stores even before overt anaemia</w:t>
            </w:r>
          </w:p>
        </w:tc>
        <w:tc>
          <w:tcPr>
            <w:tcW w:type="dxa" w:w="1036"/>
            <w:vAlign w:val="top"/>
          </w:tcPr>
          <w:p>
            <w:pPr>
              <w:spacing w:after="40" w:before="0" w:line="259" w:lineRule="auto"/>
            </w:pPr>
            <w:r>
              <w:rPr>
                <w:rFonts w:ascii="Calibri" w:hAnsi="Calibri"/>
                <w:b w:val="0"/>
                <w:i w:val="0"/>
                <w:color w:val="212121"/>
                <w:sz w:val="16"/>
              </w:rPr>
              <w:t>Women with chronic menorrhagia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iron replacement before 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25-hydroxyvitamin D</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&gt;= 30 ng/mL</w:t>
            </w:r>
          </w:p>
        </w:tc>
        <w:tc>
          <w:tcPr>
            <w:tcW w:type="dxa" w:w="950"/>
            <w:vAlign w:val="top"/>
          </w:tcPr>
          <w:p>
            <w:pPr>
              <w:spacing w:after="40" w:before="0" w:line="259" w:lineRule="auto"/>
            </w:pPr>
            <w:r>
              <w:rPr>
                <w:rFonts w:ascii="Calibri" w:hAnsi="Calibri"/>
                <w:b w:val="0"/>
                <w:i w:val="0"/>
                <w:color w:val="212121"/>
                <w:sz w:val="16"/>
              </w:rPr>
              <w:t>&lt; 20 ng/mL</w:t>
            </w:r>
          </w:p>
        </w:tc>
        <w:tc>
          <w:tcPr>
            <w:tcW w:type="dxa" w:w="1036"/>
            <w:vAlign w:val="top"/>
          </w:tcPr>
          <w:p>
            <w:pPr>
              <w:spacing w:after="40" w:before="0" w:line="259" w:lineRule="auto"/>
            </w:pPr>
            <w:r>
              <w:rPr>
                <w:rFonts w:ascii="Calibri" w:hAnsi="Calibri"/>
                <w:b w:val="0"/>
                <w:i w:val="0"/>
                <w:color w:val="212121"/>
                <w:sz w:val="16"/>
              </w:rPr>
              <w:t>Deficiency is associated with higher fibroid risk and burden</w:t>
            </w:r>
          </w:p>
        </w:tc>
        <w:tc>
          <w:tcPr>
            <w:tcW w:type="dxa" w:w="1036"/>
            <w:vAlign w:val="top"/>
          </w:tcPr>
          <w:p>
            <w:pPr>
              <w:spacing w:after="40" w:before="0" w:line="259" w:lineRule="auto"/>
            </w:pPr>
            <w:r>
              <w:rPr>
                <w:rFonts w:ascii="Calibri" w:hAnsi="Calibri"/>
                <w:b w:val="0"/>
                <w:i w:val="0"/>
                <w:color w:val="212121"/>
                <w:sz w:val="16"/>
              </w:rPr>
              <w:t>Indian women, deficient / low-sun-exposure groups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Near-universal deficiency in Indian women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Beta-hCG</w:t>
            </w:r>
          </w:p>
        </w:tc>
        <w:tc>
          <w:tcPr>
            <w:tcW w:type="dxa" w:w="892"/>
            <w:vAlign w:val="top"/>
          </w:tcPr>
          <w:p>
            <w:pPr>
              <w:spacing w:after="40" w:before="0" w:line="259" w:lineRule="auto"/>
            </w:pPr>
            <w:r>
              <w:rPr>
                <w:rFonts w:ascii="Calibri" w:hAnsi="Calibri"/>
                <w:b w:val="0"/>
                <w:i w:val="0"/>
                <w:color w:val="212121"/>
                <w:sz w:val="16"/>
              </w:rPr>
              <w:t>Pregnancy test</w:t>
            </w:r>
          </w:p>
        </w:tc>
        <w:tc>
          <w:tcPr>
            <w:tcW w:type="dxa" w:w="950"/>
            <w:vAlign w:val="top"/>
          </w:tcPr>
          <w:p>
            <w:pPr>
              <w:spacing w:after="40" w:before="0" w:line="259" w:lineRule="auto"/>
            </w:pPr>
            <w:r>
              <w:rPr>
                <w:rFonts w:ascii="Calibri" w:hAnsi="Calibri"/>
                <w:b w:val="0"/>
                <w:i w:val="0"/>
                <w:color w:val="212121"/>
                <w:sz w:val="16"/>
              </w:rPr>
              <w:t>Negative (non-pregnant)</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Excludes pregnancy before imaging, intervention or medical therapy</w:t>
            </w:r>
          </w:p>
        </w:tc>
        <w:tc>
          <w:tcPr>
            <w:tcW w:type="dxa" w:w="1036"/>
            <w:vAlign w:val="top"/>
          </w:tcPr>
          <w:p>
            <w:pPr>
              <w:spacing w:after="40" w:before="0" w:line="259" w:lineRule="auto"/>
            </w:pPr>
            <w:r>
              <w:rPr>
                <w:rFonts w:ascii="Calibri" w:hAnsi="Calibri"/>
                <w:b w:val="0"/>
                <w:i w:val="0"/>
                <w:color w:val="212121"/>
                <w:sz w:val="16"/>
              </w:rPr>
              <w:t>Reproductive-age women with a pelvic mass or AUB</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Safety screen</w:t>
            </w:r>
          </w:p>
        </w:tc>
        <w:tc>
          <w:tcPr>
            <w:tcW w:type="dxa" w:w="720"/>
            <w:vAlign w:val="top"/>
          </w:tcPr>
          <w:p>
            <w:pPr>
              <w:spacing w:after="40" w:before="0" w:line="259" w:lineRule="auto"/>
            </w:pPr>
            <w:r>
              <w:rPr>
                <w:rFonts w:ascii="Calibri" w:hAnsi="Calibri"/>
                <w:b w:val="0"/>
                <w:i w:val="0"/>
                <w:color w:val="212121"/>
                <w:sz w:val="16"/>
              </w:rPr>
              <w:t>Mandatory before treatment planning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TSH (+/- prolactin)</w:t>
            </w:r>
          </w:p>
        </w:tc>
        <w:tc>
          <w:tcPr>
            <w:tcW w:type="dxa" w:w="892"/>
            <w:vAlign w:val="top"/>
          </w:tcPr>
          <w:p>
            <w:pPr>
              <w:spacing w:after="40" w:before="0" w:line="259" w:lineRule="auto"/>
            </w:pPr>
            <w:r>
              <w:rPr>
                <w:rFonts w:ascii="Calibri" w:hAnsi="Calibri"/>
                <w:b w:val="0"/>
                <w:i w:val="0"/>
                <w:color w:val="212121"/>
                <w:sz w:val="16"/>
              </w:rPr>
              <w:t>Thyroid function</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&lt; 0.4 or &gt; 4.0 mIU/L</w:t>
            </w:r>
          </w:p>
        </w:tc>
        <w:tc>
          <w:tcPr>
            <w:tcW w:type="dxa" w:w="1036"/>
            <w:vAlign w:val="top"/>
          </w:tcPr>
          <w:p>
            <w:pPr>
              <w:spacing w:after="40" w:before="0" w:line="259" w:lineRule="auto"/>
            </w:pPr>
            <w:r>
              <w:rPr>
                <w:rFonts w:ascii="Calibri" w:hAnsi="Calibri"/>
                <w:b w:val="0"/>
                <w:i w:val="0"/>
                <w:color w:val="212121"/>
                <w:sz w:val="16"/>
              </w:rPr>
              <w:t>Excludes thyroid dysfunction as a cause of abnormal uterine bleeding</w:t>
            </w:r>
          </w:p>
        </w:tc>
        <w:tc>
          <w:tcPr>
            <w:tcW w:type="dxa" w:w="1036"/>
            <w:vAlign w:val="top"/>
          </w:tcPr>
          <w:p>
            <w:pPr>
              <w:spacing w:after="40" w:before="0" w:line="259" w:lineRule="auto"/>
            </w:pPr>
            <w:r>
              <w:rPr>
                <w:rFonts w:ascii="Calibri" w:hAnsi="Calibri"/>
                <w:b w:val="0"/>
                <w:i w:val="0"/>
                <w:color w:val="212121"/>
                <w:sz w:val="16"/>
              </w:rPr>
              <w:t>Women with menstrual irregularity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Differential workup</w:t>
            </w:r>
          </w:p>
        </w:tc>
        <w:tc>
          <w:tcPr>
            <w:tcW w:type="dxa" w:w="720"/>
            <w:vAlign w:val="top"/>
          </w:tcPr>
          <w:p>
            <w:pPr>
              <w:spacing w:after="40" w:before="0" w:line="259" w:lineRule="auto"/>
            </w:pPr>
            <w:r>
              <w:rPr>
                <w:rFonts w:ascii="Calibri" w:hAnsi="Calibri"/>
                <w:b w:val="0"/>
                <w:i w:val="0"/>
                <w:color w:val="212121"/>
                <w:sz w:val="16"/>
              </w:rPr>
              <w:t>Screens co-existing endocrine AUB causes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Transvaginal / transabdominal ultrasound</w:t>
            </w:r>
          </w:p>
        </w:tc>
        <w:tc>
          <w:tcPr>
            <w:tcW w:type="dxa" w:w="892"/>
            <w:vAlign w:val="top"/>
          </w:tcPr>
          <w:p>
            <w:pPr>
              <w:spacing w:after="40" w:before="0" w:line="259" w:lineRule="auto"/>
            </w:pPr>
            <w:r>
              <w:rPr>
                <w:rFonts w:ascii="Calibri" w:hAnsi="Calibri"/>
                <w:b w:val="0"/>
                <w:i w:val="0"/>
                <w:color w:val="212121"/>
                <w:sz w:val="16"/>
              </w:rPr>
              <w:t>Pelvic ultrasonography</w:t>
            </w:r>
          </w:p>
        </w:tc>
        <w:tc>
          <w:tcPr>
            <w:tcW w:type="dxa" w:w="950"/>
            <w:vAlign w:val="top"/>
          </w:tcPr>
          <w:p>
            <w:pPr>
              <w:spacing w:after="40" w:before="0" w:line="259" w:lineRule="auto"/>
            </w:pPr>
            <w:r>
              <w:rPr>
                <w:rFonts w:ascii="Calibri" w:hAnsi="Calibri"/>
                <w:b w:val="0"/>
                <w:i w:val="0"/>
                <w:color w:val="212121"/>
                <w:sz w:val="16"/>
              </w:rPr>
              <w:t>No myometrial mass; normal uterine size</w:t>
            </w:r>
          </w:p>
        </w:tc>
        <w:tc>
          <w:tcPr>
            <w:tcW w:type="dxa" w:w="950"/>
            <w:vAlign w:val="top"/>
          </w:tcPr>
          <w:p>
            <w:pPr>
              <w:spacing w:after="40" w:before="0" w:line="259" w:lineRule="auto"/>
            </w:pPr>
            <w:r>
              <w:rPr>
                <w:rFonts w:ascii="Calibri" w:hAnsi="Calibri"/>
                <w:b w:val="0"/>
                <w:i w:val="0"/>
                <w:color w:val="212121"/>
                <w:sz w:val="16"/>
              </w:rPr>
              <w:t>Well-defined hypoechoic myometrial mass(es)</w:t>
            </w:r>
          </w:p>
        </w:tc>
        <w:tc>
          <w:tcPr>
            <w:tcW w:type="dxa" w:w="1036"/>
            <w:vAlign w:val="top"/>
          </w:tcPr>
          <w:p>
            <w:pPr>
              <w:spacing w:after="40" w:before="0" w:line="259" w:lineRule="auto"/>
            </w:pPr>
            <w:r>
              <w:rPr>
                <w:rFonts w:ascii="Calibri" w:hAnsi="Calibri"/>
                <w:b w:val="0"/>
                <w:i w:val="0"/>
                <w:color w:val="212121"/>
                <w:sz w:val="16"/>
              </w:rPr>
              <w:t>First-line, ~95-100% sensitive for a uterus &lt; 10 weeks size; sizes and locates fibroids</w:t>
            </w:r>
          </w:p>
        </w:tc>
        <w:tc>
          <w:tcPr>
            <w:tcW w:type="dxa" w:w="1036"/>
            <w:vAlign w:val="top"/>
          </w:tcPr>
          <w:p>
            <w:pPr>
              <w:spacing w:after="40" w:before="0" w:line="259" w:lineRule="auto"/>
            </w:pPr>
            <w:r>
              <w:rPr>
                <w:rFonts w:ascii="Calibri" w:hAnsi="Calibri"/>
                <w:b w:val="0"/>
                <w:i w:val="0"/>
                <w:color w:val="212121"/>
                <w:sz w:val="16"/>
              </w:rPr>
              <w:t>All women with suspected fibroids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First-line / gold standard</w:t>
            </w:r>
          </w:p>
        </w:tc>
        <w:tc>
          <w:tcPr>
            <w:tcW w:type="dxa" w:w="720"/>
            <w:vAlign w:val="top"/>
          </w:tcPr>
          <w:p>
            <w:pPr>
              <w:spacing w:after="40" w:before="0" w:line="259" w:lineRule="auto"/>
            </w:pPr>
            <w:r>
              <w:rPr>
                <w:rFonts w:ascii="Calibri" w:hAnsi="Calibri"/>
                <w:b w:val="0"/>
                <w:i w:val="0"/>
                <w:color w:val="212121"/>
                <w:sz w:val="16"/>
              </w:rPr>
              <w:t>Combine TVS and TAS for large uteri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pelvis</w:t>
            </w:r>
          </w:p>
        </w:tc>
        <w:tc>
          <w:tcPr>
            <w:tcW w:type="dxa" w:w="892"/>
            <w:vAlign w:val="top"/>
          </w:tcPr>
          <w:p>
            <w:pPr>
              <w:spacing w:after="40" w:before="0" w:line="259" w:lineRule="auto"/>
            </w:pPr>
            <w:r>
              <w:rPr>
                <w:rFonts w:ascii="Calibri" w:hAnsi="Calibri"/>
                <w:b w:val="0"/>
                <w:i w:val="0"/>
                <w:color w:val="212121"/>
                <w:sz w:val="16"/>
              </w:rPr>
              <w:t>Magnetic resonance imaging</w:t>
            </w:r>
          </w:p>
        </w:tc>
        <w:tc>
          <w:tcPr>
            <w:tcW w:type="dxa" w:w="950"/>
            <w:vAlign w:val="top"/>
          </w:tcPr>
          <w:p>
            <w:pPr>
              <w:spacing w:after="40" w:before="0" w:line="259" w:lineRule="auto"/>
            </w:pPr>
            <w:r>
              <w:rPr>
                <w:rFonts w:ascii="Calibri" w:hAnsi="Calibri"/>
                <w:b w:val="0"/>
                <w:i w:val="0"/>
                <w:color w:val="212121"/>
                <w:sz w:val="16"/>
              </w:rPr>
              <w:t>No leiomyoma; normal zonal anatomy</w:t>
            </w:r>
          </w:p>
        </w:tc>
        <w:tc>
          <w:tcPr>
            <w:tcW w:type="dxa" w:w="950"/>
            <w:vAlign w:val="top"/>
          </w:tcPr>
          <w:p>
            <w:pPr>
              <w:spacing w:after="40" w:before="0" w:line="259" w:lineRule="auto"/>
            </w:pPr>
            <w:r>
              <w:rPr>
                <w:rFonts w:ascii="Calibri" w:hAnsi="Calibri"/>
                <w:b w:val="0"/>
                <w:i w:val="0"/>
                <w:color w:val="212121"/>
                <w:sz w:val="16"/>
              </w:rPr>
              <w:t>Mapped leiomyomas with FIGO typing</w:t>
            </w:r>
          </w:p>
        </w:tc>
        <w:tc>
          <w:tcPr>
            <w:tcW w:type="dxa" w:w="1036"/>
            <w:vAlign w:val="top"/>
          </w:tcPr>
          <w:p>
            <w:pPr>
              <w:spacing w:after="40" w:before="0" w:line="259" w:lineRule="auto"/>
            </w:pPr>
            <w:r>
              <w:rPr>
                <w:rFonts w:ascii="Calibri" w:hAnsi="Calibri"/>
                <w:b w:val="0"/>
                <w:i w:val="0"/>
                <w:color w:val="212121"/>
                <w:sz w:val="16"/>
              </w:rPr>
              <w:t>Best for mapping, FIGO typing, surgical / UAE planning and distinguishing adenomyosis or sarcoma</w:t>
            </w:r>
          </w:p>
        </w:tc>
        <w:tc>
          <w:tcPr>
            <w:tcW w:type="dxa" w:w="1036"/>
            <w:vAlign w:val="top"/>
          </w:tcPr>
          <w:p>
            <w:pPr>
              <w:spacing w:after="40" w:before="0" w:line="259" w:lineRule="auto"/>
            </w:pPr>
            <w:r>
              <w:rPr>
                <w:rFonts w:ascii="Calibri" w:hAnsi="Calibri"/>
                <w:b w:val="0"/>
                <w:i w:val="0"/>
                <w:color w:val="212121"/>
                <w:sz w:val="16"/>
              </w:rPr>
              <w:t>Complex, large or multiple fibroids; pre-intervention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Problem-solving</w:t>
            </w:r>
          </w:p>
        </w:tc>
        <w:tc>
          <w:tcPr>
            <w:tcW w:type="dxa" w:w="720"/>
            <w:vAlign w:val="top"/>
          </w:tcPr>
          <w:p>
            <w:pPr>
              <w:spacing w:after="40" w:before="0" w:line="259" w:lineRule="auto"/>
            </w:pPr>
            <w:r>
              <w:rPr>
                <w:rFonts w:ascii="Calibri" w:hAnsi="Calibri"/>
                <w:b w:val="0"/>
                <w:i w:val="0"/>
                <w:color w:val="212121"/>
                <w:sz w:val="16"/>
              </w:rPr>
              <w:t>Rapid growth or atypical features prompt sarcoma workup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Endoscopic / Imaging</w:t>
            </w:r>
          </w:p>
        </w:tc>
        <w:tc>
          <w:tcPr>
            <w:tcW w:type="dxa" w:w="1036"/>
            <w:vAlign w:val="top"/>
          </w:tcPr>
          <w:p>
            <w:pPr>
              <w:spacing w:after="40" w:before="0" w:line="259" w:lineRule="auto"/>
            </w:pPr>
            <w:r>
              <w:rPr>
                <w:rFonts w:ascii="Calibri" w:hAnsi="Calibri"/>
                <w:b w:val="0"/>
                <w:i w:val="0"/>
                <w:color w:val="212121"/>
                <w:sz w:val="16"/>
              </w:rPr>
              <w:t>Saline infusion sonohysterography / hysteroscopy</w:t>
            </w:r>
          </w:p>
        </w:tc>
        <w:tc>
          <w:tcPr>
            <w:tcW w:type="dxa" w:w="892"/>
            <w:vAlign w:val="top"/>
          </w:tcPr>
          <w:p>
            <w:pPr>
              <w:spacing w:after="40" w:before="0" w:line="259" w:lineRule="auto"/>
            </w:pPr>
            <w:r>
              <w:rPr>
                <w:rFonts w:ascii="Calibri" w:hAnsi="Calibri"/>
                <w:b w:val="0"/>
                <w:i w:val="0"/>
                <w:color w:val="212121"/>
                <w:sz w:val="16"/>
              </w:rPr>
              <w:t>SIS / Hysteroscopy</w:t>
            </w:r>
          </w:p>
        </w:tc>
        <w:tc>
          <w:tcPr>
            <w:tcW w:type="dxa" w:w="950"/>
            <w:vAlign w:val="top"/>
          </w:tcPr>
          <w:p>
            <w:pPr>
              <w:spacing w:after="40" w:before="0" w:line="259" w:lineRule="auto"/>
            </w:pPr>
            <w:r>
              <w:rPr>
                <w:rFonts w:ascii="Calibri" w:hAnsi="Calibri"/>
                <w:b w:val="0"/>
                <w:i w:val="0"/>
                <w:color w:val="212121"/>
                <w:sz w:val="16"/>
              </w:rPr>
              <w:t>Smooth, undistorted endometrial cavity</w:t>
            </w:r>
          </w:p>
        </w:tc>
        <w:tc>
          <w:tcPr>
            <w:tcW w:type="dxa" w:w="950"/>
            <w:vAlign w:val="top"/>
          </w:tcPr>
          <w:p>
            <w:pPr>
              <w:spacing w:after="40" w:before="0" w:line="259" w:lineRule="auto"/>
            </w:pPr>
            <w:r>
              <w:rPr>
                <w:rFonts w:ascii="Calibri" w:hAnsi="Calibri"/>
                <w:b w:val="0"/>
                <w:i w:val="0"/>
                <w:color w:val="212121"/>
                <w:sz w:val="16"/>
              </w:rPr>
              <w:t>Submucosal fibroid distorting/filling the cavity (FIGO 0-2)</w:t>
            </w:r>
          </w:p>
        </w:tc>
        <w:tc>
          <w:tcPr>
            <w:tcW w:type="dxa" w:w="1036"/>
            <w:vAlign w:val="top"/>
          </w:tcPr>
          <w:p>
            <w:pPr>
              <w:spacing w:after="40" w:before="0" w:line="259" w:lineRule="auto"/>
            </w:pPr>
            <w:r>
              <w:rPr>
                <w:rFonts w:ascii="Calibri" w:hAnsi="Calibri"/>
                <w:b w:val="0"/>
                <w:i w:val="0"/>
                <w:color w:val="212121"/>
                <w:sz w:val="16"/>
              </w:rPr>
              <w:t>Delineates and allows resection of cavity-distorting submucosal fibroids</w:t>
            </w:r>
          </w:p>
        </w:tc>
        <w:tc>
          <w:tcPr>
            <w:tcW w:type="dxa" w:w="1036"/>
            <w:vAlign w:val="top"/>
          </w:tcPr>
          <w:p>
            <w:pPr>
              <w:spacing w:after="40" w:before="0" w:line="259" w:lineRule="auto"/>
            </w:pPr>
            <w:r>
              <w:rPr>
                <w:rFonts w:ascii="Calibri" w:hAnsi="Calibri"/>
                <w:b w:val="0"/>
                <w:i w:val="0"/>
                <w:color w:val="212121"/>
                <w:sz w:val="16"/>
              </w:rPr>
              <w:t>Women with heavy bleeding or infertility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Targeted</w:t>
            </w:r>
          </w:p>
        </w:tc>
        <w:tc>
          <w:tcPr>
            <w:tcW w:type="dxa" w:w="720"/>
            <w:vAlign w:val="top"/>
          </w:tcPr>
          <w:p>
            <w:pPr>
              <w:spacing w:after="40" w:before="0" w:line="259" w:lineRule="auto"/>
            </w:pPr>
            <w:r>
              <w:rPr>
                <w:rFonts w:ascii="Calibri" w:hAnsi="Calibri"/>
                <w:b w:val="0"/>
                <w:i w:val="0"/>
                <w:color w:val="212121"/>
                <w:sz w:val="16"/>
              </w:rPr>
              <w:t>Hysteroscopy is both diagnostic and therapeutic</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history</w:t>
            </w:r>
          </w:p>
        </w:tc>
        <w:tc>
          <w:tcPr>
            <w:tcW w:type="dxa" w:w="979"/>
            <w:vAlign w:val="top"/>
          </w:tcPr>
          <w:p>
            <w:pPr>
              <w:spacing w:after="40" w:before="0" w:line="259" w:lineRule="auto"/>
            </w:pPr>
            <w:r>
              <w:rPr>
                <w:rFonts w:ascii="Calibri" w:hAnsi="Calibri"/>
                <w:b w:val="0"/>
                <w:i w:val="0"/>
                <w:color w:val="212121"/>
                <w:sz w:val="16"/>
              </w:rPr>
              <w:t>Heavy / prolonged menstrual bleeding</w:t>
            </w:r>
          </w:p>
        </w:tc>
        <w:tc>
          <w:tcPr>
            <w:tcW w:type="dxa" w:w="950"/>
            <w:vAlign w:val="top"/>
          </w:tcPr>
          <w:p>
            <w:pPr>
              <w:spacing w:after="40" w:before="0" w:line="259" w:lineRule="auto"/>
            </w:pPr>
            <w:r>
              <w:rPr>
                <w:rFonts w:ascii="Calibri" w:hAnsi="Calibri"/>
                <w:b w:val="0"/>
                <w:i w:val="0"/>
                <w:color w:val="212121"/>
                <w:sz w:val="16"/>
              </w:rPr>
              <w:t>Normal cyclical menses</w:t>
            </w:r>
          </w:p>
        </w:tc>
        <w:tc>
          <w:tcPr>
            <w:tcW w:type="dxa" w:w="950"/>
            <w:vAlign w:val="top"/>
          </w:tcPr>
          <w:p>
            <w:pPr>
              <w:spacing w:after="40" w:before="0" w:line="259" w:lineRule="auto"/>
            </w:pPr>
            <w:r>
              <w:rPr>
                <w:rFonts w:ascii="Calibri" w:hAnsi="Calibri"/>
                <w:b w:val="0"/>
                <w:i w:val="0"/>
                <w:color w:val="212121"/>
                <w:sz w:val="16"/>
              </w:rPr>
              <w:t>Menorrhagia, clots, flooding, prolonged periods</w:t>
            </w:r>
          </w:p>
        </w:tc>
        <w:tc>
          <w:tcPr>
            <w:tcW w:type="dxa" w:w="1036"/>
            <w:vAlign w:val="top"/>
          </w:tcPr>
          <w:p>
            <w:pPr>
              <w:spacing w:after="40" w:before="0" w:line="259" w:lineRule="auto"/>
            </w:pPr>
            <w:r>
              <w:rPr>
                <w:rFonts w:ascii="Calibri" w:hAnsi="Calibri"/>
                <w:b w:val="0"/>
                <w:i w:val="0"/>
                <w:color w:val="212121"/>
                <w:sz w:val="16"/>
              </w:rPr>
              <w:t>Hallmark symptom, especially with submucosal fibroids</w:t>
            </w:r>
          </w:p>
        </w:tc>
        <w:tc>
          <w:tcPr>
            <w:tcW w:type="dxa" w:w="1036"/>
            <w:vAlign w:val="top"/>
          </w:tcPr>
          <w:p>
            <w:pPr>
              <w:spacing w:after="40" w:before="0" w:line="259" w:lineRule="auto"/>
            </w:pPr>
            <w:r>
              <w:rPr>
                <w:rFonts w:ascii="Calibri" w:hAnsi="Calibri"/>
                <w:b w:val="0"/>
                <w:i w:val="0"/>
                <w:color w:val="212121"/>
                <w:sz w:val="16"/>
              </w:rPr>
              <w:t>Women with fibroids and AUB</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Quantify with PBAC / pad counts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Bulk / pressure symptoms</w:t>
            </w:r>
          </w:p>
        </w:tc>
        <w:tc>
          <w:tcPr>
            <w:tcW w:type="dxa" w:w="979"/>
            <w:vAlign w:val="top"/>
          </w:tcPr>
          <w:p>
            <w:pPr>
              <w:spacing w:after="40" w:before="0" w:line="259" w:lineRule="auto"/>
            </w:pPr>
            <w:r>
              <w:rPr>
                <w:rFonts w:ascii="Calibri" w:hAnsi="Calibri"/>
                <w:b w:val="0"/>
                <w:i w:val="0"/>
                <w:color w:val="212121"/>
                <w:sz w:val="16"/>
              </w:rPr>
              <w:t>Pelvic pressure, urinary frequency, constipation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Reflect an enlarging fibroid uterus pressing on bladder and bowel</w:t>
            </w:r>
          </w:p>
        </w:tc>
        <w:tc>
          <w:tcPr>
            <w:tcW w:type="dxa" w:w="1036"/>
            <w:vAlign w:val="top"/>
          </w:tcPr>
          <w:p>
            <w:pPr>
              <w:spacing w:after="40" w:before="0" w:line="259" w:lineRule="auto"/>
            </w:pPr>
            <w:r>
              <w:rPr>
                <w:rFonts w:ascii="Calibri" w:hAnsi="Calibri"/>
                <w:b w:val="0"/>
                <w:i w:val="0"/>
                <w:color w:val="212121"/>
                <w:sz w:val="16"/>
              </w:rPr>
              <w:t>Women with large or subserosal fibroids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Correlate with fibroid size and location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Reproductive / obstetric history</w:t>
            </w:r>
          </w:p>
        </w:tc>
        <w:tc>
          <w:tcPr>
            <w:tcW w:type="dxa" w:w="979"/>
            <w:vAlign w:val="top"/>
          </w:tcPr>
          <w:p>
            <w:pPr>
              <w:spacing w:after="40" w:before="0" w:line="259" w:lineRule="auto"/>
            </w:pPr>
            <w:r>
              <w:rPr>
                <w:rFonts w:ascii="Calibri" w:hAnsi="Calibri"/>
                <w:b w:val="0"/>
                <w:i w:val="0"/>
                <w:color w:val="212121"/>
                <w:sz w:val="16"/>
              </w:rPr>
              <w:t>Infertility, recurrent pregnancy loss</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Subfertility or recurrent loss</w:t>
            </w:r>
          </w:p>
        </w:tc>
        <w:tc>
          <w:tcPr>
            <w:tcW w:type="dxa" w:w="1036"/>
            <w:vAlign w:val="top"/>
          </w:tcPr>
          <w:p>
            <w:pPr>
              <w:spacing w:after="40" w:before="0" w:line="259" w:lineRule="auto"/>
            </w:pPr>
            <w:r>
              <w:rPr>
                <w:rFonts w:ascii="Calibri" w:hAnsi="Calibri"/>
                <w:b w:val="0"/>
                <w:i w:val="0"/>
                <w:color w:val="212121"/>
                <w:sz w:val="16"/>
              </w:rPr>
              <w:t>Submucosal / cavity-distorting fibroids impair implantation</w:t>
            </w:r>
          </w:p>
        </w:tc>
        <w:tc>
          <w:tcPr>
            <w:tcW w:type="dxa" w:w="1036"/>
            <w:vAlign w:val="top"/>
          </w:tcPr>
          <w:p>
            <w:pPr>
              <w:spacing w:after="40" w:before="0" w:line="259" w:lineRule="auto"/>
            </w:pPr>
            <w:r>
              <w:rPr>
                <w:rFonts w:ascii="Calibri" w:hAnsi="Calibri"/>
                <w:b w:val="0"/>
                <w:i w:val="0"/>
                <w:color w:val="212121"/>
                <w:sz w:val="16"/>
              </w:rPr>
              <w:t>Women seeking fertility, recurrent miscarriage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myomectomy decisions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relatives with fibroids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&gt;= 1 affected first-degree relative</w:t>
            </w:r>
          </w:p>
        </w:tc>
        <w:tc>
          <w:tcPr>
            <w:tcW w:type="dxa" w:w="1036"/>
            <w:vAlign w:val="top"/>
          </w:tcPr>
          <w:p>
            <w:pPr>
              <w:spacing w:after="40" w:before="0" w:line="259" w:lineRule="auto"/>
            </w:pPr>
            <w:r>
              <w:rPr>
                <w:rFonts w:ascii="Calibri" w:hAnsi="Calibri"/>
                <w:b w:val="0"/>
                <w:i w:val="0"/>
                <w:color w:val="212121"/>
                <w:sz w:val="16"/>
              </w:rPr>
              <w:t>Indicates inherited susceptibility</w:t>
            </w:r>
          </w:p>
        </w:tc>
        <w:tc>
          <w:tcPr>
            <w:tcW w:type="dxa" w:w="1036"/>
            <w:vAlign w:val="top"/>
          </w:tcPr>
          <w:p>
            <w:pPr>
              <w:spacing w:after="40" w:before="0" w:line="259" w:lineRule="auto"/>
            </w:pPr>
            <w:r>
              <w:rPr>
                <w:rFonts w:ascii="Calibri" w:hAnsi="Calibri"/>
                <w:b w:val="0"/>
                <w:i w:val="0"/>
                <w:color w:val="212121"/>
                <w:sz w:val="16"/>
              </w:rPr>
              <w:t>Women with familial or early-onset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Ask about skin/uterine leiomyomas and renal cancer (FH mutation)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Bimanual pelvic examination</w:t>
            </w:r>
          </w:p>
        </w:tc>
        <w:tc>
          <w:tcPr>
            <w:tcW w:type="dxa" w:w="979"/>
            <w:vAlign w:val="top"/>
          </w:tcPr>
          <w:p>
            <w:pPr>
              <w:spacing w:after="40" w:before="0" w:line="259" w:lineRule="auto"/>
            </w:pPr>
            <w:r>
              <w:rPr>
                <w:rFonts w:ascii="Calibri" w:hAnsi="Calibri"/>
                <w:b w:val="0"/>
                <w:i w:val="0"/>
                <w:color w:val="212121"/>
                <w:sz w:val="16"/>
              </w:rPr>
              <w:t>Enlarged, firm, irregular, mobile uterus</w:t>
            </w:r>
          </w:p>
        </w:tc>
        <w:tc>
          <w:tcPr>
            <w:tcW w:type="dxa" w:w="950"/>
            <w:vAlign w:val="top"/>
          </w:tcPr>
          <w:p>
            <w:pPr>
              <w:spacing w:after="40" w:before="0" w:line="259" w:lineRule="auto"/>
            </w:pPr>
            <w:r>
              <w:rPr>
                <w:rFonts w:ascii="Calibri" w:hAnsi="Calibri"/>
                <w:b w:val="0"/>
                <w:i w:val="0"/>
                <w:color w:val="212121"/>
                <w:sz w:val="16"/>
              </w:rPr>
              <w:t>Normal-size, smooth, mobile uterus</w:t>
            </w:r>
          </w:p>
        </w:tc>
        <w:tc>
          <w:tcPr>
            <w:tcW w:type="dxa" w:w="950"/>
            <w:vAlign w:val="top"/>
          </w:tcPr>
          <w:p>
            <w:pPr>
              <w:spacing w:after="40" w:before="0" w:line="259" w:lineRule="auto"/>
            </w:pPr>
            <w:r>
              <w:rPr>
                <w:rFonts w:ascii="Calibri" w:hAnsi="Calibri"/>
                <w:b w:val="0"/>
                <w:i w:val="0"/>
                <w:color w:val="212121"/>
                <w:sz w:val="16"/>
              </w:rPr>
              <w:t>Bulky irregular uterus, sized in weeks</w:t>
            </w:r>
          </w:p>
        </w:tc>
        <w:tc>
          <w:tcPr>
            <w:tcW w:type="dxa" w:w="1036"/>
            <w:vAlign w:val="top"/>
          </w:tcPr>
          <w:p>
            <w:pPr>
              <w:spacing w:after="40" w:before="0" w:line="259" w:lineRule="auto"/>
            </w:pPr>
            <w:r>
              <w:rPr>
                <w:rFonts w:ascii="Calibri" w:hAnsi="Calibri"/>
                <w:b w:val="0"/>
                <w:i w:val="0"/>
                <w:color w:val="212121"/>
                <w:sz w:val="16"/>
              </w:rPr>
              <w:t>Classic sign; the mass moves with the cervix, distinguishing it from adnexal masses</w:t>
            </w:r>
          </w:p>
        </w:tc>
        <w:tc>
          <w:tcPr>
            <w:tcW w:type="dxa" w:w="1036"/>
            <w:vAlign w:val="top"/>
          </w:tcPr>
          <w:p>
            <w:pPr>
              <w:spacing w:after="40" w:before="0" w:line="259" w:lineRule="auto"/>
            </w:pPr>
            <w:r>
              <w:rPr>
                <w:rFonts w:ascii="Calibri" w:hAnsi="Calibri"/>
                <w:b w:val="0"/>
                <w:i w:val="0"/>
                <w:color w:val="212121"/>
                <w:sz w:val="16"/>
              </w:rPr>
              <w:t>All women with suspected fibroids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Core examination</w:t>
            </w:r>
          </w:p>
        </w:tc>
        <w:tc>
          <w:tcPr>
            <w:tcW w:type="dxa" w:w="720"/>
            <w:vAlign w:val="top"/>
          </w:tcPr>
          <w:p>
            <w:pPr>
              <w:spacing w:after="40" w:before="0" w:line="259" w:lineRule="auto"/>
            </w:pPr>
            <w:r>
              <w:rPr>
                <w:rFonts w:ascii="Calibri" w:hAnsi="Calibri"/>
                <w:b w:val="0"/>
                <w:i w:val="0"/>
                <w:color w:val="212121"/>
                <w:sz w:val="16"/>
              </w:rPr>
              <w:t>Document uterine size in gestational weeks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Palpable suprapubic / abdominal mass</w:t>
            </w:r>
          </w:p>
        </w:tc>
        <w:tc>
          <w:tcPr>
            <w:tcW w:type="dxa" w:w="950"/>
            <w:vAlign w:val="top"/>
          </w:tcPr>
          <w:p>
            <w:pPr>
              <w:spacing w:after="40" w:before="0" w:line="259" w:lineRule="auto"/>
            </w:pPr>
            <w:r>
              <w:rPr>
                <w:rFonts w:ascii="Calibri" w:hAnsi="Calibri"/>
                <w:b w:val="0"/>
                <w:i w:val="0"/>
                <w:color w:val="212121"/>
                <w:sz w:val="16"/>
              </w:rPr>
              <w:t>No mass</w:t>
            </w:r>
          </w:p>
        </w:tc>
        <w:tc>
          <w:tcPr>
            <w:tcW w:type="dxa" w:w="950"/>
            <w:vAlign w:val="top"/>
          </w:tcPr>
          <w:p>
            <w:pPr>
              <w:spacing w:after="40" w:before="0" w:line="259" w:lineRule="auto"/>
            </w:pPr>
            <w:r>
              <w:rPr>
                <w:rFonts w:ascii="Calibri" w:hAnsi="Calibri"/>
                <w:b w:val="0"/>
                <w:i w:val="0"/>
                <w:color w:val="212121"/>
                <w:sz w:val="16"/>
              </w:rPr>
              <w:t>Firm, non-tender central lower-abdominal mass</w:t>
            </w:r>
          </w:p>
        </w:tc>
        <w:tc>
          <w:tcPr>
            <w:tcW w:type="dxa" w:w="1036"/>
            <w:vAlign w:val="top"/>
          </w:tcPr>
          <w:p>
            <w:pPr>
              <w:spacing w:after="40" w:before="0" w:line="259" w:lineRule="auto"/>
            </w:pPr>
            <w:r>
              <w:rPr>
                <w:rFonts w:ascii="Calibri" w:hAnsi="Calibri"/>
                <w:b w:val="0"/>
                <w:i w:val="0"/>
                <w:color w:val="212121"/>
                <w:sz w:val="16"/>
              </w:rPr>
              <w:t>Large fibroids present as an abdominopelvic mass arising from the pelvis</w:t>
            </w:r>
          </w:p>
        </w:tc>
        <w:tc>
          <w:tcPr>
            <w:tcW w:type="dxa" w:w="1036"/>
            <w:vAlign w:val="top"/>
          </w:tcPr>
          <w:p>
            <w:pPr>
              <w:spacing w:after="40" w:before="0" w:line="259" w:lineRule="auto"/>
            </w:pPr>
            <w:r>
              <w:rPr>
                <w:rFonts w:ascii="Calibri" w:hAnsi="Calibri"/>
                <w:b w:val="0"/>
                <w:i w:val="0"/>
                <w:color w:val="212121"/>
                <w:sz w:val="16"/>
              </w:rPr>
              <w:t>Women with large-volume fibroids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 mass one cannot get below suggests pelvic (uterine) origin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General examination</w:t>
            </w:r>
          </w:p>
        </w:tc>
        <w:tc>
          <w:tcPr>
            <w:tcW w:type="dxa" w:w="979"/>
            <w:vAlign w:val="top"/>
          </w:tcPr>
          <w:p>
            <w:pPr>
              <w:spacing w:after="40" w:before="0" w:line="259" w:lineRule="auto"/>
            </w:pPr>
            <w:r>
              <w:rPr>
                <w:rFonts w:ascii="Calibri" w:hAnsi="Calibri"/>
                <w:b w:val="0"/>
                <w:i w:val="0"/>
                <w:color w:val="212121"/>
                <w:sz w:val="16"/>
              </w:rPr>
              <w:t>Pallor and signs of anaemia</w:t>
            </w:r>
          </w:p>
        </w:tc>
        <w:tc>
          <w:tcPr>
            <w:tcW w:type="dxa" w:w="950"/>
            <w:vAlign w:val="top"/>
          </w:tcPr>
          <w:p>
            <w:pPr>
              <w:spacing w:after="40" w:before="0" w:line="259" w:lineRule="auto"/>
            </w:pPr>
            <w:r>
              <w:rPr>
                <w:rFonts w:ascii="Calibri" w:hAnsi="Calibri"/>
                <w:b w:val="0"/>
                <w:i w:val="0"/>
                <w:color w:val="212121"/>
                <w:sz w:val="16"/>
              </w:rPr>
              <w:t>No pallor</w:t>
            </w:r>
          </w:p>
        </w:tc>
        <w:tc>
          <w:tcPr>
            <w:tcW w:type="dxa" w:w="950"/>
            <w:vAlign w:val="top"/>
          </w:tcPr>
          <w:p>
            <w:pPr>
              <w:spacing w:after="40" w:before="0" w:line="259" w:lineRule="auto"/>
            </w:pPr>
            <w:r>
              <w:rPr>
                <w:rFonts w:ascii="Calibri" w:hAnsi="Calibri"/>
                <w:b w:val="0"/>
                <w:i w:val="0"/>
                <w:color w:val="212121"/>
                <w:sz w:val="16"/>
              </w:rPr>
              <w:t>Conjunctival/palmar pallor, tachycardia</w:t>
            </w:r>
          </w:p>
        </w:tc>
        <w:tc>
          <w:tcPr>
            <w:tcW w:type="dxa" w:w="1036"/>
            <w:vAlign w:val="top"/>
          </w:tcPr>
          <w:p>
            <w:pPr>
              <w:spacing w:after="40" w:before="0" w:line="259" w:lineRule="auto"/>
            </w:pPr>
            <w:r>
              <w:rPr>
                <w:rFonts w:ascii="Calibri" w:hAnsi="Calibri"/>
                <w:b w:val="0"/>
                <w:i w:val="0"/>
                <w:color w:val="212121"/>
                <w:sz w:val="16"/>
              </w:rPr>
              <w:t>Reflects chronic blood loss from menorrhagia</w:t>
            </w:r>
          </w:p>
        </w:tc>
        <w:tc>
          <w:tcPr>
            <w:tcW w:type="dxa" w:w="1036"/>
            <w:vAlign w:val="top"/>
          </w:tcPr>
          <w:p>
            <w:pPr>
              <w:spacing w:after="40" w:before="0" w:line="259" w:lineRule="auto"/>
            </w:pPr>
            <w:r>
              <w:rPr>
                <w:rFonts w:ascii="Calibri" w:hAnsi="Calibri"/>
                <w:b w:val="0"/>
                <w:i w:val="0"/>
                <w:color w:val="212121"/>
                <w:sz w:val="16"/>
              </w:rPr>
              <w:t>Women with heavy menstrual bleeding</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Correlate with haemoglobin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Heavy menstrual bleeding (menorrhagia)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most frequent symptom, particularly with submucosal fibroids; produces clots and flooding.</w:t>
            </w:r>
          </w:p>
        </w:tc>
      </w:tr>
      <w:tr>
        <w:trPr>
          <w:cantSplit/>
        </w:trPr>
        <w:tc>
          <w:tcPr>
            <w:tcW w:type="dxa" w:w="2304"/>
            <w:vAlign w:val="top"/>
          </w:tcPr>
          <w:p>
            <w:pPr>
              <w:spacing w:after="40" w:before="0" w:line="259" w:lineRule="auto"/>
            </w:pPr>
            <w:r>
              <w:rPr>
                <w:rFonts w:ascii="Calibri" w:hAnsi="Calibri"/>
                <w:b/>
                <w:i w:val="0"/>
                <w:color w:val="212121"/>
                <w:sz w:val="19"/>
              </w:rPr>
              <w:t>Prolonged / frequent menstruation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Periods lasting longer than 7 days or occurring more often, worsening blood loss.</w:t>
            </w:r>
          </w:p>
        </w:tc>
      </w:tr>
      <w:tr>
        <w:trPr>
          <w:cantSplit/>
        </w:trPr>
        <w:tc>
          <w:tcPr>
            <w:tcW w:type="dxa" w:w="2304"/>
            <w:vAlign w:val="top"/>
          </w:tcPr>
          <w:p>
            <w:pPr>
              <w:spacing w:after="40" w:before="0" w:line="259" w:lineRule="auto"/>
            </w:pPr>
            <w:r>
              <w:rPr>
                <w:rFonts w:ascii="Calibri" w:hAnsi="Calibri"/>
                <w:b/>
                <w:i w:val="0"/>
                <w:color w:val="212121"/>
                <w:sz w:val="19"/>
              </w:rPr>
              <w:t>Pelvic pressure / heaviness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dragging fullness in the lower abdomen from an enlarged fibroid uterus.</w:t>
            </w:r>
          </w:p>
        </w:tc>
      </w:tr>
      <w:tr>
        <w:trPr>
          <w:cantSplit/>
        </w:trPr>
        <w:tc>
          <w:tcPr>
            <w:tcW w:type="dxa" w:w="2304"/>
            <w:vAlign w:val="top"/>
          </w:tcPr>
          <w:p>
            <w:pPr>
              <w:spacing w:after="40" w:before="0" w:line="259" w:lineRule="auto"/>
            </w:pPr>
            <w:r>
              <w:rPr>
                <w:rFonts w:ascii="Calibri" w:hAnsi="Calibri"/>
                <w:b/>
                <w:i w:val="0"/>
                <w:color w:val="212121"/>
                <w:sz w:val="19"/>
              </w:rPr>
              <w:t>Increased urinary frequency / urgency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Anterior fibroids compress the bladder, reducing its capacity.</w:t>
            </w:r>
          </w:p>
        </w:tc>
      </w:tr>
      <w:tr>
        <w:trPr>
          <w:cantSplit/>
        </w:trPr>
        <w:tc>
          <w:tcPr>
            <w:tcW w:type="dxa" w:w="2304"/>
            <w:vAlign w:val="top"/>
          </w:tcPr>
          <w:p>
            <w:pPr>
              <w:spacing w:after="40" w:before="0" w:line="259" w:lineRule="auto"/>
            </w:pPr>
            <w:r>
              <w:rPr>
                <w:rFonts w:ascii="Calibri" w:hAnsi="Calibri"/>
                <w:b/>
                <w:i w:val="0"/>
                <w:color w:val="212121"/>
                <w:sz w:val="19"/>
              </w:rPr>
              <w:t>Dysmenorrhoea (painful periods)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Cramping menstrual pain, often with heavy flow.</w:t>
            </w:r>
          </w:p>
        </w:tc>
      </w:tr>
      <w:tr>
        <w:trPr>
          <w:cantSplit/>
        </w:trPr>
        <w:tc>
          <w:tcPr>
            <w:tcW w:type="dxa" w:w="2304"/>
            <w:vAlign w:val="top"/>
          </w:tcPr>
          <w:p>
            <w:pPr>
              <w:spacing w:after="40" w:before="0" w:line="259" w:lineRule="auto"/>
            </w:pPr>
            <w:r>
              <w:rPr>
                <w:rFonts w:ascii="Calibri" w:hAnsi="Calibri"/>
                <w:b/>
                <w:i w:val="0"/>
                <w:color w:val="212121"/>
                <w:sz w:val="19"/>
              </w:rPr>
              <w:t>Abdominal distension / bloating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Large fibroids increase abdominal girth and may be mistaken for weight gain or pregnancy.</w:t>
            </w:r>
          </w:p>
        </w:tc>
      </w:tr>
      <w:tr>
        <w:trPr>
          <w:cantSplit/>
        </w:trPr>
        <w:tc>
          <w:tcPr>
            <w:tcW w:type="dxa" w:w="2304"/>
            <w:vAlign w:val="top"/>
          </w:tcPr>
          <w:p>
            <w:pPr>
              <w:spacing w:after="40" w:before="0" w:line="259" w:lineRule="auto"/>
            </w:pPr>
            <w:r>
              <w:rPr>
                <w:rFonts w:ascii="Calibri" w:hAnsi="Calibri"/>
                <w:b/>
                <w:i w:val="0"/>
                <w:color w:val="212121"/>
                <w:sz w:val="19"/>
              </w:rPr>
              <w:t>Fatigue and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Result of chronic iron-deficiency anaemia from menstrual blood loss.</w:t>
            </w:r>
          </w:p>
        </w:tc>
      </w:tr>
      <w:tr>
        <w:trPr>
          <w:cantSplit/>
        </w:trPr>
        <w:tc>
          <w:tcPr>
            <w:tcW w:type="dxa" w:w="2304"/>
            <w:vAlign w:val="top"/>
          </w:tcPr>
          <w:p>
            <w:pPr>
              <w:spacing w:after="40" w:before="0" w:line="259" w:lineRule="auto"/>
            </w:pPr>
            <w:r>
              <w:rPr>
                <w:rFonts w:ascii="Calibri" w:hAnsi="Calibri"/>
                <w:b/>
                <w:i w:val="0"/>
                <w:color w:val="212121"/>
                <w:sz w:val="19"/>
              </w:rPr>
              <w:t>Constipation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Posterior fibroids press on the rectum, causing difficult defecation.</w:t>
            </w:r>
          </w:p>
        </w:tc>
      </w:tr>
      <w:tr>
        <w:trPr>
          <w:cantSplit/>
        </w:trPr>
        <w:tc>
          <w:tcPr>
            <w:tcW w:type="dxa" w:w="2304"/>
            <w:vAlign w:val="top"/>
          </w:tcPr>
          <w:p>
            <w:pPr>
              <w:spacing w:after="40" w:before="0" w:line="259" w:lineRule="auto"/>
            </w:pPr>
            <w:r>
              <w:rPr>
                <w:rFonts w:ascii="Calibri" w:hAnsi="Calibri"/>
                <w:b/>
                <w:i w:val="0"/>
                <w:color w:val="212121"/>
                <w:sz w:val="19"/>
              </w:rPr>
              <w:t>Dyspareunia (pain during intercourse)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Fundal or anterior fibroids can make deep penetration painful.</w:t>
            </w:r>
          </w:p>
        </w:tc>
      </w:tr>
      <w:tr>
        <w:trPr>
          <w:cantSplit/>
        </w:trPr>
        <w:tc>
          <w:tcPr>
            <w:tcW w:type="dxa" w:w="2304"/>
            <w:vAlign w:val="top"/>
          </w:tcPr>
          <w:p>
            <w:pPr>
              <w:spacing w:after="40" w:before="0" w:line="259" w:lineRule="auto"/>
            </w:pPr>
            <w:r>
              <w:rPr>
                <w:rFonts w:ascii="Calibri" w:hAnsi="Calibri"/>
                <w:b/>
                <w:i w:val="0"/>
                <w:color w:val="212121"/>
                <w:sz w:val="19"/>
              </w:rPr>
              <w:t>Subfertility / difficulty conceiving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Cavity-distorting or large fibroids impair implantation and tubal transport.</w:t>
            </w:r>
          </w:p>
        </w:tc>
      </w:tr>
      <w:tr>
        <w:trPr>
          <w:cantSplit/>
        </w:trPr>
        <w:tc>
          <w:tcPr>
            <w:tcW w:type="dxa" w:w="2304"/>
            <w:vAlign w:val="top"/>
          </w:tcPr>
          <w:p>
            <w:pPr>
              <w:spacing w:after="40" w:before="0" w:line="259" w:lineRule="auto"/>
            </w:pPr>
            <w:r>
              <w:rPr>
                <w:rFonts w:ascii="Calibri" w:hAnsi="Calibri"/>
                <w:b/>
                <w:i w:val="0"/>
                <w:color w:val="212121"/>
                <w:sz w:val="19"/>
              </w:rPr>
              <w:t>Low back or pelvic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Posterior or large fibroids press on nerves and pelvic structures.</w:t>
            </w:r>
          </w:p>
        </w:tc>
      </w:tr>
      <w:tr>
        <w:trPr>
          <w:cantSplit/>
        </w:trPr>
        <w:tc>
          <w:tcPr>
            <w:tcW w:type="dxa" w:w="2304"/>
            <w:vAlign w:val="top"/>
          </w:tcPr>
          <w:p>
            <w:pPr>
              <w:spacing w:after="40" w:before="0" w:line="259" w:lineRule="auto"/>
            </w:pPr>
            <w:r>
              <w:rPr>
                <w:rFonts w:ascii="Calibri" w:hAnsi="Calibri"/>
                <w:b/>
                <w:i w:val="0"/>
                <w:color w:val="212121"/>
                <w:sz w:val="19"/>
              </w:rPr>
              <w:t>Acute severe pelvic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red (carneous) degeneration - typically in pregnancy - or torsion of a pedunculated fibroid.</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Enlarged, firm, irregular, mobile uterus on bimanual exam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cardinal clinical sign; uterine size is described in weeks of gestation.</w:t>
            </w:r>
          </w:p>
        </w:tc>
      </w:tr>
      <w:tr>
        <w:trPr>
          <w:cantSplit/>
        </w:trPr>
        <w:tc>
          <w:tcPr>
            <w:tcW w:type="dxa" w:w="3456"/>
            <w:vAlign w:val="top"/>
          </w:tcPr>
          <w:p>
            <w:pPr>
              <w:spacing w:after="40" w:before="0" w:line="259" w:lineRule="auto"/>
            </w:pPr>
            <w:r>
              <w:rPr>
                <w:rFonts w:ascii="Calibri" w:hAnsi="Calibri"/>
                <w:b/>
                <w:i w:val="0"/>
                <w:color w:val="212121"/>
                <w:sz w:val="19"/>
              </w:rPr>
              <w:t>Palpable suprapubic / abdominal mass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Large fibroids present as a firm, non-tender central mass arising from the pelvis.</w:t>
            </w:r>
          </w:p>
        </w:tc>
      </w:tr>
      <w:tr>
        <w:trPr>
          <w:cantSplit/>
        </w:trPr>
        <w:tc>
          <w:tcPr>
            <w:tcW w:type="dxa" w:w="3456"/>
            <w:vAlign w:val="top"/>
          </w:tcPr>
          <w:p>
            <w:pPr>
              <w:spacing w:after="40" w:before="0" w:line="259" w:lineRule="auto"/>
            </w:pPr>
            <w:r>
              <w:rPr>
                <w:rFonts w:ascii="Calibri" w:hAnsi="Calibri"/>
                <w:b/>
                <w:i w:val="0"/>
                <w:color w:val="212121"/>
                <w:sz w:val="19"/>
              </w:rPr>
              <w:t>Mass moves with the cervix</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Traction transmitted from cervix to the mass confirms uterine (not adnexal) origin.</w:t>
            </w:r>
          </w:p>
        </w:tc>
      </w:tr>
      <w:tr>
        <w:trPr>
          <w:cantSplit/>
        </w:trPr>
        <w:tc>
          <w:tcPr>
            <w:tcW w:type="dxa" w:w="3456"/>
            <w:vAlign w:val="top"/>
          </w:tcPr>
          <w:p>
            <w:pPr>
              <w:spacing w:after="40" w:before="0" w:line="259" w:lineRule="auto"/>
            </w:pPr>
            <w:r>
              <w:rPr>
                <w:rFonts w:ascii="Calibri" w:hAnsi="Calibri"/>
                <w:b/>
                <w:i w:val="0"/>
                <w:color w:val="212121"/>
                <w:sz w:val="19"/>
              </w:rPr>
              <w:t>Conjunctival / palmar pallor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 of iron-deficiency anaemia from chronic menorrhagia.</w:t>
            </w:r>
          </w:p>
        </w:tc>
      </w:tr>
      <w:tr>
        <w:trPr>
          <w:cantSplit/>
        </w:trPr>
        <w:tc>
          <w:tcPr>
            <w:tcW w:type="dxa" w:w="3456"/>
            <w:vAlign w:val="top"/>
          </w:tcPr>
          <w:p>
            <w:pPr>
              <w:spacing w:after="40" w:before="0" w:line="259" w:lineRule="auto"/>
            </w:pPr>
            <w:r>
              <w:rPr>
                <w:rFonts w:ascii="Calibri" w:hAnsi="Calibri"/>
                <w:b/>
                <w:i w:val="0"/>
                <w:color w:val="212121"/>
                <w:sz w:val="19"/>
              </w:rPr>
              <w:t>Low haemoglobin / iron-deficiency picture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marker of blood loss on investigation.</w:t>
            </w:r>
          </w:p>
        </w:tc>
      </w:tr>
      <w:tr>
        <w:trPr>
          <w:cantSplit/>
        </w:trPr>
        <w:tc>
          <w:tcPr>
            <w:tcW w:type="dxa" w:w="3456"/>
            <w:vAlign w:val="top"/>
          </w:tcPr>
          <w:p>
            <w:pPr>
              <w:spacing w:after="40" w:before="0" w:line="259" w:lineRule="auto"/>
            </w:pPr>
            <w:r>
              <w:rPr>
                <w:rFonts w:ascii="Calibri" w:hAnsi="Calibri"/>
                <w:b/>
                <w:i w:val="0"/>
                <w:color w:val="212121"/>
                <w:sz w:val="19"/>
              </w:rPr>
              <w:t>Prolapsing submucosal fibroid at the cervical os (fibroid polyp / 'myoma born')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pedunculated submucosal fibroid delivered through the cervix, often bleeding.</w:t>
            </w:r>
          </w:p>
        </w:tc>
      </w:tr>
      <w:tr>
        <w:trPr>
          <w:cantSplit/>
        </w:trPr>
        <w:tc>
          <w:tcPr>
            <w:tcW w:type="dxa" w:w="3456"/>
            <w:vAlign w:val="top"/>
          </w:tcPr>
          <w:p>
            <w:pPr>
              <w:spacing w:after="40" w:before="0" w:line="259" w:lineRule="auto"/>
            </w:pPr>
            <w:r>
              <w:rPr>
                <w:rFonts w:ascii="Calibri" w:hAnsi="Calibri"/>
                <w:b/>
                <w:i w:val="0"/>
                <w:color w:val="212121"/>
                <w:sz w:val="19"/>
              </w:rPr>
              <w:t>Signs of bladder/ureteric compression (distended bladder, hydronephrosis)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Very large fibroids can obstruct urine outflow and dilate the upper tracts.</w:t>
            </w:r>
          </w:p>
        </w:tc>
      </w:tr>
      <w:tr>
        <w:trPr>
          <w:cantSplit/>
        </w:trPr>
        <w:tc>
          <w:tcPr>
            <w:tcW w:type="dxa" w:w="3456"/>
            <w:vAlign w:val="top"/>
          </w:tcPr>
          <w:p>
            <w:pPr>
              <w:spacing w:after="40" w:before="0" w:line="259" w:lineRule="auto"/>
            </w:pPr>
            <w:r>
              <w:rPr>
                <w:rFonts w:ascii="Calibri" w:hAnsi="Calibri"/>
                <w:b/>
                <w:i w:val="0"/>
                <w:color w:val="212121"/>
                <w:sz w:val="19"/>
              </w:rPr>
              <w:t>Ascites (pseudo-Meigs syndrome)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Rarely, large or degenerating fibroids are associated with ascites that resolves after removal.</w:t>
            </w:r>
          </w:p>
        </w:tc>
      </w:tr>
      <w:tr>
        <w:trPr>
          <w:cantSplit/>
        </w:trPr>
        <w:tc>
          <w:tcPr>
            <w:tcW w:type="dxa" w:w="3456"/>
            <w:vAlign w:val="top"/>
          </w:tcPr>
          <w:p>
            <w:pPr>
              <w:spacing w:after="40" w:before="0" w:line="259" w:lineRule="auto"/>
            </w:pPr>
            <w:r>
              <w:rPr>
                <w:rFonts w:ascii="Calibri" w:hAnsi="Calibri"/>
                <w:b/>
                <w:i w:val="0"/>
                <w:color w:val="212121"/>
                <w:sz w:val="19"/>
              </w:rPr>
              <w:t>Polycythaemia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Rare erythropoietin-secreting fibroids can raise the haematocrit.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and prolonged menstrual bleeding (menorrhagia)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Iron-deficiency anaemia from chronic blood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pelvic pain, pressure and bulk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pain from red (carneous) degeneration or torsion of a pedunculated fibroid</w:t>
            </w:r>
          </w:p>
        </w:tc>
        <w:tc>
          <w:tcPr>
            <w:tcW w:type="dxa" w:w="2980"/>
            <w:vAlign w:val="top"/>
          </w:tcPr>
          <w:p>
            <w:pPr>
              <w:spacing w:after="40" w:before="0" w:line="259" w:lineRule="auto"/>
            </w:pPr>
            <w:r>
              <w:rPr>
                <w:rFonts w:ascii="Calibri" w:hAnsi="Calibri"/>
                <w:b w:val="0"/>
                <w:i w:val="0"/>
                <w:color w:val="212121"/>
                <w:sz w:val="19"/>
              </w:rPr>
              <w:t>Direct consequences of fibroid bleeding, mass effect and degeneration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Subfertility and recurrent pregnancy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Obstetric complications: miscarriage, preterm labour, malpresentation, placental abruption, obstructed labour, increased caesarean rate and postpartum haemorrhage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Urinary complications: frequency, retention, hydronephrosis and recurrent urinary tract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Bowel complications: constipation and rectal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compression predisposing to deep-vein thrombosis with very large fibroids</w:t>
            </w:r>
          </w:p>
        </w:tc>
        <w:tc>
          <w:tcPr>
            <w:tcW w:type="dxa" w:w="2980"/>
            <w:vAlign w:val="top"/>
          </w:tcPr>
          <w:p>
            <w:pPr>
              <w:spacing w:after="40" w:before="0" w:line="259" w:lineRule="auto"/>
            </w:pPr>
            <w:r>
              <w:rPr>
                <w:rFonts w:ascii="Calibri" w:hAnsi="Calibri"/>
                <w:b w:val="0"/>
                <w:i w:val="0"/>
                <w:color w:val="212121"/>
                <w:sz w:val="19"/>
              </w:rPr>
              <w:t>Result from mass effect on adjacent pelvic organs and from impaired reproduction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Hysterectomy with permanent loss of fertility - fibroids are the second commonest indication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Transfusion-dependent anaemia and, rarely, high-output cardiac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Recurrence of fibroids after myomectomy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Complications of surgery or uterine-artery embolisation (infection, adhesions, ovarian reserve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 malignant leiomyosarcoma and its poor prognosis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Psychological morbidity, reduced quality of life and impact on work and relationships</w:t>
            </w:r>
          </w:p>
        </w:tc>
        <w:tc>
          <w:tcPr>
            <w:tcW w:type="dxa" w:w="2980"/>
            <w:vAlign w:val="top"/>
          </w:tcPr>
          <w:p>
            <w:pPr>
              <w:spacing w:after="40" w:before="0" w:line="259" w:lineRule="auto"/>
            </w:pPr>
            <w:r>
              <w:rPr>
                <w:rFonts w:ascii="Calibri" w:hAnsi="Calibri"/>
                <w:b w:val="0"/>
                <w:i w:val="0"/>
                <w:color w:val="212121"/>
                <w:sz w:val="19"/>
              </w:rPr>
              <w:t>Irreversible or high-impact outcomes of longstanding or treated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menorrhagia from fibroids depletes iron; India's very high baseline anaemia in women magnifies the impact and delays surgery until corrected.</w:t>
            </w:r>
          </w:p>
          <w:p>
            <w:pPr>
              <w:spacing w:after="40" w:before="0" w:line="259" w:lineRule="auto"/>
            </w:pPr>
            <w:r>
              <w:rPr>
                <w:rFonts w:ascii="Calibri" w:hAnsi="Calibri"/>
                <w:b/>
                <w:i w:val="0"/>
                <w:color w:val="212121"/>
                <w:sz w:val="19"/>
              </w:rPr>
              <w:t>57% of Indian women 15-49 anaemic (NFHS-5)</w:t>
            </w:r>
          </w:p>
        </w:tc>
      </w:tr>
      <w:tr>
        <w:trPr>
          <w:cantSplit/>
        </w:trPr>
        <w:tc>
          <w:tcPr>
            <w:tcW w:type="dxa" w:w="2232"/>
            <w:vAlign w:val="top"/>
          </w:tcPr>
          <w:p>
            <w:pPr>
              <w:spacing w:after="40" w:before="0" w:line="259" w:lineRule="auto"/>
            </w:pPr>
            <w:r>
              <w:rPr>
                <w:rFonts w:ascii="Calibri" w:hAnsi="Calibri"/>
                <w:b/>
                <w:i w:val="0"/>
                <w:color w:val="212121"/>
                <w:sz w:val="19"/>
              </w:rPr>
              <w:t>Infertility / subfertility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Submucosal and large intramural fibroids distort the cavity and impair implantation and tubal function.</w:t>
            </w:r>
          </w:p>
          <w:p>
            <w:pPr>
              <w:spacing w:after="40" w:before="0" w:line="259" w:lineRule="auto"/>
            </w:pPr>
            <w:r>
              <w:rPr>
                <w:rFonts w:ascii="Calibri" w:hAnsi="Calibri"/>
                <w:b/>
                <w:i w:val="0"/>
                <w:color w:val="212121"/>
                <w:sz w:val="19"/>
              </w:rPr>
              <w:t>Up to ~24% of Indian fibroid patients</w:t>
            </w:r>
          </w:p>
        </w:tc>
      </w:tr>
      <w:tr>
        <w:trPr>
          <w:cantSplit/>
        </w:trPr>
        <w:tc>
          <w:tcPr>
            <w:tcW w:type="dxa" w:w="2232"/>
            <w:vAlign w:val="top"/>
          </w:tcPr>
          <w:p>
            <w:pPr>
              <w:spacing w:after="40" w:before="0" w:line="259" w:lineRule="auto"/>
            </w:pPr>
            <w:r>
              <w:rPr>
                <w:rFonts w:ascii="Calibri" w:hAnsi="Calibri"/>
                <w:b/>
                <w:i w:val="0"/>
                <w:color w:val="212121"/>
                <w:sz w:val="19"/>
              </w:rPr>
              <w:t>Endometriosis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Both are estrogen-dependent disorders that frequently coexist and complicate the evaluation of pain, bleeding and infertility.</w:t>
            </w:r>
          </w:p>
          <w:p>
            <w:pPr>
              <w:spacing w:after="40" w:before="0" w:line="259" w:lineRule="auto"/>
            </w:pPr>
            <w:r>
              <w:rPr>
                <w:rFonts w:ascii="Calibri" w:hAnsi="Calibri"/>
                <w:b/>
                <w:i w:val="0"/>
                <w:color w:val="212121"/>
                <w:sz w:val="19"/>
              </w:rPr>
              <w:t>~12-20% concomitance</w:t>
            </w:r>
          </w:p>
        </w:tc>
      </w:tr>
      <w:tr>
        <w:trPr>
          <w:cantSplit/>
        </w:trPr>
        <w:tc>
          <w:tcPr>
            <w:tcW w:type="dxa" w:w="2232"/>
            <w:vAlign w:val="top"/>
          </w:tcPr>
          <w:p>
            <w:pPr>
              <w:spacing w:after="40" w:before="0" w:line="259" w:lineRule="auto"/>
            </w:pPr>
            <w:r>
              <w:rPr>
                <w:rFonts w:ascii="Calibri" w:hAnsi="Calibri"/>
                <w:b/>
                <w:i w:val="0"/>
                <w:color w:val="212121"/>
                <w:sz w:val="19"/>
              </w:rPr>
              <w:t>Adenomyosis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Commonly coexists with fibroids and overlaps clinically and radiologically; its presence alters imaging interpretation and surgical planning.</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Shares smooth-muscle and vascular pathophysiology with fibroids and is associated with higher fibroid risk.</w:t>
            </w:r>
          </w:p>
          <w:p>
            <w:pPr>
              <w:spacing w:after="40" w:before="0" w:line="259" w:lineRule="auto"/>
            </w:pPr>
            <w:r>
              <w:rPr>
                <w:rFonts w:ascii="Calibri" w:hAnsi="Calibri"/>
                <w:b/>
                <w:i w:val="0"/>
                <w:color w:val="212121"/>
                <w:sz w:val="19"/>
              </w:rPr>
              <w:t>Up to ~5-fold increased risk</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Adipose aromatisation raises estrogen and, with insulin resistance, promotes fibroid development and growth.</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Low 25(OH)D removes a natural brake on myometrial proliferation and is near-universal in Indian women, predisposing to fibroids.</w:t>
            </w:r>
          </w:p>
          <w:p>
            <w:pPr>
              <w:spacing w:after="40" w:before="0" w:line="259" w:lineRule="auto"/>
            </w:pPr>
            <w:r>
              <w:rPr>
                <w:rFonts w:ascii="Calibri" w:hAnsi="Calibri"/>
                <w:b/>
                <w:i w:val="0"/>
                <w:color w:val="212121"/>
                <w:sz w:val="19"/>
              </w:rPr>
              <w:t>64% of Indian women &lt; 20 ng/mL</w:t>
            </w:r>
          </w:p>
        </w:tc>
      </w:tr>
      <w:tr>
        <w:trPr>
          <w:cantSplit/>
        </w:trPr>
        <w:tc>
          <w:tcPr>
            <w:tcW w:type="dxa" w:w="2232"/>
            <w:vAlign w:val="top"/>
          </w:tcPr>
          <w:p>
            <w:pPr>
              <w:spacing w:after="40" w:before="0" w:line="259" w:lineRule="auto"/>
            </w:pPr>
            <w:r>
              <w:rPr>
                <w:rFonts w:ascii="Calibri" w:hAnsi="Calibri"/>
                <w:b/>
                <w:i w:val="0"/>
                <w:color w:val="212121"/>
                <w:sz w:val="19"/>
              </w:rPr>
              <w:t>Polycystic ovary syndrome (PCOS)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Shared hyperestrogenic, anovulatory and insulin-resistant milieu links PCOS with fibroid risk and abnormal uterine bleeding.</w:t>
            </w:r>
          </w:p>
        </w:tc>
      </w:tr>
      <w:tr>
        <w:trPr>
          <w:cantSplit/>
        </w:trPr>
        <w:tc>
          <w:tcPr>
            <w:tcW w:type="dxa" w:w="2232"/>
            <w:vAlign w:val="top"/>
          </w:tcPr>
          <w:p>
            <w:pPr>
              <w:spacing w:after="40" w:before="0" w:line="259" w:lineRule="auto"/>
            </w:pPr>
            <w:r>
              <w:rPr>
                <w:rFonts w:ascii="Calibri" w:hAnsi="Calibri"/>
                <w:b/>
                <w:i w:val="0"/>
                <w:color w:val="212121"/>
                <w:sz w:val="19"/>
              </w:rPr>
              <w:t>Endometrial hyperplasia / polyps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Overlapping causes of abnormal uterine bleeding driven by unopposed estrogen; coexistence changes the diagnostic workup of AUB.</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fibroids are common, benign and estrogen-driven, and that many are asymptomatic and simply need monitoring.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symptoms - heavy or prolonged periods, flooding/clots, pelvic pressure, urinary frequency, and fatigue from anaemia - and seek timely gynaecological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periodic pelvic examination and ultrasound, especially with a family history or symptoms, so fibroids and anaemia are detected before they become severe.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fibroids usually shrink after menopause, but that a growing post-menopausal uterine mass needs prompt evaluation.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range of treatment options (watchful waiting, medical therapy, uterine-artery embolisation, myomectomy, hysteroscopic resection, hysterectomy) so decisions are informed and fertility-sparing where wanted.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 family history of fibroids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heavy menstrual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aiming towards ~7 hours/week of total activity, which is linked to markedly lower fibroid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brisk walking, cycling or swimming plus resistance training to reduce body fat and circulating estrogen.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prolonged sitting with regular movement breaks, particularly for office workers and homemakers.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activity to support gradual weight loss in overweight and obese women, targeting central fat.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at high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Office workers and homemakers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red and processed meat, which is associated with substantially higher fibroid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generous daily servings of green vegetables and fruit, which are protective.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through safe sun exposure and, where indicated, supplementation, since deficiency is near-universal in Indian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iron- and folate-rich foods (leafy greens, pulses, jaggery, fortified staples) to counter menstrual iron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whole grains, millets and pulses and limit high-sugar, high-fat processed foods to control weight and estrogen levels.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high red-meat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 D-deficient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menorrhagia/anaemia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iron-deficiency anaemia with iron-rich diet plus prescribed oral or intravenous iron, and recheck haemoglobin/ferritin before any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vitamin D to sufficiency (&gt;= 30 ng/mL) under medical guidance as an adjunct to management.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balanced, produce-rich, weight-reducing diet to limit hormonal drive to fibroid growth.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fibroid-related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 D-deficient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Pre-operative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minimise alcohol, especially beer, which raises estrogen and is linked to a &gt; 50% higher fibroid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risk rises with the number of years and amount of drinking, so earlier reduction helps most.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alcohol/beer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at high risk of fibroids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take up or continue smoking to influence fibroids - any weak anti-estrogenic effect is far outweighed by serious reproductive, cardiovascular and cancer harms.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as stopping smoking benefits fertility, pregnancy and overall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7-9 hour sleep schedule and limit night-shift disruption where possible to support healthy hormone 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heavy-bleeding-related fatigue and anaemia so that sleep and daytime energy improve.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anaemia-related fatigue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and address the anxiety, low mood and reduced quality of life that chronic pain, heavy bleeding and infertility can cause.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counselling, peer support and stress-reduction techniques alongside definitive gynaecological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shared, informed decision-making about fertility-sparing versus definitive surgery to reduce distress.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symptomatic fibroids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facing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considering hysterectomy</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jrcog.org/index.php/ijrcog/article/download/3899/2982/13961" TargetMode="External"/><Relationship Id="rId10" Type="http://schemas.openxmlformats.org/officeDocument/2006/relationships/hyperlink" Target="https://www.ncbi.nlm.nih.gov/books/NBK546680/" TargetMode="External"/><Relationship Id="rId11" Type="http://schemas.openxmlformats.org/officeDocument/2006/relationships/hyperlink" Target="https://www.cdc.gov/nchs/data/hestat/hestat121.htm" TargetMode="External"/><Relationship Id="rId12" Type="http://schemas.openxmlformats.org/officeDocument/2006/relationships/hyperlink" Target="https://www.ijrcog.org/index.php/ijrcog/article/view/5914" TargetMode="External"/><Relationship Id="rId13" Type="http://schemas.openxmlformats.org/officeDocument/2006/relationships/hyperlink" Target="https://nutritionguide.pcrm.org/nutritionguide/view/Nutrition_Guide_for_Clinicians/1342088/all/Uterine_Fibroids" TargetMode="External"/><Relationship Id="rId14" Type="http://schemas.openxmlformats.org/officeDocument/2006/relationships/hyperlink" Target="https://www.nichd.nih.gov/health/topics/uterine/conditioninfo/Pages/people-affected.aspx" TargetMode="External"/><Relationship Id="rId15" Type="http://schemas.openxmlformats.org/officeDocument/2006/relationships/hyperlink" Target="https://link.springer.com/article/10.1186/s12889-024-17789-3" TargetMode="External"/><Relationship Id="rId16" Type="http://schemas.openxmlformats.org/officeDocument/2006/relationships/hyperlink" Target="https://www.ijrcog.org/index.php/ijrcog/article/download/4658/3530/0" TargetMode="External"/><Relationship Id="rId17" Type="http://schemas.openxmlformats.org/officeDocument/2006/relationships/hyperlink" Target="https://www.ogscience.org/journal/view.php?doi=10.5468%2Fogs.2017.60.6.5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