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Ovarian Cysts</w:t>
      </w:r>
    </w:p>
    <w:p>
      <w:pPr>
        <w:spacing w:before="0" w:after="160"/>
      </w:pPr>
      <w:r>
        <w:rPr>
          <w:rFonts w:ascii="Calibri" w:hAnsi="Calibri"/>
          <w:b/>
          <w:i w:val="0"/>
          <w:color w:val="212121"/>
          <w:sz w:val="22"/>
        </w:rPr>
        <w:t xml:space="preserve">AKA </w:t>
      </w:r>
      <w:r>
        <w:rPr>
          <w:rFonts w:ascii="Calibri" w:hAnsi="Calibri"/>
          <w:b w:val="0"/>
          <w:i w:val="0"/>
          <w:color w:val="212121"/>
          <w:sz w:val="22"/>
        </w:rPr>
        <w:t>i.e., Ovarian cyst, Adnexal cyst, Follicular cyst, Corpus luteum cyst, Chocolate cyst (endometrioma), Dermoid cyst, “water bag in the ovary”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Ovarian cysts are fluid-filled or semi-solid sacs that develop within or on the surface of an ovary. The great majority are benign functional cysts (follicular or corpus luteum cysts) that arise from the normal menstrual cycle and resolve spontaneously; a minority are pathological — endometriomas, mature cystic teratomas (dermoids), cystadenomas or, rarely, borderline and malignant tumours. They are extremely common in women of reproductive age and are often asymptomatic, but can cause pelvic pain, menstrual disturbance, subfertility, or acute emergencies such as ovarian torsion, rupture and intracystic haemorrhage.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Ovarian cysts are among the commonest gynaecological findings in Indian women: functional cysts appear on ultrasound in nearly all menstruating women at some point, and up to 18% of postmenopausal women harbour a cyst on transvaginal scanning. In Indian hospital histopathology series, roughly 90–92% of ovarian masses are benign, with simple serous cysts and dermoid cysts the commonest types. Polycystic ovarian morphology / PCOS — the most prevalent ovarian cyst-related disorder — is reported in about 3.7% to 22.5% of Indian women depending on region and diagnostic criteria.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Ovarian cysts are diagnosed by combining clinical assessment with pelvic imaging and, when malignancy or an acute complication is suspected, tumour markers and risk-scoring systems: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Transvaginal (or transabdominal) pelvic ultrasound is the first-line investigation — a benign simple cyst is thin-walled, unilocular, anechoic with no solid component; complex features (thick septa, solid areas, papillary projections, internal vascularity) raise concern;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β-hCG in every reproductive-age woman with an adnexal mass and pain, to exclude ectopic pregnancy and pregnancy-related (corpus luteum / theca-lutein) cysts;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CA-125 interpreted with age and menopausal status — raised in ~85% of epithelial ovarian cancers but only ~50% at stage I, and non-specific premenopausally (elevated by endometriosis, fibroids, PID and menstruation);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risk stratification of an adnexal mass with the IOTA Simple Rules / ADNEX model or the Risk of Malignancy Index (RMI) to separate benign from malignant lesions and guide referral;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colour-Doppler assessment of ovarian blood flow when torsion is suspected (a normal Doppler signal does NOT exclude torsion);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pelvic MRI as a problem-solving tool for sonographically indeterminate masses, and CT for staging when malignancy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Ovarian cysts are broadly classified as functional (physiological) or pathological (non-neoplastic and neoplastic), the latter ranging from benign to malignant:</w:t>
      </w:r>
    </w:p>
    <w:p>
      <w:pPr>
        <w:spacing w:before="0" w:after="80"/>
      </w:pPr>
      <w:r>
        <w:rPr>
          <w:rFonts w:ascii="Calibri" w:hAnsi="Calibri"/>
          <w:b w:val="0"/>
          <w:i w:val="0"/>
          <w:color w:val="212121"/>
          <w:sz w:val="21"/>
        </w:rPr>
        <w:t>(1) Functional (physiological) cysts — follicular cysts (an unruptured dominant follicle &gt;2.5–3 cm), corpus luteum cysts (a persistent, sometimes haemorrhagic, luteinised follicle) and theca-lutein cysts (from high hCG states such as molar/multiple pregnancy or ovulation induction); most resolve within 1–3 menstrual cycles;</w:t>
      </w:r>
    </w:p>
    <w:p>
      <w:pPr>
        <w:spacing w:before="0" w:after="80"/>
      </w:pPr>
      <w:r>
        <w:rPr>
          <w:rFonts w:ascii="Calibri" w:hAnsi="Calibri"/>
          <w:b w:val="0"/>
          <w:i w:val="0"/>
          <w:color w:val="212121"/>
          <w:sz w:val="21"/>
        </w:rPr>
        <w:t>(2) Benign non-neoplastic cysts — endometriomas (“chocolate cysts” formed by ectopic endometrial tissue on the ovary) and polycystic ovarian morphology (multiple small peripheral follicles, the hallmark of PCOS);</w:t>
      </w:r>
    </w:p>
    <w:p>
      <w:pPr>
        <w:spacing w:before="0" w:after="80"/>
      </w:pPr>
      <w:r>
        <w:rPr>
          <w:rFonts w:ascii="Calibri" w:hAnsi="Calibri"/>
          <w:b w:val="0"/>
          <w:i w:val="0"/>
          <w:color w:val="212121"/>
          <w:sz w:val="21"/>
        </w:rPr>
        <w:t>(3) Benign neoplastic cysts — mature cystic teratoma (dermoid, arising from germ cells and accounting for &gt;10% of ovarian neoplasms), serous cystadenoma, mucinous cystadenoma and cystadenofibroma;</w:t>
      </w:r>
    </w:p>
    <w:p>
      <w:pPr>
        <w:spacing w:before="0" w:after="80"/>
      </w:pPr>
      <w:r>
        <w:rPr>
          <w:rFonts w:ascii="Calibri" w:hAnsi="Calibri"/>
          <w:b w:val="0"/>
          <w:i w:val="0"/>
          <w:color w:val="212121"/>
          <w:sz w:val="21"/>
        </w:rPr>
        <w:t>(4) Borderline and malignant tumours — tumours of low malignant potential and epithelial ovarian carcinomas (serous, mucinous, endometrioid, clear cell); the likelihood of malignancy rises with increasing age, cyst complexity and postmenopausal status.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Ovulatory / hormonal cycling: normal gonadotropin-driven follicle development produces functional cysts; anovulation and hypothalamic-pituitary-ovarian (HPO) imbalance predispose to persistent follicular cysts and polycystic ovarian morphology.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Endometriosis: retrograde menstruation and ectopic endometrial implants on the ovary bleed cyclically to form endometriomas (chocolate cysts).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Germ-cell / embryological origin: dermoid cysts (mature cystic teratomas) arise from totipotent germ cells and can contain hair, sebum, teeth and other tissues.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Endocrine disorders: PCOS, hypothyroidism and hyperprolactinaemia disturb the HPO axis and promote anovulation and cyst formation.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Iatrogenic / fertility treatment: ovulation induction (clomiphene, gonadotropins), tamoxifen and high-hCG states cause functional and theca-lutein cysts.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Pregnancy: the corpus luteum of pregnancy and high circulating hCG sustain physiological cysts, mainly in the first trimester.</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Lifestyle / metabolic factors: obesity, insulin resistance and smoking alter oestrogen metabolism and ovulation, modestly influencing functional-cyst and PCOS risk.</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Reproductive-age women (menstruating)</w:t>
            </w:r>
          </w:p>
        </w:tc>
        <w:tc>
          <w:tcPr>
            <w:tcW w:type="dxa" w:w="4276"/>
            <w:vAlign w:val="top"/>
          </w:tcPr>
          <w:p>
            <w:pPr>
              <w:spacing w:after="60" w:line="259" w:lineRule="auto"/>
            </w:pPr>
            <w:r>
              <w:rPr>
                <w:rFonts w:ascii="Calibri" w:hAnsi="Calibri"/>
                <w:b w:val="0"/>
                <w:i w:val="0"/>
                <w:color w:val="212121"/>
                <w:sz w:val="19"/>
              </w:rPr>
              <w:t>Functional cysts are a by-product of ovulation, so risk is highest during the reproductive years; each cycle a dominant follicle or corpus luteum can persist as a cyst instead of regressing.</w:t>
            </w:r>
          </w:p>
          <w:p>
            <w:pPr>
              <w:spacing w:after="40" w:before="60" w:line="259" w:lineRule="auto"/>
            </w:pPr>
            <w:r>
              <w:rPr>
                <w:rFonts w:ascii="Calibri" w:hAnsi="Calibri"/>
                <w:b w:val="0"/>
                <w:i w:val="0"/>
                <w:color w:val="212121"/>
                <w:sz w:val="19"/>
              </w:rPr>
              <w:t>Among asymptomatic women aged 24–40, ovarian cysts are detected in about 7.8% on ultrasound, and ~20% of women develop at least one pelvic mass in their lifetime.</w:t>
            </w:r>
          </w:p>
          <w:p>
            <w:pPr>
              <w:spacing w:after="40" w:line="252" w:lineRule="auto"/>
            </w:pPr>
            <w:hyperlink r:id="rId9">
              <w:r>
                <w:rPr>
                  <w:rFonts w:ascii="Calibri" w:hAnsi="Calibri" w:cs="Calibri"/>
                  <w:sz w:val="18"/>
                  <w:color w:val="1155CC"/>
                  <w:u w:val="single"/>
                </w:rPr>
                <w:t xml:space="preserve">ncbi.nlm.nih.gov — StatPearls: Ovarian Cyst</w:t>
              </w:r>
            </w:hyperlink>
          </w:p>
          <w:p>
            <w:pPr>
              <w:spacing w:before="60" w:after="40"/>
            </w:pPr>
            <w:r>
              <w:rPr>
                <w:rFonts w:ascii="Calibri" w:hAnsi="Calibri"/>
                <w:b w:val="0"/>
                <w:i w:val="0"/>
                <w:color w:val="5A5A5A"/>
                <w:sz w:val="18"/>
              </w:rPr>
              <w:t>#functionalcyst  #ovulation  #reproductiveage  #follicularcyst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women</w:t>
            </w:r>
          </w:p>
        </w:tc>
        <w:tc>
          <w:tcPr>
            <w:tcW w:type="dxa" w:w="4276"/>
            <w:vAlign w:val="top"/>
          </w:tcPr>
          <w:p>
            <w:pPr>
              <w:spacing w:after="60" w:line="259" w:lineRule="auto"/>
            </w:pPr>
            <w:r>
              <w:rPr>
                <w:rFonts w:ascii="Calibri" w:hAnsi="Calibri"/>
                <w:b w:val="0"/>
                <w:i w:val="0"/>
                <w:color w:val="212121"/>
                <w:sz w:val="19"/>
              </w:rPr>
              <w:t>Immature HPO-axis cycling favours functional cysts, while germ-cell (dermoid) tumours cluster in adolescence; most masses in this group are benign.</w:t>
            </w:r>
          </w:p>
          <w:p>
            <w:pPr>
              <w:spacing w:after="40" w:before="60" w:line="259" w:lineRule="auto"/>
            </w:pPr>
            <w:r>
              <w:rPr>
                <w:rFonts w:ascii="Calibri" w:hAnsi="Calibri"/>
                <w:b w:val="0"/>
                <w:i w:val="0"/>
                <w:color w:val="212121"/>
                <w:sz w:val="19"/>
              </w:rPr>
              <w:t>In an Indian adolescent series, 92% of ovarian masses were benign and 17–19 years was the commonest age at presentation (54.4%); simple serous (34.7%) and dermoid (17.8%) cysts predominated.</w:t>
            </w:r>
          </w:p>
          <w:p>
            <w:pPr>
              <w:spacing w:after="40" w:line="252" w:lineRule="auto"/>
            </w:pPr>
            <w:hyperlink r:id="rId10">
              <w:r>
                <w:rPr>
                  <w:rFonts w:ascii="Calibri" w:hAnsi="Calibri" w:cs="Calibri"/>
                  <w:sz w:val="18"/>
                  <w:color w:val="1155CC"/>
                  <w:u w:val="single"/>
                </w:rPr>
                <w:t xml:space="preserve">gynaecologyjournal.com — adolescent ovarian masses (India)</w:t>
              </w:r>
            </w:hyperlink>
          </w:p>
          <w:p>
            <w:pPr>
              <w:spacing w:before="60" w:after="40"/>
            </w:pPr>
            <w:r>
              <w:rPr>
                <w:rFonts w:ascii="Calibri" w:hAnsi="Calibri"/>
                <w:b w:val="0"/>
                <w:i w:val="0"/>
                <w:color w:val="5A5A5A"/>
                <w:sz w:val="18"/>
              </w:rPr>
              <w:t>#adolescent  #dermoid  #germcell  #benign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Postmenopausal women</w:t>
            </w:r>
          </w:p>
        </w:tc>
        <w:tc>
          <w:tcPr>
            <w:tcW w:type="dxa" w:w="4276"/>
            <w:vAlign w:val="top"/>
          </w:tcPr>
          <w:p>
            <w:pPr>
              <w:spacing w:after="60" w:line="259" w:lineRule="auto"/>
            </w:pPr>
            <w:r>
              <w:rPr>
                <w:rFonts w:ascii="Calibri" w:hAnsi="Calibri"/>
                <w:b w:val="0"/>
                <w:i w:val="0"/>
                <w:color w:val="212121"/>
                <w:sz w:val="19"/>
              </w:rPr>
              <w:t>Cysts are less frequent after menopause but carry a higher relative risk of malignancy, so any adnexal cyst warrants careful characterisation and follow-up.</w:t>
            </w:r>
          </w:p>
          <w:p>
            <w:pPr>
              <w:spacing w:after="40" w:before="60" w:line="259" w:lineRule="auto"/>
            </w:pPr>
            <w:r>
              <w:rPr>
                <w:rFonts w:ascii="Calibri" w:hAnsi="Calibri"/>
                <w:b w:val="0"/>
                <w:i w:val="0"/>
                <w:color w:val="212121"/>
                <w:sz w:val="19"/>
              </w:rPr>
              <w:t>Up to 18% of postmenopausal women have a cyst on transvaginal ultrasound; simple unilocular postmenopausal cysts carry only ~0.3% malignancy risk, but complex multilocular masses carry up to ~36%.</w:t>
            </w:r>
          </w:p>
          <w:p>
            <w:pPr>
              <w:spacing w:after="40" w:line="252" w:lineRule="auto"/>
            </w:pPr>
            <w:hyperlink r:id="rId11">
              <w:r>
                <w:rPr>
                  <w:rFonts w:ascii="Calibri" w:hAnsi="Calibri" w:cs="Calibri"/>
                  <w:sz w:val="18"/>
                  <w:color w:val="1155CC"/>
                  <w:u w:val="single"/>
                </w:rPr>
                <w:t xml:space="preserve">emedicine.medscape.com — Ovarian Cysts</w:t>
              </w:r>
            </w:hyperlink>
          </w:p>
          <w:p>
            <w:pPr>
              <w:spacing w:before="60" w:after="40"/>
            </w:pPr>
            <w:r>
              <w:rPr>
                <w:rFonts w:ascii="Calibri" w:hAnsi="Calibri"/>
                <w:b w:val="0"/>
                <w:i w:val="0"/>
                <w:color w:val="5A5A5A"/>
                <w:sz w:val="18"/>
              </w:rPr>
              <w:t>#postmenopausal  #malignancyrisk  #complexcyst  #surveillance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(women &amp; girls)</w:t>
            </w:r>
          </w:p>
        </w:tc>
        <w:tc>
          <w:tcPr>
            <w:tcW w:type="dxa" w:w="4276"/>
            <w:vAlign w:val="top"/>
          </w:tcPr>
          <w:p>
            <w:pPr>
              <w:spacing w:after="60" w:line="259" w:lineRule="auto"/>
            </w:pPr>
            <w:r>
              <w:rPr>
                <w:rFonts w:ascii="Calibri" w:hAnsi="Calibri"/>
                <w:b w:val="0"/>
                <w:i w:val="0"/>
                <w:color w:val="212121"/>
                <w:sz w:val="19"/>
              </w:rPr>
              <w:t>Ovarian cysts occur exclusively in individuals with ovaries; the condition is sex-specific and a leading reason for gynaecological consultation and surgery.</w:t>
            </w:r>
          </w:p>
          <w:p>
            <w:pPr>
              <w:spacing w:after="40" w:before="60" w:line="259" w:lineRule="auto"/>
            </w:pPr>
            <w:r>
              <w:rPr>
                <w:rFonts w:ascii="Calibri" w:hAnsi="Calibri"/>
                <w:b w:val="0"/>
                <w:i w:val="0"/>
                <w:color w:val="212121"/>
                <w:sz w:val="19"/>
              </w:rPr>
              <w:t>About 1 in 5 women develops a pelvic/ovarian mass over her lifetime, and roughly 4% of women are admitted to hospital for an ovarian cyst by age 65.</w:t>
            </w:r>
          </w:p>
          <w:p>
            <w:pPr>
              <w:spacing w:after="40" w:line="252" w:lineRule="auto"/>
            </w:pPr>
            <w:hyperlink r:id="rId9">
              <w:r>
                <w:rPr>
                  <w:rFonts w:ascii="Calibri" w:hAnsi="Calibri" w:cs="Calibri"/>
                  <w:sz w:val="18"/>
                  <w:color w:val="1155CC"/>
                  <w:u w:val="single"/>
                </w:rPr>
                <w:t xml:space="preserve">ncbi.nlm.nih.gov — StatPearls: Ovarian Cyst</w:t>
              </w:r>
            </w:hyperlink>
          </w:p>
          <w:p>
            <w:pPr>
              <w:spacing w:before="60" w:after="40"/>
            </w:pPr>
            <w:r>
              <w:rPr>
                <w:rFonts w:ascii="Calibri" w:hAnsi="Calibri"/>
                <w:b w:val="0"/>
                <w:i w:val="0"/>
                <w:color w:val="5A5A5A"/>
                <w:sz w:val="18"/>
              </w:rPr>
              <w:t>#womenshealth  #adnexalmass  #gynaecology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women with obesogenic lifestyles</w:t>
            </w:r>
          </w:p>
        </w:tc>
        <w:tc>
          <w:tcPr>
            <w:tcW w:type="dxa" w:w="4276"/>
            <w:vAlign w:val="top"/>
          </w:tcPr>
          <w:p>
            <w:pPr>
              <w:spacing w:after="60" w:line="259" w:lineRule="auto"/>
            </w:pPr>
            <w:r>
              <w:rPr>
                <w:rFonts w:ascii="Calibri" w:hAnsi="Calibri"/>
                <w:b w:val="0"/>
                <w:i w:val="0"/>
                <w:color w:val="212121"/>
                <w:sz w:val="19"/>
              </w:rPr>
              <w:t>Urbanisation brings sedentary work, energy-dense diets and stress that drive insulin resistance and anovulation, increasing PCOS-related polycystic morphology.</w:t>
            </w:r>
          </w:p>
          <w:p>
            <w:pPr>
              <w:spacing w:after="40" w:before="60" w:line="259" w:lineRule="auto"/>
            </w:pPr>
            <w:r>
              <w:rPr>
                <w:rFonts w:ascii="Calibri" w:hAnsi="Calibri"/>
                <w:b w:val="0"/>
                <w:i w:val="0"/>
                <w:color w:val="212121"/>
                <w:sz w:val="19"/>
              </w:rPr>
              <w:t>In a Northeast India PCOS study, 61% of affected urban women reported poor dietary habits and only ~21% exercised regularly.</w:t>
            </w:r>
          </w:p>
          <w:p>
            <w:pPr>
              <w:spacing w:after="40" w:line="252" w:lineRule="auto"/>
            </w:pPr>
            <w:hyperlink r:id="rId12">
              <w:r>
                <w:rPr>
                  <w:rFonts w:ascii="Calibri" w:hAnsi="Calibri" w:cs="Calibri"/>
                  <w:sz w:val="18"/>
                  <w:color w:val="1155CC"/>
                  <w:u w:val="single"/>
                </w:rPr>
                <w:t xml:space="preserve">pmc.ncbi.nlm.nih.gov — PCOS Northeast India</w:t>
              </w:r>
            </w:hyperlink>
          </w:p>
          <w:p>
            <w:pPr>
              <w:spacing w:before="60" w:after="40"/>
            </w:pPr>
            <w:r>
              <w:rPr>
                <w:rFonts w:ascii="Calibri" w:hAnsi="Calibri"/>
                <w:b w:val="0"/>
                <w:i w:val="0"/>
                <w:color w:val="5A5A5A"/>
                <w:sz w:val="18"/>
              </w:rPr>
              <w:t>#urbanlifestyle  #PCOS  #insulinresistance  #sedentary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(South Asian) women</w:t>
            </w:r>
          </w:p>
        </w:tc>
        <w:tc>
          <w:tcPr>
            <w:tcW w:type="dxa" w:w="4276"/>
            <w:vAlign w:val="top"/>
          </w:tcPr>
          <w:p>
            <w:pPr>
              <w:spacing w:after="60" w:line="259" w:lineRule="auto"/>
            </w:pPr>
            <w:r>
              <w:rPr>
                <w:rFonts w:ascii="Calibri" w:hAnsi="Calibri"/>
                <w:b w:val="0"/>
                <w:i w:val="0"/>
                <w:color w:val="212121"/>
                <w:sz w:val="19"/>
              </w:rPr>
              <w:t>South Asian women have a high burden of PCOS and insulin resistance, predisposing to polycystic ovarian morphology and recurrent functional cysts.</w:t>
            </w:r>
          </w:p>
          <w:p>
            <w:pPr>
              <w:spacing w:after="40" w:before="60" w:line="259" w:lineRule="auto"/>
            </w:pPr>
            <w:r>
              <w:rPr>
                <w:rFonts w:ascii="Calibri" w:hAnsi="Calibri"/>
                <w:b w:val="0"/>
                <w:i w:val="0"/>
                <w:color w:val="212121"/>
                <w:sz w:val="19"/>
              </w:rPr>
              <w:t>PCOS prevalence in India ranges from 3.7% to 22.5% depending on criteria — e.g., 22.5% in a Mumbai community study (Rotterdam) versus 6% in a Chennai community study.</w:t>
            </w:r>
          </w:p>
          <w:p>
            <w:pPr>
              <w:spacing w:after="40" w:line="252" w:lineRule="auto"/>
            </w:pPr>
            <w:hyperlink r:id="rId13">
              <w:r>
                <w:rPr>
                  <w:rFonts w:ascii="Calibri" w:hAnsi="Calibri" w:cs="Calibri"/>
                  <w:sz w:val="18"/>
                  <w:color w:val="1155CC"/>
                  <w:u w:val="single"/>
                </w:rPr>
                <w:t xml:space="preserve">ijmr.org.in — PCOS in India (IJMR review)</w:t>
              </w:r>
            </w:hyperlink>
          </w:p>
          <w:p>
            <w:pPr>
              <w:spacing w:before="60" w:after="40"/>
            </w:pPr>
            <w:r>
              <w:rPr>
                <w:rFonts w:ascii="Calibri" w:hAnsi="Calibri"/>
                <w:b w:val="0"/>
                <w:i w:val="0"/>
                <w:color w:val="5A5A5A"/>
                <w:sz w:val="18"/>
              </w:rPr>
              <w:t>#SouthAsian  #PCOS  #insulinresistance  #Indiafirst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Northeast Indian women</w:t>
            </w:r>
          </w:p>
        </w:tc>
        <w:tc>
          <w:tcPr>
            <w:tcW w:type="dxa" w:w="4276"/>
            <w:vAlign w:val="top"/>
          </w:tcPr>
          <w:p>
            <w:pPr>
              <w:spacing w:after="60" w:line="259" w:lineRule="auto"/>
            </w:pPr>
            <w:r>
              <w:rPr>
                <w:rFonts w:ascii="Calibri" w:hAnsi="Calibri"/>
                <w:b w:val="0"/>
                <w:i w:val="0"/>
                <w:color w:val="212121"/>
                <w:sz w:val="19"/>
              </w:rPr>
              <w:t>Regional dietary transition, high central adiposity and strong familial clustering raise PCOS and polycystic morphology in parts of Northeast India.</w:t>
            </w:r>
          </w:p>
          <w:p>
            <w:pPr>
              <w:spacing w:after="40" w:before="60" w:line="259" w:lineRule="auto"/>
            </w:pPr>
            <w:r>
              <w:rPr>
                <w:rFonts w:ascii="Calibri" w:hAnsi="Calibri"/>
                <w:b w:val="0"/>
                <w:i w:val="0"/>
                <w:color w:val="212121"/>
                <w:sz w:val="19"/>
              </w:rPr>
              <w:t>Community screening in Northeast India found a PCOS prevalence of 9.18%, with a waist–hip ratio &gt;0.85 in 86.7% and a family history of PCOS in 56.6% of cases.</w:t>
            </w:r>
          </w:p>
          <w:p>
            <w:pPr>
              <w:spacing w:after="40" w:line="252" w:lineRule="auto"/>
            </w:pPr>
            <w:hyperlink r:id="rId12">
              <w:r>
                <w:rPr>
                  <w:rFonts w:ascii="Calibri" w:hAnsi="Calibri" w:cs="Calibri"/>
                  <w:sz w:val="18"/>
                  <w:color w:val="1155CC"/>
                  <w:u w:val="single"/>
                </w:rPr>
                <w:t xml:space="preserve">pmc.ncbi.nlm.nih.gov — PCOS Northeast India</w:t>
              </w:r>
            </w:hyperlink>
          </w:p>
          <w:p>
            <w:pPr>
              <w:spacing w:before="60" w:after="40"/>
            </w:pPr>
            <w:r>
              <w:rPr>
                <w:rFonts w:ascii="Calibri" w:hAnsi="Calibri"/>
                <w:b w:val="0"/>
                <w:i w:val="0"/>
                <w:color w:val="5A5A5A"/>
                <w:sz w:val="18"/>
              </w:rPr>
              <w:t>#northeastindia  #centraladiposity  #familyhistory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 desk-bound women</w:t>
            </w:r>
          </w:p>
        </w:tc>
        <w:tc>
          <w:tcPr>
            <w:tcW w:type="dxa" w:w="4276"/>
            <w:vAlign w:val="top"/>
          </w:tcPr>
          <w:p>
            <w:pPr>
              <w:spacing w:after="60" w:line="259" w:lineRule="auto"/>
            </w:pPr>
            <w:r>
              <w:rPr>
                <w:rFonts w:ascii="Calibri" w:hAnsi="Calibri"/>
                <w:b w:val="0"/>
                <w:i w:val="0"/>
                <w:color w:val="212121"/>
                <w:sz w:val="19"/>
              </w:rPr>
              <w:t>Physical inactivity worsens insulin resistance and hyperinsulinaemia, which amplify ovarian androgen production and anovulation, promoting polycystic morphology.</w:t>
            </w:r>
          </w:p>
          <w:p>
            <w:pPr>
              <w:spacing w:after="40" w:before="60" w:line="259" w:lineRule="auto"/>
            </w:pPr>
            <w:r>
              <w:rPr>
                <w:rFonts w:ascii="Calibri" w:hAnsi="Calibri"/>
                <w:b w:val="0"/>
                <w:i w:val="0"/>
                <w:color w:val="212121"/>
                <w:sz w:val="19"/>
              </w:rPr>
              <w:t>Only ~21% of women in a Northeast India PCOS cohort exercised regularly, versus much higher rates of sedentary behaviour among affected women.</w:t>
            </w:r>
          </w:p>
          <w:p>
            <w:pPr>
              <w:spacing w:after="40" w:line="252" w:lineRule="auto"/>
            </w:pPr>
            <w:hyperlink r:id="rId12">
              <w:r>
                <w:rPr>
                  <w:rFonts w:ascii="Calibri" w:hAnsi="Calibri" w:cs="Calibri"/>
                  <w:sz w:val="18"/>
                  <w:color w:val="1155CC"/>
                  <w:u w:val="single"/>
                </w:rPr>
                <w:t xml:space="preserve">pmc.ncbi.nlm.nih.gov — PCOS Northeast India</w:t>
              </w:r>
            </w:hyperlink>
          </w:p>
          <w:p>
            <w:pPr>
              <w:spacing w:before="60" w:after="40"/>
            </w:pPr>
            <w:r>
              <w:rPr>
                <w:rFonts w:ascii="Calibri" w:hAnsi="Calibri"/>
                <w:b w:val="0"/>
                <w:i w:val="0"/>
                <w:color w:val="5A5A5A"/>
                <w:sz w:val="18"/>
              </w:rPr>
              <w:t>#sedentary  #insulinresistance  #anovulation  #lowactivity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Women who smoke</w:t>
            </w:r>
          </w:p>
        </w:tc>
        <w:tc>
          <w:tcPr>
            <w:tcW w:type="dxa" w:w="4276"/>
            <w:vAlign w:val="top"/>
          </w:tcPr>
          <w:p>
            <w:pPr>
              <w:spacing w:after="60" w:line="259" w:lineRule="auto"/>
            </w:pPr>
            <w:r>
              <w:rPr>
                <w:rFonts w:ascii="Calibri" w:hAnsi="Calibri"/>
                <w:b w:val="0"/>
                <w:i w:val="0"/>
                <w:color w:val="212121"/>
                <w:sz w:val="19"/>
              </w:rPr>
              <w:t>Tobacco alters oestrogen metabolism and gonadotropin dynamics; smoking is a recognised risk factor for functional ovarian cysts.</w:t>
            </w:r>
          </w:p>
          <w:p>
            <w:pPr>
              <w:spacing w:after="40" w:before="60" w:line="259" w:lineRule="auto"/>
            </w:pPr>
            <w:r>
              <w:rPr>
                <w:rFonts w:ascii="Calibri" w:hAnsi="Calibri"/>
                <w:b w:val="0"/>
                <w:i w:val="0"/>
                <w:color w:val="212121"/>
                <w:sz w:val="19"/>
              </w:rPr>
              <w:t>Cigarette smoking is listed among the established risk factors for functional ovarian cyst formation.</w:t>
            </w:r>
          </w:p>
          <w:p>
            <w:pPr>
              <w:spacing w:after="40" w:line="252" w:lineRule="auto"/>
            </w:pPr>
            <w:hyperlink r:id="rId9">
              <w:r>
                <w:rPr>
                  <w:rFonts w:ascii="Calibri" w:hAnsi="Calibri" w:cs="Calibri"/>
                  <w:sz w:val="18"/>
                  <w:color w:val="1155CC"/>
                  <w:u w:val="single"/>
                </w:rPr>
                <w:t xml:space="preserve">ncbi.nlm.nih.gov — StatPearls: Ovarian Cyst</w:t>
              </w:r>
            </w:hyperlink>
          </w:p>
          <w:p>
            <w:pPr>
              <w:spacing w:before="60" w:after="40"/>
            </w:pPr>
            <w:r>
              <w:rPr>
                <w:rFonts w:ascii="Calibri" w:hAnsi="Calibri"/>
                <w:b w:val="0"/>
                <w:i w:val="0"/>
                <w:color w:val="5A5A5A"/>
                <w:sz w:val="18"/>
              </w:rPr>
              <w:t>#smoking  #oestrogen  #functionalcyst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Fertility treatment / medication</w:t>
            </w:r>
          </w:p>
        </w:tc>
        <w:tc>
          <w:tcPr>
            <w:tcW w:type="dxa" w:w="2160"/>
            <w:vAlign w:val="top"/>
          </w:tcPr>
          <w:p>
            <w:pPr>
              <w:spacing w:after="40" w:before="0" w:line="259" w:lineRule="auto"/>
            </w:pPr>
            <w:r>
              <w:rPr>
                <w:rFonts w:ascii="Calibri" w:hAnsi="Calibri"/>
                <w:b w:val="0"/>
                <w:i w:val="0"/>
                <w:color w:val="212121"/>
                <w:sz w:val="19"/>
              </w:rPr>
              <w:t>Women on ovulation induction or tamoxifen</w:t>
            </w:r>
          </w:p>
        </w:tc>
        <w:tc>
          <w:tcPr>
            <w:tcW w:type="dxa" w:w="4276"/>
            <w:vAlign w:val="top"/>
          </w:tcPr>
          <w:p>
            <w:pPr>
              <w:spacing w:after="60" w:line="259" w:lineRule="auto"/>
            </w:pPr>
            <w:r>
              <w:rPr>
                <w:rFonts w:ascii="Calibri" w:hAnsi="Calibri"/>
                <w:b w:val="0"/>
                <w:i w:val="0"/>
                <w:color w:val="212121"/>
                <w:sz w:val="19"/>
              </w:rPr>
              <w:t>Ovulation-induction agents and high-hCG states over-stimulate follicles and theca cells, while tamoxifen has an oestrogenic ovarian effect, generating functional and theca-lutein cysts.</w:t>
            </w:r>
          </w:p>
          <w:p>
            <w:pPr>
              <w:spacing w:after="40" w:before="60" w:line="259" w:lineRule="auto"/>
            </w:pPr>
            <w:r>
              <w:rPr>
                <w:rFonts w:ascii="Calibri" w:hAnsi="Calibri"/>
                <w:b w:val="0"/>
                <w:i w:val="0"/>
                <w:color w:val="212121"/>
                <w:sz w:val="19"/>
              </w:rPr>
              <w:t>Ovulation induction, tamoxifen therapy and pregnancy (peak hCG in the second trimester) are recognised iatrogenic/physiological triggers of functional cysts.</w:t>
            </w:r>
          </w:p>
          <w:p>
            <w:pPr>
              <w:spacing w:after="40" w:line="252" w:lineRule="auto"/>
            </w:pPr>
            <w:hyperlink r:id="rId9">
              <w:r>
                <w:rPr>
                  <w:rFonts w:ascii="Calibri" w:hAnsi="Calibri" w:cs="Calibri"/>
                  <w:sz w:val="18"/>
                  <w:color w:val="1155CC"/>
                  <w:u w:val="single"/>
                </w:rPr>
                <w:t xml:space="preserve">ncbi.nlm.nih.gov — StatPearls: Ovarian Cyst</w:t>
              </w:r>
            </w:hyperlink>
          </w:p>
          <w:p>
            <w:pPr>
              <w:spacing w:before="60" w:after="40"/>
            </w:pPr>
            <w:r>
              <w:rPr>
                <w:rFonts w:ascii="Calibri" w:hAnsi="Calibri"/>
                <w:b w:val="0"/>
                <w:i w:val="0"/>
                <w:color w:val="5A5A5A"/>
                <w:sz w:val="18"/>
              </w:rPr>
              <w:t>#ovulationinduction  #tamoxifen  #thecalutein  #iatrogenic</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High-glycaemic / energy-dense diet, overweight women</w:t>
            </w:r>
          </w:p>
        </w:tc>
        <w:tc>
          <w:tcPr>
            <w:tcW w:type="dxa" w:w="4276"/>
            <w:vAlign w:val="top"/>
          </w:tcPr>
          <w:p>
            <w:pPr>
              <w:spacing w:after="60" w:line="259" w:lineRule="auto"/>
            </w:pPr>
            <w:r>
              <w:rPr>
                <w:rFonts w:ascii="Calibri" w:hAnsi="Calibri"/>
                <w:b w:val="0"/>
                <w:i w:val="0"/>
                <w:color w:val="212121"/>
                <w:sz w:val="19"/>
              </w:rPr>
              <w:t>Refined-carbohydrate, high-glycaemic diets promote hyperinsulinaemia and central obesity, which stimulate ovarian androgen output and disturb folliculogenesis.</w:t>
            </w:r>
          </w:p>
          <w:p>
            <w:pPr>
              <w:spacing w:after="40" w:before="60" w:line="259" w:lineRule="auto"/>
            </w:pPr>
            <w:r>
              <w:rPr>
                <w:rFonts w:ascii="Calibri" w:hAnsi="Calibri"/>
                <w:b w:val="0"/>
                <w:i w:val="0"/>
                <w:color w:val="212121"/>
                <w:sz w:val="19"/>
              </w:rPr>
              <w:t>In a Northeast India PCOS cohort, 30.2% of affected women were overweight and mean waist circumference was higher (85.5 vs 79.3 cm) than in controls.</w:t>
            </w:r>
          </w:p>
          <w:p>
            <w:pPr>
              <w:spacing w:after="40" w:line="252" w:lineRule="auto"/>
            </w:pPr>
            <w:hyperlink r:id="rId12">
              <w:r>
                <w:rPr>
                  <w:rFonts w:ascii="Calibri" w:hAnsi="Calibri" w:cs="Calibri"/>
                  <w:sz w:val="18"/>
                  <w:color w:val="1155CC"/>
                  <w:u w:val="single"/>
                </w:rPr>
                <w:t xml:space="preserve">pmc.ncbi.nlm.nih.gov — PCOS Northeast India</w:t>
              </w:r>
            </w:hyperlink>
          </w:p>
          <w:p>
            <w:pPr>
              <w:spacing w:before="60" w:after="40"/>
            </w:pPr>
            <w:r>
              <w:rPr>
                <w:rFonts w:ascii="Calibri" w:hAnsi="Calibri"/>
                <w:b w:val="0"/>
                <w:i w:val="0"/>
                <w:color w:val="5A5A5A"/>
                <w:sz w:val="18"/>
              </w:rPr>
              <w:t>#highGI  #centraladiposity  #hyperinsulinaemia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PCOS or endometriosis</w:t>
            </w:r>
          </w:p>
        </w:tc>
        <w:tc>
          <w:tcPr>
            <w:tcW w:type="dxa" w:w="4276"/>
            <w:vAlign w:val="top"/>
          </w:tcPr>
          <w:p>
            <w:pPr>
              <w:spacing w:after="60" w:line="259" w:lineRule="auto"/>
            </w:pPr>
            <w:r>
              <w:rPr>
                <w:rFonts w:ascii="Calibri" w:hAnsi="Calibri"/>
                <w:b w:val="0"/>
                <w:i w:val="0"/>
                <w:color w:val="212121"/>
                <w:sz w:val="19"/>
              </w:rPr>
              <w:t>PCOS and endometriosis both show strong heritability, so a family history raises a woman's risk of polycystic morphology and endometriomas.</w:t>
            </w:r>
          </w:p>
          <w:p>
            <w:pPr>
              <w:spacing w:after="40" w:before="60" w:line="259" w:lineRule="auto"/>
            </w:pPr>
            <w:r>
              <w:rPr>
                <w:rFonts w:ascii="Calibri" w:hAnsi="Calibri"/>
                <w:b w:val="0"/>
                <w:i w:val="0"/>
                <w:color w:val="212121"/>
                <w:sz w:val="19"/>
              </w:rPr>
              <w:t>A family history of PCOS was present in 56.6% of cases in a Northeast India study.</w:t>
            </w:r>
          </w:p>
          <w:p>
            <w:pPr>
              <w:spacing w:after="40" w:line="252" w:lineRule="auto"/>
            </w:pPr>
            <w:hyperlink r:id="rId12">
              <w:r>
                <w:rPr>
                  <w:rFonts w:ascii="Calibri" w:hAnsi="Calibri" w:cs="Calibri"/>
                  <w:sz w:val="18"/>
                  <w:color w:val="1155CC"/>
                  <w:u w:val="single"/>
                </w:rPr>
                <w:t xml:space="preserve">pmc.ncbi.nlm.nih.gov — PCOS Northeast India</w:t>
              </w:r>
            </w:hyperlink>
          </w:p>
          <w:p>
            <w:pPr>
              <w:spacing w:before="60" w:after="40"/>
            </w:pPr>
            <w:r>
              <w:rPr>
                <w:rFonts w:ascii="Calibri" w:hAnsi="Calibri"/>
                <w:b w:val="0"/>
                <w:i w:val="0"/>
                <w:color w:val="5A5A5A"/>
                <w:sz w:val="18"/>
              </w:rPr>
              <w:t>#familyhistory  #heritability  #PCOS  #endometriosis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Germ-cell origin</w:t>
            </w:r>
          </w:p>
        </w:tc>
        <w:tc>
          <w:tcPr>
            <w:tcW w:type="dxa" w:w="2160"/>
            <w:vAlign w:val="top"/>
          </w:tcPr>
          <w:p>
            <w:pPr>
              <w:spacing w:after="40" w:before="0" w:line="259" w:lineRule="auto"/>
            </w:pPr>
            <w:r>
              <w:rPr>
                <w:rFonts w:ascii="Calibri" w:hAnsi="Calibri"/>
                <w:b w:val="0"/>
                <w:i w:val="0"/>
                <w:color w:val="212121"/>
                <w:sz w:val="19"/>
              </w:rPr>
              <w:t>Young women with dermoid (teratoma) predisposition</w:t>
            </w:r>
          </w:p>
        </w:tc>
        <w:tc>
          <w:tcPr>
            <w:tcW w:type="dxa" w:w="4276"/>
            <w:vAlign w:val="top"/>
          </w:tcPr>
          <w:p>
            <w:pPr>
              <w:spacing w:after="60" w:line="259" w:lineRule="auto"/>
            </w:pPr>
            <w:r>
              <w:rPr>
                <w:rFonts w:ascii="Calibri" w:hAnsi="Calibri"/>
                <w:b w:val="0"/>
                <w:i w:val="0"/>
                <w:color w:val="212121"/>
                <w:sz w:val="19"/>
              </w:rPr>
              <w:t>Mature cystic teratomas arise from totipotent germ cells and are the commonest ovarian germ-cell tumour, typically presenting in younger women.</w:t>
            </w:r>
          </w:p>
          <w:p>
            <w:pPr>
              <w:spacing w:after="40" w:before="60" w:line="259" w:lineRule="auto"/>
            </w:pPr>
            <w:r>
              <w:rPr>
                <w:rFonts w:ascii="Calibri" w:hAnsi="Calibri"/>
                <w:b w:val="0"/>
                <w:i w:val="0"/>
                <w:color w:val="212121"/>
                <w:sz w:val="19"/>
              </w:rPr>
              <w:t>Mature cystic teratomas (dermoids) account for more than 10% of all ovarian neoplasms and are most common before age 30.</w:t>
            </w:r>
          </w:p>
          <w:p>
            <w:pPr>
              <w:spacing w:after="40" w:line="252" w:lineRule="auto"/>
            </w:pPr>
            <w:hyperlink r:id="rId11">
              <w:r>
                <w:rPr>
                  <w:rFonts w:ascii="Calibri" w:hAnsi="Calibri" w:cs="Calibri"/>
                  <w:sz w:val="18"/>
                  <w:color w:val="1155CC"/>
                  <w:u w:val="single"/>
                </w:rPr>
                <w:t xml:space="preserve">emedicine.medscape.com — Ovarian Cysts</w:t>
              </w:r>
            </w:hyperlink>
          </w:p>
          <w:p>
            <w:pPr>
              <w:spacing w:before="60" w:after="40"/>
            </w:pPr>
            <w:r>
              <w:rPr>
                <w:rFonts w:ascii="Calibri" w:hAnsi="Calibri"/>
                <w:b w:val="0"/>
                <w:i w:val="0"/>
                <w:color w:val="5A5A5A"/>
                <w:sz w:val="18"/>
              </w:rPr>
              <w:t>#dermoid  #teratoma  #germcell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Endometriosis</w:t>
            </w:r>
          </w:p>
        </w:tc>
        <w:tc>
          <w:tcPr>
            <w:tcW w:type="dxa" w:w="2160"/>
            <w:vAlign w:val="top"/>
          </w:tcPr>
          <w:p>
            <w:pPr>
              <w:spacing w:after="40" w:before="0" w:line="259" w:lineRule="auto"/>
            </w:pPr>
            <w:r>
              <w:rPr>
                <w:rFonts w:ascii="Calibri" w:hAnsi="Calibri"/>
                <w:b w:val="0"/>
                <w:i w:val="0"/>
                <w:color w:val="212121"/>
                <w:sz w:val="19"/>
              </w:rPr>
              <w:t>Women with endometriosis</w:t>
            </w:r>
          </w:p>
        </w:tc>
        <w:tc>
          <w:tcPr>
            <w:tcW w:type="dxa" w:w="4276"/>
            <w:vAlign w:val="top"/>
          </w:tcPr>
          <w:p>
            <w:pPr>
              <w:spacing w:after="60" w:line="259" w:lineRule="auto"/>
            </w:pPr>
            <w:r>
              <w:rPr>
                <w:rFonts w:ascii="Calibri" w:hAnsi="Calibri"/>
                <w:b w:val="0"/>
                <w:i w:val="0"/>
                <w:color w:val="212121"/>
                <w:sz w:val="19"/>
              </w:rPr>
              <w:t>Ectopic endometrial tissue implants on the ovary and bleeds cyclically to form endometriomas, which can impair ovarian reserve and fertility.</w:t>
            </w:r>
          </w:p>
          <w:p>
            <w:pPr>
              <w:spacing w:after="40" w:before="60" w:line="259" w:lineRule="auto"/>
            </w:pPr>
            <w:r>
              <w:rPr>
                <w:rFonts w:ascii="Calibri" w:hAnsi="Calibri"/>
                <w:b w:val="0"/>
                <w:i w:val="0"/>
                <w:color w:val="212121"/>
                <w:sz w:val="19"/>
              </w:rPr>
              <w:t>Between 17% and 44% of women with endometriosis develop an endometrioma, and about 28% have bilateral endometriomas.</w:t>
            </w:r>
          </w:p>
          <w:p>
            <w:pPr>
              <w:spacing w:after="40" w:line="252" w:lineRule="auto"/>
            </w:pPr>
            <w:hyperlink r:id="rId14">
              <w:r>
                <w:rPr>
                  <w:rFonts w:ascii="Calibri" w:hAnsi="Calibri" w:cs="Calibri"/>
                  <w:sz w:val="18"/>
                  <w:color w:val="1155CC"/>
                  <w:u w:val="single"/>
                </w:rPr>
                <w:t xml:space="preserve">ncbi.nlm.nih.gov — StatPearls: Endometrioma</w:t>
              </w:r>
            </w:hyperlink>
          </w:p>
          <w:p>
            <w:pPr>
              <w:spacing w:before="60" w:after="40"/>
            </w:pPr>
            <w:r>
              <w:rPr>
                <w:rFonts w:ascii="Calibri" w:hAnsi="Calibri"/>
                <w:b w:val="0"/>
                <w:i w:val="0"/>
                <w:color w:val="5A5A5A"/>
                <w:sz w:val="18"/>
              </w:rPr>
              <w:t>#endometrioma  #chocolatecyst  #endometriosis  #ovarianreserve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Polycystic ovary syndrome (PCOS)</w:t>
            </w:r>
          </w:p>
        </w:tc>
        <w:tc>
          <w:tcPr>
            <w:tcW w:type="dxa" w:w="2160"/>
            <w:vAlign w:val="top"/>
          </w:tcPr>
          <w:p>
            <w:pPr>
              <w:spacing w:after="40" w:before="0" w:line="259" w:lineRule="auto"/>
            </w:pPr>
            <w:r>
              <w:rPr>
                <w:rFonts w:ascii="Calibri" w:hAnsi="Calibri"/>
                <w:b w:val="0"/>
                <w:i w:val="0"/>
                <w:color w:val="212121"/>
                <w:sz w:val="19"/>
              </w:rPr>
              <w:t>Women with PCOS</w:t>
            </w:r>
          </w:p>
        </w:tc>
        <w:tc>
          <w:tcPr>
            <w:tcW w:type="dxa" w:w="4276"/>
            <w:vAlign w:val="top"/>
          </w:tcPr>
          <w:p>
            <w:pPr>
              <w:spacing w:after="60" w:line="259" w:lineRule="auto"/>
            </w:pPr>
            <w:r>
              <w:rPr>
                <w:rFonts w:ascii="Calibri" w:hAnsi="Calibri"/>
                <w:b w:val="0"/>
                <w:i w:val="0"/>
                <w:color w:val="212121"/>
                <w:sz w:val="19"/>
              </w:rPr>
              <w:t>PCOS is defined in part by polycystic ovarian morphology — numerous small peripheral follicles — and is accompanied by insulin resistance and hyperandrogenism.</w:t>
            </w:r>
          </w:p>
          <w:p>
            <w:pPr>
              <w:spacing w:after="40" w:before="60" w:line="259" w:lineRule="auto"/>
            </w:pPr>
            <w:r>
              <w:rPr>
                <w:rFonts w:ascii="Calibri" w:hAnsi="Calibri"/>
                <w:b w:val="0"/>
                <w:i w:val="0"/>
                <w:color w:val="212121"/>
                <w:sz w:val="19"/>
              </w:rPr>
              <w:t>PCOS affects roughly 3.7–22.5% of Indian women, making it the commonest cyst-related ovarian disorder in the reproductive-age population.</w:t>
            </w:r>
          </w:p>
          <w:p>
            <w:pPr>
              <w:spacing w:after="40" w:line="252" w:lineRule="auto"/>
            </w:pPr>
            <w:hyperlink r:id="rId13">
              <w:r>
                <w:rPr>
                  <w:rFonts w:ascii="Calibri" w:hAnsi="Calibri" w:cs="Calibri"/>
                  <w:sz w:val="18"/>
                  <w:color w:val="1155CC"/>
                  <w:u w:val="single"/>
                </w:rPr>
                <w:t xml:space="preserve">ijmr.org.in — PCOS in India (IJMR review)</w:t>
              </w:r>
            </w:hyperlink>
          </w:p>
          <w:p>
            <w:pPr>
              <w:spacing w:before="60" w:after="40"/>
            </w:pPr>
            <w:r>
              <w:rPr>
                <w:rFonts w:ascii="Calibri" w:hAnsi="Calibri"/>
                <w:b w:val="0"/>
                <w:i w:val="0"/>
                <w:color w:val="5A5A5A"/>
                <w:sz w:val="18"/>
              </w:rPr>
              <w:t>#PCOS  #polycysticmorphology  #hyperandrogenism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Subfertility / infertility</w:t>
            </w:r>
          </w:p>
        </w:tc>
        <w:tc>
          <w:tcPr>
            <w:tcW w:type="dxa" w:w="2160"/>
            <w:vAlign w:val="top"/>
          </w:tcPr>
          <w:p>
            <w:pPr>
              <w:spacing w:after="40" w:before="0" w:line="259" w:lineRule="auto"/>
            </w:pPr>
            <w:r>
              <w:rPr>
                <w:rFonts w:ascii="Calibri" w:hAnsi="Calibri"/>
                <w:b w:val="0"/>
                <w:i w:val="0"/>
                <w:color w:val="212121"/>
                <w:sz w:val="19"/>
              </w:rPr>
              <w:t>Women being investigated for infertility</w:t>
            </w:r>
          </w:p>
        </w:tc>
        <w:tc>
          <w:tcPr>
            <w:tcW w:type="dxa" w:w="4276"/>
            <w:vAlign w:val="top"/>
          </w:tcPr>
          <w:p>
            <w:pPr>
              <w:spacing w:after="60" w:line="259" w:lineRule="auto"/>
            </w:pPr>
            <w:r>
              <w:rPr>
                <w:rFonts w:ascii="Calibri" w:hAnsi="Calibri"/>
                <w:b w:val="0"/>
                <w:i w:val="0"/>
                <w:color w:val="212121"/>
                <w:sz w:val="19"/>
              </w:rPr>
              <w:t>Endometriomas and polycystic ovaries are frequently uncovered during infertility work-up and both can directly impair conception.</w:t>
            </w:r>
          </w:p>
          <w:p>
            <w:pPr>
              <w:spacing w:after="40" w:before="60" w:line="259" w:lineRule="auto"/>
            </w:pPr>
            <w:r>
              <w:rPr>
                <w:rFonts w:ascii="Calibri" w:hAnsi="Calibri"/>
                <w:b w:val="0"/>
                <w:i w:val="0"/>
                <w:color w:val="212121"/>
                <w:sz w:val="19"/>
              </w:rPr>
              <w:t>About 17% of women in the subfertility population are found to have an endometrioma, and endometriosis affects nearly half of women with infertility.</w:t>
            </w:r>
          </w:p>
          <w:p>
            <w:pPr>
              <w:spacing w:after="40" w:line="252" w:lineRule="auto"/>
            </w:pPr>
            <w:hyperlink r:id="rId14">
              <w:r>
                <w:rPr>
                  <w:rFonts w:ascii="Calibri" w:hAnsi="Calibri" w:cs="Calibri"/>
                  <w:sz w:val="18"/>
                  <w:color w:val="1155CC"/>
                  <w:u w:val="single"/>
                </w:rPr>
                <w:t xml:space="preserve">ncbi.nlm.nih.gov — StatPearls: Endometrioma</w:t>
              </w:r>
            </w:hyperlink>
          </w:p>
          <w:p>
            <w:pPr>
              <w:spacing w:before="60" w:after="40"/>
            </w:pPr>
            <w:r>
              <w:rPr>
                <w:rFonts w:ascii="Calibri" w:hAnsi="Calibri"/>
                <w:b w:val="0"/>
                <w:i w:val="0"/>
                <w:color w:val="5A5A5A"/>
                <w:sz w:val="18"/>
              </w:rPr>
              <w:t>#infertility  #subfertility  #endometrioma  #ovarianreserve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Women with untreated hypothyroidism</w:t>
            </w:r>
          </w:p>
        </w:tc>
        <w:tc>
          <w:tcPr>
            <w:tcW w:type="dxa" w:w="4276"/>
            <w:vAlign w:val="top"/>
          </w:tcPr>
          <w:p>
            <w:pPr>
              <w:spacing w:after="60" w:line="259" w:lineRule="auto"/>
            </w:pPr>
            <w:r>
              <w:rPr>
                <w:rFonts w:ascii="Calibri" w:hAnsi="Calibri"/>
                <w:b w:val="0"/>
                <w:i w:val="0"/>
                <w:color w:val="212121"/>
                <w:sz w:val="19"/>
              </w:rPr>
              <w:t>Thyroid dysfunction disturbs the HPO axis and can raise prolactin, promoting anovulation and functional/enlarged ovarian cysts; correction often reverses them.</w:t>
            </w:r>
          </w:p>
          <w:p>
            <w:pPr>
              <w:spacing w:after="40" w:before="60" w:line="259" w:lineRule="auto"/>
            </w:pPr>
            <w:r>
              <w:rPr>
                <w:rFonts w:ascii="Calibri" w:hAnsi="Calibri"/>
                <w:b w:val="0"/>
                <w:i w:val="0"/>
                <w:color w:val="212121"/>
                <w:sz w:val="19"/>
              </w:rPr>
              <w:t>Hypothyroidism is a recognised endocrine risk factor for ovarian cyst formation.</w:t>
            </w:r>
          </w:p>
          <w:p>
            <w:pPr>
              <w:spacing w:after="40" w:line="252" w:lineRule="auto"/>
            </w:pPr>
            <w:hyperlink r:id="rId9">
              <w:r>
                <w:rPr>
                  <w:rFonts w:ascii="Calibri" w:hAnsi="Calibri" w:cs="Calibri"/>
                  <w:sz w:val="18"/>
                  <w:color w:val="1155CC"/>
                  <w:u w:val="single"/>
                </w:rPr>
                <w:t xml:space="preserve">ncbi.nlm.nih.gov — StatPearls: Ovarian Cyst</w:t>
              </w:r>
            </w:hyperlink>
          </w:p>
          <w:p>
            <w:pPr>
              <w:spacing w:before="60" w:after="40"/>
            </w:pPr>
            <w:r>
              <w:rPr>
                <w:rFonts w:ascii="Calibri" w:hAnsi="Calibri"/>
                <w:b w:val="0"/>
                <w:i w:val="0"/>
                <w:color w:val="5A5A5A"/>
                <w:sz w:val="18"/>
              </w:rPr>
              <w:t>#hypothyroidism  #HPOaxis  #anovulation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 activity improves insulin sensitivity and ovulatory function, reducing PCOS-related polycystic morphology; only ~21% of women in a Northeast India PCOS cohort exercised regularly.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High-glycaemic, energy-dense diets drive hyperinsulinaemia and central obesity that stimulate ovarian androgen output and anovulation; dietary change and 5–10% weight loss improve ovulatory cyclicity.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and shift work disturb circadian and HPO-axis rhythms and worsen the metabolic profile of PCOS, though a direct link to cyst formation is weak.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Cigarette smoking alters oestrogen metabolism and is a recognised risk factor for functional ovarian cysts.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intake perturbs the reproductive hormonal axis and ovulation, but direct evidence for ovarian cyst formation is limited.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stress dysregulates the HPO axis; anxiety and depression are highly prevalent in PCOS (bidirectional) but are not a direct cause of cysts. Anxiety was reported in ~85% of women in one Northeast India PCOS cohort.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role of hydration in ovarian cyst formation or resolution.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Some studies link high caffeine intake to altered oestrogen levels, but the evidence for any effect on ovarian cysts is inconsistent and weak.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Personal hygiene has no established influence on ovarian cyst development.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Ovulation induction, high-hCG states, tamoxifen and pregnancy provoke functional and theca-lutein cysts; sudden exertion, intercourse or a large/mobile cyst can precipitate rupture or torsion of an existing cyst.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18.5–22.9 kg/m² (Asian cut-off)</w:t>
            </w:r>
          </w:p>
        </w:tc>
        <w:tc>
          <w:tcPr>
            <w:tcW w:type="dxa" w:w="1512"/>
            <w:vAlign w:val="top"/>
          </w:tcPr>
          <w:p>
            <w:pPr>
              <w:spacing w:after="40" w:before="0" w:line="259" w:lineRule="auto"/>
            </w:pPr>
            <w:r>
              <w:rPr>
                <w:rFonts w:ascii="Calibri" w:hAnsi="Calibri"/>
                <w:b w:val="0"/>
                <w:i w:val="0"/>
                <w:color w:val="212121"/>
                <w:sz w:val="19"/>
              </w:rPr>
              <w:t>≥ 23 (overweight); ≥ 25 (obesity), Asian Indian criteria</w:t>
            </w:r>
          </w:p>
        </w:tc>
        <w:tc>
          <w:tcPr>
            <w:tcW w:type="dxa" w:w="1468"/>
            <w:vAlign w:val="top"/>
          </w:tcPr>
          <w:p>
            <w:pPr>
              <w:spacing w:after="60" w:line="259" w:lineRule="auto"/>
            </w:pPr>
            <w:r>
              <w:rPr>
                <w:rFonts w:ascii="Calibri" w:hAnsi="Calibri"/>
                <w:b w:val="0"/>
                <w:i w:val="0"/>
                <w:color w:val="212121"/>
                <w:sz w:val="19"/>
              </w:rPr>
              <w:t>Higher BMI worsens insulin resistance and PCOS-related polycystic morphology</w:t>
            </w:r>
          </w:p>
          <w:p>
            <w:pPr>
              <w:spacing w:after="40" w:line="252" w:lineRule="auto"/>
            </w:pPr>
            <w:hyperlink r:id="rId12">
              <w:r>
                <w:rPr>
                  <w:rFonts w:ascii="Calibri" w:hAnsi="Calibri" w:cs="Calibri"/>
                  <w:sz w:val="18"/>
                  <w:color w:val="1155CC"/>
                  <w:u w:val="single"/>
                </w:rPr>
                <w:t xml:space="preserve">https://pmc.ncbi.nlm.nih.gov/articles/PMC12592665/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Waist–Hip Ratio</w:t>
            </w:r>
          </w:p>
        </w:tc>
        <w:tc>
          <w:tcPr>
            <w:tcW w:type="dxa" w:w="1655"/>
            <w:vAlign w:val="top"/>
          </w:tcPr>
          <w:p>
            <w:pPr>
              <w:spacing w:after="40" w:before="0" w:line="259" w:lineRule="auto"/>
            </w:pPr>
            <w:r>
              <w:rPr>
                <w:rFonts w:ascii="Calibri" w:hAnsi="Calibri"/>
                <w:b w:val="0"/>
                <w:i w:val="0"/>
                <w:color w:val="212121"/>
                <w:sz w:val="19"/>
              </w:rPr>
              <w:t>Women with PCOS / central obesity</w:t>
            </w:r>
          </w:p>
        </w:tc>
        <w:tc>
          <w:tcPr>
            <w:tcW w:type="dxa" w:w="1512"/>
            <w:vAlign w:val="top"/>
          </w:tcPr>
          <w:p>
            <w:pPr>
              <w:spacing w:after="40" w:before="0" w:line="259" w:lineRule="auto"/>
            </w:pPr>
            <w:r>
              <w:rPr>
                <w:rFonts w:ascii="Calibri" w:hAnsi="Calibri"/>
                <w:b w:val="0"/>
                <w:i w:val="0"/>
                <w:color w:val="212121"/>
                <w:sz w:val="19"/>
              </w:rPr>
              <w:t>&lt; 0.85 (female)</w:t>
            </w:r>
          </w:p>
        </w:tc>
        <w:tc>
          <w:tcPr>
            <w:tcW w:type="dxa" w:w="1512"/>
            <w:vAlign w:val="top"/>
          </w:tcPr>
          <w:p>
            <w:pPr>
              <w:spacing w:after="40" w:before="0" w:line="259" w:lineRule="auto"/>
            </w:pPr>
            <w:r>
              <w:rPr>
                <w:rFonts w:ascii="Calibri" w:hAnsi="Calibri"/>
                <w:b w:val="0"/>
                <w:i w:val="0"/>
                <w:color w:val="212121"/>
                <w:sz w:val="19"/>
              </w:rPr>
              <w:t>≥ 0.85</w:t>
            </w:r>
          </w:p>
        </w:tc>
        <w:tc>
          <w:tcPr>
            <w:tcW w:type="dxa" w:w="1468"/>
            <w:vAlign w:val="top"/>
          </w:tcPr>
          <w:p>
            <w:pPr>
              <w:spacing w:after="60" w:line="259" w:lineRule="auto"/>
            </w:pPr>
            <w:r>
              <w:rPr>
                <w:rFonts w:ascii="Calibri" w:hAnsi="Calibri"/>
                <w:b w:val="0"/>
                <w:i w:val="0"/>
                <w:color w:val="212121"/>
                <w:sz w:val="19"/>
              </w:rPr>
              <w:t>A ratio &gt;0.85 was present in 86.7% of PCOS cases vs 54.7% of controls in NE India</w:t>
            </w:r>
          </w:p>
          <w:p>
            <w:pPr>
              <w:spacing w:after="40" w:line="252" w:lineRule="auto"/>
            </w:pPr>
            <w:hyperlink r:id="rId12">
              <w:r>
                <w:rPr>
                  <w:rFonts w:ascii="Calibri" w:hAnsi="Calibri" w:cs="Calibri"/>
                  <w:sz w:val="18"/>
                  <w:color w:val="1155CC"/>
                  <w:u w:val="single"/>
                </w:rPr>
                <w:t xml:space="preserve">https://pmc.ncbi.nlm.nih.gov/articles/PMC12592665/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All women</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Regular activity improves insulin sensitivity and ovulatory regularity</w:t>
            </w:r>
          </w:p>
          <w:p>
            <w:pPr>
              <w:spacing w:after="40" w:line="252" w:lineRule="auto"/>
            </w:pPr>
            <w:hyperlink r:id="rId12">
              <w:r>
                <w:rPr>
                  <w:rFonts w:ascii="Calibri" w:hAnsi="Calibri" w:cs="Calibri"/>
                  <w:sz w:val="18"/>
                  <w:color w:val="1155CC"/>
                  <w:u w:val="single"/>
                </w:rPr>
                <w:t xml:space="preserve">https://pmc.ncbi.nlm.nih.gov/articles/PMC12592665/</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&lt; 80 cm (Asian female)</w:t>
            </w:r>
          </w:p>
        </w:tc>
        <w:tc>
          <w:tcPr>
            <w:tcW w:type="dxa" w:w="1512"/>
            <w:vAlign w:val="top"/>
          </w:tcPr>
          <w:p>
            <w:pPr>
              <w:spacing w:after="40" w:before="0" w:line="259" w:lineRule="auto"/>
            </w:pPr>
            <w:r>
              <w:rPr>
                <w:rFonts w:ascii="Calibri" w:hAnsi="Calibri"/>
                <w:b w:val="0"/>
                <w:i w:val="0"/>
                <w:color w:val="212121"/>
                <w:sz w:val="19"/>
              </w:rPr>
              <w:t>≥ 80 cm</w:t>
            </w:r>
          </w:p>
        </w:tc>
        <w:tc>
          <w:tcPr>
            <w:tcW w:type="dxa" w:w="1468"/>
            <w:vAlign w:val="top"/>
          </w:tcPr>
          <w:p>
            <w:pPr>
              <w:spacing w:after="60" w:line="259" w:lineRule="auto"/>
            </w:pPr>
            <w:r>
              <w:rPr>
                <w:rFonts w:ascii="Calibri" w:hAnsi="Calibri"/>
                <w:b w:val="0"/>
                <w:i w:val="0"/>
                <w:color w:val="212121"/>
                <w:sz w:val="19"/>
              </w:rPr>
              <w:t>Central adiposity (mean 85.5 vs 79.3 cm in PCOS) drives hyperinsulinaemia</w:t>
            </w:r>
          </w:p>
          <w:p>
            <w:pPr>
              <w:spacing w:after="40" w:line="252" w:lineRule="auto"/>
            </w:pPr>
            <w:hyperlink r:id="rId12">
              <w:r>
                <w:rPr>
                  <w:rFonts w:ascii="Calibri" w:hAnsi="Calibri" w:cs="Calibri"/>
                  <w:sz w:val="18"/>
                  <w:color w:val="1155CC"/>
                  <w:u w:val="single"/>
                </w:rPr>
                <w:t xml:space="preserve">https://pmc.ncbi.nlm.nih.gov/articles/PMC12592665/</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Cyst size on ultrasound (cm)</w:t>
            </w:r>
          </w:p>
        </w:tc>
        <w:tc>
          <w:tcPr>
            <w:tcW w:type="dxa" w:w="1655"/>
            <w:vAlign w:val="top"/>
          </w:tcPr>
          <w:p>
            <w:pPr>
              <w:spacing w:after="40" w:before="0" w:line="259" w:lineRule="auto"/>
            </w:pPr>
            <w:r>
              <w:rPr>
                <w:rFonts w:ascii="Calibri" w:hAnsi="Calibri"/>
                <w:b w:val="0"/>
                <w:i w:val="0"/>
                <w:color w:val="212121"/>
                <w:sz w:val="19"/>
              </w:rPr>
              <w:t>Women with an adnexal cyst</w:t>
            </w:r>
          </w:p>
        </w:tc>
        <w:tc>
          <w:tcPr>
            <w:tcW w:type="dxa" w:w="1512"/>
            <w:vAlign w:val="top"/>
          </w:tcPr>
          <w:p>
            <w:pPr>
              <w:spacing w:after="40" w:before="0" w:line="259" w:lineRule="auto"/>
            </w:pPr>
            <w:r>
              <w:rPr>
                <w:rFonts w:ascii="Calibri" w:hAnsi="Calibri"/>
                <w:b w:val="0"/>
                <w:i w:val="0"/>
                <w:color w:val="212121"/>
                <w:sz w:val="19"/>
              </w:rPr>
              <w:t>&lt; 5 cm and simple/unilocular</w:t>
            </w:r>
          </w:p>
        </w:tc>
        <w:tc>
          <w:tcPr>
            <w:tcW w:type="dxa" w:w="1512"/>
            <w:vAlign w:val="top"/>
          </w:tcPr>
          <w:p>
            <w:pPr>
              <w:spacing w:after="40" w:before="0" w:line="259" w:lineRule="auto"/>
            </w:pPr>
            <w:r>
              <w:rPr>
                <w:rFonts w:ascii="Calibri" w:hAnsi="Calibri"/>
                <w:b w:val="0"/>
                <w:i w:val="0"/>
                <w:color w:val="212121"/>
                <w:sz w:val="19"/>
              </w:rPr>
              <w:t>≥ 5 cm, complex or rapidly enlarging</w:t>
            </w:r>
          </w:p>
        </w:tc>
        <w:tc>
          <w:tcPr>
            <w:tcW w:type="dxa" w:w="1468"/>
            <w:vAlign w:val="top"/>
          </w:tcPr>
          <w:p>
            <w:pPr>
              <w:spacing w:after="60" w:line="259" w:lineRule="auto"/>
            </w:pPr>
            <w:r>
              <w:rPr>
                <w:rFonts w:ascii="Calibri" w:hAnsi="Calibri"/>
                <w:b w:val="0"/>
                <w:i w:val="0"/>
                <w:color w:val="212121"/>
                <w:sz w:val="19"/>
              </w:rPr>
              <w:t>Larger cysts raise torsion and malignancy concern; cysts &gt;4 cm have ~15% torsion risk</w:t>
            </w:r>
          </w:p>
          <w:p>
            <w:pPr>
              <w:spacing w:after="40" w:line="252" w:lineRule="auto"/>
            </w:pPr>
            <w:hyperlink r:id="rId11">
              <w:r>
                <w:rPr>
                  <w:rFonts w:ascii="Calibri" w:hAnsi="Calibri" w:cs="Calibri"/>
                  <w:sz w:val="18"/>
                  <w:color w:val="1155CC"/>
                  <w:u w:val="single"/>
                </w:rPr>
                <w:t xml:space="preserve">https://emedicine.medscape.com/article/255865-overview</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CA-125 (U/mL)</w:t>
            </w:r>
          </w:p>
        </w:tc>
        <w:tc>
          <w:tcPr>
            <w:tcW w:type="dxa" w:w="1655"/>
            <w:vAlign w:val="top"/>
          </w:tcPr>
          <w:p>
            <w:pPr>
              <w:spacing w:after="40" w:before="0" w:line="259" w:lineRule="auto"/>
            </w:pPr>
            <w:r>
              <w:rPr>
                <w:rFonts w:ascii="Calibri" w:hAnsi="Calibri"/>
                <w:b w:val="0"/>
                <w:i w:val="0"/>
                <w:color w:val="212121"/>
                <w:sz w:val="19"/>
              </w:rPr>
              <w:t>Postmenopausal women / complex mass</w:t>
            </w:r>
          </w:p>
        </w:tc>
        <w:tc>
          <w:tcPr>
            <w:tcW w:type="dxa" w:w="1512"/>
            <w:vAlign w:val="top"/>
          </w:tcPr>
          <w:p>
            <w:pPr>
              <w:spacing w:after="40" w:before="0" w:line="259" w:lineRule="auto"/>
            </w:pPr>
            <w:r>
              <w:rPr>
                <w:rFonts w:ascii="Calibri" w:hAnsi="Calibri"/>
                <w:b w:val="0"/>
                <w:i w:val="0"/>
                <w:color w:val="212121"/>
                <w:sz w:val="19"/>
              </w:rPr>
              <w:t>&lt; 35 U/mL</w:t>
            </w:r>
          </w:p>
        </w:tc>
        <w:tc>
          <w:tcPr>
            <w:tcW w:type="dxa" w:w="1512"/>
            <w:vAlign w:val="top"/>
          </w:tcPr>
          <w:p>
            <w:pPr>
              <w:spacing w:after="40" w:before="0" w:line="259" w:lineRule="auto"/>
            </w:pPr>
            <w:r>
              <w:rPr>
                <w:rFonts w:ascii="Calibri" w:hAnsi="Calibri"/>
                <w:b w:val="0"/>
                <w:i w:val="0"/>
                <w:color w:val="212121"/>
                <w:sz w:val="19"/>
              </w:rPr>
              <w:t>&gt; 35 U/mL (interpret with menopausal status)</w:t>
            </w:r>
          </w:p>
        </w:tc>
        <w:tc>
          <w:tcPr>
            <w:tcW w:type="dxa" w:w="1468"/>
            <w:vAlign w:val="top"/>
          </w:tcPr>
          <w:p>
            <w:pPr>
              <w:spacing w:after="60" w:line="259" w:lineRule="auto"/>
            </w:pPr>
            <w:r>
              <w:rPr>
                <w:rFonts w:ascii="Calibri" w:hAnsi="Calibri"/>
                <w:b w:val="0"/>
                <w:i w:val="0"/>
                <w:color w:val="212121"/>
                <w:sz w:val="19"/>
              </w:rPr>
              <w:t>Raised in ~85% of epithelial ovarian cancers but non-specific premenopausally</w:t>
            </w:r>
          </w:p>
          <w:p>
            <w:pPr>
              <w:spacing w:after="40" w:line="252" w:lineRule="auto"/>
            </w:pPr>
            <w:hyperlink r:id="rId9">
              <w:r>
                <w:rPr>
                  <w:rFonts w:ascii="Calibri" w:hAnsi="Calibri" w:cs="Calibri"/>
                  <w:sz w:val="18"/>
                  <w:color w:val="1155CC"/>
                  <w:u w:val="single"/>
                </w:rPr>
                <w:t xml:space="preserve">https://www.ncbi.nlm.nih.gov/books/NBK560541/</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Women with PCOS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or &gt; 9 hours/night</w:t>
            </w:r>
          </w:p>
        </w:tc>
        <w:tc>
          <w:tcPr>
            <w:tcW w:type="dxa" w:w="1468"/>
            <w:vAlign w:val="top"/>
          </w:tcPr>
          <w:p>
            <w:pPr>
              <w:spacing w:after="40" w:before="0" w:line="259" w:lineRule="auto"/>
            </w:pPr>
            <w:r>
              <w:rPr>
                <w:rFonts w:ascii="Calibri" w:hAnsi="Calibri"/>
                <w:b w:val="0"/>
                <w:i w:val="0"/>
                <w:color w:val="212121"/>
                <w:sz w:val="19"/>
              </w:rPr>
              <w:t>Poor/irregular sleep worsens insulin resistance and the metabolic phenotype of PCOS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 alters oestrogen metabolism and is linked to functional cyst risk</w:t>
            </w:r>
          </w:p>
          <w:p>
            <w:pPr>
              <w:spacing w:after="40" w:line="252" w:lineRule="auto"/>
            </w:pPr>
            <w:hyperlink r:id="rId9">
              <w:r>
                <w:rPr>
                  <w:rFonts w:ascii="Calibri" w:hAnsi="Calibri" w:cs="Calibri"/>
                  <w:sz w:val="18"/>
                  <w:color w:val="1155CC"/>
                  <w:u w:val="single"/>
                </w:rPr>
                <w:t xml:space="preserve">https://www.ncbi.nlm.nih.gov/books/NBK560541/</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Anxiety/depression screen (e.g., GAD-7 / PHQ-9)</w:t>
            </w:r>
          </w:p>
        </w:tc>
        <w:tc>
          <w:tcPr>
            <w:tcW w:type="dxa" w:w="1655"/>
            <w:vAlign w:val="top"/>
          </w:tcPr>
          <w:p>
            <w:pPr>
              <w:spacing w:after="40" w:before="0" w:line="259" w:lineRule="auto"/>
            </w:pPr>
            <w:r>
              <w:rPr>
                <w:rFonts w:ascii="Calibri" w:hAnsi="Calibri"/>
                <w:b w:val="0"/>
                <w:i w:val="0"/>
                <w:color w:val="212121"/>
                <w:sz w:val="19"/>
              </w:rPr>
              <w:t>Women with PCOS</w:t>
            </w:r>
          </w:p>
        </w:tc>
        <w:tc>
          <w:tcPr>
            <w:tcW w:type="dxa" w:w="1512"/>
            <w:vAlign w:val="top"/>
          </w:tcPr>
          <w:p>
            <w:pPr>
              <w:spacing w:after="40" w:before="0" w:line="259" w:lineRule="auto"/>
            </w:pPr>
            <w:r>
              <w:rPr>
                <w:rFonts w:ascii="Calibri" w:hAnsi="Calibri"/>
                <w:b w:val="0"/>
                <w:i w:val="0"/>
                <w:color w:val="212121"/>
                <w:sz w:val="19"/>
              </w:rPr>
              <w:t>Negative screen</w:t>
            </w:r>
          </w:p>
        </w:tc>
        <w:tc>
          <w:tcPr>
            <w:tcW w:type="dxa" w:w="1512"/>
            <w:vAlign w:val="top"/>
          </w:tcPr>
          <w:p>
            <w:pPr>
              <w:spacing w:after="40" w:before="0" w:line="259" w:lineRule="auto"/>
            </w:pPr>
            <w:r>
              <w:rPr>
                <w:rFonts w:ascii="Calibri" w:hAnsi="Calibri"/>
                <w:b w:val="0"/>
                <w:i w:val="0"/>
                <w:color w:val="212121"/>
                <w:sz w:val="19"/>
              </w:rPr>
              <w:t>Positive screen</w:t>
            </w:r>
          </w:p>
        </w:tc>
        <w:tc>
          <w:tcPr>
            <w:tcW w:type="dxa" w:w="1468"/>
            <w:vAlign w:val="top"/>
          </w:tcPr>
          <w:p>
            <w:pPr>
              <w:spacing w:after="60" w:line="259" w:lineRule="auto"/>
            </w:pPr>
            <w:r>
              <w:rPr>
                <w:rFonts w:ascii="Calibri" w:hAnsi="Calibri"/>
                <w:b w:val="0"/>
                <w:i w:val="0"/>
                <w:color w:val="212121"/>
                <w:sz w:val="19"/>
              </w:rPr>
              <w:t>Anxiety was reported in ~85% of women in a Northeast India PCOS cohort</w:t>
            </w:r>
          </w:p>
          <w:p>
            <w:pPr>
              <w:spacing w:after="40" w:line="252" w:lineRule="auto"/>
            </w:pPr>
            <w:hyperlink r:id="rId12">
              <w:r>
                <w:rPr>
                  <w:rFonts w:ascii="Calibri" w:hAnsi="Calibri" w:cs="Calibri"/>
                  <w:sz w:val="18"/>
                  <w:color w:val="1155CC"/>
                  <w:u w:val="single"/>
                </w:rPr>
                <w:t xml:space="preserve">https://pmc.ncbi.nlm.nih.gov/articles/PMC12592665/</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Cyst morphology (wall, loculation, solid areas, vascularity)</w:t>
            </w:r>
          </w:p>
        </w:tc>
        <w:tc>
          <w:tcPr>
            <w:tcW w:type="dxa" w:w="892"/>
            <w:vAlign w:val="top"/>
          </w:tcPr>
          <w:p>
            <w:pPr>
              <w:spacing w:after="40" w:before="0" w:line="259" w:lineRule="auto"/>
            </w:pPr>
            <w:r>
              <w:rPr>
                <w:rFonts w:ascii="Calibri" w:hAnsi="Calibri"/>
                <w:b w:val="0"/>
                <w:i w:val="0"/>
                <w:color w:val="212121"/>
                <w:sz w:val="16"/>
              </w:rPr>
              <w:t>Transvaginal / transabdominal pelvic ultrasound</w:t>
            </w:r>
          </w:p>
        </w:tc>
        <w:tc>
          <w:tcPr>
            <w:tcW w:type="dxa" w:w="950"/>
            <w:vAlign w:val="top"/>
          </w:tcPr>
          <w:p>
            <w:pPr>
              <w:spacing w:after="40" w:before="0" w:line="259" w:lineRule="auto"/>
            </w:pPr>
            <w:r>
              <w:rPr>
                <w:rFonts w:ascii="Calibri" w:hAnsi="Calibri"/>
                <w:b w:val="0"/>
                <w:i w:val="0"/>
                <w:color w:val="212121"/>
                <w:sz w:val="16"/>
              </w:rPr>
              <w:t>Simple: thin-walled, unilocular, anechoic, no solid component, no flow</w:t>
            </w:r>
          </w:p>
        </w:tc>
        <w:tc>
          <w:tcPr>
            <w:tcW w:type="dxa" w:w="950"/>
            <w:vAlign w:val="top"/>
          </w:tcPr>
          <w:p>
            <w:pPr>
              <w:spacing w:after="40" w:before="0" w:line="259" w:lineRule="auto"/>
            </w:pPr>
            <w:r>
              <w:rPr>
                <w:rFonts w:ascii="Calibri" w:hAnsi="Calibri"/>
                <w:b w:val="0"/>
                <w:i w:val="0"/>
                <w:color w:val="212121"/>
                <w:sz w:val="16"/>
              </w:rPr>
              <w:t>Complex: thick septa, solid/papillary areas, internal Doppler flow, ascites</w:t>
            </w:r>
          </w:p>
        </w:tc>
        <w:tc>
          <w:tcPr>
            <w:tcW w:type="dxa" w:w="1036"/>
            <w:vAlign w:val="top"/>
          </w:tcPr>
          <w:p>
            <w:pPr>
              <w:spacing w:after="40" w:before="0" w:line="259" w:lineRule="auto"/>
            </w:pPr>
            <w:r>
              <w:rPr>
                <w:rFonts w:ascii="Calibri" w:hAnsi="Calibri"/>
                <w:b w:val="0"/>
                <w:i w:val="0"/>
                <w:color w:val="212121"/>
                <w:sz w:val="16"/>
              </w:rPr>
              <w:t>First-line to characterise a cyst, estimate malignancy risk and detect torsion/rupture</w:t>
            </w:r>
          </w:p>
        </w:tc>
        <w:tc>
          <w:tcPr>
            <w:tcW w:type="dxa" w:w="1036"/>
            <w:vAlign w:val="top"/>
          </w:tcPr>
          <w:p>
            <w:pPr>
              <w:spacing w:after="40" w:before="0" w:line="259" w:lineRule="auto"/>
            </w:pPr>
            <w:r>
              <w:rPr>
                <w:rFonts w:ascii="Calibri" w:hAnsi="Calibri"/>
                <w:b w:val="0"/>
                <w:i w:val="0"/>
                <w:color w:val="212121"/>
                <w:sz w:val="16"/>
              </w:rPr>
              <w:t>Reproductive-age &amp; postmenopausal women, women with pelvic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 first-line</w:t>
            </w:r>
          </w:p>
        </w:tc>
        <w:tc>
          <w:tcPr>
            <w:tcW w:type="dxa" w:w="720"/>
            <w:vAlign w:val="top"/>
          </w:tcPr>
          <w:p>
            <w:pPr>
              <w:spacing w:after="40" w:before="0" w:line="259" w:lineRule="auto"/>
            </w:pPr>
            <w:r>
              <w:rPr>
                <w:rFonts w:ascii="Calibri" w:hAnsi="Calibri"/>
                <w:b w:val="0"/>
                <w:i w:val="0"/>
                <w:color w:val="212121"/>
                <w:sz w:val="16"/>
              </w:rPr>
              <w:t>Transvaginal route preferred; correlate with menstrual timing (repeat in 6–12 weeks for functional cysts)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β-hCG</w:t>
            </w:r>
          </w:p>
        </w:tc>
        <w:tc>
          <w:tcPr>
            <w:tcW w:type="dxa" w:w="892"/>
            <w:vAlign w:val="top"/>
          </w:tcPr>
          <w:p>
            <w:pPr>
              <w:spacing w:after="40" w:before="0" w:line="259" w:lineRule="auto"/>
            </w:pPr>
            <w:r>
              <w:rPr>
                <w:rFonts w:ascii="Calibri" w:hAnsi="Calibri"/>
                <w:b w:val="0"/>
                <w:i w:val="0"/>
                <w:color w:val="212121"/>
                <w:sz w:val="16"/>
              </w:rPr>
              <w:t>Pregnancy test</w:t>
            </w:r>
          </w:p>
        </w:tc>
        <w:tc>
          <w:tcPr>
            <w:tcW w:type="dxa" w:w="950"/>
            <w:vAlign w:val="top"/>
          </w:tcPr>
          <w:p>
            <w:pPr>
              <w:spacing w:after="40" w:before="0" w:line="259" w:lineRule="auto"/>
            </w:pPr>
            <w:r>
              <w:rPr>
                <w:rFonts w:ascii="Calibri" w:hAnsi="Calibri"/>
                <w:b w:val="0"/>
                <w:i w:val="0"/>
                <w:color w:val="212121"/>
                <w:sz w:val="16"/>
              </w:rPr>
              <w:t>Negative (non-pregnant)</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Excludes ectopic pregnancy and identifies pregnancy-related corpus luteum / theca-lutein cysts</w:t>
            </w:r>
          </w:p>
        </w:tc>
        <w:tc>
          <w:tcPr>
            <w:tcW w:type="dxa" w:w="1036"/>
            <w:vAlign w:val="top"/>
          </w:tcPr>
          <w:p>
            <w:pPr>
              <w:spacing w:after="40" w:before="0" w:line="259" w:lineRule="auto"/>
            </w:pPr>
            <w:r>
              <w:rPr>
                <w:rFonts w:ascii="Calibri" w:hAnsi="Calibri"/>
                <w:b w:val="0"/>
                <w:i w:val="0"/>
                <w:color w:val="212121"/>
                <w:sz w:val="16"/>
              </w:rPr>
              <w:t>All reproductive-age women with an adnexal mass or acute pelvic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Mandatory safety test</w:t>
            </w:r>
          </w:p>
        </w:tc>
        <w:tc>
          <w:tcPr>
            <w:tcW w:type="dxa" w:w="720"/>
            <w:vAlign w:val="top"/>
          </w:tcPr>
          <w:p>
            <w:pPr>
              <w:spacing w:after="40" w:before="0" w:line="259" w:lineRule="auto"/>
            </w:pPr>
            <w:r>
              <w:rPr>
                <w:rFonts w:ascii="Calibri" w:hAnsi="Calibri"/>
                <w:b w:val="0"/>
                <w:i w:val="0"/>
                <w:color w:val="212121"/>
                <w:sz w:val="16"/>
              </w:rPr>
              <w:t>Must precede any intervention in women of childbearing 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Tumour marker</w:t>
            </w:r>
          </w:p>
        </w:tc>
        <w:tc>
          <w:tcPr>
            <w:tcW w:type="dxa" w:w="1036"/>
            <w:vAlign w:val="top"/>
          </w:tcPr>
          <w:p>
            <w:pPr>
              <w:spacing w:after="40" w:before="0" w:line="259" w:lineRule="auto"/>
            </w:pPr>
            <w:r>
              <w:rPr>
                <w:rFonts w:ascii="Calibri" w:hAnsi="Calibri"/>
                <w:b w:val="0"/>
                <w:i w:val="0"/>
                <w:color w:val="212121"/>
                <w:sz w:val="16"/>
              </w:rPr>
              <w:t>Serum CA-125</w:t>
            </w:r>
          </w:p>
        </w:tc>
        <w:tc>
          <w:tcPr>
            <w:tcW w:type="dxa" w:w="892"/>
            <w:vAlign w:val="top"/>
          </w:tcPr>
          <w:p>
            <w:pPr>
              <w:spacing w:after="40" w:before="0" w:line="259" w:lineRule="auto"/>
            </w:pPr>
            <w:r>
              <w:rPr>
                <w:rFonts w:ascii="Calibri" w:hAnsi="Calibri"/>
                <w:b w:val="0"/>
                <w:i w:val="0"/>
                <w:color w:val="212121"/>
                <w:sz w:val="16"/>
              </w:rPr>
              <w:t>Blood tumour-marker assay</w:t>
            </w:r>
          </w:p>
        </w:tc>
        <w:tc>
          <w:tcPr>
            <w:tcW w:type="dxa" w:w="950"/>
            <w:vAlign w:val="top"/>
          </w:tcPr>
          <w:p>
            <w:pPr>
              <w:spacing w:after="40" w:before="0" w:line="259" w:lineRule="auto"/>
            </w:pPr>
            <w:r>
              <w:rPr>
                <w:rFonts w:ascii="Calibri" w:hAnsi="Calibri"/>
                <w:b w:val="0"/>
                <w:i w:val="0"/>
                <w:color w:val="212121"/>
                <w:sz w:val="16"/>
              </w:rPr>
              <w:t>&lt; 35 U/mL</w:t>
            </w:r>
          </w:p>
        </w:tc>
        <w:tc>
          <w:tcPr>
            <w:tcW w:type="dxa" w:w="950"/>
            <w:vAlign w:val="top"/>
          </w:tcPr>
          <w:p>
            <w:pPr>
              <w:spacing w:after="40" w:before="0" w:line="259" w:lineRule="auto"/>
            </w:pPr>
            <w:r>
              <w:rPr>
                <w:rFonts w:ascii="Calibri" w:hAnsi="Calibri"/>
                <w:b w:val="0"/>
                <w:i w:val="0"/>
                <w:color w:val="212121"/>
                <w:sz w:val="16"/>
              </w:rPr>
              <w:t>&gt; 35 U/mL</w:t>
            </w:r>
          </w:p>
        </w:tc>
        <w:tc>
          <w:tcPr>
            <w:tcW w:type="dxa" w:w="1036"/>
            <w:vAlign w:val="top"/>
          </w:tcPr>
          <w:p>
            <w:pPr>
              <w:spacing w:after="40" w:before="0" w:line="259" w:lineRule="auto"/>
            </w:pPr>
            <w:r>
              <w:rPr>
                <w:rFonts w:ascii="Calibri" w:hAnsi="Calibri"/>
                <w:b w:val="0"/>
                <w:i w:val="0"/>
                <w:color w:val="212121"/>
                <w:sz w:val="16"/>
              </w:rPr>
              <w:t>Supports malignancy risk assessment; raised in ~85% of epithelial ovarian cancers (only ~50% stage I)</w:t>
            </w:r>
          </w:p>
        </w:tc>
        <w:tc>
          <w:tcPr>
            <w:tcW w:type="dxa" w:w="1036"/>
            <w:vAlign w:val="top"/>
          </w:tcPr>
          <w:p>
            <w:pPr>
              <w:spacing w:after="40" w:before="0" w:line="259" w:lineRule="auto"/>
            </w:pPr>
            <w:r>
              <w:rPr>
                <w:rFonts w:ascii="Calibri" w:hAnsi="Calibri"/>
                <w:b w:val="0"/>
                <w:i w:val="0"/>
                <w:color w:val="212121"/>
                <w:sz w:val="16"/>
              </w:rPr>
              <w:t>Postmenopausal women, complex/solid masses, strong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Non-specific premenopausally — also raised by endometriosis, fibroids, PID, menstruation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Tumour markers</w:t>
            </w:r>
          </w:p>
        </w:tc>
        <w:tc>
          <w:tcPr>
            <w:tcW w:type="dxa" w:w="1036"/>
            <w:vAlign w:val="top"/>
          </w:tcPr>
          <w:p>
            <w:pPr>
              <w:spacing w:after="40" w:before="0" w:line="259" w:lineRule="auto"/>
            </w:pPr>
            <w:r>
              <w:rPr>
                <w:rFonts w:ascii="Calibri" w:hAnsi="Calibri"/>
                <w:b w:val="0"/>
                <w:i w:val="0"/>
                <w:color w:val="212121"/>
                <w:sz w:val="16"/>
              </w:rPr>
              <w:t>AFP, β-hCG, LDH (± inhibin, CEA)</w:t>
            </w:r>
          </w:p>
        </w:tc>
        <w:tc>
          <w:tcPr>
            <w:tcW w:type="dxa" w:w="892"/>
            <w:vAlign w:val="top"/>
          </w:tcPr>
          <w:p>
            <w:pPr>
              <w:spacing w:after="40" w:before="0" w:line="259" w:lineRule="auto"/>
            </w:pPr>
            <w:r>
              <w:rPr>
                <w:rFonts w:ascii="Calibri" w:hAnsi="Calibri"/>
                <w:b w:val="0"/>
                <w:i w:val="0"/>
                <w:color w:val="212121"/>
                <w:sz w:val="16"/>
              </w:rPr>
              <w:t>Germ-cell / stromal tumour markers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Suggest a germ-cell or other non-epithelial tumour in young women with solid/complex masses</w:t>
            </w:r>
          </w:p>
        </w:tc>
        <w:tc>
          <w:tcPr>
            <w:tcW w:type="dxa" w:w="1036"/>
            <w:vAlign w:val="top"/>
          </w:tcPr>
          <w:p>
            <w:pPr>
              <w:spacing w:after="40" w:before="0" w:line="259" w:lineRule="auto"/>
            </w:pPr>
            <w:r>
              <w:rPr>
                <w:rFonts w:ascii="Calibri" w:hAnsi="Calibri"/>
                <w:b w:val="0"/>
                <w:i w:val="0"/>
                <w:color w:val="212121"/>
                <w:sz w:val="16"/>
              </w:rPr>
              <w:t>Adolescents &amp; young women with complex or solid adnexal masses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in the young</w:t>
            </w:r>
          </w:p>
        </w:tc>
        <w:tc>
          <w:tcPr>
            <w:tcW w:type="dxa" w:w="720"/>
            <w:vAlign w:val="top"/>
          </w:tcPr>
          <w:p>
            <w:pPr>
              <w:spacing w:after="40" w:before="0" w:line="259" w:lineRule="auto"/>
            </w:pPr>
            <w:r>
              <w:rPr>
                <w:rFonts w:ascii="Calibri" w:hAnsi="Calibri"/>
                <w:b w:val="0"/>
                <w:i w:val="0"/>
                <w:color w:val="212121"/>
                <w:sz w:val="16"/>
              </w:rPr>
              <w:t>Guides referral for possible fertility-sparing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Risk model</w:t>
            </w:r>
          </w:p>
        </w:tc>
        <w:tc>
          <w:tcPr>
            <w:tcW w:type="dxa" w:w="1036"/>
            <w:vAlign w:val="top"/>
          </w:tcPr>
          <w:p>
            <w:pPr>
              <w:spacing w:after="40" w:before="0" w:line="259" w:lineRule="auto"/>
            </w:pPr>
            <w:r>
              <w:rPr>
                <w:rFonts w:ascii="Calibri" w:hAnsi="Calibri"/>
                <w:b w:val="0"/>
                <w:i w:val="0"/>
                <w:color w:val="212121"/>
                <w:sz w:val="16"/>
              </w:rPr>
              <w:t>IOTA ADNEX / Simple Rules or RMI score</w:t>
            </w:r>
          </w:p>
        </w:tc>
        <w:tc>
          <w:tcPr>
            <w:tcW w:type="dxa" w:w="892"/>
            <w:vAlign w:val="top"/>
          </w:tcPr>
          <w:p>
            <w:pPr>
              <w:spacing w:after="40" w:before="0" w:line="259" w:lineRule="auto"/>
            </w:pPr>
            <w:r>
              <w:rPr>
                <w:rFonts w:ascii="Calibri" w:hAnsi="Calibri"/>
                <w:b w:val="0"/>
                <w:i w:val="0"/>
                <w:color w:val="212121"/>
                <w:sz w:val="16"/>
              </w:rPr>
              <w:t>Adnexal-mass risk stratification</w:t>
            </w:r>
          </w:p>
        </w:tc>
        <w:tc>
          <w:tcPr>
            <w:tcW w:type="dxa" w:w="950"/>
            <w:vAlign w:val="top"/>
          </w:tcPr>
          <w:p>
            <w:pPr>
              <w:spacing w:after="40" w:before="0" w:line="259" w:lineRule="auto"/>
            </w:pPr>
            <w:r>
              <w:rPr>
                <w:rFonts w:ascii="Calibri" w:hAnsi="Calibri"/>
                <w:b w:val="0"/>
                <w:i w:val="0"/>
                <w:color w:val="212121"/>
                <w:sz w:val="16"/>
              </w:rPr>
              <w:t>Low-risk / benign classification</w:t>
            </w:r>
          </w:p>
        </w:tc>
        <w:tc>
          <w:tcPr>
            <w:tcW w:type="dxa" w:w="950"/>
            <w:vAlign w:val="top"/>
          </w:tcPr>
          <w:p>
            <w:pPr>
              <w:spacing w:after="40" w:before="0" w:line="259" w:lineRule="auto"/>
            </w:pPr>
            <w:r>
              <w:rPr>
                <w:rFonts w:ascii="Calibri" w:hAnsi="Calibri"/>
                <w:b w:val="0"/>
                <w:i w:val="0"/>
                <w:color w:val="212121"/>
                <w:sz w:val="16"/>
              </w:rPr>
              <w:t>High-risk / malignant classification</w:t>
            </w:r>
          </w:p>
        </w:tc>
        <w:tc>
          <w:tcPr>
            <w:tcW w:type="dxa" w:w="1036"/>
            <w:vAlign w:val="top"/>
          </w:tcPr>
          <w:p>
            <w:pPr>
              <w:spacing w:after="40" w:before="0" w:line="259" w:lineRule="auto"/>
            </w:pPr>
            <w:r>
              <w:rPr>
                <w:rFonts w:ascii="Calibri" w:hAnsi="Calibri"/>
                <w:b w:val="0"/>
                <w:i w:val="0"/>
                <w:color w:val="212121"/>
                <w:sz w:val="16"/>
              </w:rPr>
              <w:t>Standardised triage of benign vs malignant masses to guide surveillance vs gynae-oncology referral</w:t>
            </w:r>
          </w:p>
        </w:tc>
        <w:tc>
          <w:tcPr>
            <w:tcW w:type="dxa" w:w="1036"/>
            <w:vAlign w:val="top"/>
          </w:tcPr>
          <w:p>
            <w:pPr>
              <w:spacing w:after="40" w:before="0" w:line="259" w:lineRule="auto"/>
            </w:pPr>
            <w:r>
              <w:rPr>
                <w:rFonts w:ascii="Calibri" w:hAnsi="Calibri"/>
                <w:b w:val="0"/>
                <w:i w:val="0"/>
                <w:color w:val="212121"/>
                <w:sz w:val="16"/>
              </w:rPr>
              <w:t>Any woman with a persistent or indeterminate adnexal mass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Decision support</w:t>
            </w:r>
          </w:p>
        </w:tc>
        <w:tc>
          <w:tcPr>
            <w:tcW w:type="dxa" w:w="720"/>
            <w:vAlign w:val="top"/>
          </w:tcPr>
          <w:p>
            <w:pPr>
              <w:spacing w:after="40" w:before="0" w:line="259" w:lineRule="auto"/>
            </w:pPr>
            <w:r>
              <w:rPr>
                <w:rFonts w:ascii="Calibri" w:hAnsi="Calibri"/>
                <w:b w:val="0"/>
                <w:i w:val="0"/>
                <w:color w:val="212121"/>
                <w:sz w:val="16"/>
              </w:rPr>
              <w:t>Combines ultrasound features ± CA-125 and menopausal status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Mass characterisation (fat, blood, solid components)</w:t>
            </w:r>
          </w:p>
        </w:tc>
        <w:tc>
          <w:tcPr>
            <w:tcW w:type="dxa" w:w="892"/>
            <w:vAlign w:val="top"/>
          </w:tcPr>
          <w:p>
            <w:pPr>
              <w:spacing w:after="40" w:before="0" w:line="259" w:lineRule="auto"/>
            </w:pPr>
            <w:r>
              <w:rPr>
                <w:rFonts w:ascii="Calibri" w:hAnsi="Calibri"/>
                <w:b w:val="0"/>
                <w:i w:val="0"/>
                <w:color w:val="212121"/>
                <w:sz w:val="16"/>
              </w:rPr>
              <w:t>Pelvic MRI</w:t>
            </w:r>
          </w:p>
        </w:tc>
        <w:tc>
          <w:tcPr>
            <w:tcW w:type="dxa" w:w="950"/>
            <w:vAlign w:val="top"/>
          </w:tcPr>
          <w:p>
            <w:pPr>
              <w:spacing w:after="40" w:before="0" w:line="259" w:lineRule="auto"/>
            </w:pPr>
            <w:r>
              <w:rPr>
                <w:rFonts w:ascii="Calibri" w:hAnsi="Calibri"/>
                <w:b w:val="0"/>
                <w:i w:val="0"/>
                <w:color w:val="212121"/>
                <w:sz w:val="16"/>
              </w:rPr>
              <w:t>Clearly benign features (e.g., fat in dermoid, T2-shading in endometrioma)</w:t>
            </w:r>
          </w:p>
        </w:tc>
        <w:tc>
          <w:tcPr>
            <w:tcW w:type="dxa" w:w="950"/>
            <w:vAlign w:val="top"/>
          </w:tcPr>
          <w:p>
            <w:pPr>
              <w:spacing w:after="40" w:before="0" w:line="259" w:lineRule="auto"/>
            </w:pPr>
            <w:r>
              <w:rPr>
                <w:rFonts w:ascii="Calibri" w:hAnsi="Calibri"/>
                <w:b w:val="0"/>
                <w:i w:val="0"/>
                <w:color w:val="212121"/>
                <w:sz w:val="16"/>
              </w:rPr>
              <w:t>Indeterminate or suspicious solid/enhancing components</w:t>
            </w:r>
          </w:p>
        </w:tc>
        <w:tc>
          <w:tcPr>
            <w:tcW w:type="dxa" w:w="1036"/>
            <w:vAlign w:val="top"/>
          </w:tcPr>
          <w:p>
            <w:pPr>
              <w:spacing w:after="40" w:before="0" w:line="259" w:lineRule="auto"/>
            </w:pPr>
            <w:r>
              <w:rPr>
                <w:rFonts w:ascii="Calibri" w:hAnsi="Calibri"/>
                <w:b w:val="0"/>
                <w:i w:val="0"/>
                <w:color w:val="212121"/>
                <w:sz w:val="16"/>
              </w:rPr>
              <w:t>Problem-solving tool for sonographically indeterminate masses</w:t>
            </w:r>
          </w:p>
        </w:tc>
        <w:tc>
          <w:tcPr>
            <w:tcW w:type="dxa" w:w="1036"/>
            <w:vAlign w:val="top"/>
          </w:tcPr>
          <w:p>
            <w:pPr>
              <w:spacing w:after="40" w:before="0" w:line="259" w:lineRule="auto"/>
            </w:pPr>
            <w:r>
              <w:rPr>
                <w:rFonts w:ascii="Calibri" w:hAnsi="Calibri"/>
                <w:b w:val="0"/>
                <w:i w:val="0"/>
                <w:color w:val="212121"/>
                <w:sz w:val="16"/>
              </w:rPr>
              <w:t>Women with indeterminate adnexal masses on ultrasound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Problem-solving</w:t>
            </w:r>
          </w:p>
        </w:tc>
        <w:tc>
          <w:tcPr>
            <w:tcW w:type="dxa" w:w="720"/>
            <w:vAlign w:val="top"/>
          </w:tcPr>
          <w:p>
            <w:pPr>
              <w:spacing w:after="40" w:before="0" w:line="259" w:lineRule="auto"/>
            </w:pPr>
            <w:r>
              <w:rPr>
                <w:rFonts w:ascii="Calibri" w:hAnsi="Calibri"/>
                <w:b w:val="0"/>
                <w:i w:val="0"/>
                <w:color w:val="212121"/>
                <w:sz w:val="16"/>
              </w:rPr>
              <w:t>No ionising radiation; CT reserved for staging if malignancy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LH, FSH, total/free testosterone, TSH, prolactin</w:t>
            </w:r>
          </w:p>
        </w:tc>
        <w:tc>
          <w:tcPr>
            <w:tcW w:type="dxa" w:w="892"/>
            <w:vAlign w:val="top"/>
          </w:tcPr>
          <w:p>
            <w:pPr>
              <w:spacing w:after="40" w:before="0" w:line="259" w:lineRule="auto"/>
            </w:pPr>
            <w:r>
              <w:rPr>
                <w:rFonts w:ascii="Calibri" w:hAnsi="Calibri"/>
                <w:b w:val="0"/>
                <w:i w:val="0"/>
                <w:color w:val="212121"/>
                <w:sz w:val="16"/>
              </w:rPr>
              <w:t>Endocrine profile</w:t>
            </w:r>
          </w:p>
        </w:tc>
        <w:tc>
          <w:tcPr>
            <w:tcW w:type="dxa" w:w="950"/>
            <w:vAlign w:val="top"/>
          </w:tcPr>
          <w:p>
            <w:pPr>
              <w:spacing w:after="40" w:before="0" w:line="259" w:lineRule="auto"/>
            </w:pPr>
            <w:r>
              <w:rPr>
                <w:rFonts w:ascii="Calibri" w:hAnsi="Calibri"/>
                <w:b w:val="0"/>
                <w:i w:val="0"/>
                <w:color w:val="212121"/>
                <w:sz w:val="16"/>
              </w:rPr>
              <w:t>Normal gonadotropins, androgens and thyroid function</w:t>
            </w:r>
          </w:p>
        </w:tc>
        <w:tc>
          <w:tcPr>
            <w:tcW w:type="dxa" w:w="950"/>
            <w:vAlign w:val="top"/>
          </w:tcPr>
          <w:p>
            <w:pPr>
              <w:spacing w:after="40" w:before="0" w:line="259" w:lineRule="auto"/>
            </w:pPr>
            <w:r>
              <w:rPr>
                <w:rFonts w:ascii="Calibri" w:hAnsi="Calibri"/>
                <w:b w:val="0"/>
                <w:i w:val="0"/>
                <w:color w:val="212121"/>
                <w:sz w:val="16"/>
              </w:rPr>
              <w:t>↑ LH:FSH ratio, ↑ androgens, deranged TSH/prolactin</w:t>
            </w:r>
          </w:p>
        </w:tc>
        <w:tc>
          <w:tcPr>
            <w:tcW w:type="dxa" w:w="1036"/>
            <w:vAlign w:val="top"/>
          </w:tcPr>
          <w:p>
            <w:pPr>
              <w:spacing w:after="40" w:before="0" w:line="259" w:lineRule="auto"/>
            </w:pPr>
            <w:r>
              <w:rPr>
                <w:rFonts w:ascii="Calibri" w:hAnsi="Calibri"/>
                <w:b w:val="0"/>
                <w:i w:val="0"/>
                <w:color w:val="212121"/>
                <w:sz w:val="16"/>
              </w:rPr>
              <w:t>Identifies PCOS and endocrine causes of recurrent or bilateral cysts</w:t>
            </w:r>
          </w:p>
        </w:tc>
        <w:tc>
          <w:tcPr>
            <w:tcW w:type="dxa" w:w="1036"/>
            <w:vAlign w:val="top"/>
          </w:tcPr>
          <w:p>
            <w:pPr>
              <w:spacing w:after="40" w:before="0" w:line="259" w:lineRule="auto"/>
            </w:pPr>
            <w:r>
              <w:rPr>
                <w:rFonts w:ascii="Calibri" w:hAnsi="Calibri"/>
                <w:b w:val="0"/>
                <w:i w:val="0"/>
                <w:color w:val="212121"/>
                <w:sz w:val="16"/>
              </w:rPr>
              <w:t>Women with oligomenorrhoea, hyperandrogenism or recurrent cysts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Aetiological work-up</w:t>
            </w:r>
          </w:p>
        </w:tc>
        <w:tc>
          <w:tcPr>
            <w:tcW w:type="dxa" w:w="720"/>
            <w:vAlign w:val="top"/>
          </w:tcPr>
          <w:p>
            <w:pPr>
              <w:spacing w:after="40" w:before="0" w:line="259" w:lineRule="auto"/>
            </w:pPr>
            <w:r>
              <w:rPr>
                <w:rFonts w:ascii="Calibri" w:hAnsi="Calibri"/>
                <w:b w:val="0"/>
                <w:i w:val="0"/>
                <w:color w:val="212121"/>
                <w:sz w:val="16"/>
              </w:rPr>
              <w:t>Interpret androgens with clinical hyperandrogenism (hirsutism/acne)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Pelvic pain, pressure, bloating, menstrual change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Directs assessment and urgency; many cysts are incidental and asymptomatic</w:t>
            </w:r>
          </w:p>
        </w:tc>
        <w:tc>
          <w:tcPr>
            <w:tcW w:type="dxa" w:w="1036"/>
            <w:vAlign w:val="top"/>
          </w:tcPr>
          <w:p>
            <w:pPr>
              <w:spacing w:after="40" w:before="0" w:line="259" w:lineRule="auto"/>
            </w:pPr>
            <w:r>
              <w:rPr>
                <w:rFonts w:ascii="Calibri" w:hAnsi="Calibri"/>
                <w:b w:val="0"/>
                <w:i w:val="0"/>
                <w:color w:val="212121"/>
                <w:sz w:val="16"/>
              </w:rPr>
              <w:t>Reproductive-age women, women with pelvic symptoms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Characterise pain onset, side, relation to cycle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fertility history</w:t>
            </w:r>
          </w:p>
        </w:tc>
        <w:tc>
          <w:tcPr>
            <w:tcW w:type="dxa" w:w="979"/>
            <w:vAlign w:val="top"/>
          </w:tcPr>
          <w:p>
            <w:pPr>
              <w:spacing w:after="40" w:before="0" w:line="259" w:lineRule="auto"/>
            </w:pPr>
            <w:r>
              <w:rPr>
                <w:rFonts w:ascii="Calibri" w:hAnsi="Calibri"/>
                <w:b w:val="0"/>
                <w:i w:val="0"/>
                <w:color w:val="212121"/>
                <w:sz w:val="16"/>
              </w:rPr>
              <w:t>Cycle regularity, dysmenorrhoea, dyspareunia, subfertility</w:t>
            </w:r>
          </w:p>
        </w:tc>
        <w:tc>
          <w:tcPr>
            <w:tcW w:type="dxa" w:w="950"/>
            <w:vAlign w:val="top"/>
          </w:tcPr>
          <w:p>
            <w:pPr>
              <w:spacing w:after="40" w:before="0" w:line="259" w:lineRule="auto"/>
            </w:pPr>
            <w:r>
              <w:rPr>
                <w:rFonts w:ascii="Calibri" w:hAnsi="Calibri"/>
                <w:b w:val="0"/>
                <w:i w:val="0"/>
                <w:color w:val="212121"/>
                <w:sz w:val="16"/>
              </w:rPr>
              <w:t>Regular painless cycles, no subfertility</w:t>
            </w:r>
          </w:p>
        </w:tc>
        <w:tc>
          <w:tcPr>
            <w:tcW w:type="dxa" w:w="950"/>
            <w:vAlign w:val="top"/>
          </w:tcPr>
          <w:p>
            <w:pPr>
              <w:spacing w:after="40" w:before="0" w:line="259" w:lineRule="auto"/>
            </w:pPr>
            <w:r>
              <w:rPr>
                <w:rFonts w:ascii="Calibri" w:hAnsi="Calibri"/>
                <w:b w:val="0"/>
                <w:i w:val="0"/>
                <w:color w:val="212121"/>
                <w:sz w:val="16"/>
              </w:rPr>
              <w:t>Oligo/irregular cycles, dysmenorrhoea, infertility</w:t>
            </w:r>
          </w:p>
        </w:tc>
        <w:tc>
          <w:tcPr>
            <w:tcW w:type="dxa" w:w="1036"/>
            <w:vAlign w:val="top"/>
          </w:tcPr>
          <w:p>
            <w:pPr>
              <w:spacing w:after="40" w:before="0" w:line="259" w:lineRule="auto"/>
            </w:pPr>
            <w:r>
              <w:rPr>
                <w:rFonts w:ascii="Calibri" w:hAnsi="Calibri"/>
                <w:b w:val="0"/>
                <w:i w:val="0"/>
                <w:color w:val="212121"/>
                <w:sz w:val="16"/>
              </w:rPr>
              <w:t>Points to PCOS (irregular cycles) or endometrioma (dysmenorrhoea, dyspareunia, subfertility)</w:t>
            </w:r>
          </w:p>
        </w:tc>
        <w:tc>
          <w:tcPr>
            <w:tcW w:type="dxa" w:w="1036"/>
            <w:vAlign w:val="top"/>
          </w:tcPr>
          <w:p>
            <w:pPr>
              <w:spacing w:after="40" w:before="0" w:line="259" w:lineRule="auto"/>
            </w:pPr>
            <w:r>
              <w:rPr>
                <w:rFonts w:ascii="Calibri" w:hAnsi="Calibri"/>
                <w:b w:val="0"/>
                <w:i w:val="0"/>
                <w:color w:val="212121"/>
                <w:sz w:val="16"/>
              </w:rPr>
              <w:t>Women with menstrual disturbance or infertility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Note contraceptive use and any ovulation-induction/tamoxifen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Acute pain screen</w:t>
            </w:r>
          </w:p>
        </w:tc>
        <w:tc>
          <w:tcPr>
            <w:tcW w:type="dxa" w:w="979"/>
            <w:vAlign w:val="top"/>
          </w:tcPr>
          <w:p>
            <w:pPr>
              <w:spacing w:after="40" w:before="0" w:line="259" w:lineRule="auto"/>
            </w:pPr>
            <w:r>
              <w:rPr>
                <w:rFonts w:ascii="Calibri" w:hAnsi="Calibri"/>
                <w:b w:val="0"/>
                <w:i w:val="0"/>
                <w:color w:val="212121"/>
                <w:sz w:val="16"/>
              </w:rPr>
              <w:t>Sudden severe unilateral pelvic pain ± nausea/vomiting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Raises suspicion of ovarian torsion or cyst rupture — a gynaecological emergency</w:t>
            </w:r>
          </w:p>
        </w:tc>
        <w:tc>
          <w:tcPr>
            <w:tcW w:type="dxa" w:w="1036"/>
            <w:vAlign w:val="top"/>
          </w:tcPr>
          <w:p>
            <w:pPr>
              <w:spacing w:after="40" w:before="0" w:line="259" w:lineRule="auto"/>
            </w:pPr>
            <w:r>
              <w:rPr>
                <w:rFonts w:ascii="Calibri" w:hAnsi="Calibri"/>
                <w:b w:val="0"/>
                <w:i w:val="0"/>
                <w:color w:val="212121"/>
                <w:sz w:val="16"/>
              </w:rPr>
              <w:t>Women presenting acutely, women with known large/mobile cysts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triage</w:t>
            </w:r>
          </w:p>
        </w:tc>
        <w:tc>
          <w:tcPr>
            <w:tcW w:type="dxa" w:w="720"/>
            <w:vAlign w:val="top"/>
          </w:tcPr>
          <w:p>
            <w:pPr>
              <w:spacing w:after="40" w:before="0" w:line="259" w:lineRule="auto"/>
            </w:pPr>
            <w:r>
              <w:rPr>
                <w:rFonts w:ascii="Calibri" w:hAnsi="Calibri"/>
                <w:b w:val="0"/>
                <w:i w:val="0"/>
                <w:color w:val="212121"/>
                <w:sz w:val="16"/>
              </w:rPr>
              <w:t>Torsion is the 5th most common gynaecological emergency; act urgently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&amp; bimanual pelvic exam</w:t>
            </w:r>
          </w:p>
        </w:tc>
        <w:tc>
          <w:tcPr>
            <w:tcW w:type="dxa" w:w="979"/>
            <w:vAlign w:val="top"/>
          </w:tcPr>
          <w:p>
            <w:pPr>
              <w:spacing w:after="40" w:before="0" w:line="259" w:lineRule="auto"/>
            </w:pPr>
            <w:r>
              <w:rPr>
                <w:rFonts w:ascii="Calibri" w:hAnsi="Calibri"/>
                <w:b w:val="0"/>
                <w:i w:val="0"/>
                <w:color w:val="212121"/>
                <w:sz w:val="16"/>
              </w:rPr>
              <w:t>Adnexal mass, tenderness, mobility</w:t>
            </w:r>
          </w:p>
        </w:tc>
        <w:tc>
          <w:tcPr>
            <w:tcW w:type="dxa" w:w="950"/>
            <w:vAlign w:val="top"/>
          </w:tcPr>
          <w:p>
            <w:pPr>
              <w:spacing w:after="40" w:before="0" w:line="259" w:lineRule="auto"/>
            </w:pPr>
            <w:r>
              <w:rPr>
                <w:rFonts w:ascii="Calibri" w:hAnsi="Calibri"/>
                <w:b w:val="0"/>
                <w:i w:val="0"/>
                <w:color w:val="212121"/>
                <w:sz w:val="16"/>
              </w:rPr>
              <w:t>No mass, non-tender</w:t>
            </w:r>
          </w:p>
        </w:tc>
        <w:tc>
          <w:tcPr>
            <w:tcW w:type="dxa" w:w="950"/>
            <w:vAlign w:val="top"/>
          </w:tcPr>
          <w:p>
            <w:pPr>
              <w:spacing w:after="40" w:before="0" w:line="259" w:lineRule="auto"/>
            </w:pPr>
            <w:r>
              <w:rPr>
                <w:rFonts w:ascii="Calibri" w:hAnsi="Calibri"/>
                <w:b w:val="0"/>
                <w:i w:val="0"/>
                <w:color w:val="212121"/>
                <w:sz w:val="16"/>
              </w:rPr>
              <w:t>Palpable adnexal mass, tenderness, or fixed/irregular mass</w:t>
            </w:r>
          </w:p>
        </w:tc>
        <w:tc>
          <w:tcPr>
            <w:tcW w:type="dxa" w:w="1036"/>
            <w:vAlign w:val="top"/>
          </w:tcPr>
          <w:p>
            <w:pPr>
              <w:spacing w:after="40" w:before="0" w:line="259" w:lineRule="auto"/>
            </w:pPr>
            <w:r>
              <w:rPr>
                <w:rFonts w:ascii="Calibri" w:hAnsi="Calibri"/>
                <w:b w:val="0"/>
                <w:i w:val="0"/>
                <w:color w:val="212121"/>
                <w:sz w:val="16"/>
              </w:rPr>
              <w:t>Detects and localises a mass and flags features suspicious for malignancy (fixed, bilateral, nodular)</w:t>
            </w:r>
          </w:p>
        </w:tc>
        <w:tc>
          <w:tcPr>
            <w:tcW w:type="dxa" w:w="1036"/>
            <w:vAlign w:val="top"/>
          </w:tcPr>
          <w:p>
            <w:pPr>
              <w:spacing w:after="40" w:before="0" w:line="259" w:lineRule="auto"/>
            </w:pPr>
            <w:r>
              <w:rPr>
                <w:rFonts w:ascii="Calibri" w:hAnsi="Calibri"/>
                <w:b w:val="0"/>
                <w:i w:val="0"/>
                <w:color w:val="212121"/>
                <w:sz w:val="16"/>
              </w:rPr>
              <w:t>Women with pelvic symptoms or an adnexal finding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 diagnosis</w:t>
            </w:r>
          </w:p>
        </w:tc>
        <w:tc>
          <w:tcPr>
            <w:tcW w:type="dxa" w:w="720"/>
            <w:vAlign w:val="top"/>
          </w:tcPr>
          <w:p>
            <w:pPr>
              <w:spacing w:after="40" w:before="0" w:line="259" w:lineRule="auto"/>
            </w:pPr>
            <w:r>
              <w:rPr>
                <w:rFonts w:ascii="Calibri" w:hAnsi="Calibri"/>
                <w:b w:val="0"/>
                <w:i w:val="0"/>
                <w:color w:val="212121"/>
                <w:sz w:val="16"/>
              </w:rPr>
              <w:t>Exam limited by body habitus and small cyst size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Signs of hyperandrogenism</w:t>
            </w:r>
          </w:p>
        </w:tc>
        <w:tc>
          <w:tcPr>
            <w:tcW w:type="dxa" w:w="979"/>
            <w:vAlign w:val="top"/>
          </w:tcPr>
          <w:p>
            <w:pPr>
              <w:spacing w:after="40" w:before="0" w:line="259" w:lineRule="auto"/>
            </w:pPr>
            <w:r>
              <w:rPr>
                <w:rFonts w:ascii="Calibri" w:hAnsi="Calibri"/>
                <w:b w:val="0"/>
                <w:i w:val="0"/>
                <w:color w:val="212121"/>
                <w:sz w:val="16"/>
              </w:rPr>
              <w:t>Hirsutism, acne, acanthosis nigricans, alopecia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Clinical marker of PCOS / insulin resistance underlying polycystic ovarian morphology</w:t>
            </w:r>
          </w:p>
        </w:tc>
        <w:tc>
          <w:tcPr>
            <w:tcW w:type="dxa" w:w="1036"/>
            <w:vAlign w:val="top"/>
          </w:tcPr>
          <w:p>
            <w:pPr>
              <w:spacing w:after="40" w:before="0" w:line="259" w:lineRule="auto"/>
            </w:pPr>
            <w:r>
              <w:rPr>
                <w:rFonts w:ascii="Calibri" w:hAnsi="Calibri"/>
                <w:b w:val="0"/>
                <w:i w:val="0"/>
                <w:color w:val="212121"/>
                <w:sz w:val="16"/>
              </w:rPr>
              <w:t>Women with irregular cycles or polycystic ovaries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In one NE India PCOS cohort hirsutism affected 43% and acne 49%</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Vital signs &amp; peritoneal signs</w:t>
            </w:r>
          </w:p>
        </w:tc>
        <w:tc>
          <w:tcPr>
            <w:tcW w:type="dxa" w:w="979"/>
            <w:vAlign w:val="top"/>
          </w:tcPr>
          <w:p>
            <w:pPr>
              <w:spacing w:after="40" w:before="0" w:line="259" w:lineRule="auto"/>
            </w:pPr>
            <w:r>
              <w:rPr>
                <w:rFonts w:ascii="Calibri" w:hAnsi="Calibri"/>
                <w:b w:val="0"/>
                <w:i w:val="0"/>
                <w:color w:val="212121"/>
                <w:sz w:val="16"/>
              </w:rPr>
              <w:t>Haemodynamic stability, guarding, rebound</w:t>
            </w:r>
          </w:p>
        </w:tc>
        <w:tc>
          <w:tcPr>
            <w:tcW w:type="dxa" w:w="950"/>
            <w:vAlign w:val="top"/>
          </w:tcPr>
          <w:p>
            <w:pPr>
              <w:spacing w:after="40" w:before="0" w:line="259" w:lineRule="auto"/>
            </w:pPr>
            <w:r>
              <w:rPr>
                <w:rFonts w:ascii="Calibri" w:hAnsi="Calibri"/>
                <w:b w:val="0"/>
                <w:i w:val="0"/>
                <w:color w:val="212121"/>
                <w:sz w:val="16"/>
              </w:rPr>
              <w:t>Stable, soft non-tender abdomen</w:t>
            </w:r>
          </w:p>
        </w:tc>
        <w:tc>
          <w:tcPr>
            <w:tcW w:type="dxa" w:w="950"/>
            <w:vAlign w:val="top"/>
          </w:tcPr>
          <w:p>
            <w:pPr>
              <w:spacing w:after="40" w:before="0" w:line="259" w:lineRule="auto"/>
            </w:pPr>
            <w:r>
              <w:rPr>
                <w:rFonts w:ascii="Calibri" w:hAnsi="Calibri"/>
                <w:b w:val="0"/>
                <w:i w:val="0"/>
                <w:color w:val="212121"/>
                <w:sz w:val="16"/>
              </w:rPr>
              <w:t>Tachycardia, hypotension, peritonism</w:t>
            </w:r>
          </w:p>
        </w:tc>
        <w:tc>
          <w:tcPr>
            <w:tcW w:type="dxa" w:w="1036"/>
            <w:vAlign w:val="top"/>
          </w:tcPr>
          <w:p>
            <w:pPr>
              <w:spacing w:after="40" w:before="0" w:line="259" w:lineRule="auto"/>
            </w:pPr>
            <w:r>
              <w:rPr>
                <w:rFonts w:ascii="Calibri" w:hAnsi="Calibri"/>
                <w:b w:val="0"/>
                <w:i w:val="0"/>
                <w:color w:val="212121"/>
                <w:sz w:val="16"/>
              </w:rPr>
              <w:t>Suggests a ruptured haemorrhagic cyst with haemoperitoneum requiring urgent care</w:t>
            </w:r>
          </w:p>
        </w:tc>
        <w:tc>
          <w:tcPr>
            <w:tcW w:type="dxa" w:w="1036"/>
            <w:vAlign w:val="top"/>
          </w:tcPr>
          <w:p>
            <w:pPr>
              <w:spacing w:after="40" w:before="0" w:line="259" w:lineRule="auto"/>
            </w:pPr>
            <w:r>
              <w:rPr>
                <w:rFonts w:ascii="Calibri" w:hAnsi="Calibri"/>
                <w:b w:val="0"/>
                <w:i w:val="0"/>
                <w:color w:val="212121"/>
                <w:sz w:val="16"/>
              </w:rPr>
              <w:t>Women with acute abdomen or collapse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Emergency assessment</w:t>
            </w:r>
          </w:p>
        </w:tc>
        <w:tc>
          <w:tcPr>
            <w:tcW w:type="dxa" w:w="720"/>
            <w:vAlign w:val="top"/>
          </w:tcPr>
          <w:p>
            <w:pPr>
              <w:spacing w:after="40" w:before="0" w:line="259" w:lineRule="auto"/>
            </w:pPr>
            <w:r>
              <w:rPr>
                <w:rFonts w:ascii="Calibri" w:hAnsi="Calibri"/>
                <w:b w:val="0"/>
                <w:i w:val="0"/>
                <w:color w:val="212121"/>
                <w:sz w:val="16"/>
              </w:rPr>
              <w:t>May need transfusion and surgical intervention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Menopausal status</w:t>
            </w:r>
          </w:p>
        </w:tc>
        <w:tc>
          <w:tcPr>
            <w:tcW w:type="dxa" w:w="979"/>
            <w:vAlign w:val="top"/>
          </w:tcPr>
          <w:p>
            <w:pPr>
              <w:spacing w:after="40" w:before="0" w:line="259" w:lineRule="auto"/>
            </w:pPr>
            <w:r>
              <w:rPr>
                <w:rFonts w:ascii="Calibri" w:hAnsi="Calibri"/>
                <w:b w:val="0"/>
                <w:i w:val="0"/>
                <w:color w:val="212121"/>
                <w:sz w:val="16"/>
              </w:rPr>
              <w:t>Pre- vs postmenopausal, age</w:t>
            </w:r>
          </w:p>
        </w:tc>
        <w:tc>
          <w:tcPr>
            <w:tcW w:type="dxa" w:w="950"/>
            <w:vAlign w:val="top"/>
          </w:tcPr>
          <w:p>
            <w:pPr>
              <w:spacing w:after="40" w:before="0" w:line="259" w:lineRule="auto"/>
            </w:pPr>
            <w:r>
              <w:rPr>
                <w:rFonts w:ascii="Calibri" w:hAnsi="Calibri"/>
                <w:b w:val="0"/>
                <w:i w:val="0"/>
                <w:color w:val="212121"/>
                <w:sz w:val="16"/>
              </w:rPr>
              <w:t>Premenopausal (lower malignancy risk)</w:t>
            </w:r>
          </w:p>
        </w:tc>
        <w:tc>
          <w:tcPr>
            <w:tcW w:type="dxa" w:w="950"/>
            <w:vAlign w:val="top"/>
          </w:tcPr>
          <w:p>
            <w:pPr>
              <w:spacing w:after="40" w:before="0" w:line="259" w:lineRule="auto"/>
            </w:pPr>
            <w:r>
              <w:rPr>
                <w:rFonts w:ascii="Calibri" w:hAnsi="Calibri"/>
                <w:b w:val="0"/>
                <w:i w:val="0"/>
                <w:color w:val="212121"/>
                <w:sz w:val="16"/>
              </w:rPr>
              <w:t>Postmenopausal (higher malignancy risk)</w:t>
            </w:r>
          </w:p>
        </w:tc>
        <w:tc>
          <w:tcPr>
            <w:tcW w:type="dxa" w:w="1036"/>
            <w:vAlign w:val="top"/>
          </w:tcPr>
          <w:p>
            <w:pPr>
              <w:spacing w:after="40" w:before="0" w:line="259" w:lineRule="auto"/>
            </w:pPr>
            <w:r>
              <w:rPr>
                <w:rFonts w:ascii="Calibri" w:hAnsi="Calibri"/>
                <w:b w:val="0"/>
                <w:i w:val="0"/>
                <w:color w:val="212121"/>
                <w:sz w:val="16"/>
              </w:rPr>
              <w:t>Key modifier of malignancy risk and of the intensity of investigation/follow-up</w:t>
            </w:r>
          </w:p>
        </w:tc>
        <w:tc>
          <w:tcPr>
            <w:tcW w:type="dxa" w:w="1036"/>
            <w:vAlign w:val="top"/>
          </w:tcPr>
          <w:p>
            <w:pPr>
              <w:spacing w:after="40" w:before="0" w:line="259" w:lineRule="auto"/>
            </w:pPr>
            <w:r>
              <w:rPr>
                <w:rFonts w:ascii="Calibri" w:hAnsi="Calibri"/>
                <w:b w:val="0"/>
                <w:i w:val="0"/>
                <w:color w:val="212121"/>
                <w:sz w:val="16"/>
              </w:rPr>
              <w:t>All women with an ovarian cyst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Postmenopausal simple cysts still mostly benign but need documentation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(incidental finding)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Many cysts, especially small functional and simple cysts, are detected incidentally on imaging.</w:t>
            </w:r>
          </w:p>
        </w:tc>
      </w:tr>
      <w:tr>
        <w:trPr>
          <w:cantSplit/>
        </w:trPr>
        <w:tc>
          <w:tcPr>
            <w:tcW w:type="dxa" w:w="2304"/>
            <w:vAlign w:val="top"/>
          </w:tcPr>
          <w:p>
            <w:pPr>
              <w:spacing w:after="40" w:before="0" w:line="259" w:lineRule="auto"/>
            </w:pPr>
            <w:r>
              <w:rPr>
                <w:rFonts w:ascii="Calibri" w:hAnsi="Calibri"/>
                <w:b/>
                <w:i w:val="0"/>
                <w:color w:val="212121"/>
                <w:sz w:val="19"/>
              </w:rPr>
              <w:t>Dull lower-abdominal / pelvic pain or pressure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Unilateral ache from stretching of the ovarian capsule or mass effect on adjacent structures.</w:t>
            </w:r>
          </w:p>
        </w:tc>
      </w:tr>
      <w:tr>
        <w:trPr>
          <w:cantSplit/>
        </w:trPr>
        <w:tc>
          <w:tcPr>
            <w:tcW w:type="dxa" w:w="2304"/>
            <w:vAlign w:val="top"/>
          </w:tcPr>
          <w:p>
            <w:pPr>
              <w:spacing w:after="40" w:before="0" w:line="259" w:lineRule="auto"/>
            </w:pPr>
            <w:r>
              <w:rPr>
                <w:rFonts w:ascii="Calibri" w:hAnsi="Calibri"/>
                <w:b/>
                <w:i w:val="0"/>
                <w:color w:val="212121"/>
                <w:sz w:val="19"/>
              </w:rPr>
              <w:t>Abdominal bloating or fullness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Distension from a large or enlarging cyst; may be mistaken for weight gain.</w:t>
            </w:r>
          </w:p>
        </w:tc>
      </w:tr>
      <w:tr>
        <w:trPr>
          <w:cantSplit/>
        </w:trPr>
        <w:tc>
          <w:tcPr>
            <w:tcW w:type="dxa" w:w="2304"/>
            <w:vAlign w:val="top"/>
          </w:tcPr>
          <w:p>
            <w:pPr>
              <w:spacing w:after="40" w:before="0" w:line="259" w:lineRule="auto"/>
            </w:pPr>
            <w:r>
              <w:rPr>
                <w:rFonts w:ascii="Calibri" w:hAnsi="Calibri"/>
                <w:b/>
                <w:i w:val="0"/>
                <w:color w:val="212121"/>
                <w:sz w:val="19"/>
              </w:rPr>
              <w:t>Menstrual irregularity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Functional cysts and PCOS disturb the ovulatory cycle, causing oligo- or irregular menses.</w:t>
            </w:r>
          </w:p>
        </w:tc>
      </w:tr>
      <w:tr>
        <w:trPr>
          <w:cantSplit/>
        </w:trPr>
        <w:tc>
          <w:tcPr>
            <w:tcW w:type="dxa" w:w="2304"/>
            <w:vAlign w:val="top"/>
          </w:tcPr>
          <w:p>
            <w:pPr>
              <w:spacing w:after="40" w:before="0" w:line="259" w:lineRule="auto"/>
            </w:pPr>
            <w:r>
              <w:rPr>
                <w:rFonts w:ascii="Calibri" w:hAnsi="Calibri"/>
                <w:b/>
                <w:i w:val="0"/>
                <w:color w:val="212121"/>
                <w:sz w:val="19"/>
              </w:rPr>
              <w:t>Dysmenorrhoea (painful periods)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with endometriomas and cyclical cyst-related pain.</w:t>
            </w:r>
          </w:p>
        </w:tc>
      </w:tr>
      <w:tr>
        <w:trPr>
          <w:cantSplit/>
        </w:trPr>
        <w:tc>
          <w:tcPr>
            <w:tcW w:type="dxa" w:w="2304"/>
            <w:vAlign w:val="top"/>
          </w:tcPr>
          <w:p>
            <w:pPr>
              <w:spacing w:after="40" w:before="0" w:line="259" w:lineRule="auto"/>
            </w:pPr>
            <w:r>
              <w:rPr>
                <w:rFonts w:ascii="Calibri" w:hAnsi="Calibri"/>
                <w:b/>
                <w:i w:val="0"/>
                <w:color w:val="212121"/>
                <w:sz w:val="19"/>
              </w:rPr>
              <w:t>Deep dyspareunia (pain with intercourse)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Associated with endometriomas and posterior pelvic pathology.</w:t>
            </w:r>
          </w:p>
        </w:tc>
      </w:tr>
      <w:tr>
        <w:trPr>
          <w:cantSplit/>
        </w:trPr>
        <w:tc>
          <w:tcPr>
            <w:tcW w:type="dxa" w:w="2304"/>
            <w:vAlign w:val="top"/>
          </w:tcPr>
          <w:p>
            <w:pPr>
              <w:spacing w:after="40" w:before="0" w:line="259" w:lineRule="auto"/>
            </w:pPr>
            <w:r>
              <w:rPr>
                <w:rFonts w:ascii="Calibri" w:hAnsi="Calibri"/>
                <w:b/>
                <w:i w:val="0"/>
                <w:color w:val="212121"/>
                <w:sz w:val="19"/>
              </w:rPr>
              <w:t>Sudden severe unilateral pelvic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ovarian torsion or cyst rupture — a gynaecological emergency.</w:t>
            </w:r>
          </w:p>
        </w:tc>
      </w:tr>
      <w:tr>
        <w:trPr>
          <w:cantSplit/>
        </w:trPr>
        <w:tc>
          <w:tcPr>
            <w:tcW w:type="dxa" w:w="2304"/>
            <w:vAlign w:val="top"/>
          </w:tcPr>
          <w:p>
            <w:pPr>
              <w:spacing w:after="40" w:before="0" w:line="259" w:lineRule="auto"/>
            </w:pPr>
            <w:r>
              <w:rPr>
                <w:rFonts w:ascii="Calibri" w:hAnsi="Calibri"/>
                <w:b/>
                <w:i w:val="0"/>
                <w:color w:val="212121"/>
                <w:sz w:val="19"/>
              </w:rPr>
              <w:t>Nausea and vomiting with acute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Frequently accompanies torsion; mimics other acute abdomens.</w:t>
            </w:r>
          </w:p>
        </w:tc>
      </w:tr>
      <w:tr>
        <w:trPr>
          <w:cantSplit/>
        </w:trPr>
        <w:tc>
          <w:tcPr>
            <w:tcW w:type="dxa" w:w="2304"/>
            <w:vAlign w:val="top"/>
          </w:tcPr>
          <w:p>
            <w:pPr>
              <w:spacing w:after="40" w:before="0" w:line="259" w:lineRule="auto"/>
            </w:pPr>
            <w:r>
              <w:rPr>
                <w:rFonts w:ascii="Calibri" w:hAnsi="Calibri"/>
                <w:b/>
                <w:i w:val="0"/>
                <w:color w:val="212121"/>
                <w:sz w:val="19"/>
              </w:rPr>
              <w:t>Early satiety, urinary frequency or constipation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Pressure effects of a large cyst on the bladder and bowel.</w:t>
            </w:r>
          </w:p>
        </w:tc>
      </w:tr>
      <w:tr>
        <w:trPr>
          <w:cantSplit/>
        </w:trPr>
        <w:tc>
          <w:tcPr>
            <w:tcW w:type="dxa" w:w="2304"/>
            <w:vAlign w:val="top"/>
          </w:tcPr>
          <w:p>
            <w:pPr>
              <w:spacing w:after="40" w:before="0" w:line="259" w:lineRule="auto"/>
            </w:pPr>
            <w:r>
              <w:rPr>
                <w:rFonts w:ascii="Calibri" w:hAnsi="Calibri"/>
                <w:b/>
                <w:i w:val="0"/>
                <w:color w:val="212121"/>
                <w:sz w:val="19"/>
              </w:rPr>
              <w:t>Subfertility / difficulty conceiving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Endometriomas and polycystic ovaries impair ovulation and ovarian reserve.</w:t>
            </w:r>
          </w:p>
        </w:tc>
      </w:tr>
      <w:tr>
        <w:trPr>
          <w:cantSplit/>
        </w:trPr>
        <w:tc>
          <w:tcPr>
            <w:tcW w:type="dxa" w:w="2304"/>
            <w:vAlign w:val="top"/>
          </w:tcPr>
          <w:p>
            <w:pPr>
              <w:spacing w:after="40" w:before="0" w:line="259" w:lineRule="auto"/>
            </w:pPr>
            <w:r>
              <w:rPr>
                <w:rFonts w:ascii="Calibri" w:hAnsi="Calibri"/>
                <w:b/>
                <w:i w:val="0"/>
                <w:color w:val="212121"/>
                <w:sz w:val="19"/>
              </w:rPr>
              <w:t>Abnormal uterine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Corpus luteum and some hormone-active cysts alter the bleeding pattern.</w:t>
            </w:r>
          </w:p>
        </w:tc>
      </w:tr>
      <w:tr>
        <w:trPr>
          <w:cantSplit/>
        </w:trPr>
        <w:tc>
          <w:tcPr>
            <w:tcW w:type="dxa" w:w="2304"/>
            <w:vAlign w:val="top"/>
          </w:tcPr>
          <w:p>
            <w:pPr>
              <w:spacing w:after="40" w:before="0" w:line="259" w:lineRule="auto"/>
            </w:pPr>
            <w:r>
              <w:rPr>
                <w:rFonts w:ascii="Calibri" w:hAnsi="Calibri"/>
                <w:b/>
                <w:i w:val="0"/>
                <w:color w:val="212121"/>
                <w:sz w:val="19"/>
              </w:rPr>
              <w:t>Hirsutism / acne (androgenic features)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 the hyperandrogenism of polycystic ovaries / PCOS.</w:t>
            </w:r>
          </w:p>
        </w:tc>
      </w:tr>
      <w:tr>
        <w:trPr>
          <w:cantSplit/>
        </w:trPr>
        <w:tc>
          <w:tcPr>
            <w:tcW w:type="dxa" w:w="2304"/>
            <w:vAlign w:val="top"/>
          </w:tcPr>
          <w:p>
            <w:pPr>
              <w:spacing w:after="40" w:before="0" w:line="259" w:lineRule="auto"/>
            </w:pPr>
            <w:r>
              <w:rPr>
                <w:rFonts w:ascii="Calibri" w:hAnsi="Calibri"/>
                <w:b/>
                <w:i w:val="0"/>
                <w:color w:val="212121"/>
                <w:sz w:val="19"/>
              </w:rPr>
              <w:t>Shoulder-tip pain, dizziness or collapse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significant haemoperitoneum from a ruptured haemorrhagic cyst.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Palpable adnexal / pelvic mass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Felt on bimanual examination; larger cysts may be palpable abdominally.</w:t>
            </w:r>
          </w:p>
        </w:tc>
      </w:tr>
      <w:tr>
        <w:trPr>
          <w:cantSplit/>
        </w:trPr>
        <w:tc>
          <w:tcPr>
            <w:tcW w:type="dxa" w:w="3456"/>
            <w:vAlign w:val="top"/>
          </w:tcPr>
          <w:p>
            <w:pPr>
              <w:spacing w:after="40" w:before="0" w:line="259" w:lineRule="auto"/>
            </w:pPr>
            <w:r>
              <w:rPr>
                <w:rFonts w:ascii="Calibri" w:hAnsi="Calibri"/>
                <w:b/>
                <w:i w:val="0"/>
                <w:color w:val="212121"/>
                <w:sz w:val="19"/>
              </w:rPr>
              <w:t>Adnexal / lower-abdominal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tenderness on palpation over the affected ovary.</w:t>
            </w:r>
          </w:p>
        </w:tc>
      </w:tr>
      <w:tr>
        <w:trPr>
          <w:cantSplit/>
        </w:trPr>
        <w:tc>
          <w:tcPr>
            <w:tcW w:type="dxa" w:w="3456"/>
            <w:vAlign w:val="top"/>
          </w:tcPr>
          <w:p>
            <w:pPr>
              <w:spacing w:after="40" w:before="0" w:line="259" w:lineRule="auto"/>
            </w:pPr>
            <w:r>
              <w:rPr>
                <w:rFonts w:ascii="Calibri" w:hAnsi="Calibri"/>
                <w:b/>
                <w:i w:val="0"/>
                <w:color w:val="212121"/>
                <w:sz w:val="19"/>
              </w:rPr>
              <w:t>Hirsutism, acne, 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hyperandrogenism and insulin resistance in polycystic ovaries / PCOS.</w:t>
            </w:r>
          </w:p>
        </w:tc>
      </w:tr>
      <w:tr>
        <w:trPr>
          <w:cantSplit/>
        </w:trPr>
        <w:tc>
          <w:tcPr>
            <w:tcW w:type="dxa" w:w="3456"/>
            <w:vAlign w:val="top"/>
          </w:tcPr>
          <w:p>
            <w:pPr>
              <w:spacing w:after="40" w:before="0" w:line="259" w:lineRule="auto"/>
            </w:pPr>
            <w:r>
              <w:rPr>
                <w:rFonts w:ascii="Calibri" w:hAnsi="Calibri"/>
                <w:b/>
                <w:i w:val="0"/>
                <w:color w:val="212121"/>
                <w:sz w:val="19"/>
              </w:rPr>
              <w:t>Abdominal distension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Visible or palpable enlargement from a large cyst.</w:t>
            </w:r>
          </w:p>
        </w:tc>
      </w:tr>
      <w:tr>
        <w:trPr>
          <w:cantSplit/>
        </w:trPr>
        <w:tc>
          <w:tcPr>
            <w:tcW w:type="dxa" w:w="3456"/>
            <w:vAlign w:val="top"/>
          </w:tcPr>
          <w:p>
            <w:pPr>
              <w:spacing w:after="40" w:before="0" w:line="259" w:lineRule="auto"/>
            </w:pPr>
            <w:r>
              <w:rPr>
                <w:rFonts w:ascii="Calibri" w:hAnsi="Calibri"/>
                <w:b/>
                <w:i w:val="0"/>
                <w:color w:val="212121"/>
                <w:sz w:val="19"/>
              </w:rPr>
              <w:t>Cervical-motion and adnexal tenderness / peritonism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Accompanies rupture or torsion with peritoneal irritation.</w:t>
            </w:r>
          </w:p>
        </w:tc>
      </w:tr>
      <w:tr>
        <w:trPr>
          <w:cantSplit/>
        </w:trPr>
        <w:tc>
          <w:tcPr>
            <w:tcW w:type="dxa" w:w="3456"/>
            <w:vAlign w:val="top"/>
          </w:tcPr>
          <w:p>
            <w:pPr>
              <w:spacing w:after="40" w:before="0" w:line="259" w:lineRule="auto"/>
            </w:pPr>
            <w:r>
              <w:rPr>
                <w:rFonts w:ascii="Calibri" w:hAnsi="Calibri"/>
                <w:b/>
                <w:i w:val="0"/>
                <w:color w:val="212121"/>
                <w:sz w:val="19"/>
              </w:rPr>
              <w:t>Haemodynamic instability (tachycardia, hypotension)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Result of blood loss from a ruptured haemorrhagic cyst (haemoperitoneum).</w:t>
            </w:r>
          </w:p>
        </w:tc>
      </w:tr>
      <w:tr>
        <w:trPr>
          <w:cantSplit/>
        </w:trPr>
        <w:tc>
          <w:tcPr>
            <w:tcW w:type="dxa" w:w="3456"/>
            <w:vAlign w:val="top"/>
          </w:tcPr>
          <w:p>
            <w:pPr>
              <w:spacing w:after="40" w:before="0" w:line="259" w:lineRule="auto"/>
            </w:pPr>
            <w:r>
              <w:rPr>
                <w:rFonts w:ascii="Calibri" w:hAnsi="Calibri"/>
                <w:b/>
                <w:i w:val="0"/>
                <w:color w:val="212121"/>
                <w:sz w:val="19"/>
              </w:rPr>
              <w:t>Fixed, irregular or bilateral pelvic mass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Features that raise concern for malignancy and warrant urgent work-up.</w:t>
            </w:r>
          </w:p>
        </w:tc>
      </w:tr>
      <w:tr>
        <w:trPr>
          <w:cantSplit/>
        </w:trPr>
        <w:tc>
          <w:tcPr>
            <w:tcW w:type="dxa" w:w="3456"/>
            <w:vAlign w:val="top"/>
          </w:tcPr>
          <w:p>
            <w:pPr>
              <w:spacing w:after="40" w:before="0" w:line="259" w:lineRule="auto"/>
            </w:pPr>
            <w:r>
              <w:rPr>
                <w:rFonts w:ascii="Calibri" w:hAnsi="Calibri"/>
                <w:b/>
                <w:i w:val="0"/>
                <w:color w:val="212121"/>
                <w:sz w:val="19"/>
              </w:rPr>
              <w:t>Ascites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Free fluid with a complex mass strongly suggests ovarian malignancy.</w:t>
            </w:r>
          </w:p>
        </w:tc>
      </w:tr>
      <w:tr>
        <w:trPr>
          <w:cantSplit/>
        </w:trPr>
        <w:tc>
          <w:tcPr>
            <w:tcW w:type="dxa" w:w="3456"/>
            <w:vAlign w:val="top"/>
          </w:tcPr>
          <w:p>
            <w:pPr>
              <w:spacing w:after="40" w:before="0" w:line="259" w:lineRule="auto"/>
            </w:pPr>
            <w:r>
              <w:rPr>
                <w:rFonts w:ascii="Calibri" w:hAnsi="Calibri"/>
                <w:b/>
                <w:i w:val="0"/>
                <w:color w:val="212121"/>
                <w:sz w:val="19"/>
              </w:rPr>
              <w:t>Low-grade fever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accompany torsion with necrosis or a secondarily infected cyst.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Ovarian torsion (with risk of ovarian ischaemia)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Cyst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Intracystic haemorrhage / haemorrhagic cyst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Haemoperitoneum with acute pain</w:t>
            </w:r>
          </w:p>
        </w:tc>
        <w:tc>
          <w:tcPr>
            <w:tcW w:type="dxa" w:w="2980"/>
            <w:vAlign w:val="top"/>
          </w:tcPr>
          <w:p>
            <w:pPr>
              <w:spacing w:after="40" w:before="0" w:line="259" w:lineRule="auto"/>
            </w:pPr>
            <w:r>
              <w:rPr>
                <w:rFonts w:ascii="Calibri" w:hAnsi="Calibri"/>
                <w:b w:val="0"/>
                <w:i w:val="0"/>
                <w:color w:val="212121"/>
                <w:sz w:val="19"/>
              </w:rPr>
              <w:t>Acute mechanical/haemorrhagic emergencies arising directly from the cyst; torsion is the 5th most common gynaecological emergency and cysts &gt;4 cm carry ~15% torsion risk</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Menstrual disturbance and abnormal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Subfertility / impaired ovarian reserve (endometrioma,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cyst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effects on bladder and bowel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infection / tubo-ovarian abscess</w:t>
            </w:r>
          </w:p>
        </w:tc>
        <w:tc>
          <w:tcPr>
            <w:tcW w:type="dxa" w:w="2980"/>
            <w:vAlign w:val="top"/>
          </w:tcPr>
          <w:p>
            <w:pPr>
              <w:spacing w:after="40" w:before="0" w:line="259" w:lineRule="auto"/>
            </w:pPr>
            <w:r>
              <w:rPr>
                <w:rFonts w:ascii="Calibri" w:hAnsi="Calibri"/>
                <w:b w:val="0"/>
                <w:i w:val="0"/>
                <w:color w:val="212121"/>
                <w:sz w:val="19"/>
              </w:rPr>
              <w:t>Sub-acute and chronic consequences of persistent, recurrent or endometriotic cysts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the ovary / ovarian necrosis after torsion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ovarian reserve and fertility after cystectomy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Adhesions and rarely bowel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Malignant transformation / ovarian carcinoma (esp. from endometrioma or in postmenopausal complex 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 or surgical menopause</w:t>
            </w:r>
          </w:p>
        </w:tc>
        <w:tc>
          <w:tcPr>
            <w:tcW w:type="dxa" w:w="2980"/>
            <w:vAlign w:val="top"/>
          </w:tcPr>
          <w:p>
            <w:pPr>
              <w:spacing w:after="40" w:before="0" w:line="259" w:lineRule="auto"/>
            </w:pPr>
            <w:r>
              <w:rPr>
                <w:rFonts w:ascii="Calibri" w:hAnsi="Calibri"/>
                <w:b w:val="0"/>
                <w:i w:val="0"/>
                <w:color w:val="212121"/>
                <w:sz w:val="19"/>
              </w:rPr>
              <w:t>Irreversible or long-term outcomes of severe complications, surgery or malignancy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Polycystic ovarian morphology with insulin resistance and hyperandrogenism; the commonest cyst-related disorder and shares the same ovarian pathophysiology.</w:t>
            </w:r>
          </w:p>
          <w:p>
            <w:pPr>
              <w:spacing w:after="40" w:before="0" w:line="259" w:lineRule="auto"/>
            </w:pPr>
            <w:r>
              <w:rPr>
                <w:rFonts w:ascii="Calibri" w:hAnsi="Calibri"/>
                <w:b/>
                <w:i w:val="0"/>
                <w:color w:val="212121"/>
                <w:sz w:val="19"/>
              </w:rPr>
              <w:t>3.7–22.5% of Indian women (region/criteria dependent)</w:t>
            </w:r>
          </w:p>
        </w:tc>
      </w:tr>
      <w:tr>
        <w:trPr>
          <w:cantSplit/>
        </w:trPr>
        <w:tc>
          <w:tcPr>
            <w:tcW w:type="dxa" w:w="2232"/>
            <w:vAlign w:val="top"/>
          </w:tcPr>
          <w:p>
            <w:pPr>
              <w:spacing w:after="40" w:before="0" w:line="259" w:lineRule="auto"/>
            </w:pPr>
            <w:r>
              <w:rPr>
                <w:rFonts w:ascii="Calibri" w:hAnsi="Calibri"/>
                <w:b/>
                <w:i w:val="0"/>
                <w:color w:val="212121"/>
                <w:sz w:val="19"/>
              </w:rPr>
              <w:t>Endometriosis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Ectopic endometrial tissue on the ovary forms endometriomas; endometriosis both causes and is revealed by ovarian cysts.</w:t>
            </w:r>
          </w:p>
          <w:p>
            <w:pPr>
              <w:spacing w:after="40" w:before="0" w:line="259" w:lineRule="auto"/>
            </w:pPr>
            <w:r>
              <w:rPr>
                <w:rFonts w:ascii="Calibri" w:hAnsi="Calibri"/>
                <w:b/>
                <w:i w:val="0"/>
                <w:color w:val="212121"/>
                <w:sz w:val="19"/>
              </w:rPr>
              <w:t>Endometrioma in 17–44% of women with endometriosis</w:t>
            </w:r>
          </w:p>
        </w:tc>
      </w:tr>
      <w:tr>
        <w:trPr>
          <w:cantSplit/>
        </w:trPr>
        <w:tc>
          <w:tcPr>
            <w:tcW w:type="dxa" w:w="2232"/>
            <w:vAlign w:val="top"/>
          </w:tcPr>
          <w:p>
            <w:pPr>
              <w:spacing w:after="40" w:before="0" w:line="259" w:lineRule="auto"/>
            </w:pPr>
            <w:r>
              <w:rPr>
                <w:rFonts w:ascii="Calibri" w:hAnsi="Calibri"/>
                <w:b/>
                <w:i w:val="0"/>
                <w:color w:val="212121"/>
                <w:sz w:val="19"/>
              </w:rPr>
              <w:t>Infertility / subfertility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Endometriomas and polycystic ovaries impair ovulation and ovarian reserve, and cystectomy can further reduce AMH.</w:t>
            </w:r>
          </w:p>
          <w:p>
            <w:pPr>
              <w:spacing w:after="40" w:before="0" w:line="259" w:lineRule="auto"/>
            </w:pPr>
            <w:r>
              <w:rPr>
                <w:rFonts w:ascii="Calibri" w:hAnsi="Calibri"/>
                <w:b/>
                <w:i w:val="0"/>
                <w:color w:val="212121"/>
                <w:sz w:val="19"/>
              </w:rPr>
              <w:t>Endometrioma in ~17% of the subfertility population</w:t>
            </w:r>
          </w:p>
        </w:tc>
      </w:tr>
      <w:tr>
        <w:trPr>
          <w:cantSplit/>
        </w:trPr>
        <w:tc>
          <w:tcPr>
            <w:tcW w:type="dxa" w:w="2232"/>
            <w:vAlign w:val="top"/>
          </w:tcPr>
          <w:p>
            <w:pPr>
              <w:spacing w:after="40" w:before="0" w:line="259" w:lineRule="auto"/>
            </w:pPr>
            <w:r>
              <w:rPr>
                <w:rFonts w:ascii="Calibri" w:hAnsi="Calibri"/>
                <w:b/>
                <w:i w:val="0"/>
                <w:color w:val="212121"/>
                <w:sz w:val="19"/>
              </w:rPr>
              <w:t>Insulin resistance / impaired glucose tolerance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Hyperinsulinaemia drives ovarian androgen excess and anovulation in PCOS; screening and metabolic management alter care.</w:t>
            </w:r>
          </w:p>
          <w:p>
            <w:pPr>
              <w:spacing w:after="40" w:before="0" w:line="259" w:lineRule="auto"/>
            </w:pPr>
            <w:r>
              <w:rPr>
                <w:rFonts w:ascii="Calibri" w:hAnsi="Calibri"/>
                <w:b/>
                <w:i w:val="0"/>
                <w:color w:val="212121"/>
                <w:sz w:val="19"/>
              </w:rPr>
              <w:t>~35% abnormal glucose tolerance in Indian PCOS series</w:t>
            </w:r>
          </w:p>
        </w:tc>
      </w:tr>
      <w:tr>
        <w:trPr>
          <w:cantSplit/>
        </w:trPr>
        <w:tc>
          <w:tcPr>
            <w:tcW w:type="dxa" w:w="2232"/>
            <w:vAlign w:val="top"/>
          </w:tcPr>
          <w:p>
            <w:pPr>
              <w:spacing w:after="40" w:before="0" w:line="259" w:lineRule="auto"/>
            </w:pPr>
            <w:r>
              <w:rPr>
                <w:rFonts w:ascii="Calibri" w:hAnsi="Calibri"/>
                <w:b/>
                <w:i w:val="0"/>
                <w:color w:val="212121"/>
                <w:sz w:val="19"/>
              </w:rPr>
              <w:t>Obesity / central adiposity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Central obesity worsens insulin resistance and hyperandrogenism, promoting polycystic morphology and recurrent cysts.</w:t>
            </w:r>
          </w:p>
          <w:p>
            <w:pPr>
              <w:spacing w:after="40" w:before="0" w:line="259" w:lineRule="auto"/>
            </w:pPr>
            <w:r>
              <w:rPr>
                <w:rFonts w:ascii="Calibri" w:hAnsi="Calibri"/>
                <w:b/>
                <w:i w:val="0"/>
                <w:color w:val="212121"/>
                <w:sz w:val="19"/>
              </w:rPr>
              <w:t>Overweight in ~30% of a Northeast India PCOS cohort</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Part of the metabolic clustering seen with PCOS; coexistence affects cardiovascular risk and management.</w:t>
            </w:r>
          </w:p>
          <w:p>
            <w:pPr>
              <w:spacing w:after="40" w:before="0" w:line="259" w:lineRule="auto"/>
            </w:pPr>
            <w:r>
              <w:rPr>
                <w:rFonts w:ascii="Calibri" w:hAnsi="Calibri"/>
                <w:b/>
                <w:i w:val="0"/>
                <w:color w:val="212121"/>
                <w:sz w:val="19"/>
              </w:rPr>
              <w:t>~55% in a Northeast India PCOS cohort</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Thyroid dysfunction disturbs the HPO axis and prolactin, promoting anovulation and functional cysts that may reverse with treatment.</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Linked to the obesity and insulin resistance of PCOS; worsens the metabolic phenotype.</w:t>
            </w:r>
          </w:p>
          <w:p>
            <w:pPr>
              <w:spacing w:after="40" w:before="0" w:line="259" w:lineRule="auto"/>
            </w:pPr>
            <w:r>
              <w:rPr>
                <w:rFonts w:ascii="Calibri" w:hAnsi="Calibri"/>
                <w:b/>
                <w:i w:val="0"/>
                <w:color w:val="212121"/>
                <w:sz w:val="19"/>
              </w:rPr>
              <w:t>~38% in a Northeast India PCOS cohort</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alongside PCOS and chronic pelvic pain, with a bidirectional relationship through stress and inflammatory pathways.</w:t>
            </w:r>
          </w:p>
          <w:p>
            <w:pPr>
              <w:spacing w:after="40" w:before="0" w:line="259" w:lineRule="auto"/>
            </w:pPr>
            <w:r>
              <w:rPr>
                <w:rFonts w:ascii="Calibri" w:hAnsi="Calibri"/>
                <w:b/>
                <w:i w:val="0"/>
                <w:color w:val="212121"/>
                <w:sz w:val="19"/>
              </w:rPr>
              <w:t>Anxiety ~85% in one Northeast India PCOS cohort</w:t>
            </w:r>
          </w:p>
        </w:tc>
      </w:tr>
      <w:tr>
        <w:trPr>
          <w:cantSplit/>
        </w:trPr>
        <w:tc>
          <w:tcPr>
            <w:tcW w:type="dxa" w:w="2232"/>
            <w:vAlign w:val="top"/>
          </w:tcPr>
          <w:p>
            <w:pPr>
              <w:spacing w:after="40" w:before="0" w:line="259" w:lineRule="auto"/>
            </w:pPr>
            <w:r>
              <w:rPr>
                <w:rFonts w:ascii="Calibri" w:hAnsi="Calibri"/>
                <w:b/>
                <w:i w:val="0"/>
                <w:color w:val="212121"/>
                <w:sz w:val="19"/>
              </w:rPr>
              <w:t>Ovarian 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complex or postmenopausal cyst may harbour or progress to malignancy; endometriomas carry a small increased risk of clear-cell and endometrioid cancers.</w:t>
            </w:r>
          </w:p>
        </w:tc>
      </w:tr>
      <w:tr>
        <w:trPr>
          <w:cantSplit/>
        </w:trPr>
        <w:tc>
          <w:tcPr>
            <w:tcW w:type="dxa" w:w="2232"/>
            <w:vAlign w:val="top"/>
          </w:tcPr>
          <w:p>
            <w:pPr>
              <w:spacing w:after="40" w:before="0" w:line="259" w:lineRule="auto"/>
            </w:pPr>
            <w:r>
              <w:rPr>
                <w:rFonts w:ascii="Calibri" w:hAnsi="Calibri"/>
                <w:b/>
                <w:i w:val="0"/>
                <w:color w:val="212121"/>
                <w:sz w:val="19"/>
              </w:rPr>
              <w:t>Ectopic pregnancy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corpus luteum cyst can mimic or coexist with an ectopic pregnancy, so β-hCG and imaging are essential before intervention.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ovarian cysts are benign and functional and resolve on their own within 1–3 menstrual cycles, so incidental simple cysts usually need only reassurance and a follow-up scan.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red-flag symptoms — sudden severe one-sided pelvic pain, vomiting, fainting or collapse — that suggest torsion or rupture and require immediate emergency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recommended follow-up ultrasounds and, where advised, CA-125 testing, especially around and after menopause, rather than ignoring a known cyst.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menstrual and symptom diary (cycle regularity, pain, bleeding) to help distinguish functional cysts, endometriomas and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self-treat persistent pelvic pain or an abdominal lump — seek gynaecological evaluation for any cyst that is large, complex, painful or persistent.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 or endometriosis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to improve insulin sensitivity and ovulatory regularity in PCOS-related 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to reduce central adiposity and improve the metabolic profile.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if overweight, which can restore ovulation and reduce recurrent functional 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sudden vigorous exertion or high-impact activity when a large or known cyst is present, as this can precipitate rupture or torsion.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and as advised after cyst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functional cysts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low-glycaemic, high-fibre diet with whole grains and millets (ragi, jowar, bajra), pulses, and plenty of non-starchy vegetables to blunt insulin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sweets, bakery items and sugar-sweetened beverages that worsen hyperinsulinaemia and ovarian androgen excess.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lean protein, nuts and healthy fats, and prefer whole fruit over fruit juices in controlled portions.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iron and correct anaemia if cysts cause heavy menstrual bleeding — important given India's high baseline anaemia in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carbohydrate evenly across meals and avoid late-night heavy eating to support weight and metabolic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 or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menstrual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prediabetic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support HPO-axis and metabolic 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minimise rotating night-shift exposure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obstructive sleep apnoea (snoring, daytime sleepiness) in overweight women, as it clusters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screen time and caffeine before bed to improve sleep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as it alters oestrogen metabolism and is a recognised risk factor for functional ovarian 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tobacco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quitline, pharmacotherapy)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Quitting also lowers overall gynaecological and cardiovascular risk relevant to PCOS.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functional 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intake, as heavy drinking disturbs reproductive hormones and ovulation.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when trying to conceive or during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alcohol moderation with weight and dietary control for better metabolic and ovulatory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anxiety and depression, which are highly prevalent with PCOS and 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(yoga, mindfulness, breathing exercises) to help regulate the HPO axis and support lifestyle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support around body-image, fertility and menstrual concerns.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psychological or psychiatric care when mood or anxiety symptoms are moderate to severe.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mental-health support with metabolic and gynaecological management for holistic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PCOS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pelvic pain or endometrioma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subfertility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60541/" TargetMode="External"/><Relationship Id="rId10" Type="http://schemas.openxmlformats.org/officeDocument/2006/relationships/hyperlink" Target="https://www.gynaecologyjournal.com/articles/285/3-2-4-449.pdf" TargetMode="External"/><Relationship Id="rId11" Type="http://schemas.openxmlformats.org/officeDocument/2006/relationships/hyperlink" Target="https://emedicine.medscape.com/article/255865-overview" TargetMode="External"/><Relationship Id="rId12" Type="http://schemas.openxmlformats.org/officeDocument/2006/relationships/hyperlink" Target="https://pmc.ncbi.nlm.nih.gov/articles/PMC12592665/" TargetMode="External"/><Relationship Id="rId13" Type="http://schemas.openxmlformats.org/officeDocument/2006/relationships/hyperlink" Target="https://ijmr.org.in/epidemiology-pathogenesis-genetics-management-of-polycystic-ovary-syndrome-in-india/" TargetMode="External"/><Relationship Id="rId14" Type="http://schemas.openxmlformats.org/officeDocument/2006/relationships/hyperlink" Target="https://www.ncbi.nlm.nih.gov/books/NBK5592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