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Pelvic Inflammatory Disease</w:t>
      </w:r>
    </w:p>
    <w:p>
      <w:pPr>
        <w:spacing w:before="0" w:after="160"/>
      </w:pPr>
      <w:r>
        <w:rPr>
          <w:rFonts w:ascii="Calibri" w:hAnsi="Calibri"/>
          <w:b/>
          <w:i w:val="0"/>
          <w:color w:val="212121"/>
          <w:sz w:val="22"/>
        </w:rPr>
        <w:t xml:space="preserve">AKA </w:t>
      </w:r>
      <w:r>
        <w:rPr>
          <w:rFonts w:ascii="Calibri" w:hAnsi="Calibri"/>
          <w:b w:val="0"/>
          <w:i w:val="0"/>
          <w:color w:val="212121"/>
          <w:sz w:val="22"/>
        </w:rPr>
        <w:t>i.e., PID, Acute salpingitis, Salpingo-oophoritis, Endometritis-salpingitis-oophoritis, Upper genital tract infection in women (historically 'pelvic sepsis')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Pelvic inflammatory disease (PID) is an acute or subacute infection and inflammation of the upper female genital tract - the endometrium, fallopian tubes, ovaries and adjacent pelvic peritoneum - caused by micro-organisms ascending from the vagina and cervix. It is most often a complication of sexually transmitted infection, chiefly Chlamydia trachomatis and Neisseria gonorrhoeae, but is typically polymicrobial and also involves bacterial-vaginosis-associated anaerobes and Mycoplasma genitalium. The spectrum ranges from silent (subclinical) endometritis to salpingitis, tubo-ovarian abscess and pelvic peritonitis, and PID is a leading preventable cause of tubal-factor infertility, ectopic pregnancy and chronic pelvic pain.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PID is a common but under-recognised cause of gynaecological morbidity in India, where sexually transmitted and reproductive tract infections are widespread and screening is limited. In successive National Family Health Surveys the proportion of Indian women reporting symptoms of a reproductive tract infection (abnormal vaginal discharge or lower-abdominal symptoms) stayed around 11% in 2005-06 and 2015-16 and rose to about 12.3% in 2019-21, yet only roughly 40% of symptomatic women seek any formal care - allowing untreated lower-tract infection to ascend and cause PID. Indian hospital series show PID clustering in young, low-income, poorly educated reproductive-age women (mean age about 26 years, most in the 20-29 group), while in the United States about 4% of reproductive-aged women report a lifetime history of PID.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PID is primarily a clinical diagnosis and, because delayed treatment causes permanent tubal damage, empirical antibiotics are begun on minimal criteria in any sexually active young woman with pelvic pain once other causes are excluded (CDC 2021 STI treatment guidelines):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minimum clinical criteria - pelvic or lower-abdominal pain with no other identifiable cause, plus at least one of cervical motion tenderness, uterine tenderness or adnexal tenderness on bimanual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additional supportive criteria that increase specificity - oral temperature &gt; 38.3 C, abnormal mucopurulent cervical or vaginal discharge or cervical friability, abundant white blood cells on saline microscopy of vaginal fluid, and elevated erythrocyte sedimentation rate or C-reactive protein;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laboratory documentation of cervical infection with Neisseria gonorrhoeae or Chlamydia trachomatis (NAAT), which supports the diagnosis, though a negative test does not exclude PID;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most specific criteria, reserved for uncertain or severe cases - endometrial biopsy showing endometritis, transvaginal ultrasound or MRI showing thickened, fluid-filled tubes with or without a tubo-ovarian abscess, and laparoscopic evidence of PID;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urine or serum beta-hCG to exclude ectopic pregnancy and pregnancy, plus testing for HIV and other sexually transmitted infections, as part of every work-up.</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PID has no single universal staging system; in practice it is described by clinical course, by microbial cause and, for acute disease, by the Monif surgical-staging system based on severity and the presence of a tubo-ovarian abscess:</w:t>
      </w:r>
    </w:p>
    <w:p>
      <w:pPr>
        <w:spacing w:before="0" w:after="80"/>
      </w:pPr>
      <w:r>
        <w:rPr>
          <w:rFonts w:ascii="Calibri" w:hAnsi="Calibri"/>
          <w:b w:val="0"/>
          <w:i w:val="0"/>
          <w:color w:val="212121"/>
          <w:sz w:val="21"/>
        </w:rPr>
        <w:t>(1) By clinical course - acute PID (symptoms &lt; 30 days, usually gonococcal or chlamydial), subacute or silent PID (mild or asymptomatic endometritis-salpingitis, often chlamydial, recognised only later when infertility or chronic pain appears), and chronic PID (long-standing sequelae such as hydrosalpinx, adhesions and chronic pelvic pain);</w:t>
      </w:r>
    </w:p>
    <w:p>
      <w:pPr>
        <w:spacing w:before="0" w:after="80"/>
      </w:pPr>
      <w:r>
        <w:rPr>
          <w:rFonts w:ascii="Calibri" w:hAnsi="Calibri"/>
          <w:b w:val="0"/>
          <w:i w:val="0"/>
          <w:color w:val="212121"/>
          <w:sz w:val="21"/>
        </w:rPr>
        <w:t>(2) By cause - sexually transmitted PID (the majority, driven by C. trachomatis and N. gonorrhoeae with polymicrobial anaerobes and M. genitalium) versus non-sexually-transmitted or iatrogenic PID that follows trans-cervical instrumentation such as IUD insertion, dilatation and curettage, hysteroscopy, hysterosalpingography, childbirth or abortion;</w:t>
      </w:r>
    </w:p>
    <w:p>
      <w:pPr>
        <w:spacing w:before="0" w:after="80"/>
      </w:pPr>
      <w:r>
        <w:rPr>
          <w:rFonts w:ascii="Calibri" w:hAnsi="Calibri"/>
          <w:b w:val="0"/>
          <w:i w:val="0"/>
          <w:color w:val="212121"/>
          <w:sz w:val="21"/>
        </w:rPr>
        <w:t>(3) Monif clinical staging of acute PID - Stage I: acute salpingitis without pelvic peritonitis; Stage II: acute salpingitis with pelvic peritonitis; Stage III: acute salpingitis with tubal occlusion or a tubo-ovarian complex/abscess; Stage IV: ruptured tubo-ovarian abscess, a surgical emergency with risk of generalised peritonitis and sepsis;</w:t>
      </w:r>
    </w:p>
    <w:p>
      <w:pPr>
        <w:spacing w:before="0" w:after="80"/>
      </w:pPr>
      <w:r>
        <w:rPr>
          <w:rFonts w:ascii="Calibri" w:hAnsi="Calibri"/>
          <w:b w:val="0"/>
          <w:i w:val="0"/>
          <w:color w:val="212121"/>
          <w:sz w:val="21"/>
        </w:rPr>
        <w:t>(4) Special variant - Fitz-Hugh-Curtis syndrome (perihepatitis), in which infection tracks to the liver capsule causing right-upper-quadrant pain and 'violin-string' adhesions, seen in an estimated 1-30% of women with PID.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Sexually transmitted pathogens: Chlamydia trachomatis and Neisseria gonorrhoeae are the classic causes, ascending from the cervix to infect the endometrium and tubes; C. trachomatis accounts for roughly 23% and N. gonorrhoeae about 5% of STI-related PID globally (GBD 2021).</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Polymicrobial and bacterial-vaginosis-associated anaerobes: Most PID is polymicrobial, and bacterial-vaginosis-associated organisms (Gardnerella, Prevotella, Atopobium and other anaerobes) contribute to the great majority of cases while disturbing the protective vaginal flora that normally blocks ascent.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Mycoplasma genitalium: An increasingly recognised sexually transmitted cause, detected in about 10% of women with PID and associated with roughly a 67% increase in the odds of PID.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Iatrogenic / instrumentation: Trans-cervical procedures - IUD insertion (risk mainly in the first three weeks), dilatation and curettage, hysteroscopy, hysterosalpingography, and childbirth or abortion - can introduce organisms into the upper tract and account for an estimated 15-20% of non-sexually-transmitted PID.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Disruption of the cervical barrier: Menstruation, bacterial vaginosis and cervical ectopy reduce the protective mucus and flora barrier and facilitate ascending infection.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High-risk sexual behaviour: Young age at first intercourse, new or multiple partners and inconsistent barrier contraception increase exposure to the causative STIs.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 age, especially &lt; 25 years)</w:t>
            </w:r>
          </w:p>
        </w:tc>
        <w:tc>
          <w:tcPr>
            <w:tcW w:type="dxa" w:w="4276"/>
            <w:vAlign w:val="top"/>
          </w:tcPr>
          <w:p>
            <w:pPr>
              <w:spacing w:after="60" w:line="259" w:lineRule="auto"/>
            </w:pPr>
            <w:r>
              <w:rPr>
                <w:rFonts w:ascii="Calibri" w:hAnsi="Calibri"/>
                <w:b w:val="0"/>
                <w:i w:val="0"/>
                <w:color w:val="212121"/>
                <w:sz w:val="19"/>
              </w:rPr>
              <w:t>PID overwhelmingly affects sexually active women of reproductive age; risk is highest under 25 years because of wider cervical ectopy (more exposed columnar cells susceptible to chlamydia and gonorrhoea), less mature local immunity and higher-risk sexual behaviour.</w:t>
            </w:r>
          </w:p>
          <w:p>
            <w:pPr>
              <w:spacing w:after="40" w:before="60" w:line="259" w:lineRule="auto"/>
            </w:pPr>
            <w:r>
              <w:rPr>
                <w:rFonts w:ascii="Calibri" w:hAnsi="Calibri"/>
                <w:b w:val="0"/>
                <w:i w:val="0"/>
                <w:color w:val="212121"/>
                <w:sz w:val="19"/>
              </w:rPr>
              <w:t>Indian hospital series report a mean age of about 26.6 years, with the 20-24 group making up around 30% of cases; PID is most common in women aged 15-25.</w:t>
            </w:r>
          </w:p>
          <w:p>
            <w:pPr>
              <w:spacing w:after="40" w:line="252" w:lineRule="auto"/>
            </w:pPr>
            <w:hyperlink r:id="rId9">
              <w:r>
                <w:rPr>
                  <w:rFonts w:ascii="Calibri" w:hAnsi="Calibri" w:cs="Calibri"/>
                  <w:sz w:val="18"/>
                  <w:color w:val="1155CC"/>
                  <w:u w:val="single"/>
                </w:rPr>
                <w:t xml:space="preserve">ijrcog.org - clinical assessment of PID (Indian tertiary centre)</w:t>
              </w:r>
            </w:hyperlink>
          </w:p>
          <w:p>
            <w:pPr>
              <w:spacing w:before="60" w:after="40"/>
            </w:pPr>
            <w:r>
              <w:rPr>
                <w:rFonts w:ascii="Calibri" w:hAnsi="Calibri"/>
                <w:b w:val="0"/>
                <w:i w:val="0"/>
                <w:color w:val="5A5A5A"/>
                <w:sz w:val="18"/>
              </w:rPr>
              <w:t>#reproductiveage  #under25  #cervicalectopy  #ascendinginfection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(peri- and post-menopausal women)</w:t>
            </w:r>
          </w:p>
        </w:tc>
        <w:tc>
          <w:tcPr>
            <w:tcW w:type="dxa" w:w="4276"/>
            <w:vAlign w:val="top"/>
          </w:tcPr>
          <w:p>
            <w:pPr>
              <w:spacing w:after="60" w:line="259" w:lineRule="auto"/>
            </w:pPr>
            <w:r>
              <w:rPr>
                <w:rFonts w:ascii="Calibri" w:hAnsi="Calibri"/>
                <w:b w:val="0"/>
                <w:i w:val="0"/>
                <w:color w:val="212121"/>
                <w:sz w:val="19"/>
              </w:rPr>
              <w:t>PID is uncommon after menopause because of reduced sexual exposure and atrophic, less permeable cervical mucosa; when it does occur it usually follows instrumentation or coexists with genital malignancy or a tubo-ovarian abscess and warrants evaluation for underlying pathology.</w:t>
            </w:r>
          </w:p>
          <w:p>
            <w:pPr>
              <w:spacing w:after="40" w:before="60" w:line="259" w:lineRule="auto"/>
            </w:pPr>
            <w:r>
              <w:rPr>
                <w:rFonts w:ascii="Calibri" w:hAnsi="Calibri"/>
                <w:b w:val="0"/>
                <w:i w:val="0"/>
                <w:color w:val="212121"/>
                <w:sz w:val="19"/>
              </w:rPr>
              <w:t>Post-menopausal PID is rare and atypical; a tubo-ovarian abscess or pyometra in this group should prompt a search for genital-tract cancer.</w:t>
            </w:r>
          </w:p>
          <w:p>
            <w:pPr>
              <w:spacing w:before="60" w:after="40"/>
            </w:pPr>
            <w:r>
              <w:rPr>
                <w:rFonts w:ascii="Calibri" w:hAnsi="Calibri"/>
                <w:b w:val="0"/>
                <w:i w:val="0"/>
                <w:color w:val="5A5A5A"/>
                <w:sz w:val="18"/>
              </w:rPr>
              <w:t>#postmenopausal  #atypical  #instrumentation  #malignancyworkup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(women and adolescent girls)</w:t>
            </w:r>
          </w:p>
        </w:tc>
        <w:tc>
          <w:tcPr>
            <w:tcW w:type="dxa" w:w="4276"/>
            <w:vAlign w:val="top"/>
          </w:tcPr>
          <w:p>
            <w:pPr>
              <w:spacing w:after="60" w:line="259" w:lineRule="auto"/>
            </w:pPr>
            <w:r>
              <w:rPr>
                <w:rFonts w:ascii="Calibri" w:hAnsi="Calibri"/>
                <w:b w:val="0"/>
                <w:i w:val="0"/>
                <w:color w:val="212121"/>
                <w:sz w:val="19"/>
              </w:rPr>
              <w:t>PID is by definition an infection of the upper female genital tract (endometrium, tubes, ovaries), so it occurs exclusively in women and adolescent girls; men act as reservoirs and vectors of the causative STIs and require partner treatment.</w:t>
            </w:r>
          </w:p>
          <w:p>
            <w:pPr>
              <w:spacing w:after="40" w:before="60" w:line="259" w:lineRule="auto"/>
            </w:pPr>
            <w:r>
              <w:rPr>
                <w:rFonts w:ascii="Calibri" w:hAnsi="Calibri"/>
                <w:b w:val="0"/>
                <w:i w:val="0"/>
                <w:color w:val="212121"/>
                <w:sz w:val="19"/>
              </w:rPr>
              <w:t>In the United States about 4% of reproductive-aged women (roughly 2 million) report a lifetime history of PID.</w:t>
            </w:r>
          </w:p>
          <w:p>
            <w:pPr>
              <w:spacing w:after="40" w:line="252" w:lineRule="auto"/>
            </w:pPr>
            <w:hyperlink r:id="rId10">
              <w:r>
                <w:rPr>
                  <w:rFonts w:ascii="Calibri" w:hAnsi="Calibri" w:cs="Calibri"/>
                  <w:sz w:val="18"/>
                  <w:color w:val="1155CC"/>
                  <w:u w:val="single"/>
                </w:rPr>
                <w:t xml:space="preserve">std.uw.edu - National STD Curriculum, PID</w:t>
              </w:r>
            </w:hyperlink>
          </w:p>
          <w:p>
            <w:pPr>
              <w:spacing w:before="60" w:after="40"/>
            </w:pPr>
            <w:r>
              <w:rPr>
                <w:rFonts w:ascii="Calibri" w:hAnsi="Calibri"/>
                <w:b w:val="0"/>
                <w:i w:val="0"/>
                <w:color w:val="5A5A5A"/>
                <w:sz w:val="18"/>
              </w:rPr>
              <w:t>#female  #uppergenitaltract  #partnertreatment  #sti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low-literacy Indian women</w:t>
            </w:r>
          </w:p>
        </w:tc>
        <w:tc>
          <w:tcPr>
            <w:tcW w:type="dxa" w:w="4276"/>
            <w:vAlign w:val="top"/>
          </w:tcPr>
          <w:p>
            <w:pPr>
              <w:spacing w:after="60" w:line="259" w:lineRule="auto"/>
            </w:pPr>
            <w:r>
              <w:rPr>
                <w:rFonts w:ascii="Calibri" w:hAnsi="Calibri"/>
                <w:b w:val="0"/>
                <w:i w:val="0"/>
                <w:color w:val="212121"/>
                <w:sz w:val="19"/>
              </w:rPr>
              <w:t>Poverty, low education and limited access to STI screening and prompt treatment allow lower-tract infection to go untreated and ascend, while stigma around genital symptoms further delays health-seeking.</w:t>
            </w:r>
          </w:p>
          <w:p>
            <w:pPr>
              <w:spacing w:after="40" w:before="60" w:line="259" w:lineRule="auto"/>
            </w:pPr>
            <w:r>
              <w:rPr>
                <w:rFonts w:ascii="Calibri" w:hAnsi="Calibri"/>
                <w:b w:val="0"/>
                <w:i w:val="0"/>
                <w:color w:val="212121"/>
                <w:sz w:val="19"/>
              </w:rPr>
              <w:t>In an Indian case-control study 71.4% of PID patients were of lower socioeconomic status and 94.3% had less than a 10th-standard education.</w:t>
            </w:r>
          </w:p>
          <w:p>
            <w:pPr>
              <w:spacing w:after="40" w:line="252" w:lineRule="auto"/>
            </w:pPr>
            <w:hyperlink r:id="rId9">
              <w:r>
                <w:rPr>
                  <w:rFonts w:ascii="Calibri" w:hAnsi="Calibri" w:cs="Calibri"/>
                  <w:sz w:val="18"/>
                  <w:color w:val="1155CC"/>
                  <w:u w:val="single"/>
                </w:rPr>
                <w:t xml:space="preserve">ijrcog.org - clinical assessment of PID (Indian tertiary centre)</w:t>
              </w:r>
            </w:hyperlink>
          </w:p>
          <w:p>
            <w:pPr>
              <w:spacing w:before="60" w:after="40"/>
            </w:pPr>
            <w:r>
              <w:rPr>
                <w:rFonts w:ascii="Calibri" w:hAnsi="Calibri"/>
                <w:b w:val="0"/>
                <w:i w:val="0"/>
                <w:color w:val="5A5A5A"/>
                <w:sz w:val="18"/>
              </w:rPr>
              <w:t>#lowincome  #lowliteracy  #latecare  #stigma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 South Asian women</w:t>
            </w:r>
          </w:p>
        </w:tc>
        <w:tc>
          <w:tcPr>
            <w:tcW w:type="dxa" w:w="4276"/>
            <w:vAlign w:val="top"/>
          </w:tcPr>
          <w:p>
            <w:pPr>
              <w:spacing w:after="60" w:line="259" w:lineRule="auto"/>
            </w:pPr>
            <w:r>
              <w:rPr>
                <w:rFonts w:ascii="Calibri" w:hAnsi="Calibri"/>
                <w:b w:val="0"/>
                <w:i w:val="0"/>
                <w:color w:val="212121"/>
                <w:sz w:val="19"/>
              </w:rPr>
              <w:t>India carries a high reproductive-tract-infection burden with low treatment-seeking, so untreated cervicitis frequently progresses to PID; widespread anaemia in Indian women worsens the impact of febrile pelvic infection.</w:t>
            </w:r>
          </w:p>
          <w:p>
            <w:pPr>
              <w:spacing w:after="40" w:before="60" w:line="259" w:lineRule="auto"/>
            </w:pPr>
            <w:r>
              <w:rPr>
                <w:rFonts w:ascii="Calibri" w:hAnsi="Calibri"/>
                <w:b w:val="0"/>
                <w:i w:val="0"/>
                <w:color w:val="212121"/>
                <w:sz w:val="19"/>
              </w:rPr>
              <w:t>Self-reported RTI symptoms among Indian women were about 11% in 2005-06 and 2015-16, rising to 12.3% in 2019-21, but only about 40% of symptomatic women sought care.</w:t>
            </w:r>
          </w:p>
          <w:p>
            <w:pPr>
              <w:spacing w:after="40" w:line="252" w:lineRule="auto"/>
            </w:pPr>
            <w:hyperlink r:id="rId11">
              <w:r>
                <w:rPr>
                  <w:rFonts w:ascii="Calibri" w:hAnsi="Calibri" w:cs="Calibri"/>
                  <w:sz w:val="18"/>
                  <w:color w:val="1155CC"/>
                  <w:u w:val="single"/>
                </w:rPr>
                <w:t xml:space="preserve">springer - trends in self-reported RTIs among Indian women, 2005-2021</w:t>
              </w:r>
            </w:hyperlink>
          </w:p>
          <w:p>
            <w:pPr>
              <w:spacing w:before="60" w:after="40"/>
            </w:pPr>
            <w:r>
              <w:rPr>
                <w:rFonts w:ascii="Calibri" w:hAnsi="Calibri"/>
                <w:b w:val="0"/>
                <w:i w:val="0"/>
                <w:color w:val="5A5A5A"/>
                <w:sz w:val="18"/>
              </w:rPr>
              <w:t>#india  #rtiburden  #lowtreatmentseeking  #nfhs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w:t>
            </w:r>
          </w:p>
        </w:tc>
        <w:tc>
          <w:tcPr>
            <w:tcW w:type="dxa" w:w="2160"/>
            <w:vAlign w:val="top"/>
          </w:tcPr>
          <w:p>
            <w:pPr>
              <w:spacing w:after="40" w:before="0" w:line="259" w:lineRule="auto"/>
            </w:pPr>
            <w:r>
              <w:rPr>
                <w:rFonts w:ascii="Calibri" w:hAnsi="Calibri"/>
                <w:b w:val="0"/>
                <w:i w:val="0"/>
                <w:color w:val="212121"/>
                <w:sz w:val="19"/>
              </w:rPr>
              <w:t>Young urban women and high-STI groups (adolescents, sex workers)</w:t>
            </w:r>
          </w:p>
        </w:tc>
        <w:tc>
          <w:tcPr>
            <w:tcW w:type="dxa" w:w="4276"/>
            <w:vAlign w:val="top"/>
          </w:tcPr>
          <w:p>
            <w:pPr>
              <w:spacing w:after="60" w:line="259" w:lineRule="auto"/>
            </w:pPr>
            <w:r>
              <w:rPr>
                <w:rFonts w:ascii="Calibri" w:hAnsi="Calibri"/>
                <w:b w:val="0"/>
                <w:i w:val="0"/>
                <w:color w:val="212121"/>
                <w:sz w:val="19"/>
              </w:rPr>
              <w:t>PID concentrates where STI transmission is intense - adolescents and young adults, urban clinic populations and female sex workers - reflecting partner turnover and untreated gonococcal and chlamydial infection.</w:t>
            </w:r>
          </w:p>
          <w:p>
            <w:pPr>
              <w:spacing w:after="40" w:before="60" w:line="259" w:lineRule="auto"/>
            </w:pPr>
            <w:r>
              <w:rPr>
                <w:rFonts w:ascii="Calibri" w:hAnsi="Calibri"/>
                <w:b w:val="0"/>
                <w:i w:val="0"/>
                <w:color w:val="212121"/>
                <w:sz w:val="19"/>
              </w:rPr>
              <w:t>In an Indian tertiary-centre series 64.3% of PID patients came from urban areas, with disease peaking in the second and third decades of life.</w:t>
            </w:r>
          </w:p>
          <w:p>
            <w:pPr>
              <w:spacing w:after="40" w:line="252" w:lineRule="auto"/>
            </w:pPr>
            <w:hyperlink r:id="rId9">
              <w:r>
                <w:rPr>
                  <w:rFonts w:ascii="Calibri" w:hAnsi="Calibri" w:cs="Calibri"/>
                  <w:sz w:val="18"/>
                  <w:color w:val="1155CC"/>
                  <w:u w:val="single"/>
                </w:rPr>
                <w:t xml:space="preserve">ijrcog.org - clinical assessment of PID (Indian tertiary centre)</w:t>
              </w:r>
            </w:hyperlink>
          </w:p>
          <w:p>
            <w:pPr>
              <w:spacing w:before="60" w:after="40"/>
            </w:pPr>
            <w:r>
              <w:rPr>
                <w:rFonts w:ascii="Calibri" w:hAnsi="Calibri"/>
                <w:b w:val="0"/>
                <w:i w:val="0"/>
                <w:color w:val="5A5A5A"/>
                <w:sz w:val="18"/>
              </w:rPr>
              <w:t>#adolescents  #urban  #sexworkers  #stihotspots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Multiple or new partners, unprotected sex</w:t>
            </w:r>
          </w:p>
        </w:tc>
        <w:tc>
          <w:tcPr>
            <w:tcW w:type="dxa" w:w="4276"/>
            <w:vAlign w:val="top"/>
          </w:tcPr>
          <w:p>
            <w:pPr>
              <w:spacing w:after="60" w:line="259" w:lineRule="auto"/>
            </w:pPr>
            <w:r>
              <w:rPr>
                <w:rFonts w:ascii="Calibri" w:hAnsi="Calibri"/>
                <w:b w:val="0"/>
                <w:i w:val="0"/>
                <w:color w:val="212121"/>
                <w:sz w:val="19"/>
              </w:rPr>
              <w:t>Multiple or new sexual partners and unprotected intercourse are the strongest behavioural drivers, increasing exposure to gonorrhoea, chlamydia and M. genitalium; consistent condom use is protective.</w:t>
            </w:r>
          </w:p>
          <w:p>
            <w:pPr>
              <w:spacing w:after="40" w:before="60" w:line="259" w:lineRule="auto"/>
            </w:pPr>
            <w:r>
              <w:rPr>
                <w:rFonts w:ascii="Calibri" w:hAnsi="Calibri"/>
                <w:b w:val="0"/>
                <w:i w:val="0"/>
                <w:color w:val="212121"/>
                <w:sz w:val="19"/>
              </w:rPr>
              <w:t>Having 10 or more lifetime partners roughly triples PID risk, while consistent condom use lowers recurrence by 30-60%.</w:t>
            </w:r>
          </w:p>
          <w:p>
            <w:pPr>
              <w:spacing w:after="40" w:line="252" w:lineRule="auto"/>
            </w:pPr>
            <w:hyperlink r:id="rId10">
              <w:r>
                <w:rPr>
                  <w:rFonts w:ascii="Calibri" w:hAnsi="Calibri" w:cs="Calibri"/>
                  <w:sz w:val="18"/>
                  <w:color w:val="1155CC"/>
                  <w:u w:val="single"/>
                </w:rPr>
                <w:t xml:space="preserve">std.uw.edu - National STD Curriculum, PID</w:t>
              </w:r>
            </w:hyperlink>
          </w:p>
          <w:p>
            <w:pPr>
              <w:spacing w:before="60" w:after="40"/>
            </w:pPr>
            <w:r>
              <w:rPr>
                <w:rFonts w:ascii="Calibri" w:hAnsi="Calibri"/>
                <w:b w:val="0"/>
                <w:i w:val="0"/>
                <w:color w:val="5A5A5A"/>
                <w:sz w:val="18"/>
              </w:rPr>
              <w:t>#multiplepartners  #unprotectedsex  #condoms  #stiexposure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Vaginal douching / intravaginal hygiene</w:t>
            </w:r>
          </w:p>
        </w:tc>
        <w:tc>
          <w:tcPr>
            <w:tcW w:type="dxa" w:w="2160"/>
            <w:vAlign w:val="top"/>
          </w:tcPr>
          <w:p>
            <w:pPr>
              <w:spacing w:after="40" w:before="0" w:line="259" w:lineRule="auto"/>
            </w:pPr>
            <w:r>
              <w:rPr>
                <w:rFonts w:ascii="Calibri" w:hAnsi="Calibri"/>
                <w:b w:val="0"/>
                <w:i w:val="0"/>
                <w:color w:val="212121"/>
                <w:sz w:val="19"/>
              </w:rPr>
              <w:t>Women who douche or use intravaginal products</w:t>
            </w:r>
          </w:p>
        </w:tc>
        <w:tc>
          <w:tcPr>
            <w:tcW w:type="dxa" w:w="4276"/>
            <w:vAlign w:val="top"/>
          </w:tcPr>
          <w:p>
            <w:pPr>
              <w:spacing w:after="60" w:line="259" w:lineRule="auto"/>
            </w:pPr>
            <w:r>
              <w:rPr>
                <w:rFonts w:ascii="Calibri" w:hAnsi="Calibri"/>
                <w:b w:val="0"/>
                <w:i w:val="0"/>
                <w:color w:val="212121"/>
                <w:sz w:val="19"/>
              </w:rPr>
              <w:t>Vaginal douching and intravaginal cleansing disturb protective lactobacilli, promote bacterial vaginosis and may flush organisms upward, raising the risk of endometritis and PID; such practices are common in some Indian communities.</w:t>
            </w:r>
          </w:p>
          <w:p>
            <w:pPr>
              <w:spacing w:after="40" w:before="60" w:line="259" w:lineRule="auto"/>
            </w:pPr>
            <w:r>
              <w:rPr>
                <w:rFonts w:ascii="Calibri" w:hAnsi="Calibri"/>
                <w:b w:val="0"/>
                <w:i w:val="0"/>
                <w:color w:val="212121"/>
                <w:sz w:val="19"/>
              </w:rPr>
              <w:t>Douching at least twice a month is associated with about a 24% increase in the risk of endometritis.</w:t>
            </w:r>
          </w:p>
          <w:p>
            <w:pPr>
              <w:spacing w:after="40" w:line="252" w:lineRule="auto"/>
            </w:pPr>
            <w:hyperlink r:id="rId12">
              <w:r>
                <w:rPr>
                  <w:rFonts w:ascii="Calibri" w:hAnsi="Calibri" w:cs="Calibri"/>
                  <w:sz w:val="18"/>
                  <w:color w:val="1155CC"/>
                  <w:u w:val="single"/>
                </w:rPr>
                <w:t xml:space="preserve">frontiersin.org - inducing factors and complication risks of PID</w:t>
              </w:r>
            </w:hyperlink>
          </w:p>
          <w:p>
            <w:pPr>
              <w:spacing w:before="60" w:after="40"/>
            </w:pPr>
            <w:r>
              <w:rPr>
                <w:rFonts w:ascii="Calibri" w:hAnsi="Calibri"/>
                <w:b w:val="0"/>
                <w:i w:val="0"/>
                <w:color w:val="5A5A5A"/>
                <w:sz w:val="18"/>
              </w:rPr>
              <w:t>#douching  #bacterialvaginosis  #vaginalflora  #intravaginalhygiene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and bidi smokers</w:t>
            </w:r>
          </w:p>
        </w:tc>
        <w:tc>
          <w:tcPr>
            <w:tcW w:type="dxa" w:w="4276"/>
            <w:vAlign w:val="top"/>
          </w:tcPr>
          <w:p>
            <w:pPr>
              <w:spacing w:after="60" w:line="259" w:lineRule="auto"/>
            </w:pPr>
            <w:r>
              <w:rPr>
                <w:rFonts w:ascii="Calibri" w:hAnsi="Calibri"/>
                <w:b w:val="0"/>
                <w:i w:val="0"/>
                <w:color w:val="212121"/>
                <w:sz w:val="19"/>
              </w:rPr>
              <w:t>Tobacco smoking impairs cervical mucus immunity and tubal ciliary function and alters the local flora, increasing susceptibility to and severity of ascending infection.</w:t>
            </w:r>
          </w:p>
          <w:p>
            <w:pPr>
              <w:spacing w:after="40" w:before="60" w:line="259" w:lineRule="auto"/>
            </w:pPr>
            <w:r>
              <w:rPr>
                <w:rFonts w:ascii="Calibri" w:hAnsi="Calibri"/>
                <w:b w:val="0"/>
                <w:i w:val="0"/>
                <w:color w:val="212121"/>
                <w:sz w:val="19"/>
              </w:rPr>
              <w:t>Current and former smokers show roughly a 102% and 108% increased risk of PID, respectively.</w:t>
            </w:r>
          </w:p>
          <w:p>
            <w:pPr>
              <w:spacing w:after="40" w:line="252" w:lineRule="auto"/>
            </w:pPr>
            <w:hyperlink r:id="rId12">
              <w:r>
                <w:rPr>
                  <w:rFonts w:ascii="Calibri" w:hAnsi="Calibri" w:cs="Calibri"/>
                  <w:sz w:val="18"/>
                  <w:color w:val="1155CC"/>
                  <w:u w:val="single"/>
                </w:rPr>
                <w:t xml:space="preserve">frontiersin.org - inducing factors and complication risks of PID</w:t>
              </w:r>
            </w:hyperlink>
          </w:p>
          <w:p>
            <w:pPr>
              <w:spacing w:before="60" w:after="40"/>
            </w:pPr>
            <w:r>
              <w:rPr>
                <w:rFonts w:ascii="Calibri" w:hAnsi="Calibri"/>
                <w:b w:val="0"/>
                <w:i w:val="0"/>
                <w:color w:val="5A5A5A"/>
                <w:sz w:val="18"/>
              </w:rPr>
              <w:t>#smoking  #tobacco  #tubalcilia  #mucosalimmunity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alcohol users</w:t>
            </w:r>
          </w:p>
        </w:tc>
        <w:tc>
          <w:tcPr>
            <w:tcW w:type="dxa" w:w="4276"/>
            <w:vAlign w:val="top"/>
          </w:tcPr>
          <w:p>
            <w:pPr>
              <w:spacing w:after="60" w:line="259" w:lineRule="auto"/>
            </w:pPr>
            <w:r>
              <w:rPr>
                <w:rFonts w:ascii="Calibri" w:hAnsi="Calibri"/>
                <w:b w:val="0"/>
                <w:i w:val="0"/>
                <w:color w:val="212121"/>
                <w:sz w:val="19"/>
              </w:rPr>
              <w:t>Alcohol use is linked to higher PID prevalence, partly through disinhibited higher-risk sexual behaviour and reduced condom use, and possibly through effects on immunity.</w:t>
            </w:r>
          </w:p>
          <w:p>
            <w:pPr>
              <w:spacing w:after="40" w:before="60" w:line="259" w:lineRule="auto"/>
            </w:pPr>
            <w:r>
              <w:rPr>
                <w:rFonts w:ascii="Calibri" w:hAnsi="Calibri"/>
                <w:b w:val="0"/>
                <w:i w:val="0"/>
                <w:color w:val="212121"/>
                <w:sz w:val="19"/>
              </w:rPr>
              <w:t>Light-to-heavy drinkers show an 89-101% higher prevalence of PID than abstainers.</w:t>
            </w:r>
          </w:p>
          <w:p>
            <w:pPr>
              <w:spacing w:after="40" w:line="252" w:lineRule="auto"/>
            </w:pPr>
            <w:hyperlink r:id="rId12">
              <w:r>
                <w:rPr>
                  <w:rFonts w:ascii="Calibri" w:hAnsi="Calibri" w:cs="Calibri"/>
                  <w:sz w:val="18"/>
                  <w:color w:val="1155CC"/>
                  <w:u w:val="single"/>
                </w:rPr>
                <w:t xml:space="preserve">frontiersin.org - inducing factors and complication risks of PID</w:t>
              </w:r>
            </w:hyperlink>
          </w:p>
          <w:p>
            <w:pPr>
              <w:spacing w:before="60" w:after="40"/>
            </w:pPr>
            <w:r>
              <w:rPr>
                <w:rFonts w:ascii="Calibri" w:hAnsi="Calibri"/>
                <w:b w:val="0"/>
                <w:i w:val="0"/>
                <w:color w:val="5A5A5A"/>
                <w:sz w:val="18"/>
              </w:rPr>
              <w:t>#alcohol  #riskybehaviour  #condomuse  #prevalence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women</w:t>
            </w:r>
          </w:p>
        </w:tc>
        <w:tc>
          <w:tcPr>
            <w:tcW w:type="dxa" w:w="4276"/>
            <w:vAlign w:val="top"/>
          </w:tcPr>
          <w:p>
            <w:pPr>
              <w:spacing w:after="60" w:line="259" w:lineRule="auto"/>
            </w:pPr>
            <w:r>
              <w:rPr>
                <w:rFonts w:ascii="Calibri" w:hAnsi="Calibri"/>
                <w:b w:val="0"/>
                <w:i w:val="0"/>
                <w:color w:val="212121"/>
                <w:sz w:val="19"/>
              </w:rPr>
              <w:t>A sedentary lifestyle is not an established cause of PID; any link is indirect, operating through general health and metabolic factors rather than through the ascending genital infection itself.</w:t>
            </w:r>
          </w:p>
          <w:p>
            <w:pPr>
              <w:spacing w:after="40" w:before="60" w:line="259" w:lineRule="auto"/>
            </w:pPr>
            <w:r>
              <w:rPr>
                <w:rFonts w:ascii="Calibri" w:hAnsi="Calibri"/>
                <w:b w:val="0"/>
                <w:i w:val="0"/>
                <w:color w:val="212121"/>
                <w:sz w:val="19"/>
              </w:rPr>
              <w:t>Physical inactivity is not a recognised risk factor for PID, which is driven by sexually transmitted and iatrogenic infection.</w:t>
            </w:r>
          </w:p>
          <w:p>
            <w:pPr>
              <w:spacing w:before="60" w:after="40"/>
            </w:pPr>
            <w:r>
              <w:rPr>
                <w:rFonts w:ascii="Calibri" w:hAnsi="Calibri"/>
                <w:b w:val="0"/>
                <w:i w:val="0"/>
                <w:color w:val="5A5A5A"/>
                <w:sz w:val="18"/>
              </w:rPr>
              <w:t>#sedentary  #indirect  #generalhealth  #notcausal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women (BMI 25-29.9)</w:t>
            </w:r>
          </w:p>
        </w:tc>
        <w:tc>
          <w:tcPr>
            <w:tcW w:type="dxa" w:w="4276"/>
            <w:vAlign w:val="top"/>
          </w:tcPr>
          <w:p>
            <w:pPr>
              <w:spacing w:after="60" w:line="259" w:lineRule="auto"/>
            </w:pPr>
            <w:r>
              <w:rPr>
                <w:rFonts w:ascii="Calibri" w:hAnsi="Calibri"/>
                <w:b w:val="0"/>
                <w:i w:val="0"/>
                <w:color w:val="212121"/>
                <w:sz w:val="19"/>
              </w:rPr>
              <w:t>Excess weight is not a recognised risk factor for acquiring PID, but it makes bimanual and speculum assessment harder and can delay diagnosis and complicate imaging and any surgery for a tubo-ovarian abscess.</w:t>
            </w:r>
          </w:p>
          <w:p>
            <w:pPr>
              <w:spacing w:after="40" w:before="60" w:line="259" w:lineRule="auto"/>
            </w:pPr>
            <w:r>
              <w:rPr>
                <w:rFonts w:ascii="Calibri" w:hAnsi="Calibri"/>
                <w:b w:val="0"/>
                <w:i w:val="0"/>
                <w:color w:val="212121"/>
                <w:sz w:val="19"/>
              </w:rPr>
              <w:t>Overweight is not an established cause of PID, but it can hinder pelvic examination and imaging and thus delay diagnosis.</w:t>
            </w:r>
          </w:p>
          <w:p>
            <w:pPr>
              <w:spacing w:before="60" w:after="40"/>
            </w:pPr>
            <w:r>
              <w:rPr>
                <w:rFonts w:ascii="Calibri" w:hAnsi="Calibri"/>
                <w:b w:val="0"/>
                <w:i w:val="0"/>
                <w:color w:val="5A5A5A"/>
                <w:sz w:val="18"/>
              </w:rPr>
              <w:t>#overweight  #examlimitation  #delayeddiagnosis  #management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women (BMI &gt;= 30)</w:t>
            </w:r>
          </w:p>
        </w:tc>
        <w:tc>
          <w:tcPr>
            <w:tcW w:type="dxa" w:w="4276"/>
            <w:vAlign w:val="top"/>
          </w:tcPr>
          <w:p>
            <w:pPr>
              <w:spacing w:after="60" w:line="259" w:lineRule="auto"/>
            </w:pPr>
            <w:r>
              <w:rPr>
                <w:rFonts w:ascii="Calibri" w:hAnsi="Calibri"/>
                <w:b w:val="0"/>
                <w:i w:val="0"/>
                <w:color w:val="212121"/>
                <w:sz w:val="19"/>
              </w:rPr>
              <w:t>Obesity likewise does not clearly increase PID incidence but is associated with more difficult pelvic examination, poorer imaging visualisation and higher operative risk should a tubo-ovarian abscess require drainage or surgery.</w:t>
            </w:r>
          </w:p>
          <w:p>
            <w:pPr>
              <w:spacing w:after="40" w:before="60" w:line="259" w:lineRule="auto"/>
            </w:pPr>
            <w:r>
              <w:rPr>
                <w:rFonts w:ascii="Calibri" w:hAnsi="Calibri"/>
                <w:b w:val="0"/>
                <w:i w:val="0"/>
                <w:color w:val="212121"/>
                <w:sz w:val="19"/>
              </w:rPr>
              <w:t>Obesity does not clearly raise PID incidence but raises the technical difficulty and operative risk of managing complications.</w:t>
            </w:r>
          </w:p>
          <w:p>
            <w:pPr>
              <w:spacing w:before="60" w:after="40"/>
            </w:pPr>
            <w:r>
              <w:rPr>
                <w:rFonts w:ascii="Calibri" w:hAnsi="Calibri"/>
                <w:b w:val="0"/>
                <w:i w:val="0"/>
                <w:color w:val="5A5A5A"/>
                <w:sz w:val="18"/>
              </w:rPr>
              <w:t>#obesity  #tuboovarianabscess  #surgicalrisk  #imaging</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 / nutrition</w:t>
            </w:r>
          </w:p>
        </w:tc>
        <w:tc>
          <w:tcPr>
            <w:tcW w:type="dxa" w:w="2160"/>
            <w:vAlign w:val="top"/>
          </w:tcPr>
          <w:p>
            <w:pPr>
              <w:spacing w:after="40" w:before="0" w:line="259" w:lineRule="auto"/>
            </w:pPr>
            <w:r>
              <w:rPr>
                <w:rFonts w:ascii="Calibri" w:hAnsi="Calibri"/>
                <w:b w:val="0"/>
                <w:i w:val="0"/>
                <w:color w:val="212121"/>
                <w:sz w:val="19"/>
              </w:rPr>
              <w:t>Anaemic, undernourished Indian women</w:t>
            </w:r>
          </w:p>
        </w:tc>
        <w:tc>
          <w:tcPr>
            <w:tcW w:type="dxa" w:w="4276"/>
            <w:vAlign w:val="top"/>
          </w:tcPr>
          <w:p>
            <w:pPr>
              <w:spacing w:after="60" w:line="259" w:lineRule="auto"/>
            </w:pPr>
            <w:r>
              <w:rPr>
                <w:rFonts w:ascii="Calibri" w:hAnsi="Calibri"/>
                <w:b w:val="0"/>
                <w:i w:val="0"/>
                <w:color w:val="212121"/>
                <w:sz w:val="19"/>
              </w:rPr>
              <w:t>Diet does not cause PID, but poor nutritional status and the very high background prevalence of anaemia in Indian women reduce resilience to infection and worsen recovery from febrile pelvic sepsis.</w:t>
            </w:r>
          </w:p>
          <w:p>
            <w:pPr>
              <w:spacing w:after="40" w:before="60" w:line="259" w:lineRule="auto"/>
            </w:pPr>
            <w:r>
              <w:rPr>
                <w:rFonts w:ascii="Calibri" w:hAnsi="Calibri"/>
                <w:b w:val="0"/>
                <w:i w:val="0"/>
                <w:color w:val="212121"/>
                <w:sz w:val="19"/>
              </w:rPr>
              <w:t>Diet is not a direct cause of PID; anaemia and undernutrition (common in Indian women) impair immunity and recovery.</w:t>
            </w:r>
          </w:p>
          <w:p>
            <w:pPr>
              <w:spacing w:before="60" w:after="40"/>
            </w:pPr>
            <w:r>
              <w:rPr>
                <w:rFonts w:ascii="Calibri" w:hAnsi="Calibri"/>
                <w:b w:val="0"/>
                <w:i w:val="0"/>
                <w:color w:val="5A5A5A"/>
                <w:sz w:val="18"/>
              </w:rPr>
              <w:t>#nutrition  #anaemia  #immunity  #recovery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immunogenetic susceptibility</w:t>
            </w:r>
          </w:p>
        </w:tc>
        <w:tc>
          <w:tcPr>
            <w:tcW w:type="dxa" w:w="2160"/>
            <w:vAlign w:val="top"/>
          </w:tcPr>
          <w:p>
            <w:pPr>
              <w:spacing w:after="40" w:before="0" w:line="259" w:lineRule="auto"/>
            </w:pPr>
            <w:r>
              <w:rPr>
                <w:rFonts w:ascii="Calibri" w:hAnsi="Calibri"/>
                <w:b w:val="0"/>
                <w:i w:val="0"/>
                <w:color w:val="212121"/>
                <w:sz w:val="19"/>
              </w:rPr>
              <w:t>Women with a heightened inflammatory response to chlamydia</w:t>
            </w:r>
          </w:p>
        </w:tc>
        <w:tc>
          <w:tcPr>
            <w:tcW w:type="dxa" w:w="4276"/>
            <w:vAlign w:val="top"/>
          </w:tcPr>
          <w:p>
            <w:pPr>
              <w:spacing w:after="60" w:line="259" w:lineRule="auto"/>
            </w:pPr>
            <w:r>
              <w:rPr>
                <w:rFonts w:ascii="Calibri" w:hAnsi="Calibri"/>
                <w:b w:val="0"/>
                <w:i w:val="0"/>
                <w:color w:val="212121"/>
                <w:sz w:val="19"/>
              </w:rPr>
              <w:t>PID is an acquired infection, not an inherited disease, but host genetic variation in the immune response to Chlamydia trachomatis (for example in Toll-like-receptor and cytokine genes) influences how much tubal scarring and infertility a given infection produces.</w:t>
            </w:r>
          </w:p>
          <w:p>
            <w:pPr>
              <w:spacing w:after="40" w:before="60" w:line="259" w:lineRule="auto"/>
            </w:pPr>
            <w:r>
              <w:rPr>
                <w:rFonts w:ascii="Calibri" w:hAnsi="Calibri"/>
                <w:b w:val="0"/>
                <w:i w:val="0"/>
                <w:color w:val="212121"/>
                <w:sz w:val="19"/>
              </w:rPr>
              <w:t>Host immune-response genes modulate the degree of tubal damage after chlamydial infection, though PID itself is not hereditary.</w:t>
            </w:r>
          </w:p>
          <w:p>
            <w:pPr>
              <w:spacing w:before="60" w:after="40"/>
            </w:pPr>
            <w:r>
              <w:rPr>
                <w:rFonts w:ascii="Calibri" w:hAnsi="Calibri"/>
                <w:b w:val="0"/>
                <w:i w:val="0"/>
                <w:color w:val="5A5A5A"/>
                <w:sz w:val="18"/>
              </w:rPr>
              <w:t>#immunogenetics  #chlamydia  #tubalscarring  #hostresponse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Bacterial vaginosis</w:t>
            </w:r>
          </w:p>
        </w:tc>
        <w:tc>
          <w:tcPr>
            <w:tcW w:type="dxa" w:w="2160"/>
            <w:vAlign w:val="top"/>
          </w:tcPr>
          <w:p>
            <w:pPr>
              <w:spacing w:after="40" w:before="0" w:line="259" w:lineRule="auto"/>
            </w:pPr>
            <w:r>
              <w:rPr>
                <w:rFonts w:ascii="Calibri" w:hAnsi="Calibri"/>
                <w:b w:val="0"/>
                <w:i w:val="0"/>
                <w:color w:val="212121"/>
                <w:sz w:val="19"/>
              </w:rPr>
              <w:t>Women with recurrent bacterial vaginosis</w:t>
            </w:r>
          </w:p>
        </w:tc>
        <w:tc>
          <w:tcPr>
            <w:tcW w:type="dxa" w:w="4276"/>
            <w:vAlign w:val="top"/>
          </w:tcPr>
          <w:p>
            <w:pPr>
              <w:spacing w:after="60" w:line="259" w:lineRule="auto"/>
            </w:pPr>
            <w:r>
              <w:rPr>
                <w:rFonts w:ascii="Calibri" w:hAnsi="Calibri"/>
                <w:b w:val="0"/>
                <w:i w:val="0"/>
                <w:color w:val="212121"/>
                <w:sz w:val="19"/>
              </w:rPr>
              <w:t>Bacterial vaginosis replaces protective lactobacilli with anaerobes and raises vaginal pH, providing the polymicrobial organisms and the disturbed barrier that facilitate ascending infection and PID.</w:t>
            </w:r>
          </w:p>
          <w:p>
            <w:pPr>
              <w:spacing w:after="40" w:before="60" w:line="259" w:lineRule="auto"/>
            </w:pPr>
            <w:r>
              <w:rPr>
                <w:rFonts w:ascii="Calibri" w:hAnsi="Calibri"/>
                <w:b w:val="0"/>
                <w:i w:val="0"/>
                <w:color w:val="212121"/>
                <w:sz w:val="19"/>
              </w:rPr>
              <w:t>Bacterial-vaginosis-associated organisms are implicated in the great majority (around 85%) of PID cases.</w:t>
            </w:r>
          </w:p>
          <w:p>
            <w:pPr>
              <w:spacing w:after="40" w:line="252" w:lineRule="auto"/>
            </w:pPr>
            <w:hyperlink r:id="rId13">
              <w:r>
                <w:rPr>
                  <w:rFonts w:ascii="Calibri" w:hAnsi="Calibri" w:cs="Calibri"/>
                  <w:sz w:val="18"/>
                  <w:color w:val="1155CC"/>
                  <w:u w:val="single"/>
                </w:rPr>
                <w:t xml:space="preserve">ncbi.nlm.nih.gov - StatPearls, Pelvic Inflammatory Disease</w:t>
              </w:r>
            </w:hyperlink>
          </w:p>
          <w:p>
            <w:pPr>
              <w:spacing w:before="60" w:after="40"/>
            </w:pPr>
            <w:r>
              <w:rPr>
                <w:rFonts w:ascii="Calibri" w:hAnsi="Calibri"/>
                <w:b w:val="0"/>
                <w:i w:val="0"/>
                <w:color w:val="5A5A5A"/>
                <w:sz w:val="18"/>
              </w:rPr>
              <w:t>#bacterialvaginosis  #anaerobes  #vaginalpH  #ascendinginfection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 current STI</w:t>
            </w:r>
          </w:p>
        </w:tc>
        <w:tc>
          <w:tcPr>
            <w:tcW w:type="dxa" w:w="2160"/>
            <w:vAlign w:val="top"/>
          </w:tcPr>
          <w:p>
            <w:pPr>
              <w:spacing w:after="40" w:before="0" w:line="259" w:lineRule="auto"/>
            </w:pPr>
            <w:r>
              <w:rPr>
                <w:rFonts w:ascii="Calibri" w:hAnsi="Calibri"/>
                <w:b w:val="0"/>
                <w:i w:val="0"/>
                <w:color w:val="212121"/>
                <w:sz w:val="19"/>
              </w:rPr>
              <w:t>Women with cervical chlamydia or gonorrhoea</w:t>
            </w:r>
          </w:p>
        </w:tc>
        <w:tc>
          <w:tcPr>
            <w:tcW w:type="dxa" w:w="4276"/>
            <w:vAlign w:val="top"/>
          </w:tcPr>
          <w:p>
            <w:pPr>
              <w:spacing w:after="60" w:line="259" w:lineRule="auto"/>
            </w:pPr>
            <w:r>
              <w:rPr>
                <w:rFonts w:ascii="Calibri" w:hAnsi="Calibri"/>
                <w:b w:val="0"/>
                <w:i w:val="0"/>
                <w:color w:val="212121"/>
                <w:sz w:val="19"/>
              </w:rPr>
              <w:t>Cervical infection with C. trachomatis or N. gonorrhoeae is the direct precursor of most PID; untreated or repeatedly acquired infection ascends to the tubes.</w:t>
            </w:r>
          </w:p>
          <w:p>
            <w:pPr>
              <w:spacing w:after="40" w:before="60" w:line="259" w:lineRule="auto"/>
            </w:pPr>
            <w:r>
              <w:rPr>
                <w:rFonts w:ascii="Calibri" w:hAnsi="Calibri"/>
                <w:b w:val="0"/>
                <w:i w:val="0"/>
                <w:color w:val="212121"/>
                <w:sz w:val="19"/>
              </w:rPr>
              <w:t>N. gonorrhoeae and/or C. trachomatis are identified in up to about 50% of PID cases, and roughly 10% of STI-positive women develop PID over their lifetime.</w:t>
            </w:r>
          </w:p>
          <w:p>
            <w:pPr>
              <w:spacing w:after="40" w:line="252" w:lineRule="auto"/>
            </w:pPr>
            <w:hyperlink r:id="rId10">
              <w:r>
                <w:rPr>
                  <w:rFonts w:ascii="Calibri" w:hAnsi="Calibri" w:cs="Calibri"/>
                  <w:sz w:val="18"/>
                  <w:color w:val="1155CC"/>
                  <w:u w:val="single"/>
                </w:rPr>
                <w:t xml:space="preserve">std.uw.edu - National STD Curriculum, PID</w:t>
              </w:r>
            </w:hyperlink>
          </w:p>
          <w:p>
            <w:pPr>
              <w:spacing w:before="60" w:after="40"/>
            </w:pPr>
            <w:r>
              <w:rPr>
                <w:rFonts w:ascii="Calibri" w:hAnsi="Calibri"/>
                <w:b w:val="0"/>
                <w:i w:val="0"/>
                <w:color w:val="5A5A5A"/>
                <w:sz w:val="18"/>
              </w:rPr>
              <w:t>#chlamydia  #gonorrhoea  #cervicitis  #naat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Previous PID</w:t>
            </w:r>
          </w:p>
        </w:tc>
        <w:tc>
          <w:tcPr>
            <w:tcW w:type="dxa" w:w="2160"/>
            <w:vAlign w:val="top"/>
          </w:tcPr>
          <w:p>
            <w:pPr>
              <w:spacing w:after="40" w:before="0" w:line="259" w:lineRule="auto"/>
            </w:pPr>
            <w:r>
              <w:rPr>
                <w:rFonts w:ascii="Calibri" w:hAnsi="Calibri"/>
                <w:b w:val="0"/>
                <w:i w:val="0"/>
                <w:color w:val="212121"/>
                <w:sz w:val="19"/>
              </w:rPr>
              <w:t>Women with a prior episode of PID</w:t>
            </w:r>
          </w:p>
        </w:tc>
        <w:tc>
          <w:tcPr>
            <w:tcW w:type="dxa" w:w="4276"/>
            <w:vAlign w:val="top"/>
          </w:tcPr>
          <w:p>
            <w:pPr>
              <w:spacing w:after="60" w:line="259" w:lineRule="auto"/>
            </w:pPr>
            <w:r>
              <w:rPr>
                <w:rFonts w:ascii="Calibri" w:hAnsi="Calibri"/>
                <w:b w:val="0"/>
                <w:i w:val="0"/>
                <w:color w:val="212121"/>
                <w:sz w:val="19"/>
              </w:rPr>
              <w:t>Each episode damages tubal defences and cilia and reflects ongoing risk exposure, so a prior episode strongly predicts recurrence and cumulative tubal injury.</w:t>
            </w:r>
          </w:p>
          <w:p>
            <w:pPr>
              <w:spacing w:after="40" w:before="60" w:line="259" w:lineRule="auto"/>
            </w:pPr>
            <w:r>
              <w:rPr>
                <w:rFonts w:ascii="Calibri" w:hAnsi="Calibri"/>
                <w:b w:val="0"/>
                <w:i w:val="0"/>
                <w:color w:val="212121"/>
                <w:sz w:val="19"/>
              </w:rPr>
              <w:t>After hospitalisation about 16% have a recurrent episode, and infertility rises from ~8% after one episode to ~20% after two and ~40% after three or more.</w:t>
            </w:r>
          </w:p>
          <w:p>
            <w:pPr>
              <w:spacing w:after="40" w:line="252" w:lineRule="auto"/>
            </w:pPr>
            <w:hyperlink r:id="rId13">
              <w:r>
                <w:rPr>
                  <w:rFonts w:ascii="Calibri" w:hAnsi="Calibri" w:cs="Calibri"/>
                  <w:sz w:val="18"/>
                  <w:color w:val="1155CC"/>
                  <w:u w:val="single"/>
                </w:rPr>
                <w:t xml:space="preserve">ncbi.nlm.nih.gov - StatPearls, Pelvic Inflammatory Disease</w:t>
              </w:r>
            </w:hyperlink>
          </w:p>
          <w:p>
            <w:pPr>
              <w:spacing w:before="60" w:after="40"/>
            </w:pPr>
            <w:r>
              <w:rPr>
                <w:rFonts w:ascii="Calibri" w:hAnsi="Calibri"/>
                <w:b w:val="0"/>
                <w:i w:val="0"/>
                <w:color w:val="5A5A5A"/>
                <w:sz w:val="18"/>
              </w:rPr>
              <w:t>#recurrence  #tubaldamage  #cumulativerisk  #infertility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HIV-positive or immunosuppressed women</w:t>
            </w:r>
          </w:p>
        </w:tc>
        <w:tc>
          <w:tcPr>
            <w:tcW w:type="dxa" w:w="4276"/>
            <w:vAlign w:val="top"/>
          </w:tcPr>
          <w:p>
            <w:pPr>
              <w:spacing w:after="60" w:line="259" w:lineRule="auto"/>
            </w:pPr>
            <w:r>
              <w:rPr>
                <w:rFonts w:ascii="Calibri" w:hAnsi="Calibri"/>
                <w:b w:val="0"/>
                <w:i w:val="0"/>
                <w:color w:val="212121"/>
                <w:sz w:val="19"/>
              </w:rPr>
              <w:t>HIV-positive and immunosuppressed women develop PID more often and with more severe disease, including a higher rate of tubo-ovarian abscess, and may respond more slowly to therapy.</w:t>
            </w:r>
          </w:p>
          <w:p>
            <w:pPr>
              <w:spacing w:after="40" w:before="60" w:line="259" w:lineRule="auto"/>
            </w:pPr>
            <w:r>
              <w:rPr>
                <w:rFonts w:ascii="Calibri" w:hAnsi="Calibri"/>
                <w:b w:val="0"/>
                <w:i w:val="0"/>
                <w:color w:val="212121"/>
                <w:sz w:val="19"/>
              </w:rPr>
              <w:t>PID in HIV-positive women tends to be more severe, with higher rates of tubo-ovarian abscess and slower clinical response.</w:t>
            </w:r>
          </w:p>
          <w:p>
            <w:pPr>
              <w:spacing w:before="60" w:after="40"/>
            </w:pPr>
            <w:r>
              <w:rPr>
                <w:rFonts w:ascii="Calibri" w:hAnsi="Calibri"/>
                <w:b w:val="0"/>
                <w:i w:val="0"/>
                <w:color w:val="5A5A5A"/>
                <w:sz w:val="18"/>
              </w:rPr>
              <w:t>#hiv  #immunosuppression  #tuboovarianabscess  #severe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established role in PID, which is an ascending genital infection; regular exercise supports general immunity but neither directly causes nor prevents it.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PID, but adequate nutrition and correction of the anaemia that is common in Indian women support immunity and recovery from pelvic infection.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does not directly influence PID; chronic sleep deprivation may modestly impair immune defence, and rest aids recovery during acute illness.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smoking impairs mucosal and tubal ciliary defences and is associated with roughly a doubling of PID risk in current and former 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is linked to an 89-101% higher PID prevalence, largely through disinhibited higher-risk sexual behaviour and reduced condom use.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PID has a bidirectional link with mental health: chronic pelvic pain and infertility cause anxiety and depression, and psychosocial factors shape sexual-risk and health-seeking behaviour.</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Water intake has no established role in the development of PID.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Caffeine has no established association with PID.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Sexual and genital hygiene are central: safe sex and consistent condom use are strongly protective (30-60% lower recurrence), whereas vaginal douching disrupts protective flora and raises endometritis and PID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Unprotected sex with new or multiple partners, untreated cervical STI, menstruation, and trans-cervical instrumentation (IUD insertion, D&amp;C, hysteroscopy, HSG, childbirth, abortion) provoke ascending infection.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Number of sexual partners</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Mutually monogamous (1 partner)</w:t>
            </w:r>
          </w:p>
        </w:tc>
        <w:tc>
          <w:tcPr>
            <w:tcW w:type="dxa" w:w="1512"/>
            <w:vAlign w:val="top"/>
          </w:tcPr>
          <w:p>
            <w:pPr>
              <w:spacing w:after="40" w:before="0" w:line="259" w:lineRule="auto"/>
            </w:pPr>
            <w:r>
              <w:rPr>
                <w:rFonts w:ascii="Calibri" w:hAnsi="Calibri"/>
                <w:b w:val="0"/>
                <w:i w:val="0"/>
                <w:color w:val="212121"/>
                <w:sz w:val="19"/>
              </w:rPr>
              <w:t>Multiple / new partners (&gt;= 10 lifetime ~3x risk)</w:t>
            </w:r>
          </w:p>
        </w:tc>
        <w:tc>
          <w:tcPr>
            <w:tcW w:type="dxa" w:w="1468"/>
            <w:vAlign w:val="top"/>
          </w:tcPr>
          <w:p>
            <w:pPr>
              <w:spacing w:after="60" w:line="259" w:lineRule="auto"/>
            </w:pPr>
            <w:r>
              <w:rPr>
                <w:rFonts w:ascii="Calibri" w:hAnsi="Calibri"/>
                <w:b w:val="0"/>
                <w:i w:val="0"/>
                <w:color w:val="212121"/>
                <w:sz w:val="19"/>
              </w:rPr>
              <w:t>More partners means more STI exposure and PID risk</w:t>
            </w:r>
          </w:p>
          <w:p>
            <w:pPr>
              <w:spacing w:after="40" w:line="252" w:lineRule="auto"/>
            </w:pPr>
            <w:hyperlink r:id="rId10">
              <w:r>
                <w:rPr>
                  <w:rFonts w:ascii="Calibri" w:hAnsi="Calibri" w:cs="Calibri"/>
                  <w:sz w:val="18"/>
                  <w:color w:val="1155CC"/>
                  <w:u w:val="single"/>
                </w:rPr>
                <w:t xml:space="preserve">https://www.std.uw.edu/go/comprehensive-study/pelvic-inflammatory-disease/core-concept/all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Consistent condom use</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Consistent use with every partner</w:t>
            </w:r>
          </w:p>
        </w:tc>
        <w:tc>
          <w:tcPr>
            <w:tcW w:type="dxa" w:w="1512"/>
            <w:vAlign w:val="top"/>
          </w:tcPr>
          <w:p>
            <w:pPr>
              <w:spacing w:after="40" w:before="0" w:line="259" w:lineRule="auto"/>
            </w:pPr>
            <w:r>
              <w:rPr>
                <w:rFonts w:ascii="Calibri" w:hAnsi="Calibri"/>
                <w:b w:val="0"/>
                <w:i w:val="0"/>
                <w:color w:val="212121"/>
                <w:sz w:val="19"/>
              </w:rPr>
              <w:t>Inconsistent or no condom use</w:t>
            </w:r>
          </w:p>
        </w:tc>
        <w:tc>
          <w:tcPr>
            <w:tcW w:type="dxa" w:w="1468"/>
            <w:vAlign w:val="top"/>
          </w:tcPr>
          <w:p>
            <w:pPr>
              <w:spacing w:after="60" w:line="259" w:lineRule="auto"/>
            </w:pPr>
            <w:r>
              <w:rPr>
                <w:rFonts w:ascii="Calibri" w:hAnsi="Calibri"/>
                <w:b w:val="0"/>
                <w:i w:val="0"/>
                <w:color w:val="212121"/>
                <w:sz w:val="19"/>
              </w:rPr>
              <w:t>Consistent use lowers PID recurrence by 30-60%</w:t>
            </w:r>
          </w:p>
          <w:p>
            <w:pPr>
              <w:spacing w:after="40" w:line="252" w:lineRule="auto"/>
            </w:pPr>
            <w:hyperlink r:id="rId10">
              <w:r>
                <w:rPr>
                  <w:rFonts w:ascii="Calibri" w:hAnsi="Calibri" w:cs="Calibri"/>
                  <w:sz w:val="18"/>
                  <w:color w:val="1155CC"/>
                  <w:u w:val="single"/>
                </w:rPr>
                <w:t xml:space="preserve">https://www.std.uw.edu/go/comprehensive-study/pelvic-inflammatory-disease/core-concept/all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Vaginal douching frequency</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&gt;= 2 times/month</w:t>
            </w:r>
          </w:p>
        </w:tc>
        <w:tc>
          <w:tcPr>
            <w:tcW w:type="dxa" w:w="1468"/>
            <w:vAlign w:val="top"/>
          </w:tcPr>
          <w:p>
            <w:pPr>
              <w:spacing w:after="60" w:line="259" w:lineRule="auto"/>
            </w:pPr>
            <w:r>
              <w:rPr>
                <w:rFonts w:ascii="Calibri" w:hAnsi="Calibri"/>
                <w:b w:val="0"/>
                <w:i w:val="0"/>
                <w:color w:val="212121"/>
                <w:sz w:val="19"/>
              </w:rPr>
              <w:t>Frequent douching linked to ~24% higher endometritis risk</w:t>
            </w:r>
          </w:p>
          <w:p>
            <w:pPr>
              <w:spacing w:after="40" w:line="252" w:lineRule="auto"/>
            </w:pPr>
            <w:hyperlink r:id="rId12">
              <w:r>
                <w:rPr>
                  <w:rFonts w:ascii="Calibri" w:hAnsi="Calibri" w:cs="Calibri"/>
                  <w:sz w:val="18"/>
                  <w:color w:val="1155CC"/>
                  <w:u w:val="single"/>
                </w:rPr>
                <w:t xml:space="preserve">https://www.frontiersin.org/journals/endocrinology/articles/10.3389/fendo.2026.1843375/full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Age</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&gt;= 25 years</w:t>
            </w:r>
          </w:p>
        </w:tc>
        <w:tc>
          <w:tcPr>
            <w:tcW w:type="dxa" w:w="1512"/>
            <w:vAlign w:val="top"/>
          </w:tcPr>
          <w:p>
            <w:pPr>
              <w:spacing w:after="40" w:before="0" w:line="259" w:lineRule="auto"/>
            </w:pPr>
            <w:r>
              <w:rPr>
                <w:rFonts w:ascii="Calibri" w:hAnsi="Calibri"/>
                <w:b w:val="0"/>
                <w:i w:val="0"/>
                <w:color w:val="212121"/>
                <w:sz w:val="19"/>
              </w:rPr>
              <w:t>&lt; 25 years (peak 20-24)</w:t>
            </w:r>
          </w:p>
        </w:tc>
        <w:tc>
          <w:tcPr>
            <w:tcW w:type="dxa" w:w="1468"/>
            <w:vAlign w:val="top"/>
          </w:tcPr>
          <w:p>
            <w:pPr>
              <w:spacing w:after="60" w:line="259" w:lineRule="auto"/>
            </w:pPr>
            <w:r>
              <w:rPr>
                <w:rFonts w:ascii="Calibri" w:hAnsi="Calibri"/>
                <w:b w:val="0"/>
                <w:i w:val="0"/>
                <w:color w:val="212121"/>
                <w:sz w:val="19"/>
              </w:rPr>
              <w:t>Younger age means wider cervical ectopy and higher risk</w:t>
            </w:r>
          </w:p>
          <w:p>
            <w:pPr>
              <w:spacing w:after="40" w:line="252" w:lineRule="auto"/>
            </w:pPr>
            <w:hyperlink r:id="rId12">
              <w:r>
                <w:rPr>
                  <w:rFonts w:ascii="Calibri" w:hAnsi="Calibri" w:cs="Calibri"/>
                  <w:sz w:val="18"/>
                  <w:color w:val="1155CC"/>
                  <w:u w:val="single"/>
                </w:rPr>
                <w:t xml:space="preserve">https://www.frontiersin.org/journals/endocrinology/articles/10.3389/fendo.2026.1843375/full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first intercourse</w:t>
            </w:r>
          </w:p>
        </w:tc>
        <w:tc>
          <w:tcPr>
            <w:tcW w:type="dxa" w:w="1655"/>
            <w:vAlign w:val="top"/>
          </w:tcPr>
          <w:p>
            <w:pPr>
              <w:spacing w:after="40" w:before="0" w:line="259" w:lineRule="auto"/>
            </w:pPr>
            <w:r>
              <w:rPr>
                <w:rFonts w:ascii="Calibri" w:hAnsi="Calibri"/>
                <w:b w:val="0"/>
                <w:i w:val="0"/>
                <w:color w:val="212121"/>
                <w:sz w:val="19"/>
              </w:rPr>
              <w:t>Young women</w:t>
            </w:r>
          </w:p>
        </w:tc>
        <w:tc>
          <w:tcPr>
            <w:tcW w:type="dxa" w:w="1512"/>
            <w:vAlign w:val="top"/>
          </w:tcPr>
          <w:p>
            <w:pPr>
              <w:spacing w:after="40" w:before="0" w:line="259" w:lineRule="auto"/>
            </w:pPr>
            <w:r>
              <w:rPr>
                <w:rFonts w:ascii="Calibri" w:hAnsi="Calibri"/>
                <w:b w:val="0"/>
                <w:i w:val="0"/>
                <w:color w:val="212121"/>
                <w:sz w:val="19"/>
              </w:rPr>
              <w:t>&gt;= 18 years</w:t>
            </w:r>
          </w:p>
        </w:tc>
        <w:tc>
          <w:tcPr>
            <w:tcW w:type="dxa" w:w="1512"/>
            <w:vAlign w:val="top"/>
          </w:tcPr>
          <w:p>
            <w:pPr>
              <w:spacing w:after="40" w:before="0" w:line="259" w:lineRule="auto"/>
            </w:pPr>
            <w:r>
              <w:rPr>
                <w:rFonts w:ascii="Calibri" w:hAnsi="Calibri"/>
                <w:b w:val="0"/>
                <w:i w:val="0"/>
                <w:color w:val="212121"/>
                <w:sz w:val="19"/>
              </w:rPr>
              <w:t>&lt; 18 years</w:t>
            </w:r>
          </w:p>
        </w:tc>
        <w:tc>
          <w:tcPr>
            <w:tcW w:type="dxa" w:w="1468"/>
            <w:vAlign w:val="top"/>
          </w:tcPr>
          <w:p>
            <w:pPr>
              <w:spacing w:after="60" w:line="259" w:lineRule="auto"/>
            </w:pPr>
            <w:r>
              <w:rPr>
                <w:rFonts w:ascii="Calibri" w:hAnsi="Calibri"/>
                <w:b w:val="0"/>
                <w:i w:val="0"/>
                <w:color w:val="212121"/>
                <w:sz w:val="19"/>
              </w:rPr>
              <w:t>Early coitarche associated with higher PID odds (OR ~2.8)</w:t>
            </w:r>
          </w:p>
          <w:p>
            <w:pPr>
              <w:spacing w:after="40" w:line="252" w:lineRule="auto"/>
            </w:pPr>
            <w:hyperlink r:id="rId9">
              <w:r>
                <w:rPr>
                  <w:rFonts w:ascii="Calibri" w:hAnsi="Calibri" w:cs="Calibri"/>
                  <w:sz w:val="18"/>
                  <w:color w:val="1155CC"/>
                  <w:u w:val="single"/>
                </w:rPr>
                <w:t xml:space="preserve">https://www.ijrcog.org/index.php/ijrcog/article/download/3404/2696/12232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since IUD insertion</w:t>
            </w:r>
          </w:p>
        </w:tc>
        <w:tc>
          <w:tcPr>
            <w:tcW w:type="dxa" w:w="1655"/>
            <w:vAlign w:val="top"/>
          </w:tcPr>
          <w:p>
            <w:pPr>
              <w:spacing w:after="40" w:before="0" w:line="259" w:lineRule="auto"/>
            </w:pPr>
            <w:r>
              <w:rPr>
                <w:rFonts w:ascii="Calibri" w:hAnsi="Calibri"/>
                <w:b w:val="0"/>
                <w:i w:val="0"/>
                <w:color w:val="212121"/>
                <w:sz w:val="19"/>
              </w:rPr>
              <w:t>IUD users</w:t>
            </w:r>
          </w:p>
        </w:tc>
        <w:tc>
          <w:tcPr>
            <w:tcW w:type="dxa" w:w="1512"/>
            <w:vAlign w:val="top"/>
          </w:tcPr>
          <w:p>
            <w:pPr>
              <w:spacing w:after="40" w:before="0" w:line="259" w:lineRule="auto"/>
            </w:pPr>
            <w:r>
              <w:rPr>
                <w:rFonts w:ascii="Calibri" w:hAnsi="Calibri"/>
                <w:b w:val="0"/>
                <w:i w:val="0"/>
                <w:color w:val="212121"/>
                <w:sz w:val="19"/>
              </w:rPr>
              <w:t>&gt; 21 days (baseline risk)</w:t>
            </w:r>
          </w:p>
        </w:tc>
        <w:tc>
          <w:tcPr>
            <w:tcW w:type="dxa" w:w="1512"/>
            <w:vAlign w:val="top"/>
          </w:tcPr>
          <w:p>
            <w:pPr>
              <w:spacing w:after="40" w:before="0" w:line="259" w:lineRule="auto"/>
            </w:pPr>
            <w:r>
              <w:rPr>
                <w:rFonts w:ascii="Calibri" w:hAnsi="Calibri"/>
                <w:b w:val="0"/>
                <w:i w:val="0"/>
                <w:color w:val="212121"/>
                <w:sz w:val="19"/>
              </w:rPr>
              <w:t>Within first 21 days</w:t>
            </w:r>
          </w:p>
        </w:tc>
        <w:tc>
          <w:tcPr>
            <w:tcW w:type="dxa" w:w="1468"/>
            <w:vAlign w:val="top"/>
          </w:tcPr>
          <w:p>
            <w:pPr>
              <w:spacing w:after="60" w:line="259" w:lineRule="auto"/>
            </w:pPr>
            <w:r>
              <w:rPr>
                <w:rFonts w:ascii="Calibri" w:hAnsi="Calibri"/>
                <w:b w:val="0"/>
                <w:i w:val="0"/>
                <w:color w:val="212121"/>
                <w:sz w:val="19"/>
              </w:rPr>
              <w:t>Insertion-related risk raised ~6-fold in the first 3 weeks only</w:t>
            </w:r>
          </w:p>
          <w:p>
            <w:pPr>
              <w:spacing w:after="40" w:line="252" w:lineRule="auto"/>
            </w:pPr>
            <w:hyperlink r:id="rId10">
              <w:r>
                <w:rPr>
                  <w:rFonts w:ascii="Calibri" w:hAnsi="Calibri" w:cs="Calibri"/>
                  <w:sz w:val="18"/>
                  <w:color w:val="1155CC"/>
                  <w:u w:val="single"/>
                </w:rPr>
                <w:t xml:space="preserve">https://www.std.uw.edu/go/comprehensive-study/pelvic-inflammatory-disease/core-concept/all</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Any smoking roughly doubles PID risk</w:t>
            </w:r>
          </w:p>
          <w:p>
            <w:pPr>
              <w:spacing w:after="40" w:line="252" w:lineRule="auto"/>
            </w:pPr>
            <w:hyperlink r:id="rId12">
              <w:r>
                <w:rPr>
                  <w:rFonts w:ascii="Calibri" w:hAnsi="Calibri" w:cs="Calibri"/>
                  <w:sz w:val="18"/>
                  <w:color w:val="1155CC"/>
                  <w:u w:val="single"/>
                </w:rPr>
                <w:t xml:space="preserve">https://www.frontiersin.org/journals/endocrinology/articles/10.3389/fendo.2026.1843375/full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None / minimal</w:t>
            </w:r>
          </w:p>
        </w:tc>
        <w:tc>
          <w:tcPr>
            <w:tcW w:type="dxa" w:w="1512"/>
            <w:vAlign w:val="top"/>
          </w:tcPr>
          <w:p>
            <w:pPr>
              <w:spacing w:after="40" w:before="0" w:line="259" w:lineRule="auto"/>
            </w:pPr>
            <w:r>
              <w:rPr>
                <w:rFonts w:ascii="Calibri" w:hAnsi="Calibri"/>
                <w:b w:val="0"/>
                <w:i w:val="0"/>
                <w:color w:val="212121"/>
                <w:sz w:val="19"/>
              </w:rPr>
              <w:t>Regular drinking</w:t>
            </w:r>
          </w:p>
        </w:tc>
        <w:tc>
          <w:tcPr>
            <w:tcW w:type="dxa" w:w="1468"/>
            <w:vAlign w:val="top"/>
          </w:tcPr>
          <w:p>
            <w:pPr>
              <w:spacing w:after="60" w:line="259" w:lineRule="auto"/>
            </w:pPr>
            <w:r>
              <w:rPr>
                <w:rFonts w:ascii="Calibri" w:hAnsi="Calibri"/>
                <w:b w:val="0"/>
                <w:i w:val="0"/>
                <w:color w:val="212121"/>
                <w:sz w:val="19"/>
              </w:rPr>
              <w:t>89-101% higher PID prevalence versus abstainers</w:t>
            </w:r>
          </w:p>
          <w:p>
            <w:pPr>
              <w:spacing w:after="40" w:line="252" w:lineRule="auto"/>
            </w:pPr>
            <w:hyperlink r:id="rId12">
              <w:r>
                <w:rPr>
                  <w:rFonts w:ascii="Calibri" w:hAnsi="Calibri" w:cs="Calibri"/>
                  <w:sz w:val="18"/>
                  <w:color w:val="1155CC"/>
                  <w:u w:val="single"/>
                </w:rPr>
                <w:t xml:space="preserve">https://www.frontiersin.org/journals/endocrinology/articles/10.3389/fendo.2026.1843375/full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Oral temperature</w:t>
            </w:r>
          </w:p>
        </w:tc>
        <w:tc>
          <w:tcPr>
            <w:tcW w:type="dxa" w:w="1655"/>
            <w:vAlign w:val="top"/>
          </w:tcPr>
          <w:p>
            <w:pPr>
              <w:spacing w:after="40" w:before="0" w:line="259" w:lineRule="auto"/>
            </w:pPr>
            <w:r>
              <w:rPr>
                <w:rFonts w:ascii="Calibri" w:hAnsi="Calibri"/>
                <w:b w:val="0"/>
                <w:i w:val="0"/>
                <w:color w:val="212121"/>
                <w:sz w:val="19"/>
              </w:rPr>
              <w:t>Women with pelvic pain</w:t>
            </w:r>
          </w:p>
        </w:tc>
        <w:tc>
          <w:tcPr>
            <w:tcW w:type="dxa" w:w="1512"/>
            <w:vAlign w:val="top"/>
          </w:tcPr>
          <w:p>
            <w:pPr>
              <w:spacing w:after="40" w:before="0" w:line="259" w:lineRule="auto"/>
            </w:pPr>
            <w:r>
              <w:rPr>
                <w:rFonts w:ascii="Calibri" w:hAnsi="Calibri"/>
                <w:b w:val="0"/>
                <w:i w:val="0"/>
                <w:color w:val="212121"/>
                <w:sz w:val="19"/>
              </w:rPr>
              <w:t>&lt; 37.5 C</w:t>
            </w:r>
          </w:p>
        </w:tc>
        <w:tc>
          <w:tcPr>
            <w:tcW w:type="dxa" w:w="1512"/>
            <w:vAlign w:val="top"/>
          </w:tcPr>
          <w:p>
            <w:pPr>
              <w:spacing w:after="40" w:before="0" w:line="259" w:lineRule="auto"/>
            </w:pPr>
            <w:r>
              <w:rPr>
                <w:rFonts w:ascii="Calibri" w:hAnsi="Calibri"/>
                <w:b w:val="0"/>
                <w:i w:val="0"/>
                <w:color w:val="212121"/>
                <w:sz w:val="19"/>
              </w:rPr>
              <w:t>&gt; 38.3 C (supportive criterion)</w:t>
            </w:r>
          </w:p>
        </w:tc>
        <w:tc>
          <w:tcPr>
            <w:tcW w:type="dxa" w:w="1468"/>
            <w:vAlign w:val="top"/>
          </w:tcPr>
          <w:p>
            <w:pPr>
              <w:spacing w:after="60" w:line="259" w:lineRule="auto"/>
            </w:pPr>
            <w:r>
              <w:rPr>
                <w:rFonts w:ascii="Calibri" w:hAnsi="Calibri"/>
                <w:b w:val="0"/>
                <w:i w:val="0"/>
                <w:color w:val="212121"/>
                <w:sz w:val="19"/>
              </w:rPr>
              <w:t>Fever supports the clinical diagnosis of PID</w:t>
            </w:r>
          </w:p>
          <w:p>
            <w:pPr>
              <w:spacing w:after="40" w:line="252" w:lineRule="auto"/>
            </w:pPr>
            <w:hyperlink r:id="rId10">
              <w:r>
                <w:rPr>
                  <w:rFonts w:ascii="Calibri" w:hAnsi="Calibri" w:cs="Calibri"/>
                  <w:sz w:val="18"/>
                  <w:color w:val="1155CC"/>
                  <w:u w:val="single"/>
                </w:rPr>
                <w:t xml:space="preserve">https://www.std.uw.edu/go/comprehensive-study/pelvic-inflammatory-disease/core-concept/all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C-reactive protein / ESR</w:t>
            </w:r>
          </w:p>
        </w:tc>
        <w:tc>
          <w:tcPr>
            <w:tcW w:type="dxa" w:w="1655"/>
            <w:vAlign w:val="top"/>
          </w:tcPr>
          <w:p>
            <w:pPr>
              <w:spacing w:after="40" w:before="0" w:line="259" w:lineRule="auto"/>
            </w:pPr>
            <w:r>
              <w:rPr>
                <w:rFonts w:ascii="Calibri" w:hAnsi="Calibri"/>
                <w:b w:val="0"/>
                <w:i w:val="0"/>
                <w:color w:val="212121"/>
                <w:sz w:val="19"/>
              </w:rPr>
              <w:t>Women with suspected PID</w:t>
            </w:r>
          </w:p>
        </w:tc>
        <w:tc>
          <w:tcPr>
            <w:tcW w:type="dxa" w:w="1512"/>
            <w:vAlign w:val="top"/>
          </w:tcPr>
          <w:p>
            <w:pPr>
              <w:spacing w:after="40" w:before="0" w:line="259" w:lineRule="auto"/>
            </w:pPr>
            <w:r>
              <w:rPr>
                <w:rFonts w:ascii="Calibri" w:hAnsi="Calibri"/>
                <w:b w:val="0"/>
                <w:i w:val="0"/>
                <w:color w:val="212121"/>
                <w:sz w:val="19"/>
              </w:rPr>
              <w:t>CRP &lt; 5 mg/L; normal ESR</w:t>
            </w:r>
          </w:p>
        </w:tc>
        <w:tc>
          <w:tcPr>
            <w:tcW w:type="dxa" w:w="1512"/>
            <w:vAlign w:val="top"/>
          </w:tcPr>
          <w:p>
            <w:pPr>
              <w:spacing w:after="40" w:before="0" w:line="259" w:lineRule="auto"/>
            </w:pPr>
            <w:r>
              <w:rPr>
                <w:rFonts w:ascii="Calibri" w:hAnsi="Calibri"/>
                <w:b w:val="0"/>
                <w:i w:val="0"/>
                <w:color w:val="212121"/>
                <w:sz w:val="19"/>
              </w:rPr>
              <w:t>Elevated CRP / ESR</w:t>
            </w:r>
          </w:p>
        </w:tc>
        <w:tc>
          <w:tcPr>
            <w:tcW w:type="dxa" w:w="1468"/>
            <w:vAlign w:val="top"/>
          </w:tcPr>
          <w:p>
            <w:pPr>
              <w:spacing w:after="60" w:line="259" w:lineRule="auto"/>
            </w:pPr>
            <w:r>
              <w:rPr>
                <w:rFonts w:ascii="Calibri" w:hAnsi="Calibri"/>
                <w:b w:val="0"/>
                <w:i w:val="0"/>
                <w:color w:val="212121"/>
                <w:sz w:val="19"/>
              </w:rPr>
              <w:t>Raised inflammatory markers are supportive criteria</w:t>
            </w:r>
          </w:p>
          <w:p>
            <w:pPr>
              <w:spacing w:after="40" w:line="252" w:lineRule="auto"/>
            </w:pPr>
            <w:hyperlink r:id="rId10">
              <w:r>
                <w:rPr>
                  <w:rFonts w:ascii="Calibri" w:hAnsi="Calibri" w:cs="Calibri"/>
                  <w:sz w:val="18"/>
                  <w:color w:val="1155CC"/>
                  <w:u w:val="single"/>
                </w:rPr>
                <w:t xml:space="preserve">https://www.std.uw.edu/go/comprehensive-study/pelvic-inflammatory-disease/core-concept/all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(NAAT)</w:t>
            </w:r>
          </w:p>
        </w:tc>
        <w:tc>
          <w:tcPr>
            <w:tcW w:type="dxa" w:w="1036"/>
            <w:vAlign w:val="top"/>
          </w:tcPr>
          <w:p>
            <w:pPr>
              <w:spacing w:after="40" w:before="0" w:line="259" w:lineRule="auto"/>
            </w:pPr>
            <w:r>
              <w:rPr>
                <w:rFonts w:ascii="Calibri" w:hAnsi="Calibri"/>
                <w:b w:val="0"/>
                <w:i w:val="0"/>
                <w:color w:val="212121"/>
                <w:sz w:val="16"/>
              </w:rPr>
              <w:t>Endocervical / vaginal NAAT for N. gonorrhoeae and C. trachomatis</w:t>
            </w:r>
          </w:p>
        </w:tc>
        <w:tc>
          <w:tcPr>
            <w:tcW w:type="dxa" w:w="892"/>
            <w:vAlign w:val="top"/>
          </w:tcPr>
          <w:p>
            <w:pPr>
              <w:spacing w:after="40" w:before="0" w:line="259" w:lineRule="auto"/>
            </w:pPr>
            <w:r>
              <w:rPr>
                <w:rFonts w:ascii="Calibri" w:hAnsi="Calibri"/>
                <w:b w:val="0"/>
                <w:i w:val="0"/>
                <w:color w:val="212121"/>
                <w:sz w:val="16"/>
              </w:rPr>
              <w:t>NAAT for GC/CT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Gonorrhoea and/or chlamydia detected</w:t>
            </w:r>
          </w:p>
        </w:tc>
        <w:tc>
          <w:tcPr>
            <w:tcW w:type="dxa" w:w="1036"/>
            <w:vAlign w:val="top"/>
          </w:tcPr>
          <w:p>
            <w:pPr>
              <w:spacing w:after="40" w:before="0" w:line="259" w:lineRule="auto"/>
            </w:pPr>
            <w:r>
              <w:rPr>
                <w:rFonts w:ascii="Calibri" w:hAnsi="Calibri"/>
                <w:b w:val="0"/>
                <w:i w:val="0"/>
                <w:color w:val="212121"/>
                <w:sz w:val="16"/>
              </w:rPr>
              <w:t>Identifies the causative STI and guides partner treatment; a positive test supports PID, but a negative test does not exclude it</w:t>
            </w:r>
          </w:p>
        </w:tc>
        <w:tc>
          <w:tcPr>
            <w:tcW w:type="dxa" w:w="1036"/>
            <w:vAlign w:val="top"/>
          </w:tcPr>
          <w:p>
            <w:pPr>
              <w:spacing w:after="40" w:before="0" w:line="259" w:lineRule="auto"/>
            </w:pPr>
            <w:r>
              <w:rPr>
                <w:rFonts w:ascii="Calibri" w:hAnsi="Calibri"/>
                <w:b w:val="0"/>
                <w:i w:val="0"/>
                <w:color w:val="212121"/>
                <w:sz w:val="16"/>
              </w:rPr>
              <w:t>Sexually active women with pelvic pain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First-line / high</w:t>
            </w:r>
          </w:p>
        </w:tc>
        <w:tc>
          <w:tcPr>
            <w:tcW w:type="dxa" w:w="720"/>
            <w:vAlign w:val="top"/>
          </w:tcPr>
          <w:p>
            <w:pPr>
              <w:spacing w:after="40" w:before="0" w:line="259" w:lineRule="auto"/>
            </w:pPr>
            <w:r>
              <w:rPr>
                <w:rFonts w:ascii="Calibri" w:hAnsi="Calibri"/>
                <w:b w:val="0"/>
                <w:i w:val="0"/>
                <w:color w:val="212121"/>
                <w:sz w:val="16"/>
              </w:rPr>
              <w:t>Test and treat the partner too</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(NAAT)</w:t>
            </w:r>
          </w:p>
        </w:tc>
        <w:tc>
          <w:tcPr>
            <w:tcW w:type="dxa" w:w="1036"/>
            <w:vAlign w:val="top"/>
          </w:tcPr>
          <w:p>
            <w:pPr>
              <w:spacing w:after="40" w:before="0" w:line="259" w:lineRule="auto"/>
            </w:pPr>
            <w:r>
              <w:rPr>
                <w:rFonts w:ascii="Calibri" w:hAnsi="Calibri"/>
                <w:b w:val="0"/>
                <w:i w:val="0"/>
                <w:color w:val="212121"/>
                <w:sz w:val="16"/>
              </w:rPr>
              <w:t>Mycoplasma genitalium NAAT</w:t>
            </w:r>
          </w:p>
        </w:tc>
        <w:tc>
          <w:tcPr>
            <w:tcW w:type="dxa" w:w="892"/>
            <w:vAlign w:val="top"/>
          </w:tcPr>
          <w:p>
            <w:pPr>
              <w:spacing w:after="40" w:before="0" w:line="259" w:lineRule="auto"/>
            </w:pPr>
            <w:r>
              <w:rPr>
                <w:rFonts w:ascii="Calibri" w:hAnsi="Calibri"/>
                <w:b w:val="0"/>
                <w:i w:val="0"/>
                <w:color w:val="212121"/>
                <w:sz w:val="16"/>
              </w:rPr>
              <w:t>M. genitalium NAAT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w:t>
            </w:r>
          </w:p>
        </w:tc>
        <w:tc>
          <w:tcPr>
            <w:tcW w:type="dxa" w:w="1036"/>
            <w:vAlign w:val="top"/>
          </w:tcPr>
          <w:p>
            <w:pPr>
              <w:spacing w:after="40" w:before="0" w:line="259" w:lineRule="auto"/>
            </w:pPr>
            <w:r>
              <w:rPr>
                <w:rFonts w:ascii="Calibri" w:hAnsi="Calibri"/>
                <w:b w:val="0"/>
                <w:i w:val="0"/>
                <w:color w:val="212121"/>
                <w:sz w:val="16"/>
              </w:rPr>
              <w:t>An emerging cause; detection guides targeted (e.g. moxifloxacin) therapy in refractory disease</w:t>
            </w:r>
          </w:p>
        </w:tc>
        <w:tc>
          <w:tcPr>
            <w:tcW w:type="dxa" w:w="1036"/>
            <w:vAlign w:val="top"/>
          </w:tcPr>
          <w:p>
            <w:pPr>
              <w:spacing w:after="40" w:before="0" w:line="259" w:lineRule="auto"/>
            </w:pPr>
            <w:r>
              <w:rPr>
                <w:rFonts w:ascii="Calibri" w:hAnsi="Calibri"/>
                <w:b w:val="0"/>
                <w:i w:val="0"/>
                <w:color w:val="212121"/>
                <w:sz w:val="16"/>
              </w:rPr>
              <w:t>Women with persistent or recurrent PID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Where testing is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Saline wet-mount of vaginal fluid</w:t>
            </w:r>
          </w:p>
        </w:tc>
        <w:tc>
          <w:tcPr>
            <w:tcW w:type="dxa" w:w="892"/>
            <w:vAlign w:val="top"/>
          </w:tcPr>
          <w:p>
            <w:pPr>
              <w:spacing w:after="40" w:before="0" w:line="259" w:lineRule="auto"/>
            </w:pPr>
            <w:r>
              <w:rPr>
                <w:rFonts w:ascii="Calibri" w:hAnsi="Calibri"/>
                <w:b w:val="0"/>
                <w:i w:val="0"/>
                <w:color w:val="212121"/>
                <w:sz w:val="16"/>
              </w:rPr>
              <w:t>Vaginal wet-mount microscopy</w:t>
            </w:r>
          </w:p>
        </w:tc>
        <w:tc>
          <w:tcPr>
            <w:tcW w:type="dxa" w:w="950"/>
            <w:vAlign w:val="top"/>
          </w:tcPr>
          <w:p>
            <w:pPr>
              <w:spacing w:after="40" w:before="0" w:line="259" w:lineRule="auto"/>
            </w:pPr>
            <w:r>
              <w:rPr>
                <w:rFonts w:ascii="Calibri" w:hAnsi="Calibri"/>
                <w:b w:val="0"/>
                <w:i w:val="0"/>
                <w:color w:val="212121"/>
                <w:sz w:val="16"/>
              </w:rPr>
              <w:t>Few WBCs; lactobacilli predominant</w:t>
            </w:r>
          </w:p>
        </w:tc>
        <w:tc>
          <w:tcPr>
            <w:tcW w:type="dxa" w:w="950"/>
            <w:vAlign w:val="top"/>
          </w:tcPr>
          <w:p>
            <w:pPr>
              <w:spacing w:after="40" w:before="0" w:line="259" w:lineRule="auto"/>
            </w:pPr>
            <w:r>
              <w:rPr>
                <w:rFonts w:ascii="Calibri" w:hAnsi="Calibri"/>
                <w:b w:val="0"/>
                <w:i w:val="0"/>
                <w:color w:val="212121"/>
                <w:sz w:val="16"/>
              </w:rPr>
              <w:t>Abundant WBCs; clue cells; reduced lactobacilli</w:t>
            </w:r>
          </w:p>
        </w:tc>
        <w:tc>
          <w:tcPr>
            <w:tcW w:type="dxa" w:w="1036"/>
            <w:vAlign w:val="top"/>
          </w:tcPr>
          <w:p>
            <w:pPr>
              <w:spacing w:after="40" w:before="0" w:line="259" w:lineRule="auto"/>
            </w:pPr>
            <w:r>
              <w:rPr>
                <w:rFonts w:ascii="Calibri" w:hAnsi="Calibri"/>
                <w:b w:val="0"/>
                <w:i w:val="0"/>
                <w:color w:val="212121"/>
                <w:sz w:val="16"/>
              </w:rPr>
              <w:t>Absence of WBCs makes PID unlikely; abundant WBCs support it and screen for BV and trichomonas</w:t>
            </w:r>
          </w:p>
        </w:tc>
        <w:tc>
          <w:tcPr>
            <w:tcW w:type="dxa" w:w="1036"/>
            <w:vAlign w:val="top"/>
          </w:tcPr>
          <w:p>
            <w:pPr>
              <w:spacing w:after="40" w:before="0" w:line="259" w:lineRule="auto"/>
            </w:pPr>
            <w:r>
              <w:rPr>
                <w:rFonts w:ascii="Calibri" w:hAnsi="Calibri"/>
                <w:b w:val="0"/>
                <w:i w:val="0"/>
                <w:color w:val="212121"/>
                <w:sz w:val="16"/>
              </w:rPr>
              <w:t>Women with discharge and pelvic pain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 / high negative predictive value</w:t>
            </w:r>
          </w:p>
        </w:tc>
        <w:tc>
          <w:tcPr>
            <w:tcW w:type="dxa" w:w="720"/>
            <w:vAlign w:val="top"/>
          </w:tcPr>
          <w:p>
            <w:pPr>
              <w:spacing w:after="40" w:before="0" w:line="259" w:lineRule="auto"/>
            </w:pPr>
            <w:r>
              <w:rPr>
                <w:rFonts w:ascii="Calibri" w:hAnsi="Calibri"/>
                <w:b w:val="0"/>
                <w:i w:val="0"/>
                <w:color w:val="212121"/>
                <w:sz w:val="16"/>
              </w:rPr>
              <w:t>Simple bedside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and ESR</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 normal ESR</w:t>
            </w:r>
          </w:p>
        </w:tc>
        <w:tc>
          <w:tcPr>
            <w:tcW w:type="dxa" w:w="950"/>
            <w:vAlign w:val="top"/>
          </w:tcPr>
          <w:p>
            <w:pPr>
              <w:spacing w:after="40" w:before="0" w:line="259" w:lineRule="auto"/>
            </w:pPr>
            <w:r>
              <w:rPr>
                <w:rFonts w:ascii="Calibri" w:hAnsi="Calibri"/>
                <w:b w:val="0"/>
                <w:i w:val="0"/>
                <w:color w:val="212121"/>
                <w:sz w:val="16"/>
              </w:rPr>
              <w:t>Elevated CRP / ESR</w:t>
            </w:r>
          </w:p>
        </w:tc>
        <w:tc>
          <w:tcPr>
            <w:tcW w:type="dxa" w:w="1036"/>
            <w:vAlign w:val="top"/>
          </w:tcPr>
          <w:p>
            <w:pPr>
              <w:spacing w:after="40" w:before="0" w:line="259" w:lineRule="auto"/>
            </w:pPr>
            <w:r>
              <w:rPr>
                <w:rFonts w:ascii="Calibri" w:hAnsi="Calibri"/>
                <w:b w:val="0"/>
                <w:i w:val="0"/>
                <w:color w:val="212121"/>
                <w:sz w:val="16"/>
              </w:rPr>
              <w:t>Support the diagnosis and help gauge severity and treatment response</w:t>
            </w:r>
          </w:p>
        </w:tc>
        <w:tc>
          <w:tcPr>
            <w:tcW w:type="dxa" w:w="1036"/>
            <w:vAlign w:val="top"/>
          </w:tcPr>
          <w:p>
            <w:pPr>
              <w:spacing w:after="40" w:before="0" w:line="259" w:lineRule="auto"/>
            </w:pPr>
            <w:r>
              <w:rPr>
                <w:rFonts w:ascii="Calibri" w:hAnsi="Calibri"/>
                <w:b w:val="0"/>
                <w:i w:val="0"/>
                <w:color w:val="212121"/>
                <w:sz w:val="16"/>
              </w:rPr>
              <w:t>Women with suspected PID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(WBC, haemoglobin)</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WBC 4-11 x10^9/L; Hb &gt;= 12 g/dL</w:t>
            </w:r>
          </w:p>
        </w:tc>
        <w:tc>
          <w:tcPr>
            <w:tcW w:type="dxa" w:w="950"/>
            <w:vAlign w:val="top"/>
          </w:tcPr>
          <w:p>
            <w:pPr>
              <w:spacing w:after="40" w:before="0" w:line="259" w:lineRule="auto"/>
            </w:pPr>
            <w:r>
              <w:rPr>
                <w:rFonts w:ascii="Calibri" w:hAnsi="Calibri"/>
                <w:b w:val="0"/>
                <w:i w:val="0"/>
                <w:color w:val="212121"/>
                <w:sz w:val="16"/>
              </w:rPr>
              <w:t>Leukocytosis with neutrophilia; anaemia</w:t>
            </w:r>
          </w:p>
        </w:tc>
        <w:tc>
          <w:tcPr>
            <w:tcW w:type="dxa" w:w="1036"/>
            <w:vAlign w:val="top"/>
          </w:tcPr>
          <w:p>
            <w:pPr>
              <w:spacing w:after="40" w:before="0" w:line="259" w:lineRule="auto"/>
            </w:pPr>
            <w:r>
              <w:rPr>
                <w:rFonts w:ascii="Calibri" w:hAnsi="Calibri"/>
                <w:b w:val="0"/>
                <w:i w:val="0"/>
                <w:color w:val="212121"/>
                <w:sz w:val="16"/>
              </w:rPr>
              <w:t>Reflects systemic infection or abscess; coexisting anaemia is common in Indian women</w:t>
            </w:r>
          </w:p>
        </w:tc>
        <w:tc>
          <w:tcPr>
            <w:tcW w:type="dxa" w:w="1036"/>
            <w:vAlign w:val="top"/>
          </w:tcPr>
          <w:p>
            <w:pPr>
              <w:spacing w:after="40" w:before="0" w:line="259" w:lineRule="auto"/>
            </w:pPr>
            <w:r>
              <w:rPr>
                <w:rFonts w:ascii="Calibri" w:hAnsi="Calibri"/>
                <w:b w:val="0"/>
                <w:i w:val="0"/>
                <w:color w:val="212121"/>
                <w:sz w:val="16"/>
              </w:rPr>
              <w:t>Women with fever or severe PID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need for admission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or serum beta-hCG</w:t>
            </w:r>
          </w:p>
        </w:tc>
        <w:tc>
          <w:tcPr>
            <w:tcW w:type="dxa" w:w="892"/>
            <w:vAlign w:val="top"/>
          </w:tcPr>
          <w:p>
            <w:pPr>
              <w:spacing w:after="40" w:before="0" w:line="259" w:lineRule="auto"/>
            </w:pPr>
            <w:r>
              <w:rPr>
                <w:rFonts w:ascii="Calibri" w:hAnsi="Calibri"/>
                <w:b w:val="0"/>
                <w:i w:val="0"/>
                <w:color w:val="212121"/>
                <w:sz w:val="16"/>
              </w:rPr>
              <w:t>Pregnancy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Mandatory to exclude ectopic pregnancy and to guide safe treatment</w:t>
            </w:r>
          </w:p>
        </w:tc>
        <w:tc>
          <w:tcPr>
            <w:tcW w:type="dxa" w:w="1036"/>
            <w:vAlign w:val="top"/>
          </w:tcPr>
          <w:p>
            <w:pPr>
              <w:spacing w:after="40" w:before="0" w:line="259" w:lineRule="auto"/>
            </w:pPr>
            <w:r>
              <w:rPr>
                <w:rFonts w:ascii="Calibri" w:hAnsi="Calibri"/>
                <w:b w:val="0"/>
                <w:i w:val="0"/>
                <w:color w:val="212121"/>
                <w:sz w:val="16"/>
              </w:rPr>
              <w:t>All reproductive-age women with pelvic pain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Essential safety screen</w:t>
            </w:r>
          </w:p>
        </w:tc>
        <w:tc>
          <w:tcPr>
            <w:tcW w:type="dxa" w:w="720"/>
            <w:vAlign w:val="top"/>
          </w:tcPr>
          <w:p>
            <w:pPr>
              <w:spacing w:after="40" w:before="0" w:line="259" w:lineRule="auto"/>
            </w:pPr>
            <w:r>
              <w:rPr>
                <w:rFonts w:ascii="Calibri" w:hAnsi="Calibri"/>
                <w:b w:val="0"/>
                <w:i w:val="0"/>
                <w:color w:val="212121"/>
                <w:sz w:val="16"/>
              </w:rPr>
              <w:t>Do before imaging or drugs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and syphilis (VDRL/RPR) serology, +/- hepatitis B</w:t>
            </w:r>
          </w:p>
        </w:tc>
        <w:tc>
          <w:tcPr>
            <w:tcW w:type="dxa" w:w="892"/>
            <w:vAlign w:val="top"/>
          </w:tcPr>
          <w:p>
            <w:pPr>
              <w:spacing w:after="40" w:before="0" w:line="259" w:lineRule="auto"/>
            </w:pPr>
            <w:r>
              <w:rPr>
                <w:rFonts w:ascii="Calibri" w:hAnsi="Calibri"/>
                <w:b w:val="0"/>
                <w:i w:val="0"/>
                <w:color w:val="212121"/>
                <w:sz w:val="16"/>
              </w:rPr>
              <w:t>STI serology</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Co-infection is common with PID and alters prognosis and management</w:t>
            </w:r>
          </w:p>
        </w:tc>
        <w:tc>
          <w:tcPr>
            <w:tcW w:type="dxa" w:w="1036"/>
            <w:vAlign w:val="top"/>
          </w:tcPr>
          <w:p>
            <w:pPr>
              <w:spacing w:after="40" w:before="0" w:line="259" w:lineRule="auto"/>
            </w:pPr>
            <w:r>
              <w:rPr>
                <w:rFonts w:ascii="Calibri" w:hAnsi="Calibri"/>
                <w:b w:val="0"/>
                <w:i w:val="0"/>
                <w:color w:val="212121"/>
                <w:sz w:val="16"/>
              </w:rPr>
              <w:t>Women diagnosed with an STI or PID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Offer to all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Transvaginal ultrasound (+/- Doppler); MRI if needed</w:t>
            </w:r>
          </w:p>
        </w:tc>
        <w:tc>
          <w:tcPr>
            <w:tcW w:type="dxa" w:w="892"/>
            <w:vAlign w:val="top"/>
          </w:tcPr>
          <w:p>
            <w:pPr>
              <w:spacing w:after="40" w:before="0" w:line="259" w:lineRule="auto"/>
            </w:pPr>
            <w:r>
              <w:rPr>
                <w:rFonts w:ascii="Calibri" w:hAnsi="Calibri"/>
                <w:b w:val="0"/>
                <w:i w:val="0"/>
                <w:color w:val="212121"/>
                <w:sz w:val="16"/>
              </w:rPr>
              <w:t>Pelvic ultrasonography</w:t>
            </w:r>
          </w:p>
        </w:tc>
        <w:tc>
          <w:tcPr>
            <w:tcW w:type="dxa" w:w="950"/>
            <w:vAlign w:val="top"/>
          </w:tcPr>
          <w:p>
            <w:pPr>
              <w:spacing w:after="40" w:before="0" w:line="259" w:lineRule="auto"/>
            </w:pPr>
            <w:r>
              <w:rPr>
                <w:rFonts w:ascii="Calibri" w:hAnsi="Calibri"/>
                <w:b w:val="0"/>
                <w:i w:val="0"/>
                <w:color w:val="212121"/>
                <w:sz w:val="16"/>
              </w:rPr>
              <w:t>Normal tubes and adnexa</w:t>
            </w:r>
          </w:p>
        </w:tc>
        <w:tc>
          <w:tcPr>
            <w:tcW w:type="dxa" w:w="950"/>
            <w:vAlign w:val="top"/>
          </w:tcPr>
          <w:p>
            <w:pPr>
              <w:spacing w:after="40" w:before="0" w:line="259" w:lineRule="auto"/>
            </w:pPr>
            <w:r>
              <w:rPr>
                <w:rFonts w:ascii="Calibri" w:hAnsi="Calibri"/>
                <w:b w:val="0"/>
                <w:i w:val="0"/>
                <w:color w:val="212121"/>
                <w:sz w:val="16"/>
              </w:rPr>
              <w:t>Thickened, fluid-filled tubes; tubo-ovarian abscess; free pelvic fluid</w:t>
            </w:r>
          </w:p>
        </w:tc>
        <w:tc>
          <w:tcPr>
            <w:tcW w:type="dxa" w:w="1036"/>
            <w:vAlign w:val="top"/>
          </w:tcPr>
          <w:p>
            <w:pPr>
              <w:spacing w:after="40" w:before="0" w:line="259" w:lineRule="auto"/>
            </w:pPr>
            <w:r>
              <w:rPr>
                <w:rFonts w:ascii="Calibri" w:hAnsi="Calibri"/>
                <w:b w:val="0"/>
                <w:i w:val="0"/>
                <w:color w:val="212121"/>
                <w:sz w:val="16"/>
              </w:rPr>
              <w:t>Confirms complications (tubo-ovarian abscess, pyosalpinx) and helps exclude other causes</w:t>
            </w:r>
          </w:p>
        </w:tc>
        <w:tc>
          <w:tcPr>
            <w:tcW w:type="dxa" w:w="1036"/>
            <w:vAlign w:val="top"/>
          </w:tcPr>
          <w:p>
            <w:pPr>
              <w:spacing w:after="40" w:before="0" w:line="259" w:lineRule="auto"/>
            </w:pPr>
            <w:r>
              <w:rPr>
                <w:rFonts w:ascii="Calibri" w:hAnsi="Calibri"/>
                <w:b w:val="0"/>
                <w:i w:val="0"/>
                <w:color w:val="212121"/>
                <w:sz w:val="16"/>
              </w:rPr>
              <w:t>Women with an adnexal mass or severe / non-responding PID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Problem-solving / high</w:t>
            </w:r>
          </w:p>
        </w:tc>
        <w:tc>
          <w:tcPr>
            <w:tcW w:type="dxa" w:w="720"/>
            <w:vAlign w:val="top"/>
          </w:tcPr>
          <w:p>
            <w:pPr>
              <w:spacing w:after="40" w:before="0" w:line="259" w:lineRule="auto"/>
            </w:pPr>
            <w:r>
              <w:rPr>
                <w:rFonts w:ascii="Calibri" w:hAnsi="Calibri"/>
                <w:b w:val="0"/>
                <w:i w:val="0"/>
                <w:color w:val="212121"/>
                <w:sz w:val="16"/>
              </w:rPr>
              <w:t>Guides drainage or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 / Histology</w:t>
            </w:r>
          </w:p>
        </w:tc>
        <w:tc>
          <w:tcPr>
            <w:tcW w:type="dxa" w:w="1036"/>
            <w:vAlign w:val="top"/>
          </w:tcPr>
          <w:p>
            <w:pPr>
              <w:spacing w:after="40" w:before="0" w:line="259" w:lineRule="auto"/>
            </w:pPr>
            <w:r>
              <w:rPr>
                <w:rFonts w:ascii="Calibri" w:hAnsi="Calibri"/>
                <w:b w:val="0"/>
                <w:i w:val="0"/>
                <w:color w:val="212121"/>
                <w:sz w:val="16"/>
              </w:rPr>
              <w:t>Diagnostic laparoscopy and endometrial biopsy</w:t>
            </w:r>
          </w:p>
        </w:tc>
        <w:tc>
          <w:tcPr>
            <w:tcW w:type="dxa" w:w="892"/>
            <w:vAlign w:val="top"/>
          </w:tcPr>
          <w:p>
            <w:pPr>
              <w:spacing w:after="40" w:before="0" w:line="259" w:lineRule="auto"/>
            </w:pPr>
            <w:r>
              <w:rPr>
                <w:rFonts w:ascii="Calibri" w:hAnsi="Calibri"/>
                <w:b w:val="0"/>
                <w:i w:val="0"/>
                <w:color w:val="212121"/>
                <w:sz w:val="16"/>
              </w:rPr>
              <w:t>Laparoscopy / endometrial biopsy</w:t>
            </w:r>
          </w:p>
        </w:tc>
        <w:tc>
          <w:tcPr>
            <w:tcW w:type="dxa" w:w="950"/>
            <w:vAlign w:val="top"/>
          </w:tcPr>
          <w:p>
            <w:pPr>
              <w:spacing w:after="40" w:before="0" w:line="259" w:lineRule="auto"/>
            </w:pPr>
            <w:r>
              <w:rPr>
                <w:rFonts w:ascii="Calibri" w:hAnsi="Calibri"/>
                <w:b w:val="0"/>
                <w:i w:val="0"/>
                <w:color w:val="212121"/>
                <w:sz w:val="16"/>
              </w:rPr>
              <w:t>No inflammation</w:t>
            </w:r>
          </w:p>
        </w:tc>
        <w:tc>
          <w:tcPr>
            <w:tcW w:type="dxa" w:w="950"/>
            <w:vAlign w:val="top"/>
          </w:tcPr>
          <w:p>
            <w:pPr>
              <w:spacing w:after="40" w:before="0" w:line="259" w:lineRule="auto"/>
            </w:pPr>
            <w:r>
              <w:rPr>
                <w:rFonts w:ascii="Calibri" w:hAnsi="Calibri"/>
                <w:b w:val="0"/>
                <w:i w:val="0"/>
                <w:color w:val="212121"/>
                <w:sz w:val="16"/>
              </w:rPr>
              <w:t>Tubal erythema, oedema and purulent exudate; endometritis on biopsy</w:t>
            </w:r>
          </w:p>
        </w:tc>
        <w:tc>
          <w:tcPr>
            <w:tcW w:type="dxa" w:w="1036"/>
            <w:vAlign w:val="top"/>
          </w:tcPr>
          <w:p>
            <w:pPr>
              <w:spacing w:after="40" w:before="0" w:line="259" w:lineRule="auto"/>
            </w:pPr>
            <w:r>
              <w:rPr>
                <w:rFonts w:ascii="Calibri" w:hAnsi="Calibri"/>
                <w:b w:val="0"/>
                <w:i w:val="0"/>
                <w:color w:val="212121"/>
                <w:sz w:val="16"/>
              </w:rPr>
              <w:t>Most specific ('gold standard') evidence but invasive; reserved for uncertain or severe cases</w:t>
            </w:r>
          </w:p>
        </w:tc>
        <w:tc>
          <w:tcPr>
            <w:tcW w:type="dxa" w:w="1036"/>
            <w:vAlign w:val="top"/>
          </w:tcPr>
          <w:p>
            <w:pPr>
              <w:spacing w:after="40" w:before="0" w:line="259" w:lineRule="auto"/>
            </w:pPr>
            <w:r>
              <w:rPr>
                <w:rFonts w:ascii="Calibri" w:hAnsi="Calibri"/>
                <w:b w:val="0"/>
                <w:i w:val="0"/>
                <w:color w:val="212121"/>
                <w:sz w:val="16"/>
              </w:rPr>
              <w:t>Diagnostic doubt or treatment failure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 standard (selective)</w:t>
            </w:r>
          </w:p>
        </w:tc>
        <w:tc>
          <w:tcPr>
            <w:tcW w:type="dxa" w:w="720"/>
            <w:vAlign w:val="top"/>
          </w:tcPr>
          <w:p>
            <w:pPr>
              <w:spacing w:after="40" w:before="0" w:line="259" w:lineRule="auto"/>
            </w:pPr>
            <w:r>
              <w:rPr>
                <w:rFonts w:ascii="Calibri" w:hAnsi="Calibri"/>
                <w:b w:val="0"/>
                <w:i w:val="0"/>
                <w:color w:val="212121"/>
                <w:sz w:val="16"/>
              </w:rPr>
              <w:t>Not a routine test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and STI history</w:t>
            </w:r>
          </w:p>
        </w:tc>
        <w:tc>
          <w:tcPr>
            <w:tcW w:type="dxa" w:w="979"/>
            <w:vAlign w:val="top"/>
          </w:tcPr>
          <w:p>
            <w:pPr>
              <w:spacing w:after="40" w:before="0" w:line="259" w:lineRule="auto"/>
            </w:pPr>
            <w:r>
              <w:rPr>
                <w:rFonts w:ascii="Calibri" w:hAnsi="Calibri"/>
                <w:b w:val="0"/>
                <w:i w:val="0"/>
                <w:color w:val="212121"/>
                <w:sz w:val="16"/>
              </w:rPr>
              <w:t>New or multiple partners, unprotected sex, partner symptoms, prior STI/PID</w:t>
            </w:r>
          </w:p>
        </w:tc>
        <w:tc>
          <w:tcPr>
            <w:tcW w:type="dxa" w:w="950"/>
            <w:vAlign w:val="top"/>
          </w:tcPr>
          <w:p>
            <w:pPr>
              <w:spacing w:after="40" w:before="0" w:line="259" w:lineRule="auto"/>
            </w:pPr>
            <w:r>
              <w:rPr>
                <w:rFonts w:ascii="Calibri" w:hAnsi="Calibri"/>
                <w:b w:val="0"/>
                <w:i w:val="0"/>
                <w:color w:val="212121"/>
                <w:sz w:val="16"/>
              </w:rPr>
              <w:t>Mutually monogamous, no STI history</w:t>
            </w:r>
          </w:p>
        </w:tc>
        <w:tc>
          <w:tcPr>
            <w:tcW w:type="dxa" w:w="950"/>
            <w:vAlign w:val="top"/>
          </w:tcPr>
          <w:p>
            <w:pPr>
              <w:spacing w:after="40" w:before="0" w:line="259" w:lineRule="auto"/>
            </w:pPr>
            <w:r>
              <w:rPr>
                <w:rFonts w:ascii="Calibri" w:hAnsi="Calibri"/>
                <w:b w:val="0"/>
                <w:i w:val="0"/>
                <w:color w:val="212121"/>
                <w:sz w:val="16"/>
              </w:rPr>
              <w:t>Recent new/multiple partners, prior STI or PID</w:t>
            </w:r>
          </w:p>
        </w:tc>
        <w:tc>
          <w:tcPr>
            <w:tcW w:type="dxa" w:w="1036"/>
            <w:vAlign w:val="top"/>
          </w:tcPr>
          <w:p>
            <w:pPr>
              <w:spacing w:after="40" w:before="0" w:line="259" w:lineRule="auto"/>
            </w:pPr>
            <w:r>
              <w:rPr>
                <w:rFonts w:ascii="Calibri" w:hAnsi="Calibri"/>
                <w:b w:val="0"/>
                <w:i w:val="0"/>
                <w:color w:val="212121"/>
                <w:sz w:val="16"/>
              </w:rPr>
              <w:t>Establishes the key behavioural risk and the need for partner treatment</w:t>
            </w:r>
          </w:p>
        </w:tc>
        <w:tc>
          <w:tcPr>
            <w:tcW w:type="dxa" w:w="1036"/>
            <w:vAlign w:val="top"/>
          </w:tcPr>
          <w:p>
            <w:pPr>
              <w:spacing w:after="40" w:before="0" w:line="259" w:lineRule="auto"/>
            </w:pPr>
            <w:r>
              <w:rPr>
                <w:rFonts w:ascii="Calibri" w:hAnsi="Calibri"/>
                <w:b w:val="0"/>
                <w:i w:val="0"/>
                <w:color w:val="212121"/>
                <w:sz w:val="16"/>
              </w:rPr>
              <w:t>Sexually active young women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 / high</w:t>
            </w:r>
          </w:p>
        </w:tc>
        <w:tc>
          <w:tcPr>
            <w:tcW w:type="dxa" w:w="720"/>
            <w:vAlign w:val="top"/>
          </w:tcPr>
          <w:p>
            <w:pPr>
              <w:spacing w:after="40" w:before="0" w:line="259" w:lineRule="auto"/>
            </w:pPr>
            <w:r>
              <w:rPr>
                <w:rFonts w:ascii="Calibri" w:hAnsi="Calibri"/>
                <w:b w:val="0"/>
                <w:i w:val="0"/>
                <w:color w:val="212121"/>
                <w:sz w:val="16"/>
              </w:rPr>
              <w:t>Ask sensitively and confidentially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Contraceptive and instrumentation history</w:t>
            </w:r>
          </w:p>
        </w:tc>
        <w:tc>
          <w:tcPr>
            <w:tcW w:type="dxa" w:w="979"/>
            <w:vAlign w:val="top"/>
          </w:tcPr>
          <w:p>
            <w:pPr>
              <w:spacing w:after="40" w:before="0" w:line="259" w:lineRule="auto"/>
            </w:pPr>
            <w:r>
              <w:rPr>
                <w:rFonts w:ascii="Calibri" w:hAnsi="Calibri"/>
                <w:b w:val="0"/>
                <w:i w:val="0"/>
                <w:color w:val="212121"/>
                <w:sz w:val="16"/>
              </w:rPr>
              <w:t>Recent IUD insertion, D&amp;C, hysteroscopy, HSG, childbirth, abortion</w:t>
            </w:r>
          </w:p>
        </w:tc>
        <w:tc>
          <w:tcPr>
            <w:tcW w:type="dxa" w:w="950"/>
            <w:vAlign w:val="top"/>
          </w:tcPr>
          <w:p>
            <w:pPr>
              <w:spacing w:after="40" w:before="0" w:line="259" w:lineRule="auto"/>
            </w:pPr>
            <w:r>
              <w:rPr>
                <w:rFonts w:ascii="Calibri" w:hAnsi="Calibri"/>
                <w:b w:val="0"/>
                <w:i w:val="0"/>
                <w:color w:val="212121"/>
                <w:sz w:val="16"/>
              </w:rPr>
              <w:t>No recent procedure</w:t>
            </w:r>
          </w:p>
        </w:tc>
        <w:tc>
          <w:tcPr>
            <w:tcW w:type="dxa" w:w="950"/>
            <w:vAlign w:val="top"/>
          </w:tcPr>
          <w:p>
            <w:pPr>
              <w:spacing w:after="40" w:before="0" w:line="259" w:lineRule="auto"/>
            </w:pPr>
            <w:r>
              <w:rPr>
                <w:rFonts w:ascii="Calibri" w:hAnsi="Calibri"/>
                <w:b w:val="0"/>
                <w:i w:val="0"/>
                <w:color w:val="212121"/>
                <w:sz w:val="16"/>
              </w:rPr>
              <w:t>Recent trans-cervical procedure</w:t>
            </w:r>
          </w:p>
        </w:tc>
        <w:tc>
          <w:tcPr>
            <w:tcW w:type="dxa" w:w="1036"/>
            <w:vAlign w:val="top"/>
          </w:tcPr>
          <w:p>
            <w:pPr>
              <w:spacing w:after="40" w:before="0" w:line="259" w:lineRule="auto"/>
            </w:pPr>
            <w:r>
              <w:rPr>
                <w:rFonts w:ascii="Calibri" w:hAnsi="Calibri"/>
                <w:b w:val="0"/>
                <w:i w:val="0"/>
                <w:color w:val="212121"/>
                <w:sz w:val="16"/>
              </w:rPr>
              <w:t>Identifies iatrogenic (non-STI) PID</w:t>
            </w:r>
          </w:p>
        </w:tc>
        <w:tc>
          <w:tcPr>
            <w:tcW w:type="dxa" w:w="1036"/>
            <w:vAlign w:val="top"/>
          </w:tcPr>
          <w:p>
            <w:pPr>
              <w:spacing w:after="40" w:before="0" w:line="259" w:lineRule="auto"/>
            </w:pPr>
            <w:r>
              <w:rPr>
                <w:rFonts w:ascii="Calibri" w:hAnsi="Calibri"/>
                <w:b w:val="0"/>
                <w:i w:val="0"/>
                <w:color w:val="212121"/>
                <w:sz w:val="16"/>
              </w:rPr>
              <w:t>Women with recent gynaecological procedures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timing (IUD risk &lt; 3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and menstrual history</w:t>
            </w:r>
          </w:p>
        </w:tc>
        <w:tc>
          <w:tcPr>
            <w:tcW w:type="dxa" w:w="979"/>
            <w:vAlign w:val="top"/>
          </w:tcPr>
          <w:p>
            <w:pPr>
              <w:spacing w:after="40" w:before="0" w:line="259" w:lineRule="auto"/>
            </w:pPr>
            <w:r>
              <w:rPr>
                <w:rFonts w:ascii="Calibri" w:hAnsi="Calibri"/>
                <w:b w:val="0"/>
                <w:i w:val="0"/>
                <w:color w:val="212121"/>
                <w:sz w:val="16"/>
              </w:rPr>
              <w:t>Bilateral lower-abdominal pain, onset with/after menses, abnormal bleeding, dyspareunia</w:t>
            </w:r>
          </w:p>
        </w:tc>
        <w:tc>
          <w:tcPr>
            <w:tcW w:type="dxa" w:w="950"/>
            <w:vAlign w:val="top"/>
          </w:tcPr>
          <w:p>
            <w:pPr>
              <w:spacing w:after="40" w:before="0" w:line="259" w:lineRule="auto"/>
            </w:pPr>
            <w:r>
              <w:rPr>
                <w:rFonts w:ascii="Calibri" w:hAnsi="Calibri"/>
                <w:b w:val="0"/>
                <w:i w:val="0"/>
                <w:color w:val="212121"/>
                <w:sz w:val="16"/>
              </w:rPr>
              <w:t>Normal cycles, no pain</w:t>
            </w:r>
          </w:p>
        </w:tc>
        <w:tc>
          <w:tcPr>
            <w:tcW w:type="dxa" w:w="950"/>
            <w:vAlign w:val="top"/>
          </w:tcPr>
          <w:p>
            <w:pPr>
              <w:spacing w:after="40" w:before="0" w:line="259" w:lineRule="auto"/>
            </w:pPr>
            <w:r>
              <w:rPr>
                <w:rFonts w:ascii="Calibri" w:hAnsi="Calibri"/>
                <w:b w:val="0"/>
                <w:i w:val="0"/>
                <w:color w:val="212121"/>
                <w:sz w:val="16"/>
              </w:rPr>
              <w:t>Bilateral pelvic pain +/- abnormal bleeding or dyspareunia</w:t>
            </w:r>
          </w:p>
        </w:tc>
        <w:tc>
          <w:tcPr>
            <w:tcW w:type="dxa" w:w="1036"/>
            <w:vAlign w:val="top"/>
          </w:tcPr>
          <w:p>
            <w:pPr>
              <w:spacing w:after="40" w:before="0" w:line="259" w:lineRule="auto"/>
            </w:pPr>
            <w:r>
              <w:rPr>
                <w:rFonts w:ascii="Calibri" w:hAnsi="Calibri"/>
                <w:b w:val="0"/>
                <w:i w:val="0"/>
                <w:color w:val="212121"/>
                <w:sz w:val="16"/>
              </w:rPr>
              <w:t>Typical symptom pattern of PID</w:t>
            </w:r>
          </w:p>
        </w:tc>
        <w:tc>
          <w:tcPr>
            <w:tcW w:type="dxa" w:w="1036"/>
            <w:vAlign w:val="top"/>
          </w:tcPr>
          <w:p>
            <w:pPr>
              <w:spacing w:after="40" w:before="0" w:line="259" w:lineRule="auto"/>
            </w:pPr>
            <w:r>
              <w:rPr>
                <w:rFonts w:ascii="Calibri" w:hAnsi="Calibri"/>
                <w:b w:val="0"/>
                <w:i w:val="0"/>
                <w:color w:val="212121"/>
                <w:sz w:val="16"/>
              </w:rPr>
              <w:t>Women with pelvic pain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 often begins during or after menstruation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Bimanual pelvic examination</w:t>
            </w:r>
          </w:p>
        </w:tc>
        <w:tc>
          <w:tcPr>
            <w:tcW w:type="dxa" w:w="979"/>
            <w:vAlign w:val="top"/>
          </w:tcPr>
          <w:p>
            <w:pPr>
              <w:spacing w:after="40" w:before="0" w:line="259" w:lineRule="auto"/>
            </w:pPr>
            <w:r>
              <w:rPr>
                <w:rFonts w:ascii="Calibri" w:hAnsi="Calibri"/>
                <w:b w:val="0"/>
                <w:i w:val="0"/>
                <w:color w:val="212121"/>
                <w:sz w:val="16"/>
              </w:rPr>
              <w:t>Cervical motion, uterine and adnexal tenderness</w:t>
            </w:r>
          </w:p>
        </w:tc>
        <w:tc>
          <w:tcPr>
            <w:tcW w:type="dxa" w:w="950"/>
            <w:vAlign w:val="top"/>
          </w:tcPr>
          <w:p>
            <w:pPr>
              <w:spacing w:after="40" w:before="0" w:line="259" w:lineRule="auto"/>
            </w:pPr>
            <w:r>
              <w:rPr>
                <w:rFonts w:ascii="Calibri" w:hAnsi="Calibri"/>
                <w:b w:val="0"/>
                <w:i w:val="0"/>
                <w:color w:val="212121"/>
                <w:sz w:val="16"/>
              </w:rPr>
              <w:t>No tenderness</w:t>
            </w:r>
          </w:p>
        </w:tc>
        <w:tc>
          <w:tcPr>
            <w:tcW w:type="dxa" w:w="950"/>
            <w:vAlign w:val="top"/>
          </w:tcPr>
          <w:p>
            <w:pPr>
              <w:spacing w:after="40" w:before="0" w:line="259" w:lineRule="auto"/>
            </w:pPr>
            <w:r>
              <w:rPr>
                <w:rFonts w:ascii="Calibri" w:hAnsi="Calibri"/>
                <w:b w:val="0"/>
                <w:i w:val="0"/>
                <w:color w:val="212121"/>
                <w:sz w:val="16"/>
              </w:rPr>
              <w:t>Cervical motion / uterine / adnexal tenderness (any one meets minimum criteria)</w:t>
            </w:r>
          </w:p>
        </w:tc>
        <w:tc>
          <w:tcPr>
            <w:tcW w:type="dxa" w:w="1036"/>
            <w:vAlign w:val="top"/>
          </w:tcPr>
          <w:p>
            <w:pPr>
              <w:spacing w:after="40" w:before="0" w:line="259" w:lineRule="auto"/>
            </w:pPr>
            <w:r>
              <w:rPr>
                <w:rFonts w:ascii="Calibri" w:hAnsi="Calibri"/>
                <w:b w:val="0"/>
                <w:i w:val="0"/>
                <w:color w:val="212121"/>
                <w:sz w:val="16"/>
              </w:rPr>
              <w:t>Core clinical criterion for starting empirical treatment</w:t>
            </w:r>
          </w:p>
        </w:tc>
        <w:tc>
          <w:tcPr>
            <w:tcW w:type="dxa" w:w="1036"/>
            <w:vAlign w:val="top"/>
          </w:tcPr>
          <w:p>
            <w:pPr>
              <w:spacing w:after="40" w:before="0" w:line="259" w:lineRule="auto"/>
            </w:pPr>
            <w:r>
              <w:rPr>
                <w:rFonts w:ascii="Calibri" w:hAnsi="Calibri"/>
                <w:b w:val="0"/>
                <w:i w:val="0"/>
                <w:color w:val="212121"/>
                <w:sz w:val="16"/>
              </w:rPr>
              <w:t>All women with suspected PID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Core examination / diagnostic</w:t>
            </w:r>
          </w:p>
        </w:tc>
        <w:tc>
          <w:tcPr>
            <w:tcW w:type="dxa" w:w="720"/>
            <w:vAlign w:val="top"/>
          </w:tcPr>
          <w:p>
            <w:pPr>
              <w:spacing w:after="40" w:before="0" w:line="259" w:lineRule="auto"/>
            </w:pPr>
            <w:r>
              <w:rPr>
                <w:rFonts w:ascii="Calibri" w:hAnsi="Calibri"/>
                <w:b w:val="0"/>
                <w:i w:val="0"/>
                <w:color w:val="212121"/>
                <w:sz w:val="16"/>
              </w:rPr>
              <w:t>Cervical excitation is the 'chandelier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Speculum examination</w:t>
            </w:r>
          </w:p>
        </w:tc>
        <w:tc>
          <w:tcPr>
            <w:tcW w:type="dxa" w:w="979"/>
            <w:vAlign w:val="top"/>
          </w:tcPr>
          <w:p>
            <w:pPr>
              <w:spacing w:after="40" w:before="0" w:line="259" w:lineRule="auto"/>
            </w:pPr>
            <w:r>
              <w:rPr>
                <w:rFonts w:ascii="Calibri" w:hAnsi="Calibri"/>
                <w:b w:val="0"/>
                <w:i w:val="0"/>
                <w:color w:val="212121"/>
                <w:sz w:val="16"/>
              </w:rPr>
              <w:t>Cervical appearance and discharge</w:t>
            </w:r>
          </w:p>
        </w:tc>
        <w:tc>
          <w:tcPr>
            <w:tcW w:type="dxa" w:w="950"/>
            <w:vAlign w:val="top"/>
          </w:tcPr>
          <w:p>
            <w:pPr>
              <w:spacing w:after="40" w:before="0" w:line="259" w:lineRule="auto"/>
            </w:pPr>
            <w:r>
              <w:rPr>
                <w:rFonts w:ascii="Calibri" w:hAnsi="Calibri"/>
                <w:b w:val="0"/>
                <w:i w:val="0"/>
                <w:color w:val="212121"/>
                <w:sz w:val="16"/>
              </w:rPr>
              <w:t>Healthy cervix, clear mucus</w:t>
            </w:r>
          </w:p>
        </w:tc>
        <w:tc>
          <w:tcPr>
            <w:tcW w:type="dxa" w:w="950"/>
            <w:vAlign w:val="top"/>
          </w:tcPr>
          <w:p>
            <w:pPr>
              <w:spacing w:after="40" w:before="0" w:line="259" w:lineRule="auto"/>
            </w:pPr>
            <w:r>
              <w:rPr>
                <w:rFonts w:ascii="Calibri" w:hAnsi="Calibri"/>
                <w:b w:val="0"/>
                <w:i w:val="0"/>
                <w:color w:val="212121"/>
                <w:sz w:val="16"/>
              </w:rPr>
              <w:t>Mucopurulent discharge, cervical friability or contact bleeding</w:t>
            </w:r>
          </w:p>
        </w:tc>
        <w:tc>
          <w:tcPr>
            <w:tcW w:type="dxa" w:w="1036"/>
            <w:vAlign w:val="top"/>
          </w:tcPr>
          <w:p>
            <w:pPr>
              <w:spacing w:after="40" w:before="0" w:line="259" w:lineRule="auto"/>
            </w:pPr>
            <w:r>
              <w:rPr>
                <w:rFonts w:ascii="Calibri" w:hAnsi="Calibri"/>
                <w:b w:val="0"/>
                <w:i w:val="0"/>
                <w:color w:val="212121"/>
                <w:sz w:val="16"/>
              </w:rPr>
              <w:t>Supports cervicitis/PID and allows swabs to be taken</w:t>
            </w:r>
          </w:p>
        </w:tc>
        <w:tc>
          <w:tcPr>
            <w:tcW w:type="dxa" w:w="1036"/>
            <w:vAlign w:val="top"/>
          </w:tcPr>
          <w:p>
            <w:pPr>
              <w:spacing w:after="40" w:before="0" w:line="259" w:lineRule="auto"/>
            </w:pPr>
            <w:r>
              <w:rPr>
                <w:rFonts w:ascii="Calibri" w:hAnsi="Calibri"/>
                <w:b w:val="0"/>
                <w:i w:val="0"/>
                <w:color w:val="212121"/>
                <w:sz w:val="16"/>
              </w:rPr>
              <w:t>Women with abnormal discharge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Take NAAT and wet-mount samples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Lower-abdominal tenderness, guarding, rebound, right-upper-quadrant tenderness</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Lower-abdominal +/- RUQ tenderness, peritonism</w:t>
            </w:r>
          </w:p>
        </w:tc>
        <w:tc>
          <w:tcPr>
            <w:tcW w:type="dxa" w:w="1036"/>
            <w:vAlign w:val="top"/>
          </w:tcPr>
          <w:p>
            <w:pPr>
              <w:spacing w:after="40" w:before="0" w:line="259" w:lineRule="auto"/>
            </w:pPr>
            <w:r>
              <w:rPr>
                <w:rFonts w:ascii="Calibri" w:hAnsi="Calibri"/>
                <w:b w:val="0"/>
                <w:i w:val="0"/>
                <w:color w:val="212121"/>
                <w:sz w:val="16"/>
              </w:rPr>
              <w:t>Gauges severity/peritonitis and perihepatitis (Fitz-Hugh-Curtis syndrome)</w:t>
            </w:r>
          </w:p>
        </w:tc>
        <w:tc>
          <w:tcPr>
            <w:tcW w:type="dxa" w:w="1036"/>
            <w:vAlign w:val="top"/>
          </w:tcPr>
          <w:p>
            <w:pPr>
              <w:spacing w:after="40" w:before="0" w:line="259" w:lineRule="auto"/>
            </w:pPr>
            <w:r>
              <w:rPr>
                <w:rFonts w:ascii="Calibri" w:hAnsi="Calibri"/>
                <w:b w:val="0"/>
                <w:i w:val="0"/>
                <w:color w:val="212121"/>
                <w:sz w:val="16"/>
              </w:rPr>
              <w:t>Women with severe PID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Severity assessment</w:t>
            </w:r>
          </w:p>
        </w:tc>
        <w:tc>
          <w:tcPr>
            <w:tcW w:type="dxa" w:w="720"/>
            <w:vAlign w:val="top"/>
          </w:tcPr>
          <w:p>
            <w:pPr>
              <w:spacing w:after="40" w:before="0" w:line="259" w:lineRule="auto"/>
            </w:pPr>
            <w:r>
              <w:rPr>
                <w:rFonts w:ascii="Calibri" w:hAnsi="Calibri"/>
                <w:b w:val="0"/>
                <w:i w:val="0"/>
                <w:color w:val="212121"/>
                <w:sz w:val="16"/>
              </w:rPr>
              <w:t>Rebound or rigidity suggests abscess or rupture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Vital signs and general examination</w:t>
            </w:r>
          </w:p>
        </w:tc>
        <w:tc>
          <w:tcPr>
            <w:tcW w:type="dxa" w:w="979"/>
            <w:vAlign w:val="top"/>
          </w:tcPr>
          <w:p>
            <w:pPr>
              <w:spacing w:after="40" w:before="0" w:line="259" w:lineRule="auto"/>
            </w:pPr>
            <w:r>
              <w:rPr>
                <w:rFonts w:ascii="Calibri" w:hAnsi="Calibri"/>
                <w:b w:val="0"/>
                <w:i w:val="0"/>
                <w:color w:val="212121"/>
                <w:sz w:val="16"/>
              </w:rPr>
              <w:t>Temperature, pulse, blood pressure, pallor</w:t>
            </w:r>
          </w:p>
        </w:tc>
        <w:tc>
          <w:tcPr>
            <w:tcW w:type="dxa" w:w="950"/>
            <w:vAlign w:val="top"/>
          </w:tcPr>
          <w:p>
            <w:pPr>
              <w:spacing w:after="40" w:before="0" w:line="259" w:lineRule="auto"/>
            </w:pPr>
            <w:r>
              <w:rPr>
                <w:rFonts w:ascii="Calibri" w:hAnsi="Calibri"/>
                <w:b w:val="0"/>
                <w:i w:val="0"/>
                <w:color w:val="212121"/>
                <w:sz w:val="16"/>
              </w:rPr>
              <w:t>Afebrile, stable, no pallor</w:t>
            </w:r>
          </w:p>
        </w:tc>
        <w:tc>
          <w:tcPr>
            <w:tcW w:type="dxa" w:w="950"/>
            <w:vAlign w:val="top"/>
          </w:tcPr>
          <w:p>
            <w:pPr>
              <w:spacing w:after="40" w:before="0" w:line="259" w:lineRule="auto"/>
            </w:pPr>
            <w:r>
              <w:rPr>
                <w:rFonts w:ascii="Calibri" w:hAnsi="Calibri"/>
                <w:b w:val="0"/>
                <w:i w:val="0"/>
                <w:color w:val="212121"/>
                <w:sz w:val="16"/>
              </w:rPr>
              <w:t>Fever &gt; 38.3 C, tachycardia, hypotension, pallor</w:t>
            </w:r>
          </w:p>
        </w:tc>
        <w:tc>
          <w:tcPr>
            <w:tcW w:type="dxa" w:w="1036"/>
            <w:vAlign w:val="top"/>
          </w:tcPr>
          <w:p>
            <w:pPr>
              <w:spacing w:after="40" w:before="0" w:line="259" w:lineRule="auto"/>
            </w:pPr>
            <w:r>
              <w:rPr>
                <w:rFonts w:ascii="Calibri" w:hAnsi="Calibri"/>
                <w:b w:val="0"/>
                <w:i w:val="0"/>
                <w:color w:val="212121"/>
                <w:sz w:val="16"/>
              </w:rPr>
              <w:t>Identifies systemic sepsis and coexisting anaemia</w:t>
            </w:r>
          </w:p>
        </w:tc>
        <w:tc>
          <w:tcPr>
            <w:tcW w:type="dxa" w:w="1036"/>
            <w:vAlign w:val="top"/>
          </w:tcPr>
          <w:p>
            <w:pPr>
              <w:spacing w:after="40" w:before="0" w:line="259" w:lineRule="auto"/>
            </w:pPr>
            <w:r>
              <w:rPr>
                <w:rFonts w:ascii="Calibri" w:hAnsi="Calibri"/>
                <w:b w:val="0"/>
                <w:i w:val="0"/>
                <w:color w:val="212121"/>
                <w:sz w:val="16"/>
              </w:rPr>
              <w:t>Febrile or toxic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Triage</w:t>
            </w:r>
          </w:p>
        </w:tc>
        <w:tc>
          <w:tcPr>
            <w:tcW w:type="dxa" w:w="720"/>
            <w:vAlign w:val="top"/>
          </w:tcPr>
          <w:p>
            <w:pPr>
              <w:spacing w:after="40" w:before="0" w:line="259" w:lineRule="auto"/>
            </w:pPr>
            <w:r>
              <w:rPr>
                <w:rFonts w:ascii="Calibri" w:hAnsi="Calibri"/>
                <w:b w:val="0"/>
                <w:i w:val="0"/>
                <w:color w:val="212121"/>
                <w:sz w:val="16"/>
              </w:rPr>
              <w:t>Guides admission and intravenous therapy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Lower-abdominal / bilateral pelvic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dull to severe, usually bilateral, often beginning during or just after menstruation.</w:t>
            </w:r>
          </w:p>
        </w:tc>
      </w:tr>
      <w:tr>
        <w:trPr>
          <w:cantSplit/>
        </w:trPr>
        <w:tc>
          <w:tcPr>
            <w:tcW w:type="dxa" w:w="2304"/>
            <w:vAlign w:val="top"/>
          </w:tcPr>
          <w:p>
            <w:pPr>
              <w:spacing w:after="40" w:before="0" w:line="259" w:lineRule="auto"/>
            </w:pPr>
            <w:r>
              <w:rPr>
                <w:rFonts w:ascii="Calibri" w:hAnsi="Calibri"/>
                <w:b/>
                <w:i w:val="0"/>
                <w:color w:val="212121"/>
                <w:sz w:val="19"/>
              </w:rPr>
              <w:t>Abnormal vaginal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mucopurulent and sometimes malodorous discharge from associated cervicitis.</w:t>
            </w:r>
          </w:p>
        </w:tc>
      </w:tr>
      <w:tr>
        <w:trPr>
          <w:cantSplit/>
        </w:trPr>
        <w:tc>
          <w:tcPr>
            <w:tcW w:type="dxa" w:w="2304"/>
            <w:vAlign w:val="top"/>
          </w:tcPr>
          <w:p>
            <w:pPr>
              <w:spacing w:after="40" w:before="0" w:line="259" w:lineRule="auto"/>
            </w:pPr>
            <w:r>
              <w:rPr>
                <w:rFonts w:ascii="Calibri" w:hAnsi="Calibri"/>
                <w:b/>
                <w:i w:val="0"/>
                <w:color w:val="212121"/>
                <w:sz w:val="19"/>
              </w:rPr>
              <w:t>Fever and chills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systemic infection; a temperature &gt; 38.3 C is a supportive diagnostic criterion.</w:t>
            </w:r>
          </w:p>
        </w:tc>
      </w:tr>
      <w:tr>
        <w:trPr>
          <w:cantSplit/>
        </w:trPr>
        <w:tc>
          <w:tcPr>
            <w:tcW w:type="dxa" w:w="2304"/>
            <w:vAlign w:val="top"/>
          </w:tcPr>
          <w:p>
            <w:pPr>
              <w:spacing w:after="40" w:before="0" w:line="259" w:lineRule="auto"/>
            </w:pPr>
            <w:r>
              <w:rPr>
                <w:rFonts w:ascii="Calibri" w:hAnsi="Calibri"/>
                <w:b/>
                <w:i w:val="0"/>
                <w:color w:val="212121"/>
                <w:sz w:val="19"/>
              </w:rPr>
              <w:t>Abnormal uterine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Intermenstrual, post-coital or heavy bleeding from endometritis and cervicitis.</w:t>
            </w:r>
          </w:p>
        </w:tc>
      </w:tr>
      <w:tr>
        <w:trPr>
          <w:cantSplit/>
        </w:trPr>
        <w:tc>
          <w:tcPr>
            <w:tcW w:type="dxa" w:w="2304"/>
            <w:vAlign w:val="top"/>
          </w:tcPr>
          <w:p>
            <w:pPr>
              <w:spacing w:after="40" w:before="0" w:line="259" w:lineRule="auto"/>
            </w:pPr>
            <w:r>
              <w:rPr>
                <w:rFonts w:ascii="Calibri" w:hAnsi="Calibri"/>
                <w:b/>
                <w:i w:val="0"/>
                <w:color w:val="212121"/>
                <w:sz w:val="19"/>
              </w:rPr>
              <w:t>Deep dyspareunia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deep in the pelvis during intercourse due to inflamed adnexa and pelvis.</w:t>
            </w:r>
          </w:p>
        </w:tc>
      </w:tr>
      <w:tr>
        <w:trPr>
          <w:cantSplit/>
        </w:trPr>
        <w:tc>
          <w:tcPr>
            <w:tcW w:type="dxa" w:w="2304"/>
            <w:vAlign w:val="top"/>
          </w:tcPr>
          <w:p>
            <w:pPr>
              <w:spacing w:after="40" w:before="0" w:line="259" w:lineRule="auto"/>
            </w:pPr>
            <w:r>
              <w:rPr>
                <w:rFonts w:ascii="Calibri" w:hAnsi="Calibri"/>
                <w:b/>
                <w:i w:val="0"/>
                <w:color w:val="212121"/>
                <w:sz w:val="19"/>
              </w:rPr>
              <w:t>Mild or absent symptoms (silent / subclinical PID)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chlamydial; a subclinical episode may be recognised only later when infertility or chronic pain appears.</w:t>
            </w:r>
          </w:p>
        </w:tc>
      </w:tr>
      <w:tr>
        <w:trPr>
          <w:cantSplit/>
        </w:trPr>
        <w:tc>
          <w:tcPr>
            <w:tcW w:type="dxa" w:w="2304"/>
            <w:vAlign w:val="top"/>
          </w:tcPr>
          <w:p>
            <w:pPr>
              <w:spacing w:after="40" w:before="0" w:line="259" w:lineRule="auto"/>
            </w:pPr>
            <w:r>
              <w:rPr>
                <w:rFonts w:ascii="Calibri" w:hAnsi="Calibri"/>
                <w:b/>
                <w:i w:val="0"/>
                <w:color w:val="212121"/>
                <w:sz w:val="19"/>
              </w:rPr>
              <w:t>Dysuria and urinary frequency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associated urethritis or cervicitis; must be distinguished from a urinary infection.</w:t>
            </w:r>
          </w:p>
        </w:tc>
      </w:tr>
      <w:tr>
        <w:trPr>
          <w:cantSplit/>
        </w:trPr>
        <w:tc>
          <w:tcPr>
            <w:tcW w:type="dxa" w:w="2304"/>
            <w:vAlign w:val="top"/>
          </w:tcPr>
          <w:p>
            <w:pPr>
              <w:spacing w:after="40" w:before="0" w:line="259" w:lineRule="auto"/>
            </w:pPr>
            <w:r>
              <w:rPr>
                <w:rFonts w:ascii="Calibri" w:hAnsi="Calibri"/>
                <w:b/>
                <w:i w:val="0"/>
                <w:color w:val="212121"/>
                <w:sz w:val="19"/>
              </w:rPr>
              <w:t>Low back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Referred pelvic pain that may be mistaken for a musculoskeletal cause.</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Accompany severe disease with pelvic peritonitis.</w:t>
            </w:r>
          </w:p>
        </w:tc>
      </w:tr>
      <w:tr>
        <w:trPr>
          <w:cantSplit/>
        </w:trPr>
        <w:tc>
          <w:tcPr>
            <w:tcW w:type="dxa" w:w="2304"/>
            <w:vAlign w:val="top"/>
          </w:tcPr>
          <w:p>
            <w:pPr>
              <w:spacing w:after="40" w:before="0" w:line="259" w:lineRule="auto"/>
            </w:pPr>
            <w:r>
              <w:rPr>
                <w:rFonts w:ascii="Calibri" w:hAnsi="Calibri"/>
                <w:b/>
                <w:i w:val="0"/>
                <w:color w:val="212121"/>
                <w:sz w:val="19"/>
              </w:rPr>
              <w:t>Right-upper-quadrant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perihepatitis (Fitz-Hugh-Curtis syndrome) from spread to the liver capsule.</w:t>
            </w:r>
          </w:p>
        </w:tc>
      </w:tr>
      <w:tr>
        <w:trPr>
          <w:cantSplit/>
        </w:trPr>
        <w:tc>
          <w:tcPr>
            <w:tcW w:type="dxa" w:w="2304"/>
            <w:vAlign w:val="top"/>
          </w:tcPr>
          <w:p>
            <w:pPr>
              <w:spacing w:after="40" w:before="0" w:line="259" w:lineRule="auto"/>
            </w:pPr>
            <w:r>
              <w:rPr>
                <w:rFonts w:ascii="Calibri" w:hAnsi="Calibri"/>
                <w:b/>
                <w:i w:val="0"/>
                <w:color w:val="212121"/>
                <w:sz w:val="19"/>
              </w:rPr>
              <w:t>Post-coital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Bleeding after intercourse from a friable, inflamed cervix.</w:t>
            </w:r>
          </w:p>
        </w:tc>
      </w:tr>
      <w:tr>
        <w:trPr>
          <w:cantSplit/>
        </w:trPr>
        <w:tc>
          <w:tcPr>
            <w:tcW w:type="dxa" w:w="2304"/>
            <w:vAlign w:val="top"/>
          </w:tcPr>
          <w:p>
            <w:pPr>
              <w:spacing w:after="40" w:before="0" w:line="259" w:lineRule="auto"/>
            </w:pPr>
            <w:r>
              <w:rPr>
                <w:rFonts w:ascii="Calibri" w:hAnsi="Calibri"/>
                <w:b/>
                <w:i w:val="0"/>
                <w:color w:val="212121"/>
                <w:sz w:val="19"/>
              </w:rPr>
              <w:t>Severe diffuse abdominal pain with rigidity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a ruptured tubo-ovarian abscess with generalised peritonitis -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Cervical motion tenderness (cervical excitation)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moving the cervix during bimanual examination; a minimum diagnostic criterion ('chandelier sign').</w:t>
            </w:r>
          </w:p>
        </w:tc>
      </w:tr>
      <w:tr>
        <w:trPr>
          <w:cantSplit/>
        </w:trPr>
        <w:tc>
          <w:tcPr>
            <w:tcW w:type="dxa" w:w="3456"/>
            <w:vAlign w:val="top"/>
          </w:tcPr>
          <w:p>
            <w:pPr>
              <w:spacing w:after="40" w:before="0" w:line="259" w:lineRule="auto"/>
            </w:pPr>
            <w:r>
              <w:rPr>
                <w:rFonts w:ascii="Calibri" w:hAnsi="Calibri"/>
                <w:b/>
                <w:i w:val="0"/>
                <w:color w:val="212121"/>
                <w:sz w:val="19"/>
              </w:rPr>
              <w:t>Uterine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of the uterus on bimanual palpation; a minimum diagnostic criterion.</w:t>
            </w:r>
          </w:p>
        </w:tc>
      </w:tr>
      <w:tr>
        <w:trPr>
          <w:cantSplit/>
        </w:trPr>
        <w:tc>
          <w:tcPr>
            <w:tcW w:type="dxa" w:w="3456"/>
            <w:vAlign w:val="top"/>
          </w:tcPr>
          <w:p>
            <w:pPr>
              <w:spacing w:after="40" w:before="0" w:line="259" w:lineRule="auto"/>
            </w:pPr>
            <w:r>
              <w:rPr>
                <w:rFonts w:ascii="Calibri" w:hAnsi="Calibri"/>
                <w:b/>
                <w:i w:val="0"/>
                <w:color w:val="212121"/>
                <w:sz w:val="19"/>
              </w:rPr>
              <w:t>Adnexal tenderness (uni- or bilateral)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over the tubes/ovaries; a minimum diagnostic criterion.</w:t>
            </w:r>
          </w:p>
        </w:tc>
      </w:tr>
      <w:tr>
        <w:trPr>
          <w:cantSplit/>
        </w:trPr>
        <w:tc>
          <w:tcPr>
            <w:tcW w:type="dxa" w:w="3456"/>
            <w:vAlign w:val="top"/>
          </w:tcPr>
          <w:p>
            <w:pPr>
              <w:spacing w:after="40" w:before="0" w:line="259" w:lineRule="auto"/>
            </w:pPr>
            <w:r>
              <w:rPr>
                <w:rFonts w:ascii="Calibri" w:hAnsi="Calibri"/>
                <w:b/>
                <w:i w:val="0"/>
                <w:color w:val="212121"/>
                <w:sz w:val="19"/>
              </w:rPr>
              <w:t>Mucopurulent cervical discharge / cervical friability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Purulent discharge and a cervix that bleeds on contact, seen on speculum examination.</w:t>
            </w:r>
          </w:p>
        </w:tc>
      </w:tr>
      <w:tr>
        <w:trPr>
          <w:cantSplit/>
        </w:trPr>
        <w:tc>
          <w:tcPr>
            <w:tcW w:type="dxa" w:w="3456"/>
            <w:vAlign w:val="top"/>
          </w:tcPr>
          <w:p>
            <w:pPr>
              <w:spacing w:after="40" w:before="0" w:line="259" w:lineRule="auto"/>
            </w:pPr>
            <w:r>
              <w:rPr>
                <w:rFonts w:ascii="Calibri" w:hAnsi="Calibri"/>
                <w:b/>
                <w:i w:val="0"/>
                <w:color w:val="212121"/>
                <w:sz w:val="19"/>
              </w:rPr>
              <w:t>Lower-abdominal tenderness with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Suprapubic and bilateral iliac-fossa tenderness, with guarding or rebound in peritonitis.</w:t>
            </w:r>
          </w:p>
        </w:tc>
      </w:tr>
      <w:tr>
        <w:trPr>
          <w:cantSplit/>
        </w:trPr>
        <w:tc>
          <w:tcPr>
            <w:tcW w:type="dxa" w:w="3456"/>
            <w:vAlign w:val="top"/>
          </w:tcPr>
          <w:p>
            <w:pPr>
              <w:spacing w:after="40" w:before="0" w:line="259" w:lineRule="auto"/>
            </w:pPr>
            <w:r>
              <w:rPr>
                <w:rFonts w:ascii="Calibri" w:hAnsi="Calibri"/>
                <w:b/>
                <w:i w:val="0"/>
                <w:color w:val="212121"/>
                <w:sz w:val="19"/>
              </w:rPr>
              <w:t>Fever (&gt; 38.3 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more severe disease; a supportive diagnostic criterion.</w:t>
            </w:r>
          </w:p>
        </w:tc>
      </w:tr>
      <w:tr>
        <w:trPr>
          <w:cantSplit/>
        </w:trPr>
        <w:tc>
          <w:tcPr>
            <w:tcW w:type="dxa" w:w="3456"/>
            <w:vAlign w:val="top"/>
          </w:tcPr>
          <w:p>
            <w:pPr>
              <w:spacing w:after="40" w:before="0" w:line="259" w:lineRule="auto"/>
            </w:pPr>
            <w:r>
              <w:rPr>
                <w:rFonts w:ascii="Calibri" w:hAnsi="Calibri"/>
                <w:b/>
                <w:i w:val="0"/>
                <w:color w:val="212121"/>
                <w:sz w:val="19"/>
              </w:rPr>
              <w:t>Adnexal mass or fullness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palpable, tender adnexal mass suggests a tubo-ovarian abscess or pyosalpinx.</w:t>
            </w:r>
          </w:p>
        </w:tc>
      </w:tr>
      <w:tr>
        <w:trPr>
          <w:cantSplit/>
        </w:trPr>
        <w:tc>
          <w:tcPr>
            <w:tcW w:type="dxa" w:w="3456"/>
            <w:vAlign w:val="top"/>
          </w:tcPr>
          <w:p>
            <w:pPr>
              <w:spacing w:after="40" w:before="0" w:line="259" w:lineRule="auto"/>
            </w:pPr>
            <w:r>
              <w:rPr>
                <w:rFonts w:ascii="Calibri" w:hAnsi="Calibri"/>
                <w:b/>
                <w:i w:val="0"/>
                <w:color w:val="212121"/>
                <w:sz w:val="19"/>
              </w:rPr>
              <w:t>Right-upper-quadrant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perihepatitis (Fitz-Hugh-Curtis syndrome).</w:t>
            </w:r>
          </w:p>
        </w:tc>
      </w:tr>
      <w:tr>
        <w:trPr>
          <w:cantSplit/>
        </w:trPr>
        <w:tc>
          <w:tcPr>
            <w:tcW w:type="dxa" w:w="3456"/>
            <w:vAlign w:val="top"/>
          </w:tcPr>
          <w:p>
            <w:pPr>
              <w:spacing w:after="40" w:before="0" w:line="259" w:lineRule="auto"/>
            </w:pPr>
            <w:r>
              <w:rPr>
                <w:rFonts w:ascii="Calibri" w:hAnsi="Calibri"/>
                <w:b/>
                <w:i w:val="0"/>
                <w:color w:val="212121"/>
                <w:sz w:val="19"/>
              </w:rPr>
              <w:t>Signs of peritonitis / septic shock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Rigid abdomen, tachycardia and hypotension indicate a ruptured tubo-ovarian abscess or sepsis.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salpingitis and endometritis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Pyosalpinx and tubo-ovarian abscess (around 30% of women hospitalised with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Pelvic peritonitis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Fitz-Hugh-Curtis syndrome (perihepatitis; ~1-30% of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Ruptured tubo-ovarian abscess with sepsis - a surgical emergency</w:t>
            </w:r>
          </w:p>
        </w:tc>
        <w:tc>
          <w:tcPr>
            <w:tcW w:type="dxa" w:w="2980"/>
            <w:vAlign w:val="top"/>
          </w:tcPr>
          <w:p>
            <w:pPr>
              <w:spacing w:after="40" w:before="0" w:line="259" w:lineRule="auto"/>
            </w:pPr>
            <w:r>
              <w:rPr>
                <w:rFonts w:ascii="Calibri" w:hAnsi="Calibri"/>
                <w:b w:val="0"/>
                <w:i w:val="0"/>
                <w:color w:val="212121"/>
                <w:sz w:val="19"/>
              </w:rPr>
              <w:t>Direct acute consequences of ascending infection and abscess formation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Tubal-factor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Ectopic pregnancy from tubal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Hydrosalpinx and dense pelvic adhesions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dyspareunia</w:t>
            </w:r>
          </w:p>
        </w:tc>
        <w:tc>
          <w:tcPr>
            <w:tcW w:type="dxa" w:w="2980"/>
            <w:vAlign w:val="top"/>
          </w:tcPr>
          <w:p>
            <w:pPr>
              <w:spacing w:after="40" w:before="0" w:line="259" w:lineRule="auto"/>
            </w:pPr>
            <w:r>
              <w:rPr>
                <w:rFonts w:ascii="Calibri" w:hAnsi="Calibri"/>
                <w:b w:val="0"/>
                <w:i w:val="0"/>
                <w:color w:val="212121"/>
                <w:sz w:val="19"/>
              </w:rPr>
              <w:t>Result from tubal scarring, adhesions and cilial damage after the acute episode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infertility requiring IVF / assisted reproduction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Surgery with loss of tubes or uterus (salpingectomy, hysterectomy)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ruptured ectopic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pelvic pain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morbidity and marital/social consequences, heightened by the stigma of infertility in India</w:t>
            </w:r>
          </w:p>
        </w:tc>
        <w:tc>
          <w:tcPr>
            <w:tcW w:type="dxa" w:w="2980"/>
            <w:vAlign w:val="top"/>
          </w:tcPr>
          <w:p>
            <w:pPr>
              <w:spacing w:after="40" w:before="0" w:line="259" w:lineRule="auto"/>
            </w:pPr>
            <w:r>
              <w:rPr>
                <w:rFonts w:ascii="Calibri" w:hAnsi="Calibri"/>
                <w:b w:val="0"/>
                <w:i w:val="0"/>
                <w:color w:val="212121"/>
                <w:sz w:val="19"/>
              </w:rPr>
              <w:t>Irreversible or high-impact outcomes of longstanding or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Chlamydia trachomatis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leading sexually transmitted cause; ascending cervical chlamydia produces silent, scarring salpingitis and much of the tubal infertility burden.</w:t>
            </w:r>
          </w:p>
          <w:p>
            <w:pPr>
              <w:spacing w:after="40" w:before="0" w:line="259" w:lineRule="auto"/>
            </w:pPr>
            <w:r>
              <w:rPr>
                <w:rFonts w:ascii="Calibri" w:hAnsi="Calibri"/>
                <w:b/>
                <w:i w:val="0"/>
                <w:color w:val="212121"/>
                <w:sz w:val="19"/>
              </w:rPr>
              <w:t>~23% of STI-related PID (GBD 2021)</w:t>
            </w:r>
          </w:p>
        </w:tc>
      </w:tr>
      <w:tr>
        <w:trPr>
          <w:cantSplit/>
        </w:trPr>
        <w:tc>
          <w:tcPr>
            <w:tcW w:type="dxa" w:w="2232"/>
            <w:vAlign w:val="top"/>
          </w:tcPr>
          <w:p>
            <w:pPr>
              <w:spacing w:after="40" w:before="0" w:line="259" w:lineRule="auto"/>
            </w:pPr>
            <w:r>
              <w:rPr>
                <w:rFonts w:ascii="Calibri" w:hAnsi="Calibri"/>
                <w:b/>
                <w:i w:val="0"/>
                <w:color w:val="212121"/>
                <w:sz w:val="19"/>
              </w:rPr>
              <w:t>Neisseria gonorrhoeae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classic cause of acute, florid PID; untreated cervical gonorrhoea ascends to the tubes.</w:t>
            </w:r>
          </w:p>
          <w:p>
            <w:pPr>
              <w:spacing w:after="40" w:before="0" w:line="259" w:lineRule="auto"/>
            </w:pPr>
            <w:r>
              <w:rPr>
                <w:rFonts w:ascii="Calibri" w:hAnsi="Calibri"/>
                <w:b/>
                <w:i w:val="0"/>
                <w:color w:val="212121"/>
                <w:sz w:val="19"/>
              </w:rPr>
              <w:t>~5% of STI-related PID (GBD 2021)</w:t>
            </w:r>
          </w:p>
        </w:tc>
      </w:tr>
      <w:tr>
        <w:trPr>
          <w:cantSplit/>
        </w:trPr>
        <w:tc>
          <w:tcPr>
            <w:tcW w:type="dxa" w:w="2232"/>
            <w:vAlign w:val="top"/>
          </w:tcPr>
          <w:p>
            <w:pPr>
              <w:spacing w:after="40" w:before="0" w:line="259" w:lineRule="auto"/>
            </w:pPr>
            <w:r>
              <w:rPr>
                <w:rFonts w:ascii="Calibri" w:hAnsi="Calibri"/>
                <w:b/>
                <w:i w:val="0"/>
                <w:color w:val="212121"/>
                <w:sz w:val="19"/>
              </w:rPr>
              <w:t>Bacterial vaginosis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Loss of protective lactobacilli and overgrowth of anaerobes supply the polymicrobial organisms and disturbed barrier that enable ascending infection.</w:t>
            </w:r>
          </w:p>
          <w:p>
            <w:pPr>
              <w:spacing w:after="40" w:before="0" w:line="259" w:lineRule="auto"/>
            </w:pPr>
            <w:r>
              <w:rPr>
                <w:rFonts w:ascii="Calibri" w:hAnsi="Calibri"/>
                <w:b/>
                <w:i w:val="0"/>
                <w:color w:val="212121"/>
                <w:sz w:val="19"/>
              </w:rPr>
              <w:t>BV-associated organisms in ~85% of cases</w:t>
            </w:r>
          </w:p>
        </w:tc>
      </w:tr>
      <w:tr>
        <w:trPr>
          <w:cantSplit/>
        </w:trPr>
        <w:tc>
          <w:tcPr>
            <w:tcW w:type="dxa" w:w="2232"/>
            <w:vAlign w:val="top"/>
          </w:tcPr>
          <w:p>
            <w:pPr>
              <w:spacing w:after="40" w:before="0" w:line="259" w:lineRule="auto"/>
            </w:pPr>
            <w:r>
              <w:rPr>
                <w:rFonts w:ascii="Calibri" w:hAnsi="Calibri"/>
                <w:b/>
                <w:i w:val="0"/>
                <w:color w:val="212121"/>
                <w:sz w:val="19"/>
              </w:rPr>
              <w:t>Mycoplasma genitalium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 increasingly recognised sexually transmitted cause associated with treatment-resistant, recurrent PID.</w:t>
            </w:r>
          </w:p>
          <w:p>
            <w:pPr>
              <w:spacing w:after="40" w:before="0" w:line="259" w:lineRule="auto"/>
            </w:pPr>
            <w:r>
              <w:rPr>
                <w:rFonts w:ascii="Calibri" w:hAnsi="Calibri"/>
                <w:b/>
                <w:i w:val="0"/>
                <w:color w:val="212121"/>
                <w:sz w:val="19"/>
              </w:rPr>
              <w:t>~10% of PID</w:t>
            </w:r>
          </w:p>
        </w:tc>
      </w:tr>
      <w:tr>
        <w:trPr>
          <w:cantSplit/>
        </w:trPr>
        <w:tc>
          <w:tcPr>
            <w:tcW w:type="dxa" w:w="2232"/>
            <w:vAlign w:val="top"/>
          </w:tcPr>
          <w:p>
            <w:pPr>
              <w:spacing w:after="40" w:before="0" w:line="259" w:lineRule="auto"/>
            </w:pPr>
            <w:r>
              <w:rPr>
                <w:rFonts w:ascii="Calibri" w:hAnsi="Calibri"/>
                <w:b/>
                <w:i w:val="0"/>
                <w:color w:val="212121"/>
                <w:sz w:val="19"/>
              </w:rPr>
              <w:t>Tubal-factor infertility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Salpingitis scars and occludes the tubes; risk climbs with each episode and is a major cause of infertility in India.</w:t>
            </w:r>
          </w:p>
          <w:p>
            <w:pPr>
              <w:spacing w:after="40" w:before="0" w:line="259" w:lineRule="auto"/>
            </w:pPr>
            <w:r>
              <w:rPr>
                <w:rFonts w:ascii="Calibri" w:hAnsi="Calibri"/>
                <w:b/>
                <w:i w:val="0"/>
                <w:color w:val="212121"/>
                <w:sz w:val="19"/>
              </w:rPr>
              <w:t>~8% after 1 episode, up to ~40% after &gt;= 3</w:t>
            </w:r>
          </w:p>
        </w:tc>
      </w:tr>
      <w:tr>
        <w:trPr>
          <w:cantSplit/>
        </w:trPr>
        <w:tc>
          <w:tcPr>
            <w:tcW w:type="dxa" w:w="2232"/>
            <w:vAlign w:val="top"/>
          </w:tcPr>
          <w:p>
            <w:pPr>
              <w:spacing w:after="40" w:before="0" w:line="259" w:lineRule="auto"/>
            </w:pPr>
            <w:r>
              <w:rPr>
                <w:rFonts w:ascii="Calibri" w:hAnsi="Calibri"/>
                <w:b/>
                <w:i w:val="0"/>
                <w:color w:val="212121"/>
                <w:sz w:val="19"/>
              </w:rPr>
              <w:t>Ectopic pregnancy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Tubal scarring impairs ovum transport, so a fertilised egg implants in the damaged tube.</w:t>
            </w:r>
          </w:p>
          <w:p>
            <w:pPr>
              <w:spacing w:after="40" w:before="0" w:line="259" w:lineRule="auto"/>
            </w:pPr>
            <w:r>
              <w:rPr>
                <w:rFonts w:ascii="Calibri" w:hAnsi="Calibri"/>
                <w:b/>
                <w:i w:val="0"/>
                <w:color w:val="212121"/>
                <w:sz w:val="19"/>
              </w:rPr>
              <w:t>~9% after salpingitis (vs ~1.4%)</w:t>
            </w:r>
          </w:p>
        </w:tc>
      </w:tr>
      <w:tr>
        <w:trPr>
          <w:cantSplit/>
        </w:trPr>
        <w:tc>
          <w:tcPr>
            <w:tcW w:type="dxa" w:w="2232"/>
            <w:vAlign w:val="top"/>
          </w:tcPr>
          <w:p>
            <w:pPr>
              <w:spacing w:after="40" w:before="0" w:line="259" w:lineRule="auto"/>
            </w:pPr>
            <w:r>
              <w:rPr>
                <w:rFonts w:ascii="Calibri" w:hAnsi="Calibri"/>
                <w:b/>
                <w:i w:val="0"/>
                <w:color w:val="212121"/>
                <w:sz w:val="19"/>
              </w:rPr>
              <w:t>Chronic pelvic pain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Persistent pain from pelvic adhesions and hydrosalpinx; strongest predictor is recurrent PID, and it drives ongoing distress.</w:t>
            </w:r>
          </w:p>
          <w:p>
            <w:pPr>
              <w:spacing w:after="40" w:before="0" w:line="259" w:lineRule="auto"/>
            </w:pPr>
            <w:r>
              <w:rPr>
                <w:rFonts w:ascii="Calibri" w:hAnsi="Calibri"/>
                <w:b/>
                <w:i w:val="0"/>
                <w:color w:val="212121"/>
                <w:sz w:val="19"/>
              </w:rPr>
              <w:t>~29% of women after PID</w:t>
            </w:r>
          </w:p>
        </w:tc>
      </w:tr>
      <w:tr>
        <w:trPr>
          <w:cantSplit/>
        </w:trPr>
        <w:tc>
          <w:tcPr>
            <w:tcW w:type="dxa" w:w="2232"/>
            <w:vAlign w:val="top"/>
          </w:tcPr>
          <w:p>
            <w:pPr>
              <w:spacing w:after="40" w:before="0" w:line="259" w:lineRule="auto"/>
            </w:pPr>
            <w:r>
              <w:rPr>
                <w:rFonts w:ascii="Calibri" w:hAnsi="Calibri"/>
                <w:b/>
                <w:i w:val="0"/>
                <w:color w:val="212121"/>
                <w:sz w:val="19"/>
              </w:rPr>
              <w:t>Tubo-ovarian abscess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walled-off collection of pus involving tube and ovary that may need drainage or surgery and can rupture.</w:t>
            </w:r>
          </w:p>
          <w:p>
            <w:pPr>
              <w:spacing w:after="40" w:before="0" w:line="259" w:lineRule="auto"/>
            </w:pPr>
            <w:r>
              <w:rPr>
                <w:rFonts w:ascii="Calibri" w:hAnsi="Calibri"/>
                <w:b/>
                <w:i w:val="0"/>
                <w:color w:val="212121"/>
                <w:sz w:val="19"/>
              </w:rPr>
              <w:t>~30% of hospitalised PID</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HIV and PID share sexual-transmission risk; HIV-positive women have more severe PID and higher abscess rates, and PID screening is an opportunity for HIV testing.</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pelvic pain, recurrent infection and infertility drive mood disorders, while psychosocial distress affects health-seeking and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PID usually results from untreated sexually transmitted infection ascending from the vagina, and that early treatment prevents infertility and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safer sex - consistent, correct condom use and limiting the number of partners - which markedly lowers PID and recurrence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screening and treatment for vaginal discharge, and ensure sexual partners are treated at the same time to prevent re-infection ('ping-pong'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vaginal douching and unnecessary intravaginal products, which disturb the protective vaginal flora.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 lower-abdominal pain, abnormal or foul discharge, fever, pain during sex or abnormal bleeding - and seek care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screened for chlamydia and gonorrhoea if young and sexually active, especially with a new partner.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new or recent partner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STI or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antibiotics exactly as prescribed and complete the full course even after symptoms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urgently if pain, fever or vomiting worsen or oral therapy fails, as intravenous antibiotics and admission may be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all recent sexual partners (within 60 days) are evaluated and treated, and abstain from sex until both partners finish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or remove an intrauterine device only on medical advice if PID does not improve.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and re-testing for gonorrhoea, chlamydia, HIV and other STIs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being treated for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 of PID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IUD users with PID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a healthy weight to support immunity, recognising that activity itself neither causes nor prevents PID.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gradually after an acute episode, guided by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recovering from PID</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iron- and protein-rich diet with leafy greens, pulses and fruit to correct the anaemia that is common in Indian women and to support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hydration and overall nutrition to build resilience to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reproductive-age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iron-deficiency anaemia with iron-rich foods and prescribed supplements during and after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nutrition and hydration while febrile or on antibiotics to speed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PID and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inpatients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adequate sleep (about 7-9 hours) to support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rest during acute illness to aid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acute PID</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(cigarettes and bidis); smoking roughly doubles PID risk and impairs tubal defences and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which benefits reproductive and overall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PID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is linked to higher PID prevalence and to higher-risk sexual behaviour and reduced condom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intoxication that can lead to unprotected sex with new partners.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women at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anxiety, low mood and relationship stress caused by chronic pelvic pain and by infertility, which is heavily stigmatised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pain-management support and, where needed, fertility counselling as part of holistic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non-judgemental, confidential care to reduce stigma and encourage partner treatment and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facing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PID</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jrcog.org/index.php/ijrcog/article/download/3404/2696/12232" TargetMode="External"/><Relationship Id="rId10" Type="http://schemas.openxmlformats.org/officeDocument/2006/relationships/hyperlink" Target="https://www.std.uw.edu/go/comprehensive-study/pelvic-inflammatory-disease/core-concept/all" TargetMode="External"/><Relationship Id="rId11" Type="http://schemas.openxmlformats.org/officeDocument/2006/relationships/hyperlink" Target="https://link.springer.com/article/10.1186/s12978-026-02337-6" TargetMode="External"/><Relationship Id="rId12" Type="http://schemas.openxmlformats.org/officeDocument/2006/relationships/hyperlink" Target="https://www.frontiersin.org/journals/endocrinology/articles/10.3389/fendo.2026.1843375/full" TargetMode="External"/><Relationship Id="rId13" Type="http://schemas.openxmlformats.org/officeDocument/2006/relationships/hyperlink" Target="https://www.ncbi.nlm.nih.gov/books/NBK4999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