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Bacterial vaginosis</w:t>
      </w:r>
    </w:p>
    <w:p>
      <w:pPr>
        <w:spacing w:before="0" w:after="160"/>
      </w:pPr>
      <w:r>
        <w:rPr>
          <w:rFonts w:ascii="Calibri" w:hAnsi="Calibri"/>
          <w:b/>
          <w:i w:val="0"/>
          <w:color w:val="212121"/>
          <w:sz w:val="22"/>
        </w:rPr>
        <w:t xml:space="preserve">AKA </w:t>
      </w:r>
      <w:r>
        <w:rPr>
          <w:rFonts w:ascii="Calibri" w:hAnsi="Calibri"/>
          <w:b w:val="0"/>
          <w:i w:val="0"/>
          <w:color w:val="212121"/>
          <w:sz w:val="22"/>
        </w:rPr>
        <w:t>i.e., BV, Anaerobic vaginosis, Non-specific vaginitis, Gardnerella vaginitis (older term), Vaginal dysbiosis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Bacterial vaginosis (BV) is a polymicrobial clinical syndrome resulting from disruption of the normal vaginal microbiota — a marked decline in protective, hydrogen-peroxide- and lactic-acid-producing Lactobacillus species (especially L. crispatus) with an overgrowth of anaerobic and facultative bacteria such as Gardnerella vaginalis, Prevotella, Fannyhessea (Atopobium) vaginae and Mobiluncus. It is the most common cause of abnormal vaginal discharge in women of reproductive age and characteristically produces a thin, homogeneous, grey-white discharge with a fishy odour and a raised vaginal pH, although up to half of affected women have no symptoms. BV is not classically defined as a sexually transmitted infection but is strongly associated with sexual activity and recurs frequently after treatment.</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Bacterial vaginosis is the commonest cause of abnormal vaginal discharge in reproductive-age women. WHO estimates a global prevalence of about 23–29% among women of reproductive age, and Indian clinic- and community-based studies fall broadly within this range — for example, 19.1% among sexually active women aged 15–30 years in Mysore — with higher rates typically reported among symptomatic women attending gynaecology and sexually transmitted infection clinics. BV is more common in low-resource settings with limited access to clean water and sanitation.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BV is diagnosed clinically using Amsel criteria or, as the laboratory reference standard, by Gram-stain Nugent scoring. A clinical diagnosis is made when at least three of the following four Amsel criteria are present: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homogeneous, thin, grey-white discharge that smoothly coats the vaginal walls;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vaginal pH greater than 4.5, measured with narrow-range pH paper;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positive whiff (amine) test — a fishy odour on adding 10% potassium hydroxide (KOH) to a discharge sample;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clue cells (≥ 20% of epithelial cells) on saline wet-mount microscopy.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Alternatively, a Gram-stained vaginal smear scored by the Nugent method (0–3 normal, 4–6 intermediate, 7–10 diagnostic of BV) provides the laboratory reference standard, mainly used in research and antenatal screening.</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Bacterial vaginosis is described less by discrete disease types than by the state and grade of the vaginal microbiota; useful working categories include:</w:t>
      </w:r>
    </w:p>
    <w:p>
      <w:pPr>
        <w:spacing w:before="0" w:after="80"/>
      </w:pPr>
      <w:r>
        <w:rPr>
          <w:rFonts w:ascii="Calibri" w:hAnsi="Calibri"/>
          <w:b w:val="0"/>
          <w:i w:val="0"/>
          <w:color w:val="212121"/>
          <w:sz w:val="21"/>
        </w:rPr>
        <w:t>(1) By laboratory grade (Nugent score): normal Lactobacillus-dominant flora (0–3), intermediate or transitional flora (4–6), and established BV (7–10);</w:t>
      </w:r>
    </w:p>
    <w:p>
      <w:pPr>
        <w:spacing w:before="0" w:after="80"/>
      </w:pPr>
      <w:r>
        <w:rPr>
          <w:rFonts w:ascii="Calibri" w:hAnsi="Calibri"/>
          <w:b w:val="0"/>
          <w:i w:val="0"/>
          <w:color w:val="212121"/>
          <w:sz w:val="21"/>
        </w:rPr>
        <w:t>(2) Symptomatic versus asymptomatic BV — up to half of women who meet microbiological criteria have no symptoms, yet may still carry reproductive and obstetric risk;</w:t>
      </w:r>
    </w:p>
    <w:p>
      <w:pPr>
        <w:spacing w:before="0" w:after="80"/>
      </w:pPr>
      <w:r>
        <w:rPr>
          <w:rFonts w:ascii="Calibri" w:hAnsi="Calibri"/>
          <w:b w:val="0"/>
          <w:i w:val="0"/>
          <w:color w:val="212121"/>
          <w:sz w:val="21"/>
        </w:rPr>
        <w:t>(3) Incident versus recurrent BV — recurrent BV is usually defined as three or more confirmed episodes within 12 months and affects a majority of treated women within a year;</w:t>
      </w:r>
    </w:p>
    <w:p>
      <w:pPr>
        <w:spacing w:before="0" w:after="80"/>
      </w:pPr>
      <w:r>
        <w:rPr>
          <w:rFonts w:ascii="Calibri" w:hAnsi="Calibri"/>
          <w:b w:val="0"/>
          <w:i w:val="0"/>
          <w:color w:val="212121"/>
          <w:sz w:val="21"/>
        </w:rPr>
        <w:t>(4) By molecular community state type (CST) — sequencing classifies the vaginal microbiota into Lactobacillus-dominant types (CST I, II, III and V) and a diverse anaerobic type (CST IV) that corresponds to bacterial vaginosis.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Loss of protective lactobacilli: Depletion of hydrogen-peroxide- and lactic-acid-producing Lactobacillus (especially L. crispatus) raises vaginal pH above 4.5 and removes the main defence against anaerobic overgrowth.</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Anaerobic overgrowth and biofilm: Gardnerella vaginalis initiates a polymicrobial biofilm that recruits Prevotella, Fannyhessea (Atopobium) vaginae, Mobiluncus and other anaerobes, producing amines and volatile fatty acids responsible for the odour and raised pH.</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Sexual activity: New or multiple partners, unprotected intercourse and receptive practices disturb the microbiota; alkaline semen and partner-shared organisms promote dysbiosis, so BV behaves epidemiologically like a sexually associated condition without being classically defined as an STI.</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Vaginal douching and intravaginal practices: Washing or inserting cleansing agents, herbs, drying agents or cloth strips out lactobacilli and alters pH — practices still common in parts of India.</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Menstruation and menstrual hygiene: Alkaline menstrual blood raises vaginal pH, and prolonged use of a single cloth or pad with inadequate hygiene facilitates anaerobic overgrowth.</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Smoking: Tobacco use reduces protective vaginal lactobacilli, increasing the risk of BV and its recurrence.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Hormonal and contraceptive factors: Low-oestrogen states and copper intrauterine device use alter glycogen availability and menstrual patterns that support lactobacilli, influencing susceptibility.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(reproductive age, 15–49 years)</w:t>
            </w:r>
          </w:p>
        </w:tc>
        <w:tc>
          <w:tcPr>
            <w:tcW w:type="dxa" w:w="4276"/>
            <w:vAlign w:val="top"/>
          </w:tcPr>
          <w:p>
            <w:pPr>
              <w:spacing w:after="60" w:line="259" w:lineRule="auto"/>
            </w:pPr>
            <w:r>
              <w:rPr>
                <w:rFonts w:ascii="Calibri" w:hAnsi="Calibri"/>
                <w:b w:val="0"/>
                <w:i w:val="0"/>
                <w:color w:val="212121"/>
                <w:sz w:val="19"/>
              </w:rPr>
              <w:t>BV is fundamentally a disorder of the reproductive years, when cyclical oestrogen, glycogen and sexual activity shape a microbiota that can tip from Lactobacillus dominance to anaerobic overgrowth.</w:t>
            </w:r>
          </w:p>
          <w:p>
            <w:pPr>
              <w:spacing w:after="40" w:before="60" w:line="259" w:lineRule="auto"/>
            </w:pPr>
            <w:r>
              <w:rPr>
                <w:rFonts w:ascii="Calibri" w:hAnsi="Calibri"/>
                <w:b w:val="0"/>
                <w:i w:val="0"/>
                <w:color w:val="212121"/>
                <w:sz w:val="19"/>
              </w:rPr>
              <w:t>WHO estimates BV prevalence among women of reproductive age at about 23–29%.</w:t>
            </w:r>
          </w:p>
          <w:p>
            <w:pPr>
              <w:spacing w:after="40" w:line="252" w:lineRule="auto"/>
            </w:pPr>
            <w:hyperlink r:id="rId9">
              <w:r>
                <w:rPr>
                  <w:rFonts w:ascii="Calibri" w:hAnsi="Calibri" w:cs="Calibri"/>
                  <w:sz w:val="18"/>
                  <w:color w:val="1155CC"/>
                  <w:u w:val="single"/>
                </w:rPr>
                <w:t xml:space="preserve">who.int — bacterial vaginosis fact sheet</w:t>
              </w:r>
            </w:hyperlink>
          </w:p>
          <w:p>
            <w:pPr>
              <w:spacing w:before="60" w:after="40"/>
            </w:pPr>
            <w:r>
              <w:rPr>
                <w:rFonts w:ascii="Calibri" w:hAnsi="Calibri"/>
                <w:b w:val="0"/>
                <w:i w:val="0"/>
                <w:color w:val="5A5A5A"/>
                <w:sz w:val="18"/>
              </w:rPr>
              <w:t>#reproductiveage  #dysbiosis  #lactobacillus  #vaginalpH  #womenshealth</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(postmenopausal women)</w:t>
            </w:r>
          </w:p>
        </w:tc>
        <w:tc>
          <w:tcPr>
            <w:tcW w:type="dxa" w:w="4276"/>
            <w:vAlign w:val="top"/>
          </w:tcPr>
          <w:p>
            <w:pPr>
              <w:spacing w:after="60" w:line="259" w:lineRule="auto"/>
            </w:pPr>
            <w:r>
              <w:rPr>
                <w:rFonts w:ascii="Calibri" w:hAnsi="Calibri"/>
                <w:b w:val="0"/>
                <w:i w:val="0"/>
                <w:color w:val="212121"/>
                <w:sz w:val="19"/>
              </w:rPr>
              <w:t>After menopause, falling oestrogen reduces vaginal glycogen and lactobacilli, but reduced sexual activity lowers BV incidence overall; new BV in a postmenopausal woman warrants evaluation and distinction from atrophic vaginitis.</w:t>
            </w:r>
          </w:p>
          <w:p>
            <w:pPr>
              <w:spacing w:after="40" w:before="60" w:line="259" w:lineRule="auto"/>
            </w:pPr>
            <w:r>
              <w:rPr>
                <w:rFonts w:ascii="Calibri" w:hAnsi="Calibri"/>
                <w:b w:val="0"/>
                <w:i w:val="0"/>
                <w:color w:val="212121"/>
                <w:sz w:val="19"/>
              </w:rPr>
              <w:t>BV is the most common vaginal condition in women aged 15–44, i.e. predominantly a reproductive-age disorder.</w:t>
            </w:r>
          </w:p>
          <w:p>
            <w:pPr>
              <w:spacing w:after="40" w:line="252" w:lineRule="auto"/>
            </w:pPr>
            <w:hyperlink r:id="rId10">
              <w:r>
                <w:rPr>
                  <w:rFonts w:ascii="Calibri" w:hAnsi="Calibri" w:cs="Calibri"/>
                  <w:sz w:val="18"/>
                  <w:color w:val="1155CC"/>
                  <w:u w:val="single"/>
                </w:rPr>
                <w:t xml:space="preserve">cdc.gov — about bacterial vaginosis</w:t>
              </w:r>
            </w:hyperlink>
          </w:p>
          <w:p>
            <w:pPr>
              <w:spacing w:before="60" w:after="40"/>
            </w:pPr>
            <w:r>
              <w:rPr>
                <w:rFonts w:ascii="Calibri" w:hAnsi="Calibri"/>
                <w:b w:val="0"/>
                <w:i w:val="0"/>
                <w:color w:val="5A5A5A"/>
                <w:sz w:val="18"/>
              </w:rPr>
              <w:t>#postmenopause  #atrophicvaginitis  #lowoestrogen  #agingflora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(women and people with a vagina)</w:t>
            </w:r>
          </w:p>
        </w:tc>
        <w:tc>
          <w:tcPr>
            <w:tcW w:type="dxa" w:w="4276"/>
            <w:vAlign w:val="top"/>
          </w:tcPr>
          <w:p>
            <w:pPr>
              <w:spacing w:after="60" w:line="259" w:lineRule="auto"/>
            </w:pPr>
            <w:r>
              <w:rPr>
                <w:rFonts w:ascii="Calibri" w:hAnsi="Calibri"/>
                <w:b w:val="0"/>
                <w:i w:val="0"/>
                <w:color w:val="212121"/>
                <w:sz w:val="19"/>
              </w:rPr>
              <w:t>BV is by definition a condition of the vaginal microbiota and is therefore essentially exclusive to women; male partners may carry BV-associated organisms and influence recurrence but do not develop the syndrome.</w:t>
            </w:r>
          </w:p>
          <w:p>
            <w:pPr>
              <w:spacing w:after="40" w:before="60" w:line="259" w:lineRule="auto"/>
            </w:pPr>
            <w:r>
              <w:rPr>
                <w:rFonts w:ascii="Calibri" w:hAnsi="Calibri"/>
                <w:b w:val="0"/>
                <w:i w:val="0"/>
                <w:color w:val="212121"/>
                <w:sz w:val="19"/>
              </w:rPr>
              <w:t>BV is the most common vaginal condition in women ages 15–44.</w:t>
            </w:r>
          </w:p>
          <w:p>
            <w:pPr>
              <w:spacing w:after="40" w:line="252" w:lineRule="auto"/>
            </w:pPr>
            <w:hyperlink r:id="rId10">
              <w:r>
                <w:rPr>
                  <w:rFonts w:ascii="Calibri" w:hAnsi="Calibri" w:cs="Calibri"/>
                  <w:sz w:val="18"/>
                  <w:color w:val="1155CC"/>
                  <w:u w:val="single"/>
                </w:rPr>
                <w:t xml:space="preserve">cdc.gov — about bacterial vaginosis</w:t>
              </w:r>
            </w:hyperlink>
          </w:p>
          <w:p>
            <w:pPr>
              <w:spacing w:before="60" w:after="40"/>
            </w:pPr>
            <w:r>
              <w:rPr>
                <w:rFonts w:ascii="Calibri" w:hAnsi="Calibri"/>
                <w:b w:val="0"/>
                <w:i w:val="0"/>
                <w:color w:val="5A5A5A"/>
                <w:sz w:val="18"/>
              </w:rPr>
              <w:t>#femalehealth  #vaginalmicrobiome  #partnerrole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 socioeconomic status; limited water, sanitation and health access</w:t>
            </w:r>
          </w:p>
        </w:tc>
        <w:tc>
          <w:tcPr>
            <w:tcW w:type="dxa" w:w="4276"/>
            <w:vAlign w:val="top"/>
          </w:tcPr>
          <w:p>
            <w:pPr>
              <w:spacing w:after="60" w:line="259" w:lineRule="auto"/>
            </w:pPr>
            <w:r>
              <w:rPr>
                <w:rFonts w:ascii="Calibri" w:hAnsi="Calibri"/>
                <w:b w:val="0"/>
                <w:i w:val="0"/>
                <w:color w:val="212121"/>
                <w:sz w:val="19"/>
              </w:rPr>
              <w:t>Poor access to clean water and private sanitation, lower health literacy and delayed care promote intravaginal cleansing, poor menstrual hygiene and untreated recurrence.</w:t>
            </w:r>
          </w:p>
          <w:p>
            <w:pPr>
              <w:spacing w:after="40" w:before="60" w:line="259" w:lineRule="auto"/>
            </w:pPr>
            <w:r>
              <w:rPr>
                <w:rFonts w:ascii="Calibri" w:hAnsi="Calibri"/>
                <w:b w:val="0"/>
                <w:i w:val="0"/>
                <w:color w:val="212121"/>
                <w:sz w:val="19"/>
              </w:rPr>
              <w:t>WHO notes BV is more common in low-resource settings and areas with limited access to healthcare.</w:t>
            </w:r>
          </w:p>
          <w:p>
            <w:pPr>
              <w:spacing w:after="40" w:line="252" w:lineRule="auto"/>
            </w:pPr>
            <w:hyperlink r:id="rId9">
              <w:r>
                <w:rPr>
                  <w:rFonts w:ascii="Calibri" w:hAnsi="Calibri" w:cs="Calibri"/>
                  <w:sz w:val="18"/>
                  <w:color w:val="1155CC"/>
                  <w:u w:val="single"/>
                </w:rPr>
                <w:t xml:space="preserve">who.int — bacterial vaginosis fact sheet</w:t>
              </w:r>
            </w:hyperlink>
          </w:p>
          <w:p>
            <w:pPr>
              <w:spacing w:before="60" w:after="40"/>
            </w:pPr>
            <w:r>
              <w:rPr>
                <w:rFonts w:ascii="Calibri" w:hAnsi="Calibri"/>
                <w:b w:val="0"/>
                <w:i w:val="0"/>
                <w:color w:val="5A5A5A"/>
                <w:sz w:val="18"/>
              </w:rPr>
              <w:t>#WASH  #healthaccess  #healthliteracy  #menstrualhygiene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and South Asian women</w:t>
            </w:r>
          </w:p>
        </w:tc>
        <w:tc>
          <w:tcPr>
            <w:tcW w:type="dxa" w:w="4276"/>
            <w:vAlign w:val="top"/>
          </w:tcPr>
          <w:p>
            <w:pPr>
              <w:spacing w:after="60" w:line="259" w:lineRule="auto"/>
            </w:pPr>
            <w:r>
              <w:rPr>
                <w:rFonts w:ascii="Calibri" w:hAnsi="Calibri"/>
                <w:b w:val="0"/>
                <w:i w:val="0"/>
                <w:color w:val="212121"/>
                <w:sz w:val="19"/>
              </w:rPr>
              <w:t>Indian women fall broadly within the global range, with variation by setting; clinic populations and symptomatic attendees report higher figures than community samples, and intravaginal cleansing and menstrual-hygiene practices contribute.</w:t>
            </w:r>
          </w:p>
          <w:p>
            <w:pPr>
              <w:spacing w:after="40" w:before="60" w:line="259" w:lineRule="auto"/>
            </w:pPr>
            <w:r>
              <w:rPr>
                <w:rFonts w:ascii="Calibri" w:hAnsi="Calibri"/>
                <w:b w:val="0"/>
                <w:i w:val="0"/>
                <w:color w:val="212121"/>
                <w:sz w:val="19"/>
              </w:rPr>
              <w:t>Prevalence of 19.1% (95% CI 16.3–22.2%) among sexually active women aged 15–30 in Mysore, with a further 15.4% having intermediate flora.</w:t>
            </w:r>
          </w:p>
          <w:p>
            <w:pPr>
              <w:spacing w:after="40" w:line="252" w:lineRule="auto"/>
            </w:pPr>
            <w:hyperlink r:id="rId11">
              <w:r>
                <w:rPr>
                  <w:rFonts w:ascii="Calibri" w:hAnsi="Calibri" w:cs="Calibri"/>
                  <w:sz w:val="18"/>
                  <w:color w:val="1155CC"/>
                  <w:u w:val="single"/>
                </w:rPr>
                <w:t xml:space="preserve">pubmed.ncbi.nlm.nih.gov/18445948 — Mysore, India</w:t>
              </w:r>
            </w:hyperlink>
          </w:p>
          <w:p>
            <w:pPr>
              <w:spacing w:before="60" w:after="40"/>
            </w:pPr>
            <w:r>
              <w:rPr>
                <w:rFonts w:ascii="Calibri" w:hAnsi="Calibri"/>
                <w:b w:val="0"/>
                <w:i w:val="0"/>
                <w:color w:val="5A5A5A"/>
                <w:sz w:val="18"/>
              </w:rPr>
              <w:t>#India  #southasia  #reproductivetractinfection  #clinicprevalence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Black / African-American women (global disparity)</w:t>
            </w:r>
          </w:p>
        </w:tc>
        <w:tc>
          <w:tcPr>
            <w:tcW w:type="dxa" w:w="4276"/>
            <w:vAlign w:val="top"/>
          </w:tcPr>
          <w:p>
            <w:pPr>
              <w:spacing w:after="60" w:line="259" w:lineRule="auto"/>
            </w:pPr>
            <w:r>
              <w:rPr>
                <w:rFonts w:ascii="Calibri" w:hAnsi="Calibri"/>
                <w:b w:val="0"/>
                <w:i w:val="0"/>
                <w:color w:val="212121"/>
                <w:sz w:val="19"/>
              </w:rPr>
              <w:t>Marked racial/ethnic differences in the baseline vaginal microbiota (a lower prevalence of L. crispatus-dominant flora and more diverse CST IV communities) drive higher BV rates in some populations.</w:t>
            </w:r>
          </w:p>
          <w:p>
            <w:pPr>
              <w:spacing w:after="40" w:before="60" w:line="259" w:lineRule="auto"/>
            </w:pPr>
            <w:r>
              <w:rPr>
                <w:rFonts w:ascii="Calibri" w:hAnsi="Calibri"/>
                <w:b w:val="0"/>
                <w:i w:val="0"/>
                <w:color w:val="212121"/>
                <w:sz w:val="19"/>
              </w:rPr>
              <w:t>Prevalence around 51% in Black populations and 32% in Hispanic/Latina women, versus lower rates in White women (~30% overall in the US).</w:t>
            </w:r>
          </w:p>
          <w:p>
            <w:pPr>
              <w:spacing w:after="40" w:line="252" w:lineRule="auto"/>
            </w:pPr>
            <w:hyperlink r:id="rId12">
              <w:r>
                <w:rPr>
                  <w:rFonts w:ascii="Calibri" w:hAnsi="Calibri" w:cs="Calibri"/>
                  <w:sz w:val="18"/>
                  <w:color w:val="1155CC"/>
                  <w:u w:val="single"/>
                </w:rPr>
                <w:t xml:space="preserve">ncbi.nlm.nih.gov — Bacterial Vaginosis (StatPearls)</w:t>
              </w:r>
            </w:hyperlink>
          </w:p>
          <w:p>
            <w:pPr>
              <w:spacing w:before="60" w:after="40"/>
            </w:pPr>
            <w:r>
              <w:rPr>
                <w:rFonts w:ascii="Calibri" w:hAnsi="Calibri"/>
                <w:b w:val="0"/>
                <w:i w:val="0"/>
                <w:color w:val="5A5A5A"/>
                <w:sz w:val="18"/>
              </w:rPr>
              <w:t>#ethnicdisparity  #CST4  #Lcrispatus  #microbiome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setting</w:t>
            </w:r>
          </w:p>
        </w:tc>
        <w:tc>
          <w:tcPr>
            <w:tcW w:type="dxa" w:w="2160"/>
            <w:vAlign w:val="top"/>
          </w:tcPr>
          <w:p>
            <w:pPr>
              <w:spacing w:after="40" w:before="0" w:line="259" w:lineRule="auto"/>
            </w:pPr>
            <w:r>
              <w:rPr>
                <w:rFonts w:ascii="Calibri" w:hAnsi="Calibri"/>
                <w:b w:val="0"/>
                <w:i w:val="0"/>
                <w:color w:val="212121"/>
                <w:sz w:val="19"/>
              </w:rPr>
              <w:t>Rural and low-resource settings with poor menstrual WASH</w:t>
            </w:r>
          </w:p>
        </w:tc>
        <w:tc>
          <w:tcPr>
            <w:tcW w:type="dxa" w:w="4276"/>
            <w:vAlign w:val="top"/>
          </w:tcPr>
          <w:p>
            <w:pPr>
              <w:spacing w:after="60" w:line="259" w:lineRule="auto"/>
            </w:pPr>
            <w:r>
              <w:rPr>
                <w:rFonts w:ascii="Calibri" w:hAnsi="Calibri"/>
                <w:b w:val="0"/>
                <w:i w:val="0"/>
                <w:color w:val="212121"/>
                <w:sz w:val="19"/>
              </w:rPr>
              <w:t>Where clean water, private toilets and affordable absorbents are scarce, women rely on reusable cloth changed infrequently and on intravaginal cleansing, both of which disturb the protective flora.</w:t>
            </w:r>
          </w:p>
          <w:p>
            <w:pPr>
              <w:spacing w:after="40" w:before="60" w:line="259" w:lineRule="auto"/>
            </w:pPr>
            <w:r>
              <w:rPr>
                <w:rFonts w:ascii="Calibri" w:hAnsi="Calibri"/>
                <w:b w:val="0"/>
                <w:i w:val="0"/>
                <w:color w:val="212121"/>
                <w:sz w:val="19"/>
              </w:rPr>
              <w:t>Indian studies link poor menstrual hygiene practices with a higher burden of BV and reproductive-tract infection.</w:t>
            </w:r>
          </w:p>
          <w:p>
            <w:pPr>
              <w:spacing w:after="40" w:line="252" w:lineRule="auto"/>
            </w:pPr>
            <w:hyperlink r:id="rId13">
              <w:r>
                <w:rPr>
                  <w:rFonts w:ascii="Calibri" w:hAnsi="Calibri" w:cs="Calibri"/>
                  <w:sz w:val="18"/>
                  <w:color w:val="1155CC"/>
                  <w:u w:val="single"/>
                </w:rPr>
                <w:t xml:space="preserve">pubmed.ncbi.nlm.nih.gov/39629382 — menstrual hygiene &amp; BV, eastern India</w:t>
              </w:r>
            </w:hyperlink>
          </w:p>
          <w:p>
            <w:pPr>
              <w:spacing w:before="60" w:after="40"/>
            </w:pPr>
            <w:r>
              <w:rPr>
                <w:rFonts w:ascii="Calibri" w:hAnsi="Calibri"/>
                <w:b w:val="0"/>
                <w:i w:val="0"/>
                <w:color w:val="5A5A5A"/>
                <w:sz w:val="18"/>
              </w:rPr>
              <w:t>#ruralhealth  #menstrualhygiene  #reusablecloth  #WASH</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Sexual activity</w:t>
            </w:r>
          </w:p>
        </w:tc>
        <w:tc>
          <w:tcPr>
            <w:tcW w:type="dxa" w:w="2160"/>
            <w:vAlign w:val="top"/>
          </w:tcPr>
          <w:p>
            <w:pPr>
              <w:spacing w:after="40" w:before="0" w:line="259" w:lineRule="auto"/>
            </w:pPr>
            <w:r>
              <w:rPr>
                <w:rFonts w:ascii="Calibri" w:hAnsi="Calibri"/>
                <w:b w:val="0"/>
                <w:i w:val="0"/>
                <w:color w:val="212121"/>
                <w:sz w:val="19"/>
              </w:rPr>
              <w:t>Women with new or multiple partners / unprotected intercourse</w:t>
            </w:r>
          </w:p>
        </w:tc>
        <w:tc>
          <w:tcPr>
            <w:tcW w:type="dxa" w:w="4276"/>
            <w:vAlign w:val="top"/>
          </w:tcPr>
          <w:p>
            <w:pPr>
              <w:spacing w:after="60" w:line="259" w:lineRule="auto"/>
            </w:pPr>
            <w:r>
              <w:rPr>
                <w:rFonts w:ascii="Calibri" w:hAnsi="Calibri"/>
                <w:b w:val="0"/>
                <w:i w:val="0"/>
                <w:color w:val="212121"/>
                <w:sz w:val="19"/>
              </w:rPr>
              <w:t>Changes in sexual partners, unprotected intercourse and receptive practices repeatedly disturb the microbiota; BV is rare in women who have never been sexually active.</w:t>
            </w:r>
          </w:p>
          <w:p>
            <w:pPr>
              <w:spacing w:after="40" w:before="60" w:line="259" w:lineRule="auto"/>
            </w:pPr>
            <w:r>
              <w:rPr>
                <w:rFonts w:ascii="Calibri" w:hAnsi="Calibri"/>
                <w:b w:val="0"/>
                <w:i w:val="0"/>
                <w:color w:val="212121"/>
                <w:sz w:val="19"/>
              </w:rPr>
              <w:t>CDC lists new or multiple sex partners, not using condoms and douching as key risk factors; BV rarely affects those who have never had sex.</w:t>
            </w:r>
          </w:p>
          <w:p>
            <w:pPr>
              <w:spacing w:after="40" w:line="252" w:lineRule="auto"/>
            </w:pPr>
            <w:hyperlink r:id="rId10">
              <w:r>
                <w:rPr>
                  <w:rFonts w:ascii="Calibri" w:hAnsi="Calibri" w:cs="Calibri"/>
                  <w:sz w:val="18"/>
                  <w:color w:val="1155CC"/>
                  <w:u w:val="single"/>
                </w:rPr>
                <w:t xml:space="preserve">cdc.gov — about bacterial vaginosis</w:t>
              </w:r>
            </w:hyperlink>
          </w:p>
          <w:p>
            <w:pPr>
              <w:spacing w:before="60" w:after="40"/>
            </w:pPr>
            <w:r>
              <w:rPr>
                <w:rFonts w:ascii="Calibri" w:hAnsi="Calibri"/>
                <w:b w:val="0"/>
                <w:i w:val="0"/>
                <w:color w:val="5A5A5A"/>
                <w:sz w:val="18"/>
              </w:rPr>
              <w:t>#sexualhealth  #condoms  #newpartner  #recurrence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Sexual orientation</w:t>
            </w:r>
          </w:p>
        </w:tc>
        <w:tc>
          <w:tcPr>
            <w:tcW w:type="dxa" w:w="2160"/>
            <w:vAlign w:val="top"/>
          </w:tcPr>
          <w:p>
            <w:pPr>
              <w:spacing w:after="40" w:before="0" w:line="259" w:lineRule="auto"/>
            </w:pPr>
            <w:r>
              <w:rPr>
                <w:rFonts w:ascii="Calibri" w:hAnsi="Calibri"/>
                <w:b w:val="0"/>
                <w:i w:val="0"/>
                <w:color w:val="212121"/>
                <w:sz w:val="19"/>
              </w:rPr>
              <w:t>Women who have sex with women (WSW)</w:t>
            </w:r>
          </w:p>
        </w:tc>
        <w:tc>
          <w:tcPr>
            <w:tcW w:type="dxa" w:w="4276"/>
            <w:vAlign w:val="top"/>
          </w:tcPr>
          <w:p>
            <w:pPr>
              <w:spacing w:after="60" w:line="259" w:lineRule="auto"/>
            </w:pPr>
            <w:r>
              <w:rPr>
                <w:rFonts w:ascii="Calibri" w:hAnsi="Calibri"/>
                <w:b w:val="0"/>
                <w:i w:val="0"/>
                <w:color w:val="212121"/>
                <w:sz w:val="19"/>
              </w:rPr>
              <w:t>Shared vaginal microbiota between female partners and exchange of BV-associated organisms increase concordance and risk.</w:t>
            </w:r>
          </w:p>
          <w:p>
            <w:pPr>
              <w:spacing w:after="40" w:before="60" w:line="259" w:lineRule="auto"/>
            </w:pPr>
            <w:r>
              <w:rPr>
                <w:rFonts w:ascii="Calibri" w:hAnsi="Calibri"/>
                <w:b w:val="0"/>
                <w:i w:val="0"/>
                <w:color w:val="212121"/>
                <w:sz w:val="19"/>
              </w:rPr>
              <w:t>Having female sexual partners increases BV risk by roughly 60%.</w:t>
            </w:r>
          </w:p>
          <w:p>
            <w:pPr>
              <w:spacing w:after="40" w:line="252" w:lineRule="auto"/>
            </w:pPr>
            <w:hyperlink r:id="rId12">
              <w:r>
                <w:rPr>
                  <w:rFonts w:ascii="Calibri" w:hAnsi="Calibri" w:cs="Calibri"/>
                  <w:sz w:val="18"/>
                  <w:color w:val="1155CC"/>
                  <w:u w:val="single"/>
                </w:rPr>
                <w:t xml:space="preserve">ncbi.nlm.nih.gov — Bacterial Vaginosis (StatPearls)</w:t>
              </w:r>
            </w:hyperlink>
          </w:p>
          <w:p>
            <w:pPr>
              <w:spacing w:before="60" w:after="40"/>
            </w:pPr>
            <w:r>
              <w:rPr>
                <w:rFonts w:ascii="Calibri" w:hAnsi="Calibri"/>
                <w:b w:val="0"/>
                <w:i w:val="0"/>
                <w:color w:val="5A5A5A"/>
                <w:sz w:val="18"/>
              </w:rPr>
              <w:t>#WSW  #partnerconcordance  #microbiomesharing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Vaginal hygiene practices</w:t>
            </w:r>
          </w:p>
        </w:tc>
        <w:tc>
          <w:tcPr>
            <w:tcW w:type="dxa" w:w="2160"/>
            <w:vAlign w:val="top"/>
          </w:tcPr>
          <w:p>
            <w:pPr>
              <w:spacing w:after="40" w:before="0" w:line="259" w:lineRule="auto"/>
            </w:pPr>
            <w:r>
              <w:rPr>
                <w:rFonts w:ascii="Calibri" w:hAnsi="Calibri"/>
                <w:b w:val="0"/>
                <w:i w:val="0"/>
                <w:color w:val="212121"/>
                <w:sz w:val="19"/>
              </w:rPr>
              <w:t>Women who douche or use intravaginal products/herbs</w:t>
            </w:r>
          </w:p>
        </w:tc>
        <w:tc>
          <w:tcPr>
            <w:tcW w:type="dxa" w:w="4276"/>
            <w:vAlign w:val="top"/>
          </w:tcPr>
          <w:p>
            <w:pPr>
              <w:spacing w:after="60" w:line="259" w:lineRule="auto"/>
            </w:pPr>
            <w:r>
              <w:rPr>
                <w:rFonts w:ascii="Calibri" w:hAnsi="Calibri"/>
                <w:b w:val="0"/>
                <w:i w:val="0"/>
                <w:color w:val="212121"/>
                <w:sz w:val="19"/>
              </w:rPr>
              <w:t>Douching and intravaginal cleansing physically wash out lactobacilli and raise pH, while inserted herbs, soaps or drying agents chemically disrupt the microbiota.</w:t>
            </w:r>
          </w:p>
          <w:p>
            <w:pPr>
              <w:spacing w:after="40" w:before="60" w:line="259" w:lineRule="auto"/>
            </w:pPr>
            <w:r>
              <w:rPr>
                <w:rFonts w:ascii="Calibri" w:hAnsi="Calibri"/>
                <w:b w:val="0"/>
                <w:i w:val="0"/>
                <w:color w:val="212121"/>
                <w:sz w:val="19"/>
              </w:rPr>
              <w:t>WHO identifies douching and intravaginal practices (e.g. inserting herbs or other products) as risk factors for BV.</w:t>
            </w:r>
          </w:p>
          <w:p>
            <w:pPr>
              <w:spacing w:after="40" w:line="252" w:lineRule="auto"/>
            </w:pPr>
            <w:hyperlink r:id="rId9">
              <w:r>
                <w:rPr>
                  <w:rFonts w:ascii="Calibri" w:hAnsi="Calibri" w:cs="Calibri"/>
                  <w:sz w:val="18"/>
                  <w:color w:val="1155CC"/>
                  <w:u w:val="single"/>
                </w:rPr>
                <w:t xml:space="preserve">who.int — bacterial vaginosis fact sheet</w:t>
              </w:r>
            </w:hyperlink>
          </w:p>
          <w:p>
            <w:pPr>
              <w:spacing w:before="60" w:after="40"/>
            </w:pPr>
            <w:r>
              <w:rPr>
                <w:rFonts w:ascii="Calibri" w:hAnsi="Calibri"/>
                <w:b w:val="0"/>
                <w:i w:val="0"/>
                <w:color w:val="5A5A5A"/>
                <w:sz w:val="18"/>
              </w:rPr>
              <w:t>#douching  #intravaginalpractices  #stopdouching  #pHbalance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Tobacco reduces protective hydrogen-peroxide-producing lactobacilli and alters vaginal immunity, favouring anaerobic overgrowth.</w:t>
            </w:r>
          </w:p>
          <w:p>
            <w:pPr>
              <w:spacing w:after="40" w:before="60" w:line="259" w:lineRule="auto"/>
            </w:pPr>
            <w:r>
              <w:rPr>
                <w:rFonts w:ascii="Calibri" w:hAnsi="Calibri"/>
                <w:b w:val="0"/>
                <w:i w:val="0"/>
                <w:color w:val="212121"/>
                <w:sz w:val="19"/>
              </w:rPr>
              <w:t>Smoking is a recognised risk factor for BV in the clinical literature.</w:t>
            </w:r>
          </w:p>
          <w:p>
            <w:pPr>
              <w:spacing w:after="40" w:line="252" w:lineRule="auto"/>
            </w:pPr>
            <w:hyperlink r:id="rId12">
              <w:r>
                <w:rPr>
                  <w:rFonts w:ascii="Calibri" w:hAnsi="Calibri" w:cs="Calibri"/>
                  <w:sz w:val="18"/>
                  <w:color w:val="1155CC"/>
                  <w:u w:val="single"/>
                </w:rPr>
                <w:t xml:space="preserve">ncbi.nlm.nih.gov — Bacterial Vaginosis (StatPearls)</w:t>
              </w:r>
            </w:hyperlink>
          </w:p>
          <w:p>
            <w:pPr>
              <w:spacing w:before="60" w:after="40"/>
            </w:pPr>
            <w:r>
              <w:rPr>
                <w:rFonts w:ascii="Calibri" w:hAnsi="Calibri"/>
                <w:b w:val="0"/>
                <w:i w:val="0"/>
                <w:color w:val="5A5A5A"/>
                <w:sz w:val="18"/>
              </w:rPr>
              <w:t>#smoking  #tobacco  #lactobacillusloss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Contraception</w:t>
            </w:r>
          </w:p>
        </w:tc>
        <w:tc>
          <w:tcPr>
            <w:tcW w:type="dxa" w:w="2160"/>
            <w:vAlign w:val="top"/>
          </w:tcPr>
          <w:p>
            <w:pPr>
              <w:spacing w:after="40" w:before="0" w:line="259" w:lineRule="auto"/>
            </w:pPr>
            <w:r>
              <w:rPr>
                <w:rFonts w:ascii="Calibri" w:hAnsi="Calibri"/>
                <w:b w:val="0"/>
                <w:i w:val="0"/>
                <w:color w:val="212121"/>
                <w:sz w:val="19"/>
              </w:rPr>
              <w:t>Copper intrauterine device (IUD) users</w:t>
            </w:r>
          </w:p>
        </w:tc>
        <w:tc>
          <w:tcPr>
            <w:tcW w:type="dxa" w:w="4276"/>
            <w:vAlign w:val="top"/>
          </w:tcPr>
          <w:p>
            <w:pPr>
              <w:spacing w:after="60" w:line="259" w:lineRule="auto"/>
            </w:pPr>
            <w:r>
              <w:rPr>
                <w:rFonts w:ascii="Calibri" w:hAnsi="Calibri"/>
                <w:b w:val="0"/>
                <w:i w:val="0"/>
                <w:color w:val="212121"/>
                <w:sz w:val="19"/>
              </w:rPr>
              <w:t>Copper IUD use is associated with altered and heavier menstrual patterns and a higher likelihood of BV, though hormonal contraception may be protective.</w:t>
            </w:r>
          </w:p>
          <w:p>
            <w:pPr>
              <w:spacing w:after="40" w:before="60" w:line="259" w:lineRule="auto"/>
            </w:pPr>
            <w:r>
              <w:rPr>
                <w:rFonts w:ascii="Calibri" w:hAnsi="Calibri"/>
                <w:b w:val="0"/>
                <w:i w:val="0"/>
                <w:color w:val="212121"/>
                <w:sz w:val="19"/>
              </w:rPr>
              <w:t>Intrauterine device use is listed among the risk factors for BV.</w:t>
            </w:r>
          </w:p>
          <w:p>
            <w:pPr>
              <w:spacing w:after="40" w:line="252" w:lineRule="auto"/>
            </w:pPr>
            <w:hyperlink r:id="rId12">
              <w:r>
                <w:rPr>
                  <w:rFonts w:ascii="Calibri" w:hAnsi="Calibri" w:cs="Calibri"/>
                  <w:sz w:val="18"/>
                  <w:color w:val="1155CC"/>
                  <w:u w:val="single"/>
                </w:rPr>
                <w:t xml:space="preserve">ncbi.nlm.nih.gov — Bacterial Vaginosis (StatPearls)</w:t>
              </w:r>
            </w:hyperlink>
          </w:p>
          <w:p>
            <w:pPr>
              <w:spacing w:before="60" w:after="40"/>
            </w:pPr>
            <w:r>
              <w:rPr>
                <w:rFonts w:ascii="Calibri" w:hAnsi="Calibri"/>
                <w:b w:val="0"/>
                <w:i w:val="0"/>
                <w:color w:val="5A5A5A"/>
                <w:sz w:val="18"/>
              </w:rPr>
              <w:t>#IUD  #contraception  #menstrualpattern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Micronutrient status / diet quality</w:t>
            </w:r>
          </w:p>
        </w:tc>
        <w:tc>
          <w:tcPr>
            <w:tcW w:type="dxa" w:w="2160"/>
            <w:vAlign w:val="top"/>
          </w:tcPr>
          <w:p>
            <w:pPr>
              <w:spacing w:after="40" w:before="0" w:line="259" w:lineRule="auto"/>
            </w:pPr>
            <w:r>
              <w:rPr>
                <w:rFonts w:ascii="Calibri" w:hAnsi="Calibri"/>
                <w:b w:val="0"/>
                <w:i w:val="0"/>
                <w:color w:val="212121"/>
                <w:sz w:val="19"/>
              </w:rPr>
              <w:t>Women with low folate, calcium or vitamin D and high-fat diets</w:t>
            </w:r>
          </w:p>
        </w:tc>
        <w:tc>
          <w:tcPr>
            <w:tcW w:type="dxa" w:w="4276"/>
            <w:vAlign w:val="top"/>
          </w:tcPr>
          <w:p>
            <w:pPr>
              <w:spacing w:after="60" w:line="259" w:lineRule="auto"/>
            </w:pPr>
            <w:r>
              <w:rPr>
                <w:rFonts w:ascii="Calibri" w:hAnsi="Calibri"/>
                <w:b w:val="0"/>
                <w:i w:val="0"/>
                <w:color w:val="212121"/>
                <w:sz w:val="19"/>
              </w:rPr>
              <w:t>Observational studies associate deficiencies of folate, calcium and vitamin D and high dietary fat with a greater risk of BV, possibly via effects on immunity and the microbiota; causal evidence is still emerging.</w:t>
            </w:r>
          </w:p>
          <w:p>
            <w:pPr>
              <w:spacing w:after="40" w:before="60" w:line="259" w:lineRule="auto"/>
            </w:pPr>
            <w:r>
              <w:rPr>
                <w:rFonts w:ascii="Calibri" w:hAnsi="Calibri"/>
                <w:b w:val="0"/>
                <w:i w:val="0"/>
                <w:color w:val="212121"/>
                <w:sz w:val="19"/>
              </w:rPr>
              <w:t>Nutritional deficiencies and high-fat diets have been observationally linked with BV (evidence emerging).</w:t>
            </w:r>
          </w:p>
          <w:p>
            <w:pPr>
              <w:spacing w:before="60" w:after="40"/>
            </w:pPr>
            <w:r>
              <w:rPr>
                <w:rFonts w:ascii="Calibri" w:hAnsi="Calibri"/>
                <w:b w:val="0"/>
                <w:i w:val="0"/>
                <w:color w:val="5A5A5A"/>
                <w:sz w:val="18"/>
              </w:rPr>
              <w:t>#vitaminD  #folate  #dietquality  #micronutrients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Probiotic / fermented-food intake</w:t>
            </w:r>
          </w:p>
        </w:tc>
        <w:tc>
          <w:tcPr>
            <w:tcW w:type="dxa" w:w="2160"/>
            <w:vAlign w:val="top"/>
          </w:tcPr>
          <w:p>
            <w:pPr>
              <w:spacing w:after="40" w:before="0" w:line="259" w:lineRule="auto"/>
            </w:pPr>
            <w:r>
              <w:rPr>
                <w:rFonts w:ascii="Calibri" w:hAnsi="Calibri"/>
                <w:b w:val="0"/>
                <w:i w:val="0"/>
                <w:color w:val="212121"/>
                <w:sz w:val="19"/>
              </w:rPr>
              <w:t>Women with negligible probiotic or fermented-dairy intake</w:t>
            </w:r>
          </w:p>
        </w:tc>
        <w:tc>
          <w:tcPr>
            <w:tcW w:type="dxa" w:w="4276"/>
            <w:vAlign w:val="top"/>
          </w:tcPr>
          <w:p>
            <w:pPr>
              <w:spacing w:after="60" w:line="259" w:lineRule="auto"/>
            </w:pPr>
            <w:r>
              <w:rPr>
                <w:rFonts w:ascii="Calibri" w:hAnsi="Calibri"/>
                <w:b w:val="0"/>
                <w:i w:val="0"/>
                <w:color w:val="212121"/>
                <w:sz w:val="19"/>
              </w:rPr>
              <w:t>Low intake of Lactobacillus-containing fermented foods (curd/dahi, buttermilk) may provide fewer exogenous lactobacilli and less support for a healthy vaginal microbiota.</w:t>
            </w:r>
          </w:p>
          <w:p>
            <w:pPr>
              <w:spacing w:after="40" w:before="60" w:line="259" w:lineRule="auto"/>
            </w:pPr>
            <w:r>
              <w:rPr>
                <w:rFonts w:ascii="Calibri" w:hAnsi="Calibri"/>
                <w:b w:val="0"/>
                <w:i w:val="0"/>
                <w:color w:val="212121"/>
                <w:sz w:val="19"/>
              </w:rPr>
              <w:t>Probiotic and fermented-dairy intake may help maintain vaginal lactobacilli, though robust preventive evidence is limited.</w:t>
            </w:r>
          </w:p>
          <w:p>
            <w:pPr>
              <w:spacing w:before="60" w:after="40"/>
            </w:pPr>
            <w:r>
              <w:rPr>
                <w:rFonts w:ascii="Calibri" w:hAnsi="Calibri"/>
                <w:b w:val="0"/>
                <w:i w:val="0"/>
                <w:color w:val="5A5A5A"/>
                <w:sz w:val="18"/>
              </w:rPr>
              <w:t>#probiotics  #curd  #fermentedfoods  #microbiomehealth</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Host microbiome type</w:t>
            </w:r>
          </w:p>
        </w:tc>
        <w:tc>
          <w:tcPr>
            <w:tcW w:type="dxa" w:w="2160"/>
            <w:vAlign w:val="top"/>
          </w:tcPr>
          <w:p>
            <w:pPr>
              <w:spacing w:after="40" w:before="0" w:line="259" w:lineRule="auto"/>
            </w:pPr>
            <w:r>
              <w:rPr>
                <w:rFonts w:ascii="Calibri" w:hAnsi="Calibri"/>
                <w:b w:val="0"/>
                <w:i w:val="0"/>
                <w:color w:val="212121"/>
                <w:sz w:val="19"/>
              </w:rPr>
              <w:t>Women lacking an L. crispatus-dominant flora (CST IV)</w:t>
            </w:r>
          </w:p>
        </w:tc>
        <w:tc>
          <w:tcPr>
            <w:tcW w:type="dxa" w:w="4276"/>
            <w:vAlign w:val="top"/>
          </w:tcPr>
          <w:p>
            <w:pPr>
              <w:spacing w:after="60" w:line="259" w:lineRule="auto"/>
            </w:pPr>
            <w:r>
              <w:rPr>
                <w:rFonts w:ascii="Calibri" w:hAnsi="Calibri"/>
                <w:b w:val="0"/>
                <w:i w:val="0"/>
                <w:color w:val="212121"/>
                <w:sz w:val="19"/>
              </w:rPr>
              <w:t>A baseline microbiota that is not dominated by hydrogen-peroxide-producing L. crispatus (a diverse, anaerobe-rich CST IV) predisposes to recurrent BV; this pattern is partly ethnically and host-genetically determined.</w:t>
            </w:r>
          </w:p>
          <w:p>
            <w:pPr>
              <w:spacing w:after="40" w:before="60" w:line="259" w:lineRule="auto"/>
            </w:pPr>
            <w:r>
              <w:rPr>
                <w:rFonts w:ascii="Calibri" w:hAnsi="Calibri"/>
                <w:b w:val="0"/>
                <w:i w:val="0"/>
                <w:color w:val="212121"/>
                <w:sz w:val="19"/>
              </w:rPr>
              <w:t>Populations with a lower prevalence of L. crispatus-dominant flora show markedly higher BV rates (e.g. up to ~51% in Black women).</w:t>
            </w:r>
          </w:p>
          <w:p>
            <w:pPr>
              <w:spacing w:after="40" w:line="252" w:lineRule="auto"/>
            </w:pPr>
            <w:hyperlink r:id="rId12">
              <w:r>
                <w:rPr>
                  <w:rFonts w:ascii="Calibri" w:hAnsi="Calibri" w:cs="Calibri"/>
                  <w:sz w:val="18"/>
                  <w:color w:val="1155CC"/>
                  <w:u w:val="single"/>
                </w:rPr>
                <w:t xml:space="preserve">ncbi.nlm.nih.gov — Bacterial Vaginosis (StatPearls)</w:t>
              </w:r>
            </w:hyperlink>
          </w:p>
          <w:p>
            <w:pPr>
              <w:spacing w:before="60" w:after="40"/>
            </w:pPr>
            <w:r>
              <w:rPr>
                <w:rFonts w:ascii="Calibri" w:hAnsi="Calibri"/>
                <w:b w:val="0"/>
                <w:i w:val="0"/>
                <w:color w:val="5A5A5A"/>
                <w:sz w:val="18"/>
              </w:rPr>
              <w:t>#CST4  #Lcrispatus  #microbiometype  #recurrentBV</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Immunogenetics</w:t>
            </w:r>
          </w:p>
        </w:tc>
        <w:tc>
          <w:tcPr>
            <w:tcW w:type="dxa" w:w="2160"/>
            <w:vAlign w:val="top"/>
          </w:tcPr>
          <w:p>
            <w:pPr>
              <w:spacing w:after="40" w:before="0" w:line="259" w:lineRule="auto"/>
            </w:pPr>
            <w:r>
              <w:rPr>
                <w:rFonts w:ascii="Calibri" w:hAnsi="Calibri"/>
                <w:b w:val="0"/>
                <w:i w:val="0"/>
                <w:color w:val="212121"/>
                <w:sz w:val="19"/>
              </w:rPr>
              <w:t>Women with innate-immunity gene variants / non-secretor status</w:t>
            </w:r>
          </w:p>
        </w:tc>
        <w:tc>
          <w:tcPr>
            <w:tcW w:type="dxa" w:w="4276"/>
            <w:vAlign w:val="top"/>
          </w:tcPr>
          <w:p>
            <w:pPr>
              <w:spacing w:after="60" w:line="259" w:lineRule="auto"/>
            </w:pPr>
            <w:r>
              <w:rPr>
                <w:rFonts w:ascii="Calibri" w:hAnsi="Calibri"/>
                <w:b w:val="0"/>
                <w:i w:val="0"/>
                <w:color w:val="212121"/>
                <w:sz w:val="19"/>
              </w:rPr>
              <w:t>Polymorphisms in innate-immune genes (e.g. Toll-like receptors and cytokines) and blood-group secretor status, which shape mucin glycans available to bacteria, may influence susceptibility to and recurrence of BV.</w:t>
            </w:r>
          </w:p>
          <w:p>
            <w:pPr>
              <w:spacing w:after="40" w:before="60" w:line="259" w:lineRule="auto"/>
            </w:pPr>
            <w:r>
              <w:rPr>
                <w:rFonts w:ascii="Calibri" w:hAnsi="Calibri"/>
                <w:b w:val="0"/>
                <w:i w:val="0"/>
                <w:color w:val="212121"/>
                <w:sz w:val="19"/>
              </w:rPr>
              <w:t>Host immunogenetic variation is thought to modulate BV susceptibility and recurrence (mechanistic evidence).</w:t>
            </w:r>
          </w:p>
          <w:p>
            <w:pPr>
              <w:spacing w:before="60" w:after="40"/>
            </w:pPr>
            <w:r>
              <w:rPr>
                <w:rFonts w:ascii="Calibri" w:hAnsi="Calibri"/>
                <w:b w:val="0"/>
                <w:i w:val="0"/>
                <w:color w:val="5A5A5A"/>
                <w:sz w:val="18"/>
              </w:rPr>
              <w:t>#immunogenetics  #TLR  #secretorstatus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HIV infection</w:t>
            </w:r>
          </w:p>
        </w:tc>
        <w:tc>
          <w:tcPr>
            <w:tcW w:type="dxa" w:w="2160"/>
            <w:vAlign w:val="top"/>
          </w:tcPr>
          <w:p>
            <w:pPr>
              <w:spacing w:after="40" w:before="0" w:line="259" w:lineRule="auto"/>
            </w:pPr>
            <w:r>
              <w:rPr>
                <w:rFonts w:ascii="Calibri" w:hAnsi="Calibri"/>
                <w:b w:val="0"/>
                <w:i w:val="0"/>
                <w:color w:val="212121"/>
                <w:sz w:val="19"/>
              </w:rPr>
              <w:t>HIV-positive women</w:t>
            </w:r>
          </w:p>
        </w:tc>
        <w:tc>
          <w:tcPr>
            <w:tcW w:type="dxa" w:w="4276"/>
            <w:vAlign w:val="top"/>
          </w:tcPr>
          <w:p>
            <w:pPr>
              <w:spacing w:after="60" w:line="259" w:lineRule="auto"/>
            </w:pPr>
            <w:r>
              <w:rPr>
                <w:rFonts w:ascii="Calibri" w:hAnsi="Calibri"/>
                <w:b w:val="0"/>
                <w:i w:val="0"/>
                <w:color w:val="212121"/>
                <w:sz w:val="19"/>
              </w:rPr>
              <w:t>BV is more prevalent and more persistent in HIV-positive women, and the dysbiosis in turn increases genital HIV shedding and the risk of onward transmission — a bidirectional relationship.</w:t>
            </w:r>
          </w:p>
          <w:p>
            <w:pPr>
              <w:spacing w:after="40" w:before="60" w:line="259" w:lineRule="auto"/>
            </w:pPr>
            <w:r>
              <w:rPr>
                <w:rFonts w:ascii="Calibri" w:hAnsi="Calibri"/>
                <w:b w:val="0"/>
                <w:i w:val="0"/>
                <w:color w:val="212121"/>
                <w:sz w:val="19"/>
              </w:rPr>
              <w:t>BV can increase genital HIV shedding up to 6-fold in HIV-positive women; prevalence and predictors of BV have been studied in HIV-infected women in Maharashtra, India.</w:t>
            </w:r>
          </w:p>
          <w:p>
            <w:pPr>
              <w:spacing w:after="40" w:line="252" w:lineRule="auto"/>
            </w:pPr>
            <w:hyperlink r:id="rId12">
              <w:r>
                <w:rPr>
                  <w:rFonts w:ascii="Calibri" w:hAnsi="Calibri" w:cs="Calibri"/>
                  <w:sz w:val="18"/>
                  <w:color w:val="1155CC"/>
                  <w:u w:val="single"/>
                </w:rPr>
                <w:t xml:space="preserve">ncbi.nlm.nih.gov — Bacterial Vaginosis (StatPearls)</w:t>
              </w:r>
            </w:hyperlink>
          </w:p>
          <w:p>
            <w:pPr>
              <w:spacing w:before="60" w:after="40"/>
            </w:pPr>
            <w:r>
              <w:rPr>
                <w:rFonts w:ascii="Calibri" w:hAnsi="Calibri"/>
                <w:b w:val="0"/>
                <w:i w:val="0"/>
                <w:color w:val="5A5A5A"/>
                <w:sz w:val="18"/>
              </w:rPr>
              <w:t>#HIV  #viralshedding  #transmission  #coinfection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Trichomoniasis / other STIs</w:t>
            </w:r>
          </w:p>
        </w:tc>
        <w:tc>
          <w:tcPr>
            <w:tcW w:type="dxa" w:w="2160"/>
            <w:vAlign w:val="top"/>
          </w:tcPr>
          <w:p>
            <w:pPr>
              <w:spacing w:after="40" w:before="0" w:line="259" w:lineRule="auto"/>
            </w:pPr>
            <w:r>
              <w:rPr>
                <w:rFonts w:ascii="Calibri" w:hAnsi="Calibri"/>
                <w:b w:val="0"/>
                <w:i w:val="0"/>
                <w:color w:val="212121"/>
                <w:sz w:val="19"/>
              </w:rPr>
              <w:t>Women with Trichomonas vaginalis or HSV-2</w:t>
            </w:r>
          </w:p>
        </w:tc>
        <w:tc>
          <w:tcPr>
            <w:tcW w:type="dxa" w:w="4276"/>
            <w:vAlign w:val="top"/>
          </w:tcPr>
          <w:p>
            <w:pPr>
              <w:spacing w:after="60" w:line="259" w:lineRule="auto"/>
            </w:pPr>
            <w:r>
              <w:rPr>
                <w:rFonts w:ascii="Calibri" w:hAnsi="Calibri"/>
                <w:b w:val="0"/>
                <w:i w:val="0"/>
                <w:color w:val="212121"/>
                <w:sz w:val="19"/>
              </w:rPr>
              <w:t>BV frequently coexists with other reproductive-tract and sexually transmitted infections, sharing risk factors and creating a mucosal environment that favours co-acquisition.</w:t>
            </w:r>
          </w:p>
          <w:p>
            <w:pPr>
              <w:spacing w:after="40" w:before="60" w:line="259" w:lineRule="auto"/>
            </w:pPr>
            <w:r>
              <w:rPr>
                <w:rFonts w:ascii="Calibri" w:hAnsi="Calibri"/>
                <w:b w:val="0"/>
                <w:i w:val="0"/>
                <w:color w:val="212121"/>
                <w:sz w:val="19"/>
              </w:rPr>
              <w:t>In Mysore, BV was independently associated with concurrent Trichomonas vaginalis infection (OR 4.07) and HSV-2 seropositivity (OR 2.22).</w:t>
            </w:r>
          </w:p>
          <w:p>
            <w:pPr>
              <w:spacing w:after="40" w:line="252" w:lineRule="auto"/>
            </w:pPr>
            <w:hyperlink r:id="rId11">
              <w:r>
                <w:rPr>
                  <w:rFonts w:ascii="Calibri" w:hAnsi="Calibri" w:cs="Calibri"/>
                  <w:sz w:val="18"/>
                  <w:color w:val="1155CC"/>
                  <w:u w:val="single"/>
                </w:rPr>
                <w:t xml:space="preserve">pubmed.ncbi.nlm.nih.gov/18445948 — Mysore, India</w:t>
              </w:r>
            </w:hyperlink>
          </w:p>
          <w:p>
            <w:pPr>
              <w:spacing w:before="60" w:after="40"/>
            </w:pPr>
            <w:r>
              <w:rPr>
                <w:rFonts w:ascii="Calibri" w:hAnsi="Calibri"/>
                <w:b w:val="0"/>
                <w:i w:val="0"/>
                <w:color w:val="5A5A5A"/>
                <w:sz w:val="18"/>
              </w:rPr>
              <w:t>#trichomonas  #HSV2  #STIcoinfection  #RTIs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women with BV</w:t>
            </w:r>
          </w:p>
        </w:tc>
        <w:tc>
          <w:tcPr>
            <w:tcW w:type="dxa" w:w="4276"/>
            <w:vAlign w:val="top"/>
          </w:tcPr>
          <w:p>
            <w:pPr>
              <w:spacing w:after="60" w:line="259" w:lineRule="auto"/>
            </w:pPr>
            <w:r>
              <w:rPr>
                <w:rFonts w:ascii="Calibri" w:hAnsi="Calibri"/>
                <w:b w:val="0"/>
                <w:i w:val="0"/>
                <w:color w:val="212121"/>
                <w:sz w:val="19"/>
              </w:rPr>
              <w:t>BV in pregnancy is linked to ascending infection and inflammation of the fetal membranes, raising the risk of preterm birth and related adverse outcomes; symptomatic BV should be treated.</w:t>
            </w:r>
          </w:p>
          <w:p>
            <w:pPr>
              <w:spacing w:after="40" w:before="60" w:line="259" w:lineRule="auto"/>
            </w:pPr>
            <w:r>
              <w:rPr>
                <w:rFonts w:ascii="Calibri" w:hAnsi="Calibri"/>
                <w:b w:val="0"/>
                <w:i w:val="0"/>
                <w:color w:val="212121"/>
                <w:sz w:val="19"/>
              </w:rPr>
              <w:t>BV is associated with roughly a 2-fold increase in the risk of preterm delivery, plus higher rates of premature rupture of membranes and low birth weight.</w:t>
            </w:r>
          </w:p>
          <w:p>
            <w:pPr>
              <w:spacing w:after="40" w:line="252" w:lineRule="auto"/>
            </w:pPr>
            <w:hyperlink r:id="rId12">
              <w:r>
                <w:rPr>
                  <w:rFonts w:ascii="Calibri" w:hAnsi="Calibri" w:cs="Calibri"/>
                  <w:sz w:val="18"/>
                  <w:color w:val="1155CC"/>
                  <w:u w:val="single"/>
                </w:rPr>
                <w:t xml:space="preserve">ncbi.nlm.nih.gov — Bacterial Vaginosis (StatPearls)</w:t>
              </w:r>
            </w:hyperlink>
          </w:p>
          <w:p>
            <w:pPr>
              <w:spacing w:before="60" w:after="40"/>
            </w:pPr>
            <w:r>
              <w:rPr>
                <w:rFonts w:ascii="Calibri" w:hAnsi="Calibri"/>
                <w:b w:val="0"/>
                <w:i w:val="0"/>
                <w:color w:val="5A5A5A"/>
                <w:sz w:val="18"/>
              </w:rPr>
              <w:t>#pregnancy  #pretermbirth  #PROM  #antenatal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Infertility</w:t>
            </w:r>
          </w:p>
        </w:tc>
        <w:tc>
          <w:tcPr>
            <w:tcW w:type="dxa" w:w="2160"/>
            <w:vAlign w:val="top"/>
          </w:tcPr>
          <w:p>
            <w:pPr>
              <w:spacing w:after="40" w:before="0" w:line="259" w:lineRule="auto"/>
            </w:pPr>
            <w:r>
              <w:rPr>
                <w:rFonts w:ascii="Calibri" w:hAnsi="Calibri"/>
                <w:b w:val="0"/>
                <w:i w:val="0"/>
                <w:color w:val="212121"/>
                <w:sz w:val="19"/>
              </w:rPr>
              <w:t>Women with tubal-factor infertility</w:t>
            </w:r>
          </w:p>
        </w:tc>
        <w:tc>
          <w:tcPr>
            <w:tcW w:type="dxa" w:w="4276"/>
            <w:vAlign w:val="top"/>
          </w:tcPr>
          <w:p>
            <w:pPr>
              <w:spacing w:after="60" w:line="259" w:lineRule="auto"/>
            </w:pPr>
            <w:r>
              <w:rPr>
                <w:rFonts w:ascii="Calibri" w:hAnsi="Calibri"/>
                <w:b w:val="0"/>
                <w:i w:val="0"/>
                <w:color w:val="212121"/>
                <w:sz w:val="19"/>
              </w:rPr>
              <w:t>BV-associated anaerobes can ascend to cause subclinical pelvic inflammatory disease and tubal damage, and BV is over-represented among women with tubal-factor infertility.</w:t>
            </w:r>
          </w:p>
          <w:p>
            <w:pPr>
              <w:spacing w:after="40" w:before="60" w:line="259" w:lineRule="auto"/>
            </w:pPr>
            <w:r>
              <w:rPr>
                <w:rFonts w:ascii="Calibri" w:hAnsi="Calibri"/>
                <w:b w:val="0"/>
                <w:i w:val="0"/>
                <w:color w:val="212121"/>
                <w:sz w:val="19"/>
              </w:rPr>
              <w:t>BV prevalence has been reported at 45.5% among infertile women versus 15.4% among fertile women.</w:t>
            </w:r>
          </w:p>
          <w:p>
            <w:pPr>
              <w:spacing w:after="40" w:line="252" w:lineRule="auto"/>
            </w:pPr>
            <w:hyperlink r:id="rId12">
              <w:r>
                <w:rPr>
                  <w:rFonts w:ascii="Calibri" w:hAnsi="Calibri" w:cs="Calibri"/>
                  <w:sz w:val="18"/>
                  <w:color w:val="1155CC"/>
                  <w:u w:val="single"/>
                </w:rPr>
                <w:t xml:space="preserve">ncbi.nlm.nih.gov — Bacterial Vaginosis (StatPearls)</w:t>
              </w:r>
            </w:hyperlink>
          </w:p>
          <w:p>
            <w:pPr>
              <w:spacing w:before="60" w:after="40"/>
            </w:pPr>
            <w:r>
              <w:rPr>
                <w:rFonts w:ascii="Calibri" w:hAnsi="Calibri"/>
                <w:b w:val="0"/>
                <w:i w:val="0"/>
                <w:color w:val="5A5A5A"/>
                <w:sz w:val="18"/>
              </w:rPr>
              <w:t>#infertility  #tubalfactor  #PID  #subclinical</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Direct evidence is limited; obesity and metabolic factors show weak associations with vaginal dysbiosis, but physical activity itself has no proven independent effect on BV. Breathable clothing and prompt changing of damp exercise wear are sensible adjuncts.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Observational studies link low folate, calcium and vitamin D and high dietary fat with BV, while probiotic and fermented-dairy (Lactobacillus) intake may support a healthy microbiota; causal evidence is still emerging.</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sleep and circadian disruption may impair mucosal immunity, but a direct link to BV is not established.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depletes protective hydrogen-peroxide-producing lactobacilli and is a recognised risk factor for BV and its recurrence.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alcohol use is linked to higher-risk sexual behaviour; in Indian data a partner's alcohol use was independently associated with BV. Alcohol must also be avoided during metronidazole/tinidazole therapy.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psychosocial stress may modulate immunity and the microbiota, and some studies report an association with BV, but the evidence is limited; recurrent malodorous discharge itself causes significant distress.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Access to clean water and private sanitation supports safe genital and menstrual hygiene, whereas using water for douching or intravaginal washing removes protective flora and raises risk.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consistent or established association between caffeine intake and BV.</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Vaginal douching and intravaginal cleansing or insertion of products strongly increase BV risk by disrupting the normal flora and raising pH; menstrual-hygiene practices also influence risk, particularly in low-resource settings.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Menstruation, a new or additional sexual partner, unprotected intercourse, receptive practices, broad-spectrum antibiotics and douching commonly trigger or precipitate BV episodes.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Vaginal douching frequency</w:t>
            </w:r>
          </w:p>
        </w:tc>
        <w:tc>
          <w:tcPr>
            <w:tcW w:type="dxa" w:w="1655"/>
            <w:vAlign w:val="top"/>
          </w:tcPr>
          <w:p>
            <w:pPr>
              <w:spacing w:after="40" w:before="0" w:line="259" w:lineRule="auto"/>
            </w:pPr>
            <w:r>
              <w:rPr>
                <w:rFonts w:ascii="Calibri" w:hAnsi="Calibri"/>
                <w:b w:val="0"/>
                <w:i w:val="0"/>
                <w:color w:val="212121"/>
                <w:sz w:val="19"/>
              </w:rPr>
              <w:t>Reproductive-age women</w:t>
            </w:r>
          </w:p>
        </w:tc>
        <w:tc>
          <w:tcPr>
            <w:tcW w:type="dxa" w:w="1512"/>
            <w:vAlign w:val="top"/>
          </w:tcPr>
          <w:p>
            <w:pPr>
              <w:spacing w:after="40" w:before="0" w:line="259" w:lineRule="auto"/>
            </w:pPr>
            <w:r>
              <w:rPr>
                <w:rFonts w:ascii="Calibri" w:hAnsi="Calibri"/>
                <w:b w:val="0"/>
                <w:i w:val="0"/>
                <w:color w:val="212121"/>
                <w:sz w:val="19"/>
              </w:rPr>
              <w:t>None (no vaginal douching)</w:t>
            </w:r>
          </w:p>
        </w:tc>
        <w:tc>
          <w:tcPr>
            <w:tcW w:type="dxa" w:w="1512"/>
            <w:vAlign w:val="top"/>
          </w:tcPr>
          <w:p>
            <w:pPr>
              <w:spacing w:after="40" w:before="0" w:line="259" w:lineRule="auto"/>
            </w:pPr>
            <w:r>
              <w:rPr>
                <w:rFonts w:ascii="Calibri" w:hAnsi="Calibri"/>
                <w:b w:val="0"/>
                <w:i w:val="0"/>
                <w:color w:val="212121"/>
                <w:sz w:val="19"/>
              </w:rPr>
              <w:t>Any regular intravaginal douching or washing</w:t>
            </w:r>
          </w:p>
        </w:tc>
        <w:tc>
          <w:tcPr>
            <w:tcW w:type="dxa" w:w="1468"/>
            <w:vAlign w:val="top"/>
          </w:tcPr>
          <w:p>
            <w:pPr>
              <w:spacing w:after="60" w:line="259" w:lineRule="auto"/>
            </w:pPr>
            <w:r>
              <w:rPr>
                <w:rFonts w:ascii="Calibri" w:hAnsi="Calibri"/>
                <w:b w:val="0"/>
                <w:i w:val="0"/>
                <w:color w:val="212121"/>
                <w:sz w:val="19"/>
              </w:rPr>
              <w:t>Douching removes lactobacilli and raises vaginal pH</w:t>
            </w:r>
          </w:p>
          <w:p>
            <w:pPr>
              <w:spacing w:after="40" w:line="252" w:lineRule="auto"/>
            </w:pPr>
            <w:hyperlink r:id="rId9">
              <w:r>
                <w:rPr>
                  <w:rFonts w:ascii="Calibri" w:hAnsi="Calibri" w:cs="Calibri"/>
                  <w:sz w:val="18"/>
                  <w:color w:val="1155CC"/>
                  <w:u w:val="single"/>
                </w:rPr>
                <w:t xml:space="preserve">https://www.who.int/news-room/fact-sheets/detail/bacterial-vaginosis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Intravaginal product / herb use</w:t>
            </w:r>
          </w:p>
        </w:tc>
        <w:tc>
          <w:tcPr>
            <w:tcW w:type="dxa" w:w="1655"/>
            <w:vAlign w:val="top"/>
          </w:tcPr>
          <w:p>
            <w:pPr>
              <w:spacing w:after="40" w:before="0" w:line="259" w:lineRule="auto"/>
            </w:pPr>
            <w:r>
              <w:rPr>
                <w:rFonts w:ascii="Calibri" w:hAnsi="Calibri"/>
                <w:b w:val="0"/>
                <w:i w:val="0"/>
                <w:color w:val="212121"/>
                <w:sz w:val="19"/>
              </w:rPr>
              <w:t>Women using intravaginal cleansers or herbs</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Insertion of soaps, herbs, cloth or drying agents</w:t>
            </w:r>
          </w:p>
        </w:tc>
        <w:tc>
          <w:tcPr>
            <w:tcW w:type="dxa" w:w="1468"/>
            <w:vAlign w:val="top"/>
          </w:tcPr>
          <w:p>
            <w:pPr>
              <w:spacing w:after="60" w:line="259" w:lineRule="auto"/>
            </w:pPr>
            <w:r>
              <w:rPr>
                <w:rFonts w:ascii="Calibri" w:hAnsi="Calibri"/>
                <w:b w:val="0"/>
                <w:i w:val="0"/>
                <w:color w:val="212121"/>
                <w:sz w:val="19"/>
              </w:rPr>
              <w:t>Chemically and physically disrupts the microbiota</w:t>
            </w:r>
          </w:p>
          <w:p>
            <w:pPr>
              <w:spacing w:after="40" w:line="252" w:lineRule="auto"/>
            </w:pPr>
            <w:hyperlink r:id="rId9">
              <w:r>
                <w:rPr>
                  <w:rFonts w:ascii="Calibri" w:hAnsi="Calibri" w:cs="Calibri"/>
                  <w:sz w:val="18"/>
                  <w:color w:val="1155CC"/>
                  <w:u w:val="single"/>
                </w:rPr>
                <w:t xml:space="preserve">https://www.who.int/news-room/fact-sheets/detail/bacterial-vaginosis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Menstrual absorbent change interval</w:t>
            </w:r>
          </w:p>
        </w:tc>
        <w:tc>
          <w:tcPr>
            <w:tcW w:type="dxa" w:w="1655"/>
            <w:vAlign w:val="top"/>
          </w:tcPr>
          <w:p>
            <w:pPr>
              <w:spacing w:after="40" w:before="0" w:line="259" w:lineRule="auto"/>
            </w:pPr>
            <w:r>
              <w:rPr>
                <w:rFonts w:ascii="Calibri" w:hAnsi="Calibri"/>
                <w:b w:val="0"/>
                <w:i w:val="0"/>
                <w:color w:val="212121"/>
                <w:sz w:val="19"/>
              </w:rPr>
              <w:t>Menstruating women</w:t>
            </w:r>
          </w:p>
        </w:tc>
        <w:tc>
          <w:tcPr>
            <w:tcW w:type="dxa" w:w="1512"/>
            <w:vAlign w:val="top"/>
          </w:tcPr>
          <w:p>
            <w:pPr>
              <w:spacing w:after="40" w:before="0" w:line="259" w:lineRule="auto"/>
            </w:pPr>
            <w:r>
              <w:rPr>
                <w:rFonts w:ascii="Calibri" w:hAnsi="Calibri"/>
                <w:b w:val="0"/>
                <w:i w:val="0"/>
                <w:color w:val="212121"/>
                <w:sz w:val="19"/>
              </w:rPr>
              <w:t>Change clean pad/cloth every 4–6 h; dry reusable cloth fully in sunlight</w:t>
            </w:r>
          </w:p>
        </w:tc>
        <w:tc>
          <w:tcPr>
            <w:tcW w:type="dxa" w:w="1512"/>
            <w:vAlign w:val="top"/>
          </w:tcPr>
          <w:p>
            <w:pPr>
              <w:spacing w:after="40" w:before="0" w:line="259" w:lineRule="auto"/>
            </w:pPr>
            <w:r>
              <w:rPr>
                <w:rFonts w:ascii="Calibri" w:hAnsi="Calibri"/>
                <w:b w:val="0"/>
                <w:i w:val="0"/>
                <w:color w:val="212121"/>
                <w:sz w:val="19"/>
              </w:rPr>
              <w:t>Single absorbent worn &gt; 8 h; damp or unclean reusable cloth</w:t>
            </w:r>
          </w:p>
        </w:tc>
        <w:tc>
          <w:tcPr>
            <w:tcW w:type="dxa" w:w="1468"/>
            <w:vAlign w:val="top"/>
          </w:tcPr>
          <w:p>
            <w:pPr>
              <w:spacing w:after="60" w:line="259" w:lineRule="auto"/>
            </w:pPr>
            <w:r>
              <w:rPr>
                <w:rFonts w:ascii="Calibri" w:hAnsi="Calibri"/>
                <w:b w:val="0"/>
                <w:i w:val="0"/>
                <w:color w:val="212121"/>
                <w:sz w:val="19"/>
              </w:rPr>
              <w:t>Prolonged use raises pH and anaerobic overgrowth</w:t>
            </w:r>
          </w:p>
          <w:p>
            <w:pPr>
              <w:spacing w:after="40" w:line="252" w:lineRule="auto"/>
            </w:pPr>
            <w:hyperlink r:id="rId13">
              <w:r>
                <w:rPr>
                  <w:rFonts w:ascii="Calibri" w:hAnsi="Calibri" w:cs="Calibri"/>
                  <w:sz w:val="18"/>
                  <w:color w:val="1155CC"/>
                  <w:u w:val="single"/>
                </w:rPr>
                <w:t xml:space="preserve">https://pubmed.ncbi.nlm.nih.gov/39629382/</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New sexual partners (past 12 months)</w:t>
            </w:r>
          </w:p>
        </w:tc>
        <w:tc>
          <w:tcPr>
            <w:tcW w:type="dxa" w:w="1655"/>
            <w:vAlign w:val="top"/>
          </w:tcPr>
          <w:p>
            <w:pPr>
              <w:spacing w:after="40" w:before="0" w:line="259" w:lineRule="auto"/>
            </w:pPr>
            <w:r>
              <w:rPr>
                <w:rFonts w:ascii="Calibri" w:hAnsi="Calibri"/>
                <w:b w:val="0"/>
                <w:i w:val="0"/>
                <w:color w:val="212121"/>
                <w:sz w:val="19"/>
              </w:rPr>
              <w:t>Sexually active women</w:t>
            </w:r>
          </w:p>
        </w:tc>
        <w:tc>
          <w:tcPr>
            <w:tcW w:type="dxa" w:w="1512"/>
            <w:vAlign w:val="top"/>
          </w:tcPr>
          <w:p>
            <w:pPr>
              <w:spacing w:after="40" w:before="0" w:line="259" w:lineRule="auto"/>
            </w:pPr>
            <w:r>
              <w:rPr>
                <w:rFonts w:ascii="Calibri" w:hAnsi="Calibri"/>
                <w:b w:val="0"/>
                <w:i w:val="0"/>
                <w:color w:val="212121"/>
                <w:sz w:val="19"/>
              </w:rPr>
              <w:t>0–1 stable partner</w:t>
            </w:r>
          </w:p>
        </w:tc>
        <w:tc>
          <w:tcPr>
            <w:tcW w:type="dxa" w:w="1512"/>
            <w:vAlign w:val="top"/>
          </w:tcPr>
          <w:p>
            <w:pPr>
              <w:spacing w:after="40" w:before="0" w:line="259" w:lineRule="auto"/>
            </w:pPr>
            <w:r>
              <w:rPr>
                <w:rFonts w:ascii="Calibri" w:hAnsi="Calibri"/>
                <w:b w:val="0"/>
                <w:i w:val="0"/>
                <w:color w:val="212121"/>
                <w:sz w:val="19"/>
              </w:rPr>
              <w:t>New or multiple partners</w:t>
            </w:r>
          </w:p>
        </w:tc>
        <w:tc>
          <w:tcPr>
            <w:tcW w:type="dxa" w:w="1468"/>
            <w:vAlign w:val="top"/>
          </w:tcPr>
          <w:p>
            <w:pPr>
              <w:spacing w:after="60" w:line="259" w:lineRule="auto"/>
            </w:pPr>
            <w:r>
              <w:rPr>
                <w:rFonts w:ascii="Calibri" w:hAnsi="Calibri"/>
                <w:b w:val="0"/>
                <w:i w:val="0"/>
                <w:color w:val="212121"/>
                <w:sz w:val="19"/>
              </w:rPr>
              <w:t>Partner change repeatedly disturbs the vaginal flora</w:t>
            </w:r>
          </w:p>
          <w:p>
            <w:pPr>
              <w:spacing w:after="40" w:line="252" w:lineRule="auto"/>
            </w:pPr>
            <w:hyperlink r:id="rId10">
              <w:r>
                <w:rPr>
                  <w:rFonts w:ascii="Calibri" w:hAnsi="Calibri" w:cs="Calibri"/>
                  <w:sz w:val="18"/>
                  <w:color w:val="1155CC"/>
                  <w:u w:val="single"/>
                </w:rPr>
                <w:t xml:space="preserve">https://www.cdc.gov/bacterial-vaginosis/about/index.html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Condom use consistency</w:t>
            </w:r>
          </w:p>
        </w:tc>
        <w:tc>
          <w:tcPr>
            <w:tcW w:type="dxa" w:w="1655"/>
            <w:vAlign w:val="top"/>
          </w:tcPr>
          <w:p>
            <w:pPr>
              <w:spacing w:after="40" w:before="0" w:line="259" w:lineRule="auto"/>
            </w:pPr>
            <w:r>
              <w:rPr>
                <w:rFonts w:ascii="Calibri" w:hAnsi="Calibri"/>
                <w:b w:val="0"/>
                <w:i w:val="0"/>
                <w:color w:val="212121"/>
                <w:sz w:val="19"/>
              </w:rPr>
              <w:t>Sexually active women</w:t>
            </w:r>
          </w:p>
        </w:tc>
        <w:tc>
          <w:tcPr>
            <w:tcW w:type="dxa" w:w="1512"/>
            <w:vAlign w:val="top"/>
          </w:tcPr>
          <w:p>
            <w:pPr>
              <w:spacing w:after="40" w:before="0" w:line="259" w:lineRule="auto"/>
            </w:pPr>
            <w:r>
              <w:rPr>
                <w:rFonts w:ascii="Calibri" w:hAnsi="Calibri"/>
                <w:b w:val="0"/>
                <w:i w:val="0"/>
                <w:color w:val="212121"/>
                <w:sz w:val="19"/>
              </w:rPr>
              <w:t>Consistent condom use</w:t>
            </w:r>
          </w:p>
        </w:tc>
        <w:tc>
          <w:tcPr>
            <w:tcW w:type="dxa" w:w="1512"/>
            <w:vAlign w:val="top"/>
          </w:tcPr>
          <w:p>
            <w:pPr>
              <w:spacing w:after="40" w:before="0" w:line="259" w:lineRule="auto"/>
            </w:pPr>
            <w:r>
              <w:rPr>
                <w:rFonts w:ascii="Calibri" w:hAnsi="Calibri"/>
                <w:b w:val="0"/>
                <w:i w:val="0"/>
                <w:color w:val="212121"/>
                <w:sz w:val="19"/>
              </w:rPr>
              <w:t>Unprotected intercourse</w:t>
            </w:r>
          </w:p>
        </w:tc>
        <w:tc>
          <w:tcPr>
            <w:tcW w:type="dxa" w:w="1468"/>
            <w:vAlign w:val="top"/>
          </w:tcPr>
          <w:p>
            <w:pPr>
              <w:spacing w:after="60" w:line="259" w:lineRule="auto"/>
            </w:pPr>
            <w:r>
              <w:rPr>
                <w:rFonts w:ascii="Calibri" w:hAnsi="Calibri"/>
                <w:b w:val="0"/>
                <w:i w:val="0"/>
                <w:color w:val="212121"/>
                <w:sz w:val="19"/>
              </w:rPr>
              <w:t>Consistent condom use is associated with lower BV and recurrence</w:t>
            </w:r>
          </w:p>
          <w:p>
            <w:pPr>
              <w:spacing w:after="40" w:line="252" w:lineRule="auto"/>
            </w:pPr>
            <w:hyperlink r:id="rId10">
              <w:r>
                <w:rPr>
                  <w:rFonts w:ascii="Calibri" w:hAnsi="Calibri" w:cs="Calibri"/>
                  <w:sz w:val="18"/>
                  <w:color w:val="1155CC"/>
                  <w:u w:val="single"/>
                </w:rPr>
                <w:t xml:space="preserve">https://www.cdc.gov/bacterial-vaginosis/about/index.html</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Adolescents, 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Smoking lowers protective vaginal lactobacilli</w:t>
            </w:r>
          </w:p>
          <w:p>
            <w:pPr>
              <w:spacing w:after="40" w:line="252" w:lineRule="auto"/>
            </w:pPr>
            <w:hyperlink r:id="rId12">
              <w:r>
                <w:rPr>
                  <w:rFonts w:ascii="Calibri" w:hAnsi="Calibri" w:cs="Calibri"/>
                  <w:sz w:val="18"/>
                  <w:color w:val="1155CC"/>
                  <w:u w:val="single"/>
                </w:rPr>
                <w:t xml:space="preserve">https://www.ncbi.nlm.nih.gov/books/NBK459216/</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use (self or partner)</w:t>
            </w:r>
          </w:p>
        </w:tc>
        <w:tc>
          <w:tcPr>
            <w:tcW w:type="dxa" w:w="1655"/>
            <w:vAlign w:val="top"/>
          </w:tcPr>
          <w:p>
            <w:pPr>
              <w:spacing w:after="40" w:before="0" w:line="259" w:lineRule="auto"/>
            </w:pPr>
            <w:r>
              <w:rPr>
                <w:rFonts w:ascii="Calibri" w:hAnsi="Calibri"/>
                <w:b w:val="0"/>
                <w:i w:val="0"/>
                <w:color w:val="212121"/>
                <w:sz w:val="19"/>
              </w:rPr>
              <w:t>Reproductive-age women and partners</w:t>
            </w:r>
          </w:p>
        </w:tc>
        <w:tc>
          <w:tcPr>
            <w:tcW w:type="dxa" w:w="1512"/>
            <w:vAlign w:val="top"/>
          </w:tcPr>
          <w:p>
            <w:pPr>
              <w:spacing w:after="40" w:before="0" w:line="259" w:lineRule="auto"/>
            </w:pPr>
            <w:r>
              <w:rPr>
                <w:rFonts w:ascii="Calibri" w:hAnsi="Calibri"/>
                <w:b w:val="0"/>
                <w:i w:val="0"/>
                <w:color w:val="212121"/>
                <w:sz w:val="19"/>
              </w:rPr>
              <w:t>None or low intake</w:t>
            </w:r>
          </w:p>
        </w:tc>
        <w:tc>
          <w:tcPr>
            <w:tcW w:type="dxa" w:w="1512"/>
            <w:vAlign w:val="top"/>
          </w:tcPr>
          <w:p>
            <w:pPr>
              <w:spacing w:after="40" w:before="0" w:line="259" w:lineRule="auto"/>
            </w:pPr>
            <w:r>
              <w:rPr>
                <w:rFonts w:ascii="Calibri" w:hAnsi="Calibri"/>
                <w:b w:val="0"/>
                <w:i w:val="0"/>
                <w:color w:val="212121"/>
                <w:sz w:val="19"/>
              </w:rPr>
              <w:t>Heavy or harmful use</w:t>
            </w:r>
          </w:p>
        </w:tc>
        <w:tc>
          <w:tcPr>
            <w:tcW w:type="dxa" w:w="1468"/>
            <w:vAlign w:val="top"/>
          </w:tcPr>
          <w:p>
            <w:pPr>
              <w:spacing w:after="60" w:line="259" w:lineRule="auto"/>
            </w:pPr>
            <w:r>
              <w:rPr>
                <w:rFonts w:ascii="Calibri" w:hAnsi="Calibri"/>
                <w:b w:val="0"/>
                <w:i w:val="0"/>
                <w:color w:val="212121"/>
                <w:sz w:val="19"/>
              </w:rPr>
              <w:t>Partner alcohol use was independently associated with BV in India; avoid alcohol with metronidazole/tinidazole</w:t>
            </w:r>
          </w:p>
          <w:p>
            <w:pPr>
              <w:spacing w:after="40" w:line="252" w:lineRule="auto"/>
            </w:pPr>
            <w:hyperlink r:id="rId11">
              <w:r>
                <w:rPr>
                  <w:rFonts w:ascii="Calibri" w:hAnsi="Calibri" w:cs="Calibri"/>
                  <w:sz w:val="18"/>
                  <w:color w:val="1155CC"/>
                  <w:u w:val="single"/>
                </w:rPr>
                <w:t xml:space="preserve">https://pubmed.ncbi.nlm.nih.gov/18445948/</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Probiotic / fermented-dairy intake</w:t>
            </w:r>
          </w:p>
        </w:tc>
        <w:tc>
          <w:tcPr>
            <w:tcW w:type="dxa" w:w="1655"/>
            <w:vAlign w:val="top"/>
          </w:tcPr>
          <w:p>
            <w:pPr>
              <w:spacing w:after="40" w:before="0" w:line="259" w:lineRule="auto"/>
            </w:pPr>
            <w:r>
              <w:rPr>
                <w:rFonts w:ascii="Calibri" w:hAnsi="Calibri"/>
                <w:b w:val="0"/>
                <w:i w:val="0"/>
                <w:color w:val="212121"/>
                <w:sz w:val="19"/>
              </w:rPr>
              <w:t>Women prone to recurrent BV</w:t>
            </w:r>
          </w:p>
        </w:tc>
        <w:tc>
          <w:tcPr>
            <w:tcW w:type="dxa" w:w="1512"/>
            <w:vAlign w:val="top"/>
          </w:tcPr>
          <w:p>
            <w:pPr>
              <w:spacing w:after="40" w:before="0" w:line="259" w:lineRule="auto"/>
            </w:pPr>
            <w:r>
              <w:rPr>
                <w:rFonts w:ascii="Calibri" w:hAnsi="Calibri"/>
                <w:b w:val="0"/>
                <w:i w:val="0"/>
                <w:color w:val="212121"/>
                <w:sz w:val="19"/>
              </w:rPr>
              <w:t>Regular curd/dahi, buttermilk or other Lactobacillus foods</w:t>
            </w:r>
          </w:p>
        </w:tc>
        <w:tc>
          <w:tcPr>
            <w:tcW w:type="dxa" w:w="1512"/>
            <w:vAlign w:val="top"/>
          </w:tcPr>
          <w:p>
            <w:pPr>
              <w:spacing w:after="40" w:before="0" w:line="259" w:lineRule="auto"/>
            </w:pPr>
            <w:r>
              <w:rPr>
                <w:rFonts w:ascii="Calibri" w:hAnsi="Calibri"/>
                <w:b w:val="0"/>
                <w:i w:val="0"/>
                <w:color w:val="212121"/>
                <w:sz w:val="19"/>
              </w:rPr>
              <w:t>Negligible probiotic intake</w:t>
            </w:r>
          </w:p>
        </w:tc>
        <w:tc>
          <w:tcPr>
            <w:tcW w:type="dxa" w:w="1468"/>
            <w:vAlign w:val="top"/>
          </w:tcPr>
          <w:p>
            <w:pPr>
              <w:spacing w:after="40" w:before="0" w:line="259" w:lineRule="auto"/>
            </w:pPr>
            <w:r>
              <w:rPr>
                <w:rFonts w:ascii="Calibri" w:hAnsi="Calibri"/>
                <w:b w:val="0"/>
                <w:i w:val="0"/>
                <w:color w:val="212121"/>
                <w:sz w:val="19"/>
              </w:rPr>
              <w:t>May help maintain vaginal lactobacilli (evidence emerging)</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Access to clean water &amp; private sanitation (WASH)</w:t>
            </w:r>
          </w:p>
        </w:tc>
        <w:tc>
          <w:tcPr>
            <w:tcW w:type="dxa" w:w="1655"/>
            <w:vAlign w:val="top"/>
          </w:tcPr>
          <w:p>
            <w:pPr>
              <w:spacing w:after="40" w:before="0" w:line="259" w:lineRule="auto"/>
            </w:pPr>
            <w:r>
              <w:rPr>
                <w:rFonts w:ascii="Calibri" w:hAnsi="Calibri"/>
                <w:b w:val="0"/>
                <w:i w:val="0"/>
                <w:color w:val="212121"/>
                <w:sz w:val="19"/>
              </w:rPr>
              <w:t>Rural and low-resource women</w:t>
            </w:r>
          </w:p>
        </w:tc>
        <w:tc>
          <w:tcPr>
            <w:tcW w:type="dxa" w:w="1512"/>
            <w:vAlign w:val="top"/>
          </w:tcPr>
          <w:p>
            <w:pPr>
              <w:spacing w:after="40" w:before="0" w:line="259" w:lineRule="auto"/>
            </w:pPr>
            <w:r>
              <w:rPr>
                <w:rFonts w:ascii="Calibri" w:hAnsi="Calibri"/>
                <w:b w:val="0"/>
                <w:i w:val="0"/>
                <w:color w:val="212121"/>
                <w:sz w:val="19"/>
              </w:rPr>
              <w:t>Reliable clean water and a private toilet</w:t>
            </w:r>
          </w:p>
        </w:tc>
        <w:tc>
          <w:tcPr>
            <w:tcW w:type="dxa" w:w="1512"/>
            <w:vAlign w:val="top"/>
          </w:tcPr>
          <w:p>
            <w:pPr>
              <w:spacing w:after="40" w:before="0" w:line="259" w:lineRule="auto"/>
            </w:pPr>
            <w:r>
              <w:rPr>
                <w:rFonts w:ascii="Calibri" w:hAnsi="Calibri"/>
                <w:b w:val="0"/>
                <w:i w:val="0"/>
                <w:color w:val="212121"/>
                <w:sz w:val="19"/>
              </w:rPr>
              <w:t>No safe water or private sanitation</w:t>
            </w:r>
          </w:p>
        </w:tc>
        <w:tc>
          <w:tcPr>
            <w:tcW w:type="dxa" w:w="1468"/>
            <w:vAlign w:val="top"/>
          </w:tcPr>
          <w:p>
            <w:pPr>
              <w:spacing w:after="60" w:line="259" w:lineRule="auto"/>
            </w:pPr>
            <w:r>
              <w:rPr>
                <w:rFonts w:ascii="Calibri" w:hAnsi="Calibri"/>
                <w:b w:val="0"/>
                <w:i w:val="0"/>
                <w:color w:val="212121"/>
                <w:sz w:val="19"/>
              </w:rPr>
              <w:t>Enables safe menstrual and genital hygiene without douching</w:t>
            </w:r>
          </w:p>
          <w:p>
            <w:pPr>
              <w:spacing w:after="40" w:line="252" w:lineRule="auto"/>
            </w:pPr>
            <w:hyperlink r:id="rId9">
              <w:r>
                <w:rPr>
                  <w:rFonts w:ascii="Calibri" w:hAnsi="Calibri" w:cs="Calibri"/>
                  <w:sz w:val="18"/>
                  <w:color w:val="1155CC"/>
                  <w:u w:val="single"/>
                </w:rPr>
                <w:t xml:space="preserve">https://www.who.int/news-room/fact-sheets/detail/bacterial-vaginosis</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25 (overweight/obese)</w:t>
            </w:r>
          </w:p>
        </w:tc>
        <w:tc>
          <w:tcPr>
            <w:tcW w:type="dxa" w:w="1468"/>
            <w:vAlign w:val="top"/>
          </w:tcPr>
          <w:p>
            <w:pPr>
              <w:spacing w:after="40" w:before="0" w:line="259" w:lineRule="auto"/>
            </w:pPr>
            <w:r>
              <w:rPr>
                <w:rFonts w:ascii="Calibri" w:hAnsi="Calibri"/>
                <w:b w:val="0"/>
                <w:i w:val="0"/>
                <w:color w:val="212121"/>
                <w:sz w:val="19"/>
              </w:rPr>
              <w:t>Obesity is weakly associated with vaginal dysbiosis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Point-of-care</w:t>
            </w:r>
          </w:p>
        </w:tc>
        <w:tc>
          <w:tcPr>
            <w:tcW w:type="dxa" w:w="1036"/>
            <w:vAlign w:val="top"/>
          </w:tcPr>
          <w:p>
            <w:pPr>
              <w:spacing w:after="40" w:before="0" w:line="259" w:lineRule="auto"/>
            </w:pPr>
            <w:r>
              <w:rPr>
                <w:rFonts w:ascii="Calibri" w:hAnsi="Calibri"/>
                <w:b w:val="0"/>
                <w:i w:val="0"/>
                <w:color w:val="212121"/>
                <w:sz w:val="16"/>
              </w:rPr>
              <w:t>Vaginal pH</w:t>
            </w:r>
          </w:p>
        </w:tc>
        <w:tc>
          <w:tcPr>
            <w:tcW w:type="dxa" w:w="892"/>
            <w:vAlign w:val="top"/>
          </w:tcPr>
          <w:p>
            <w:pPr>
              <w:spacing w:after="40" w:before="0" w:line="259" w:lineRule="auto"/>
            </w:pPr>
            <w:r>
              <w:rPr>
                <w:rFonts w:ascii="Calibri" w:hAnsi="Calibri"/>
                <w:b w:val="0"/>
                <w:i w:val="0"/>
                <w:color w:val="212121"/>
                <w:sz w:val="16"/>
              </w:rPr>
              <w:t>Vaginal pH testing (narrow-range paper)</w:t>
            </w:r>
          </w:p>
        </w:tc>
        <w:tc>
          <w:tcPr>
            <w:tcW w:type="dxa" w:w="950"/>
            <w:vAlign w:val="top"/>
          </w:tcPr>
          <w:p>
            <w:pPr>
              <w:spacing w:after="40" w:before="0" w:line="259" w:lineRule="auto"/>
            </w:pPr>
            <w:r>
              <w:rPr>
                <w:rFonts w:ascii="Calibri" w:hAnsi="Calibri"/>
                <w:b w:val="0"/>
                <w:i w:val="0"/>
                <w:color w:val="212121"/>
                <w:sz w:val="16"/>
              </w:rPr>
              <w:t>3.8–4.5</w:t>
            </w:r>
          </w:p>
        </w:tc>
        <w:tc>
          <w:tcPr>
            <w:tcW w:type="dxa" w:w="950"/>
            <w:vAlign w:val="top"/>
          </w:tcPr>
          <w:p>
            <w:pPr>
              <w:spacing w:after="40" w:before="0" w:line="259" w:lineRule="auto"/>
            </w:pPr>
            <w:r>
              <w:rPr>
                <w:rFonts w:ascii="Calibri" w:hAnsi="Calibri"/>
                <w:b w:val="0"/>
                <w:i w:val="0"/>
                <w:color w:val="212121"/>
                <w:sz w:val="16"/>
              </w:rPr>
              <w:t>&gt; 4.5</w:t>
            </w:r>
          </w:p>
        </w:tc>
        <w:tc>
          <w:tcPr>
            <w:tcW w:type="dxa" w:w="1036"/>
            <w:vAlign w:val="top"/>
          </w:tcPr>
          <w:p>
            <w:pPr>
              <w:spacing w:after="40" w:before="0" w:line="259" w:lineRule="auto"/>
            </w:pPr>
            <w:r>
              <w:rPr>
                <w:rFonts w:ascii="Calibri" w:hAnsi="Calibri"/>
                <w:b w:val="0"/>
                <w:i w:val="0"/>
                <w:color w:val="212121"/>
                <w:sz w:val="16"/>
              </w:rPr>
              <w:t>Raised pH from loss of acid-producing lactobacilli — an Amsel criterion</w:t>
            </w:r>
          </w:p>
        </w:tc>
        <w:tc>
          <w:tcPr>
            <w:tcW w:type="dxa" w:w="1036"/>
            <w:vAlign w:val="top"/>
          </w:tcPr>
          <w:p>
            <w:pPr>
              <w:spacing w:after="40" w:before="0" w:line="259" w:lineRule="auto"/>
            </w:pPr>
            <w:r>
              <w:rPr>
                <w:rFonts w:ascii="Calibri" w:hAnsi="Calibri"/>
                <w:b w:val="0"/>
                <w:i w:val="0"/>
                <w:color w:val="212121"/>
                <w:sz w:val="16"/>
              </w:rPr>
              <w:t>Symptomatic women, antenatal</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Falsely elevated by blood, semen or cervical mucus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Bedside</w:t>
            </w:r>
          </w:p>
        </w:tc>
        <w:tc>
          <w:tcPr>
            <w:tcW w:type="dxa" w:w="1036"/>
            <w:vAlign w:val="top"/>
          </w:tcPr>
          <w:p>
            <w:pPr>
              <w:spacing w:after="40" w:before="0" w:line="259" w:lineRule="auto"/>
            </w:pPr>
            <w:r>
              <w:rPr>
                <w:rFonts w:ascii="Calibri" w:hAnsi="Calibri"/>
                <w:b w:val="0"/>
                <w:i w:val="0"/>
                <w:color w:val="212121"/>
                <w:sz w:val="16"/>
              </w:rPr>
              <w:t>Whiff (amine) test</w:t>
            </w:r>
          </w:p>
        </w:tc>
        <w:tc>
          <w:tcPr>
            <w:tcW w:type="dxa" w:w="892"/>
            <w:vAlign w:val="top"/>
          </w:tcPr>
          <w:p>
            <w:pPr>
              <w:spacing w:after="40" w:before="0" w:line="259" w:lineRule="auto"/>
            </w:pPr>
            <w:r>
              <w:rPr>
                <w:rFonts w:ascii="Calibri" w:hAnsi="Calibri"/>
                <w:b w:val="0"/>
                <w:i w:val="0"/>
                <w:color w:val="212121"/>
                <w:sz w:val="16"/>
              </w:rPr>
              <w:t>KOH whiff test</w:t>
            </w:r>
          </w:p>
        </w:tc>
        <w:tc>
          <w:tcPr>
            <w:tcW w:type="dxa" w:w="950"/>
            <w:vAlign w:val="top"/>
          </w:tcPr>
          <w:p>
            <w:pPr>
              <w:spacing w:after="40" w:before="0" w:line="259" w:lineRule="auto"/>
            </w:pPr>
            <w:r>
              <w:rPr>
                <w:rFonts w:ascii="Calibri" w:hAnsi="Calibri"/>
                <w:b w:val="0"/>
                <w:i w:val="0"/>
                <w:color w:val="212121"/>
                <w:sz w:val="16"/>
              </w:rPr>
              <w:t>Negative (no odour)</w:t>
            </w:r>
          </w:p>
        </w:tc>
        <w:tc>
          <w:tcPr>
            <w:tcW w:type="dxa" w:w="950"/>
            <w:vAlign w:val="top"/>
          </w:tcPr>
          <w:p>
            <w:pPr>
              <w:spacing w:after="40" w:before="0" w:line="259" w:lineRule="auto"/>
            </w:pPr>
            <w:r>
              <w:rPr>
                <w:rFonts w:ascii="Calibri" w:hAnsi="Calibri"/>
                <w:b w:val="0"/>
                <w:i w:val="0"/>
                <w:color w:val="212121"/>
                <w:sz w:val="16"/>
              </w:rPr>
              <w:t>Fishy/amine odour on 10% KOH</w:t>
            </w:r>
          </w:p>
        </w:tc>
        <w:tc>
          <w:tcPr>
            <w:tcW w:type="dxa" w:w="1036"/>
            <w:vAlign w:val="top"/>
          </w:tcPr>
          <w:p>
            <w:pPr>
              <w:spacing w:after="40" w:before="0" w:line="259" w:lineRule="auto"/>
            </w:pPr>
            <w:r>
              <w:rPr>
                <w:rFonts w:ascii="Calibri" w:hAnsi="Calibri"/>
                <w:b w:val="0"/>
                <w:i w:val="0"/>
                <w:color w:val="212121"/>
                <w:sz w:val="16"/>
              </w:rPr>
              <w:t>Volatile amines released from anaerobic metabolism — an Amsel criterion</w:t>
            </w:r>
          </w:p>
        </w:tc>
        <w:tc>
          <w:tcPr>
            <w:tcW w:type="dxa" w:w="1036"/>
            <w:vAlign w:val="top"/>
          </w:tcPr>
          <w:p>
            <w:pPr>
              <w:spacing w:after="40" w:before="0" w:line="259" w:lineRule="auto"/>
            </w:pPr>
            <w:r>
              <w:rPr>
                <w:rFonts w:ascii="Calibri" w:hAnsi="Calibri"/>
                <w:b w:val="0"/>
                <w:i w:val="0"/>
                <w:color w:val="212121"/>
                <w:sz w:val="16"/>
              </w:rPr>
              <w:t>Symptomatic women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May also be positive in trichomoniasis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Microscopy</w:t>
            </w:r>
          </w:p>
        </w:tc>
        <w:tc>
          <w:tcPr>
            <w:tcW w:type="dxa" w:w="1036"/>
            <w:vAlign w:val="top"/>
          </w:tcPr>
          <w:p>
            <w:pPr>
              <w:spacing w:after="40" w:before="0" w:line="259" w:lineRule="auto"/>
            </w:pPr>
            <w:r>
              <w:rPr>
                <w:rFonts w:ascii="Calibri" w:hAnsi="Calibri"/>
                <w:b w:val="0"/>
                <w:i w:val="0"/>
                <w:color w:val="212121"/>
                <w:sz w:val="16"/>
              </w:rPr>
              <w:t>Saline wet mount — clue cells</w:t>
            </w:r>
          </w:p>
        </w:tc>
        <w:tc>
          <w:tcPr>
            <w:tcW w:type="dxa" w:w="892"/>
            <w:vAlign w:val="top"/>
          </w:tcPr>
          <w:p>
            <w:pPr>
              <w:spacing w:after="40" w:before="0" w:line="259" w:lineRule="auto"/>
            </w:pPr>
            <w:r>
              <w:rPr>
                <w:rFonts w:ascii="Calibri" w:hAnsi="Calibri"/>
                <w:b w:val="0"/>
                <w:i w:val="0"/>
                <w:color w:val="212121"/>
                <w:sz w:val="16"/>
              </w:rPr>
              <w:t>Wet-mount microscopy</w:t>
            </w:r>
          </w:p>
        </w:tc>
        <w:tc>
          <w:tcPr>
            <w:tcW w:type="dxa" w:w="950"/>
            <w:vAlign w:val="top"/>
          </w:tcPr>
          <w:p>
            <w:pPr>
              <w:spacing w:after="40" w:before="0" w:line="259" w:lineRule="auto"/>
            </w:pPr>
            <w:r>
              <w:rPr>
                <w:rFonts w:ascii="Calibri" w:hAnsi="Calibri"/>
                <w:b w:val="0"/>
                <w:i w:val="0"/>
                <w:color w:val="212121"/>
                <w:sz w:val="16"/>
              </w:rPr>
              <w:t>&lt; 20% clue cells; lactobacilli present; scant WBCs</w:t>
            </w:r>
          </w:p>
        </w:tc>
        <w:tc>
          <w:tcPr>
            <w:tcW w:type="dxa" w:w="950"/>
            <w:vAlign w:val="top"/>
          </w:tcPr>
          <w:p>
            <w:pPr>
              <w:spacing w:after="40" w:before="0" w:line="259" w:lineRule="auto"/>
            </w:pPr>
            <w:r>
              <w:rPr>
                <w:rFonts w:ascii="Calibri" w:hAnsi="Calibri"/>
                <w:b w:val="0"/>
                <w:i w:val="0"/>
                <w:color w:val="212121"/>
                <w:sz w:val="16"/>
              </w:rPr>
              <w:t>≥ 20% clue cells; reduced lactobacilli</w:t>
            </w:r>
          </w:p>
        </w:tc>
        <w:tc>
          <w:tcPr>
            <w:tcW w:type="dxa" w:w="1036"/>
            <w:vAlign w:val="top"/>
          </w:tcPr>
          <w:p>
            <w:pPr>
              <w:spacing w:after="40" w:before="0" w:line="259" w:lineRule="auto"/>
            </w:pPr>
            <w:r>
              <w:rPr>
                <w:rFonts w:ascii="Calibri" w:hAnsi="Calibri"/>
                <w:b w:val="0"/>
                <w:i w:val="0"/>
                <w:color w:val="212121"/>
                <w:sz w:val="16"/>
              </w:rPr>
              <w:t>Epithelial cells coated with coccobacilli — an Amsel criterion</w:t>
            </w:r>
          </w:p>
        </w:tc>
        <w:tc>
          <w:tcPr>
            <w:tcW w:type="dxa" w:w="1036"/>
            <w:vAlign w:val="top"/>
          </w:tcPr>
          <w:p>
            <w:pPr>
              <w:spacing w:after="40" w:before="0" w:line="259" w:lineRule="auto"/>
            </w:pPr>
            <w:r>
              <w:rPr>
                <w:rFonts w:ascii="Calibri" w:hAnsi="Calibri"/>
                <w:b w:val="0"/>
                <w:i w:val="0"/>
                <w:color w:val="212121"/>
                <w:sz w:val="16"/>
              </w:rPr>
              <w:t>Symptomatic women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Paucity of white cells distinguishes BV from inflammatory vaginitis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Microscopy</w:t>
            </w:r>
          </w:p>
        </w:tc>
        <w:tc>
          <w:tcPr>
            <w:tcW w:type="dxa" w:w="1036"/>
            <w:vAlign w:val="top"/>
          </w:tcPr>
          <w:p>
            <w:pPr>
              <w:spacing w:after="40" w:before="0" w:line="259" w:lineRule="auto"/>
            </w:pPr>
            <w:r>
              <w:rPr>
                <w:rFonts w:ascii="Calibri" w:hAnsi="Calibri"/>
                <w:b w:val="0"/>
                <w:i w:val="0"/>
                <w:color w:val="212121"/>
                <w:sz w:val="16"/>
              </w:rPr>
              <w:t>Gram stain — Nugent score</w:t>
            </w:r>
          </w:p>
        </w:tc>
        <w:tc>
          <w:tcPr>
            <w:tcW w:type="dxa" w:w="892"/>
            <w:vAlign w:val="top"/>
          </w:tcPr>
          <w:p>
            <w:pPr>
              <w:spacing w:after="40" w:before="0" w:line="259" w:lineRule="auto"/>
            </w:pPr>
            <w:r>
              <w:rPr>
                <w:rFonts w:ascii="Calibri" w:hAnsi="Calibri"/>
                <w:b w:val="0"/>
                <w:i w:val="0"/>
                <w:color w:val="212121"/>
                <w:sz w:val="16"/>
              </w:rPr>
              <w:t>Nugent scoring</w:t>
            </w:r>
          </w:p>
        </w:tc>
        <w:tc>
          <w:tcPr>
            <w:tcW w:type="dxa" w:w="950"/>
            <w:vAlign w:val="top"/>
          </w:tcPr>
          <w:p>
            <w:pPr>
              <w:spacing w:after="40" w:before="0" w:line="259" w:lineRule="auto"/>
            </w:pPr>
            <w:r>
              <w:rPr>
                <w:rFonts w:ascii="Calibri" w:hAnsi="Calibri"/>
                <w:b w:val="0"/>
                <w:i w:val="0"/>
                <w:color w:val="212121"/>
                <w:sz w:val="16"/>
              </w:rPr>
              <w:t>0–3</w:t>
            </w:r>
          </w:p>
        </w:tc>
        <w:tc>
          <w:tcPr>
            <w:tcW w:type="dxa" w:w="950"/>
            <w:vAlign w:val="top"/>
          </w:tcPr>
          <w:p>
            <w:pPr>
              <w:spacing w:after="40" w:before="0" w:line="259" w:lineRule="auto"/>
            </w:pPr>
            <w:r>
              <w:rPr>
                <w:rFonts w:ascii="Calibri" w:hAnsi="Calibri"/>
                <w:b w:val="0"/>
                <w:i w:val="0"/>
                <w:color w:val="212121"/>
                <w:sz w:val="16"/>
              </w:rPr>
              <w:t>7–10 (4–6 intermediate)</w:t>
            </w:r>
          </w:p>
        </w:tc>
        <w:tc>
          <w:tcPr>
            <w:tcW w:type="dxa" w:w="1036"/>
            <w:vAlign w:val="top"/>
          </w:tcPr>
          <w:p>
            <w:pPr>
              <w:spacing w:after="40" w:before="0" w:line="259" w:lineRule="auto"/>
            </w:pPr>
            <w:r>
              <w:rPr>
                <w:rFonts w:ascii="Calibri" w:hAnsi="Calibri"/>
                <w:b w:val="0"/>
                <w:i w:val="0"/>
                <w:color w:val="212121"/>
                <w:sz w:val="16"/>
              </w:rPr>
              <w:t>Quantifies lactobacilli versus Gardnerella/Mobiluncus morphotypes — laboratory reference standard</w:t>
            </w:r>
          </w:p>
        </w:tc>
        <w:tc>
          <w:tcPr>
            <w:tcW w:type="dxa" w:w="1036"/>
            <w:vAlign w:val="top"/>
          </w:tcPr>
          <w:p>
            <w:pPr>
              <w:spacing w:after="40" w:before="0" w:line="259" w:lineRule="auto"/>
            </w:pPr>
            <w:r>
              <w:rPr>
                <w:rFonts w:ascii="Calibri" w:hAnsi="Calibri"/>
                <w:b w:val="0"/>
                <w:i w:val="0"/>
                <w:color w:val="212121"/>
                <w:sz w:val="16"/>
              </w:rPr>
              <w:t>Research, antenatal screening, unclear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Sensitivity ~89%, specificity ~83%</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Composite clinical</w:t>
            </w:r>
          </w:p>
        </w:tc>
        <w:tc>
          <w:tcPr>
            <w:tcW w:type="dxa" w:w="1036"/>
            <w:vAlign w:val="top"/>
          </w:tcPr>
          <w:p>
            <w:pPr>
              <w:spacing w:after="40" w:before="0" w:line="259" w:lineRule="auto"/>
            </w:pPr>
            <w:r>
              <w:rPr>
                <w:rFonts w:ascii="Calibri" w:hAnsi="Calibri"/>
                <w:b w:val="0"/>
                <w:i w:val="0"/>
                <w:color w:val="212121"/>
                <w:sz w:val="16"/>
              </w:rPr>
              <w:t>Amsel criteria</w:t>
            </w:r>
          </w:p>
        </w:tc>
        <w:tc>
          <w:tcPr>
            <w:tcW w:type="dxa" w:w="892"/>
            <w:vAlign w:val="top"/>
          </w:tcPr>
          <w:p>
            <w:pPr>
              <w:spacing w:after="40" w:before="0" w:line="259" w:lineRule="auto"/>
            </w:pPr>
            <w:r>
              <w:rPr>
                <w:rFonts w:ascii="Calibri" w:hAnsi="Calibri"/>
                <w:b w:val="0"/>
                <w:i w:val="0"/>
                <w:color w:val="212121"/>
                <w:sz w:val="16"/>
              </w:rPr>
              <w:t>Amsel criteria assessment</w:t>
            </w:r>
          </w:p>
        </w:tc>
        <w:tc>
          <w:tcPr>
            <w:tcW w:type="dxa" w:w="950"/>
            <w:vAlign w:val="top"/>
          </w:tcPr>
          <w:p>
            <w:pPr>
              <w:spacing w:after="40" w:before="0" w:line="259" w:lineRule="auto"/>
            </w:pPr>
            <w:r>
              <w:rPr>
                <w:rFonts w:ascii="Calibri" w:hAnsi="Calibri"/>
                <w:b w:val="0"/>
                <w:i w:val="0"/>
                <w:color w:val="212121"/>
                <w:sz w:val="16"/>
              </w:rPr>
              <w:t>&lt; 3 criteria met</w:t>
            </w:r>
          </w:p>
        </w:tc>
        <w:tc>
          <w:tcPr>
            <w:tcW w:type="dxa" w:w="950"/>
            <w:vAlign w:val="top"/>
          </w:tcPr>
          <w:p>
            <w:pPr>
              <w:spacing w:after="40" w:before="0" w:line="259" w:lineRule="auto"/>
            </w:pPr>
            <w:r>
              <w:rPr>
                <w:rFonts w:ascii="Calibri" w:hAnsi="Calibri"/>
                <w:b w:val="0"/>
                <w:i w:val="0"/>
                <w:color w:val="212121"/>
                <w:sz w:val="16"/>
              </w:rPr>
              <w:t>≥ 3 of 4 criteria met</w:t>
            </w:r>
          </w:p>
        </w:tc>
        <w:tc>
          <w:tcPr>
            <w:tcW w:type="dxa" w:w="1036"/>
            <w:vAlign w:val="top"/>
          </w:tcPr>
          <w:p>
            <w:pPr>
              <w:spacing w:after="40" w:before="0" w:line="259" w:lineRule="auto"/>
            </w:pPr>
            <w:r>
              <w:rPr>
                <w:rFonts w:ascii="Calibri" w:hAnsi="Calibri"/>
                <w:b w:val="0"/>
                <w:i w:val="0"/>
                <w:color w:val="212121"/>
                <w:sz w:val="16"/>
              </w:rPr>
              <w:t>Office diagnosis of BV</w:t>
            </w:r>
          </w:p>
        </w:tc>
        <w:tc>
          <w:tcPr>
            <w:tcW w:type="dxa" w:w="1036"/>
            <w:vAlign w:val="top"/>
          </w:tcPr>
          <w:p>
            <w:pPr>
              <w:spacing w:after="40" w:before="0" w:line="259" w:lineRule="auto"/>
            </w:pPr>
            <w:r>
              <w:rPr>
                <w:rFonts w:ascii="Calibri" w:hAnsi="Calibri"/>
                <w:b w:val="0"/>
                <w:i w:val="0"/>
                <w:color w:val="212121"/>
                <w:sz w:val="16"/>
              </w:rPr>
              <w:t>Symptomatic women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Sensitivity ~37–70%, specificity ~94–99% versus Nugent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Nucleic-acid / microbiota panel</w:t>
            </w:r>
          </w:p>
        </w:tc>
        <w:tc>
          <w:tcPr>
            <w:tcW w:type="dxa" w:w="892"/>
            <w:vAlign w:val="top"/>
          </w:tcPr>
          <w:p>
            <w:pPr>
              <w:spacing w:after="40" w:before="0" w:line="259" w:lineRule="auto"/>
            </w:pPr>
            <w:r>
              <w:rPr>
                <w:rFonts w:ascii="Calibri" w:hAnsi="Calibri"/>
                <w:b w:val="0"/>
                <w:i w:val="0"/>
                <w:color w:val="212121"/>
                <w:sz w:val="16"/>
              </w:rPr>
              <w:t>NAAT or molecular vaginal panel</w:t>
            </w:r>
          </w:p>
        </w:tc>
        <w:tc>
          <w:tcPr>
            <w:tcW w:type="dxa" w:w="950"/>
            <w:vAlign w:val="top"/>
          </w:tcPr>
          <w:p>
            <w:pPr>
              <w:spacing w:after="40" w:before="0" w:line="259" w:lineRule="auto"/>
            </w:pPr>
            <w:r>
              <w:rPr>
                <w:rFonts w:ascii="Calibri" w:hAnsi="Calibri"/>
                <w:b w:val="0"/>
                <w:i w:val="0"/>
                <w:color w:val="212121"/>
                <w:sz w:val="16"/>
              </w:rPr>
              <w:t>Lactobacillus-dominant pattern</w:t>
            </w:r>
          </w:p>
        </w:tc>
        <w:tc>
          <w:tcPr>
            <w:tcW w:type="dxa" w:w="950"/>
            <w:vAlign w:val="top"/>
          </w:tcPr>
          <w:p>
            <w:pPr>
              <w:spacing w:after="40" w:before="0" w:line="259" w:lineRule="auto"/>
            </w:pPr>
            <w:r>
              <w:rPr>
                <w:rFonts w:ascii="Calibri" w:hAnsi="Calibri"/>
                <w:b w:val="0"/>
                <w:i w:val="0"/>
                <w:color w:val="212121"/>
                <w:sz w:val="16"/>
              </w:rPr>
              <w:t>BV-associated organisms (Gardnerella, Fannyhessea/Atopobium vaginae, BVAB) above thresholds</w:t>
            </w:r>
          </w:p>
        </w:tc>
        <w:tc>
          <w:tcPr>
            <w:tcW w:type="dxa" w:w="1036"/>
            <w:vAlign w:val="top"/>
          </w:tcPr>
          <w:p>
            <w:pPr>
              <w:spacing w:after="40" w:before="0" w:line="259" w:lineRule="auto"/>
            </w:pPr>
            <w:r>
              <w:rPr>
                <w:rFonts w:ascii="Calibri" w:hAnsi="Calibri"/>
                <w:b w:val="0"/>
                <w:i w:val="0"/>
                <w:color w:val="212121"/>
                <w:sz w:val="16"/>
              </w:rPr>
              <w:t>Quantitative molecular diagnosis; useful in mixed or recurrent infection</w:t>
            </w:r>
          </w:p>
        </w:tc>
        <w:tc>
          <w:tcPr>
            <w:tcW w:type="dxa" w:w="1036"/>
            <w:vAlign w:val="top"/>
          </w:tcPr>
          <w:p>
            <w:pPr>
              <w:spacing w:after="40" w:before="0" w:line="259" w:lineRule="auto"/>
            </w:pPr>
            <w:r>
              <w:rPr>
                <w:rFonts w:ascii="Calibri" w:hAnsi="Calibri"/>
                <w:b w:val="0"/>
                <w:i w:val="0"/>
                <w:color w:val="212121"/>
                <w:sz w:val="16"/>
              </w:rPr>
              <w:t>Recurrent or mixed vaginitis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Many assays simultaneously exclude candida and trichomonas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Co-testing</w:t>
            </w:r>
          </w:p>
        </w:tc>
        <w:tc>
          <w:tcPr>
            <w:tcW w:type="dxa" w:w="1036"/>
            <w:vAlign w:val="top"/>
          </w:tcPr>
          <w:p>
            <w:pPr>
              <w:spacing w:after="40" w:before="0" w:line="259" w:lineRule="auto"/>
            </w:pPr>
            <w:r>
              <w:rPr>
                <w:rFonts w:ascii="Calibri" w:hAnsi="Calibri"/>
                <w:b w:val="0"/>
                <w:i w:val="0"/>
                <w:color w:val="212121"/>
                <w:sz w:val="16"/>
              </w:rPr>
              <w:t>Screen for coinfection</w:t>
            </w:r>
          </w:p>
        </w:tc>
        <w:tc>
          <w:tcPr>
            <w:tcW w:type="dxa" w:w="892"/>
            <w:vAlign w:val="top"/>
          </w:tcPr>
          <w:p>
            <w:pPr>
              <w:spacing w:after="40" w:before="0" w:line="259" w:lineRule="auto"/>
            </w:pPr>
            <w:r>
              <w:rPr>
                <w:rFonts w:ascii="Calibri" w:hAnsi="Calibri"/>
                <w:b w:val="0"/>
                <w:i w:val="0"/>
                <w:color w:val="212121"/>
                <w:sz w:val="16"/>
              </w:rPr>
              <w:t>KOH mount &amp; NAAT for Candida, Trichomonas, chlamydia/gonorrhoea</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Coinfection detected</w:t>
            </w:r>
          </w:p>
        </w:tc>
        <w:tc>
          <w:tcPr>
            <w:tcW w:type="dxa" w:w="1036"/>
            <w:vAlign w:val="top"/>
          </w:tcPr>
          <w:p>
            <w:pPr>
              <w:spacing w:after="40" w:before="0" w:line="259" w:lineRule="auto"/>
            </w:pPr>
            <w:r>
              <w:rPr>
                <w:rFonts w:ascii="Calibri" w:hAnsi="Calibri"/>
                <w:b w:val="0"/>
                <w:i w:val="0"/>
                <w:color w:val="212121"/>
                <w:sz w:val="16"/>
              </w:rPr>
              <w:t>BV frequently coexists with other reproductive-tract and sexually transmitted infections</w:t>
            </w:r>
          </w:p>
        </w:tc>
        <w:tc>
          <w:tcPr>
            <w:tcW w:type="dxa" w:w="1036"/>
            <w:vAlign w:val="top"/>
          </w:tcPr>
          <w:p>
            <w:pPr>
              <w:spacing w:after="40" w:before="0" w:line="259" w:lineRule="auto"/>
            </w:pPr>
            <w:r>
              <w:rPr>
                <w:rFonts w:ascii="Calibri" w:hAnsi="Calibri"/>
                <w:b w:val="0"/>
                <w:i w:val="0"/>
                <w:color w:val="212121"/>
                <w:sz w:val="16"/>
              </w:rPr>
              <w:t>STI-clinic attendees, high-risk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Guided by risk and symptoms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Discharge character &amp; odour (thin grey-white, fishy, worse post-coitus/menses)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Classic BV symptom pattern</w:t>
            </w:r>
          </w:p>
        </w:tc>
        <w:tc>
          <w:tcPr>
            <w:tcW w:type="dxa" w:w="1036"/>
            <w:vAlign w:val="top"/>
          </w:tcPr>
          <w:p>
            <w:pPr>
              <w:spacing w:after="40" w:before="0" w:line="259" w:lineRule="auto"/>
            </w:pPr>
            <w:r>
              <w:rPr>
                <w:rFonts w:ascii="Calibri" w:hAnsi="Calibri"/>
                <w:b w:val="0"/>
                <w:i w:val="0"/>
                <w:color w:val="212121"/>
                <w:sz w:val="16"/>
              </w:rPr>
              <w:t>Reproductive-age women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Up to half of affected women are asymptomatic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Sexual history</w:t>
            </w:r>
          </w:p>
        </w:tc>
        <w:tc>
          <w:tcPr>
            <w:tcW w:type="dxa" w:w="979"/>
            <w:vAlign w:val="top"/>
          </w:tcPr>
          <w:p>
            <w:pPr>
              <w:spacing w:after="40" w:before="0" w:line="259" w:lineRule="auto"/>
            </w:pPr>
            <w:r>
              <w:rPr>
                <w:rFonts w:ascii="Calibri" w:hAnsi="Calibri"/>
                <w:b w:val="0"/>
                <w:i w:val="0"/>
                <w:color w:val="212121"/>
                <w:sz w:val="16"/>
              </w:rPr>
              <w:t>New/multiple partners, condom use, female partners</w:t>
            </w:r>
          </w:p>
        </w:tc>
        <w:tc>
          <w:tcPr>
            <w:tcW w:type="dxa" w:w="950"/>
            <w:vAlign w:val="top"/>
          </w:tcPr>
          <w:p>
            <w:pPr>
              <w:spacing w:after="40" w:before="0" w:line="259" w:lineRule="auto"/>
            </w:pPr>
            <w:r>
              <w:rPr>
                <w:rFonts w:ascii="Calibri" w:hAnsi="Calibri"/>
                <w:b w:val="0"/>
                <w:i w:val="0"/>
                <w:color w:val="212121"/>
                <w:sz w:val="16"/>
              </w:rPr>
              <w:t>Stable single partner, protected sex</w:t>
            </w:r>
          </w:p>
        </w:tc>
        <w:tc>
          <w:tcPr>
            <w:tcW w:type="dxa" w:w="950"/>
            <w:vAlign w:val="top"/>
          </w:tcPr>
          <w:p>
            <w:pPr>
              <w:spacing w:after="40" w:before="0" w:line="259" w:lineRule="auto"/>
            </w:pPr>
            <w:r>
              <w:rPr>
                <w:rFonts w:ascii="Calibri" w:hAnsi="Calibri"/>
                <w:b w:val="0"/>
                <w:i w:val="0"/>
                <w:color w:val="212121"/>
                <w:sz w:val="16"/>
              </w:rPr>
              <w:t>New/multiple partners, unprotected sex, WSW</w:t>
            </w:r>
          </w:p>
        </w:tc>
        <w:tc>
          <w:tcPr>
            <w:tcW w:type="dxa" w:w="1036"/>
            <w:vAlign w:val="top"/>
          </w:tcPr>
          <w:p>
            <w:pPr>
              <w:spacing w:after="40" w:before="0" w:line="259" w:lineRule="auto"/>
            </w:pPr>
            <w:r>
              <w:rPr>
                <w:rFonts w:ascii="Calibri" w:hAnsi="Calibri"/>
                <w:b w:val="0"/>
                <w:i w:val="0"/>
                <w:color w:val="212121"/>
                <w:sz w:val="16"/>
              </w:rPr>
              <w:t>Sexual factors modulate risk and recurrence</w:t>
            </w:r>
          </w:p>
        </w:tc>
        <w:tc>
          <w:tcPr>
            <w:tcW w:type="dxa" w:w="1036"/>
            <w:vAlign w:val="top"/>
          </w:tcPr>
          <w:p>
            <w:pPr>
              <w:spacing w:after="40" w:before="0" w:line="259" w:lineRule="auto"/>
            </w:pPr>
            <w:r>
              <w:rPr>
                <w:rFonts w:ascii="Calibri" w:hAnsi="Calibri"/>
                <w:b w:val="0"/>
                <w:i w:val="0"/>
                <w:color w:val="212121"/>
                <w:sz w:val="16"/>
              </w:rPr>
              <w:t>Sexually active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BV is not classically an STI but is sexually associated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Hygiene &amp; menstrual practices</w:t>
            </w:r>
          </w:p>
        </w:tc>
        <w:tc>
          <w:tcPr>
            <w:tcW w:type="dxa" w:w="979"/>
            <w:vAlign w:val="top"/>
          </w:tcPr>
          <w:p>
            <w:pPr>
              <w:spacing w:after="40" w:before="0" w:line="259" w:lineRule="auto"/>
            </w:pPr>
            <w:r>
              <w:rPr>
                <w:rFonts w:ascii="Calibri" w:hAnsi="Calibri"/>
                <w:b w:val="0"/>
                <w:i w:val="0"/>
                <w:color w:val="212121"/>
                <w:sz w:val="16"/>
              </w:rPr>
              <w:t>Douching, intravaginal products, menstrual absorbent hygiene</w:t>
            </w:r>
          </w:p>
        </w:tc>
        <w:tc>
          <w:tcPr>
            <w:tcW w:type="dxa" w:w="950"/>
            <w:vAlign w:val="top"/>
          </w:tcPr>
          <w:p>
            <w:pPr>
              <w:spacing w:after="40" w:before="0" w:line="259" w:lineRule="auto"/>
            </w:pPr>
            <w:r>
              <w:rPr>
                <w:rFonts w:ascii="Calibri" w:hAnsi="Calibri"/>
                <w:b w:val="0"/>
                <w:i w:val="0"/>
                <w:color w:val="212121"/>
                <w:sz w:val="16"/>
              </w:rPr>
              <w:t>No douching; adequate menstrual hygiene</w:t>
            </w:r>
          </w:p>
        </w:tc>
        <w:tc>
          <w:tcPr>
            <w:tcW w:type="dxa" w:w="950"/>
            <w:vAlign w:val="top"/>
          </w:tcPr>
          <w:p>
            <w:pPr>
              <w:spacing w:after="40" w:before="0" w:line="259" w:lineRule="auto"/>
            </w:pPr>
            <w:r>
              <w:rPr>
                <w:rFonts w:ascii="Calibri" w:hAnsi="Calibri"/>
                <w:b w:val="0"/>
                <w:i w:val="0"/>
                <w:color w:val="212121"/>
                <w:sz w:val="16"/>
              </w:rPr>
              <w:t>Douching, intravaginal herbs/products, poor menstrual hygiene</w:t>
            </w:r>
          </w:p>
        </w:tc>
        <w:tc>
          <w:tcPr>
            <w:tcW w:type="dxa" w:w="1036"/>
            <w:vAlign w:val="top"/>
          </w:tcPr>
          <w:p>
            <w:pPr>
              <w:spacing w:after="40" w:before="0" w:line="259" w:lineRule="auto"/>
            </w:pPr>
            <w:r>
              <w:rPr>
                <w:rFonts w:ascii="Calibri" w:hAnsi="Calibri"/>
                <w:b w:val="0"/>
                <w:i w:val="0"/>
                <w:color w:val="212121"/>
                <w:sz w:val="16"/>
              </w:rPr>
              <w:t>Key modifiable drivers of BV</w:t>
            </w:r>
          </w:p>
        </w:tc>
        <w:tc>
          <w:tcPr>
            <w:tcW w:type="dxa" w:w="1036"/>
            <w:vAlign w:val="top"/>
          </w:tcPr>
          <w:p>
            <w:pPr>
              <w:spacing w:after="40" w:before="0" w:line="259" w:lineRule="auto"/>
            </w:pPr>
            <w:r>
              <w:rPr>
                <w:rFonts w:ascii="Calibri" w:hAnsi="Calibri"/>
                <w:b w:val="0"/>
                <w:i w:val="0"/>
                <w:color w:val="212121"/>
                <w:sz w:val="16"/>
              </w:rPr>
              <w:t>Women who douche; rural/low-WASH women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Counsel firmly to stop douching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Recurrence &amp; drug history</w:t>
            </w:r>
          </w:p>
        </w:tc>
        <w:tc>
          <w:tcPr>
            <w:tcW w:type="dxa" w:w="979"/>
            <w:vAlign w:val="top"/>
          </w:tcPr>
          <w:p>
            <w:pPr>
              <w:spacing w:after="40" w:before="0" w:line="259" w:lineRule="auto"/>
            </w:pPr>
            <w:r>
              <w:rPr>
                <w:rFonts w:ascii="Calibri" w:hAnsi="Calibri"/>
                <w:b w:val="0"/>
                <w:i w:val="0"/>
                <w:color w:val="212121"/>
                <w:sz w:val="16"/>
              </w:rPr>
              <w:t>Prior BV episodes, recent antibiotics, contraception (IUD)</w:t>
            </w:r>
          </w:p>
        </w:tc>
        <w:tc>
          <w:tcPr>
            <w:tcW w:type="dxa" w:w="950"/>
            <w:vAlign w:val="top"/>
          </w:tcPr>
          <w:p>
            <w:pPr>
              <w:spacing w:after="40" w:before="0" w:line="259" w:lineRule="auto"/>
            </w:pPr>
            <w:r>
              <w:rPr>
                <w:rFonts w:ascii="Calibri" w:hAnsi="Calibri"/>
                <w:b w:val="0"/>
                <w:i w:val="0"/>
                <w:color w:val="212121"/>
                <w:sz w:val="16"/>
              </w:rPr>
              <w:t>No prior episodes</w:t>
            </w:r>
          </w:p>
        </w:tc>
        <w:tc>
          <w:tcPr>
            <w:tcW w:type="dxa" w:w="950"/>
            <w:vAlign w:val="top"/>
          </w:tcPr>
          <w:p>
            <w:pPr>
              <w:spacing w:after="40" w:before="0" w:line="259" w:lineRule="auto"/>
            </w:pPr>
            <w:r>
              <w:rPr>
                <w:rFonts w:ascii="Calibri" w:hAnsi="Calibri"/>
                <w:b w:val="0"/>
                <w:i w:val="0"/>
                <w:color w:val="212121"/>
                <w:sz w:val="16"/>
              </w:rPr>
              <w:t>≥ 3 episodes/year, recent broad-spectrum antibiotics, copper IUD</w:t>
            </w:r>
          </w:p>
        </w:tc>
        <w:tc>
          <w:tcPr>
            <w:tcW w:type="dxa" w:w="1036"/>
            <w:vAlign w:val="top"/>
          </w:tcPr>
          <w:p>
            <w:pPr>
              <w:spacing w:after="40" w:before="0" w:line="259" w:lineRule="auto"/>
            </w:pPr>
            <w:r>
              <w:rPr>
                <w:rFonts w:ascii="Calibri" w:hAnsi="Calibri"/>
                <w:b w:val="0"/>
                <w:i w:val="0"/>
                <w:color w:val="212121"/>
                <w:sz w:val="16"/>
              </w:rPr>
              <w:t>Identifies recurrent BV needing suppressive therapy</w:t>
            </w:r>
          </w:p>
        </w:tc>
        <w:tc>
          <w:tcPr>
            <w:tcW w:type="dxa" w:w="1036"/>
            <w:vAlign w:val="top"/>
          </w:tcPr>
          <w:p>
            <w:pPr>
              <w:spacing w:after="40" w:before="0" w:line="259" w:lineRule="auto"/>
            </w:pPr>
            <w:r>
              <w:rPr>
                <w:rFonts w:ascii="Calibri" w:hAnsi="Calibri"/>
                <w:b w:val="0"/>
                <w:i w:val="0"/>
                <w:color w:val="212121"/>
                <w:sz w:val="16"/>
              </w:rPr>
              <w:t>Women with recurrent BV</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Recurrence affects a majority within 9–12 months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Obstetric status</w:t>
            </w:r>
          </w:p>
        </w:tc>
        <w:tc>
          <w:tcPr>
            <w:tcW w:type="dxa" w:w="979"/>
            <w:vAlign w:val="top"/>
          </w:tcPr>
          <w:p>
            <w:pPr>
              <w:spacing w:after="40" w:before="0" w:line="259" w:lineRule="auto"/>
            </w:pPr>
            <w:r>
              <w:rPr>
                <w:rFonts w:ascii="Calibri" w:hAnsi="Calibri"/>
                <w:b w:val="0"/>
                <w:i w:val="0"/>
                <w:color w:val="212121"/>
                <w:sz w:val="16"/>
              </w:rPr>
              <w:t>Pregnancy and prior preterm birth</w:t>
            </w:r>
          </w:p>
        </w:tc>
        <w:tc>
          <w:tcPr>
            <w:tcW w:type="dxa" w:w="950"/>
            <w:vAlign w:val="top"/>
          </w:tcPr>
          <w:p>
            <w:pPr>
              <w:spacing w:after="40" w:before="0" w:line="259" w:lineRule="auto"/>
            </w:pPr>
            <w:r>
              <w:rPr>
                <w:rFonts w:ascii="Calibri" w:hAnsi="Calibri"/>
                <w:b w:val="0"/>
                <w:i w:val="0"/>
                <w:color w:val="212121"/>
                <w:sz w:val="16"/>
              </w:rPr>
              <w:t>Not pregnant</w:t>
            </w:r>
          </w:p>
        </w:tc>
        <w:tc>
          <w:tcPr>
            <w:tcW w:type="dxa" w:w="950"/>
            <w:vAlign w:val="top"/>
          </w:tcPr>
          <w:p>
            <w:pPr>
              <w:spacing w:after="40" w:before="0" w:line="259" w:lineRule="auto"/>
            </w:pPr>
            <w:r>
              <w:rPr>
                <w:rFonts w:ascii="Calibri" w:hAnsi="Calibri"/>
                <w:b w:val="0"/>
                <w:i w:val="0"/>
                <w:color w:val="212121"/>
                <w:sz w:val="16"/>
              </w:rPr>
              <w:t>Pregnant, especially with prior preterm birth</w:t>
            </w:r>
          </w:p>
        </w:tc>
        <w:tc>
          <w:tcPr>
            <w:tcW w:type="dxa" w:w="1036"/>
            <w:vAlign w:val="top"/>
          </w:tcPr>
          <w:p>
            <w:pPr>
              <w:spacing w:after="40" w:before="0" w:line="259" w:lineRule="auto"/>
            </w:pPr>
            <w:r>
              <w:rPr>
                <w:rFonts w:ascii="Calibri" w:hAnsi="Calibri"/>
                <w:b w:val="0"/>
                <w:i w:val="0"/>
                <w:color w:val="212121"/>
                <w:sz w:val="16"/>
              </w:rPr>
              <w:t>BV in pregnancy raises preterm-birth risk; treat symptomatic BV</w:t>
            </w:r>
          </w:p>
        </w:tc>
        <w:tc>
          <w:tcPr>
            <w:tcW w:type="dxa" w:w="1036"/>
            <w:vAlign w:val="top"/>
          </w:tcPr>
          <w:p>
            <w:pPr>
              <w:spacing w:after="40" w:before="0" w:line="259" w:lineRule="auto"/>
            </w:pPr>
            <w:r>
              <w:rPr>
                <w:rFonts w:ascii="Calibri" w:hAnsi="Calibri"/>
                <w:b w:val="0"/>
                <w:i w:val="0"/>
                <w:color w:val="212121"/>
                <w:sz w:val="16"/>
              </w:rPr>
              <w:t>Pregnant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Test and treat symptomatic pregnant women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Speculum examination</w:t>
            </w:r>
          </w:p>
        </w:tc>
        <w:tc>
          <w:tcPr>
            <w:tcW w:type="dxa" w:w="979"/>
            <w:vAlign w:val="top"/>
          </w:tcPr>
          <w:p>
            <w:pPr>
              <w:spacing w:after="40" w:before="0" w:line="259" w:lineRule="auto"/>
            </w:pPr>
            <w:r>
              <w:rPr>
                <w:rFonts w:ascii="Calibri" w:hAnsi="Calibri"/>
                <w:b w:val="0"/>
                <w:i w:val="0"/>
                <w:color w:val="212121"/>
                <w:sz w:val="16"/>
              </w:rPr>
              <w:t>Discharge appearance &amp; vaginal walls</w:t>
            </w:r>
          </w:p>
        </w:tc>
        <w:tc>
          <w:tcPr>
            <w:tcW w:type="dxa" w:w="950"/>
            <w:vAlign w:val="top"/>
          </w:tcPr>
          <w:p>
            <w:pPr>
              <w:spacing w:after="40" w:before="0" w:line="259" w:lineRule="auto"/>
            </w:pPr>
            <w:r>
              <w:rPr>
                <w:rFonts w:ascii="Calibri" w:hAnsi="Calibri"/>
                <w:b w:val="0"/>
                <w:i w:val="0"/>
                <w:color w:val="212121"/>
                <w:sz w:val="16"/>
              </w:rPr>
              <w:t>Normal flora, no adherent discharge</w:t>
            </w:r>
          </w:p>
        </w:tc>
        <w:tc>
          <w:tcPr>
            <w:tcW w:type="dxa" w:w="950"/>
            <w:vAlign w:val="top"/>
          </w:tcPr>
          <w:p>
            <w:pPr>
              <w:spacing w:after="40" w:before="0" w:line="259" w:lineRule="auto"/>
            </w:pPr>
            <w:r>
              <w:rPr>
                <w:rFonts w:ascii="Calibri" w:hAnsi="Calibri"/>
                <w:b w:val="0"/>
                <w:i w:val="0"/>
                <w:color w:val="212121"/>
                <w:sz w:val="16"/>
              </w:rPr>
              <w:t>Homogeneous grey-white discharge coating the walls</w:t>
            </w:r>
          </w:p>
        </w:tc>
        <w:tc>
          <w:tcPr>
            <w:tcW w:type="dxa" w:w="1036"/>
            <w:vAlign w:val="top"/>
          </w:tcPr>
          <w:p>
            <w:pPr>
              <w:spacing w:after="40" w:before="0" w:line="259" w:lineRule="auto"/>
            </w:pPr>
            <w:r>
              <w:rPr>
                <w:rFonts w:ascii="Calibri" w:hAnsi="Calibri"/>
                <w:b w:val="0"/>
                <w:i w:val="0"/>
                <w:color w:val="212121"/>
                <w:sz w:val="16"/>
              </w:rPr>
              <w:t>Characteristic BV finding; collect samples for pH, whiff and microscopy</w:t>
            </w:r>
          </w:p>
        </w:tc>
        <w:tc>
          <w:tcPr>
            <w:tcW w:type="dxa" w:w="1036"/>
            <w:vAlign w:val="top"/>
          </w:tcPr>
          <w:p>
            <w:pPr>
              <w:spacing w:after="40" w:before="0" w:line="259" w:lineRule="auto"/>
            </w:pPr>
            <w:r>
              <w:rPr>
                <w:rFonts w:ascii="Calibri" w:hAnsi="Calibri"/>
                <w:b w:val="0"/>
                <w:i w:val="0"/>
                <w:color w:val="212121"/>
                <w:sz w:val="16"/>
              </w:rPr>
              <w:t>Symptomatic women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Discharge is easily wiped off and non-viscous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Inflammation check</w:t>
            </w:r>
          </w:p>
        </w:tc>
        <w:tc>
          <w:tcPr>
            <w:tcW w:type="dxa" w:w="979"/>
            <w:vAlign w:val="top"/>
          </w:tcPr>
          <w:p>
            <w:pPr>
              <w:spacing w:after="40" w:before="0" w:line="259" w:lineRule="auto"/>
            </w:pPr>
            <w:r>
              <w:rPr>
                <w:rFonts w:ascii="Calibri" w:hAnsi="Calibri"/>
                <w:b w:val="0"/>
                <w:i w:val="0"/>
                <w:color w:val="212121"/>
                <w:sz w:val="16"/>
              </w:rPr>
              <w:t>Vulvar/vaginal erythema, oedema</w:t>
            </w:r>
          </w:p>
        </w:tc>
        <w:tc>
          <w:tcPr>
            <w:tcW w:type="dxa" w:w="950"/>
            <w:vAlign w:val="top"/>
          </w:tcPr>
          <w:p>
            <w:pPr>
              <w:spacing w:after="40" w:before="0" w:line="259" w:lineRule="auto"/>
            </w:pPr>
            <w:r>
              <w:rPr>
                <w:rFonts w:ascii="Calibri" w:hAnsi="Calibri"/>
                <w:b w:val="0"/>
                <w:i w:val="0"/>
                <w:color w:val="212121"/>
                <w:sz w:val="16"/>
              </w:rPr>
              <w:t>Absent (non-inflammatory)</w:t>
            </w:r>
          </w:p>
        </w:tc>
        <w:tc>
          <w:tcPr>
            <w:tcW w:type="dxa" w:w="950"/>
            <w:vAlign w:val="top"/>
          </w:tcPr>
          <w:p>
            <w:pPr>
              <w:spacing w:after="40" w:before="0" w:line="259" w:lineRule="auto"/>
            </w:pPr>
            <w:r>
              <w:rPr>
                <w:rFonts w:ascii="Calibri" w:hAnsi="Calibri"/>
                <w:b w:val="0"/>
                <w:i w:val="0"/>
                <w:color w:val="212121"/>
                <w:sz w:val="16"/>
              </w:rPr>
              <w:t>Present → suspect candida/trichomonas coinfection</w:t>
            </w:r>
          </w:p>
        </w:tc>
        <w:tc>
          <w:tcPr>
            <w:tcW w:type="dxa" w:w="1036"/>
            <w:vAlign w:val="top"/>
          </w:tcPr>
          <w:p>
            <w:pPr>
              <w:spacing w:after="40" w:before="0" w:line="259" w:lineRule="auto"/>
            </w:pPr>
            <w:r>
              <w:rPr>
                <w:rFonts w:ascii="Calibri" w:hAnsi="Calibri"/>
                <w:b w:val="0"/>
                <w:i w:val="0"/>
                <w:color w:val="212121"/>
                <w:sz w:val="16"/>
              </w:rPr>
              <w:t>BV is characteristically non-inflammatory ('vaginosis', not 'vaginitis')</w:t>
            </w:r>
          </w:p>
        </w:tc>
        <w:tc>
          <w:tcPr>
            <w:tcW w:type="dxa" w:w="1036"/>
            <w:vAlign w:val="top"/>
          </w:tcPr>
          <w:p>
            <w:pPr>
              <w:spacing w:after="40" w:before="0" w:line="259" w:lineRule="auto"/>
            </w:pPr>
            <w:r>
              <w:rPr>
                <w:rFonts w:ascii="Calibri" w:hAnsi="Calibri"/>
                <w:b w:val="0"/>
                <w:i w:val="0"/>
                <w:color w:val="212121"/>
                <w:sz w:val="16"/>
              </w:rPr>
              <w:t>Symptomatic women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Inflammation suggests an alternative or mixed diagnosis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Thin, homogeneous grey-white vaginal discharge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Coats the vaginal walls; the commonest presenting symptom.</w:t>
            </w:r>
          </w:p>
        </w:tc>
      </w:tr>
      <w:tr>
        <w:trPr>
          <w:cantSplit/>
        </w:trPr>
        <w:tc>
          <w:tcPr>
            <w:tcW w:type="dxa" w:w="2304"/>
            <w:vAlign w:val="top"/>
          </w:tcPr>
          <w:p>
            <w:pPr>
              <w:spacing w:after="40" w:before="0" w:line="259" w:lineRule="auto"/>
            </w:pPr>
            <w:r>
              <w:rPr>
                <w:rFonts w:ascii="Calibri" w:hAnsi="Calibri"/>
                <w:b/>
                <w:i w:val="0"/>
                <w:color w:val="212121"/>
                <w:sz w:val="19"/>
              </w:rPr>
              <w:t>Fishy (amine) vaginal odour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Characteristically worse after unprotected intercourse and during menstruation as raised pH releases amines.</w:t>
            </w:r>
          </w:p>
        </w:tc>
      </w:tr>
      <w:tr>
        <w:trPr>
          <w:cantSplit/>
        </w:trPr>
        <w:tc>
          <w:tcPr>
            <w:tcW w:type="dxa" w:w="2304"/>
            <w:vAlign w:val="top"/>
          </w:tcPr>
          <w:p>
            <w:pPr>
              <w:spacing w:after="40" w:before="0" w:line="259" w:lineRule="auto"/>
            </w:pPr>
            <w:r>
              <w:rPr>
                <w:rFonts w:ascii="Calibri" w:hAnsi="Calibri"/>
                <w:b/>
                <w:i w:val="0"/>
                <w:color w:val="212121"/>
                <w:sz w:val="19"/>
              </w:rPr>
              <w:t>Increased volume of discharge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noticed as staining of underwear.</w:t>
            </w:r>
          </w:p>
        </w:tc>
      </w:tr>
      <w:tr>
        <w:trPr>
          <w:cantSplit/>
        </w:trPr>
        <w:tc>
          <w:tcPr>
            <w:tcW w:type="dxa" w:w="2304"/>
            <w:vAlign w:val="top"/>
          </w:tcPr>
          <w:p>
            <w:pPr>
              <w:spacing w:after="40" w:before="0" w:line="259" w:lineRule="auto"/>
            </w:pPr>
            <w:r>
              <w:rPr>
                <w:rFonts w:ascii="Calibri" w:hAnsi="Calibri"/>
                <w:b/>
                <w:i w:val="0"/>
                <w:color w:val="212121"/>
                <w:sz w:val="19"/>
              </w:rPr>
              <w:t>No symptoms (asymptomatic)</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Up to half of women meeting diagnostic criteria have no symptoms yet may still carry reproductive risk.</w:t>
            </w:r>
          </w:p>
        </w:tc>
      </w:tr>
      <w:tr>
        <w:trPr>
          <w:cantSplit/>
        </w:trPr>
        <w:tc>
          <w:tcPr>
            <w:tcW w:type="dxa" w:w="2304"/>
            <w:vAlign w:val="top"/>
          </w:tcPr>
          <w:p>
            <w:pPr>
              <w:spacing w:after="40" w:before="0" w:line="259" w:lineRule="auto"/>
            </w:pPr>
            <w:r>
              <w:rPr>
                <w:rFonts w:ascii="Calibri" w:hAnsi="Calibri"/>
                <w:b/>
                <w:i w:val="0"/>
                <w:color w:val="212121"/>
                <w:sz w:val="19"/>
              </w:rPr>
              <w:t>Post-coital malodour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Alkaline semen volatilises amines, intensifying the odour after sex.</w:t>
            </w:r>
          </w:p>
        </w:tc>
      </w:tr>
      <w:tr>
        <w:trPr>
          <w:cantSplit/>
        </w:trPr>
        <w:tc>
          <w:tcPr>
            <w:tcW w:type="dxa" w:w="2304"/>
            <w:vAlign w:val="top"/>
          </w:tcPr>
          <w:p>
            <w:pPr>
              <w:spacing w:after="40" w:before="0" w:line="259" w:lineRule="auto"/>
            </w:pPr>
            <w:r>
              <w:rPr>
                <w:rFonts w:ascii="Calibri" w:hAnsi="Calibri"/>
                <w:b/>
                <w:i w:val="0"/>
                <w:color w:val="212121"/>
                <w:sz w:val="19"/>
              </w:rPr>
              <w:t>Mild vulvovaginal irritation or itching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When present it is mild; prominent itch suggests candida coinfection.</w:t>
            </w:r>
          </w:p>
        </w:tc>
      </w:tr>
      <w:tr>
        <w:trPr>
          <w:cantSplit/>
        </w:trPr>
        <w:tc>
          <w:tcPr>
            <w:tcW w:type="dxa" w:w="2304"/>
            <w:vAlign w:val="top"/>
          </w:tcPr>
          <w:p>
            <w:pPr>
              <w:spacing w:after="40" w:before="0" w:line="259" w:lineRule="auto"/>
            </w:pPr>
            <w:r>
              <w:rPr>
                <w:rFonts w:ascii="Calibri" w:hAnsi="Calibri"/>
                <w:b/>
                <w:i w:val="0"/>
                <w:color w:val="212121"/>
                <w:sz w:val="19"/>
              </w:rPr>
              <w:t>Burning or discomfort on urination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External dysuria from discharge contact rather than true cystitis.</w:t>
            </w:r>
          </w:p>
        </w:tc>
      </w:tr>
      <w:tr>
        <w:trPr>
          <w:cantSplit/>
        </w:trPr>
        <w:tc>
          <w:tcPr>
            <w:tcW w:type="dxa" w:w="2304"/>
            <w:vAlign w:val="top"/>
          </w:tcPr>
          <w:p>
            <w:pPr>
              <w:spacing w:after="40" w:before="0" w:line="259" w:lineRule="auto"/>
            </w:pPr>
            <w:r>
              <w:rPr>
                <w:rFonts w:ascii="Calibri" w:hAnsi="Calibri"/>
                <w:b/>
                <w:i w:val="0"/>
                <w:color w:val="212121"/>
                <w:sz w:val="19"/>
              </w:rPr>
              <w:t>Vaginal discomfort or soreness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Generally mild; BV is typically non-inflammatory.</w:t>
            </w:r>
          </w:p>
        </w:tc>
      </w:tr>
      <w:tr>
        <w:trPr>
          <w:cantSplit/>
        </w:trPr>
        <w:tc>
          <w:tcPr>
            <w:tcW w:type="dxa" w:w="2304"/>
            <w:vAlign w:val="top"/>
          </w:tcPr>
          <w:p>
            <w:pPr>
              <w:spacing w:after="40" w:before="0" w:line="259" w:lineRule="auto"/>
            </w:pPr>
            <w:r>
              <w:rPr>
                <w:rFonts w:ascii="Calibri" w:hAnsi="Calibri"/>
                <w:b/>
                <w:i w:val="0"/>
                <w:color w:val="212121"/>
                <w:sz w:val="19"/>
              </w:rPr>
              <w:t>Absence of thick, curd-like discharge or intense itch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pertinent negative that helps distinguish BV from vulvovaginal candidiasis.</w:t>
            </w:r>
          </w:p>
        </w:tc>
      </w:tr>
      <w:tr>
        <w:trPr>
          <w:cantSplit/>
        </w:trPr>
        <w:tc>
          <w:tcPr>
            <w:tcW w:type="dxa" w:w="2304"/>
            <w:vAlign w:val="top"/>
          </w:tcPr>
          <w:p>
            <w:pPr>
              <w:spacing w:after="40" w:before="0" w:line="259" w:lineRule="auto"/>
            </w:pPr>
            <w:r>
              <w:rPr>
                <w:rFonts w:ascii="Calibri" w:hAnsi="Calibri"/>
                <w:b/>
                <w:i w:val="0"/>
                <w:color w:val="212121"/>
                <w:sz w:val="19"/>
              </w:rPr>
              <w:t>Recurrent symptoms after treatment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Relapse is frequent, often within weeks to a few months of therapy.</w:t>
            </w:r>
          </w:p>
        </w:tc>
      </w:tr>
      <w:tr>
        <w:trPr>
          <w:cantSplit/>
        </w:trPr>
        <w:tc>
          <w:tcPr>
            <w:tcW w:type="dxa" w:w="2304"/>
            <w:vAlign w:val="top"/>
          </w:tcPr>
          <w:p>
            <w:pPr>
              <w:spacing w:after="40" w:before="0" w:line="259" w:lineRule="auto"/>
            </w:pPr>
            <w:r>
              <w:rPr>
                <w:rFonts w:ascii="Calibri" w:hAnsi="Calibri"/>
                <w:b/>
                <w:i w:val="0"/>
                <w:color w:val="212121"/>
                <w:sz w:val="19"/>
              </w:rPr>
              <w:t>Lower abdominal or pelvic discomfort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ascending infection or pelvic inflammatory disease and warrants evaluation.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Homogeneous, thin grey-white discharge coating the vaginal walls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Adherent but easily wiped; the classic speculum finding.</w:t>
            </w:r>
          </w:p>
        </w:tc>
      </w:tr>
      <w:tr>
        <w:trPr>
          <w:cantSplit/>
        </w:trPr>
        <w:tc>
          <w:tcPr>
            <w:tcW w:type="dxa" w:w="3456"/>
            <w:vAlign w:val="top"/>
          </w:tcPr>
          <w:p>
            <w:pPr>
              <w:spacing w:after="40" w:before="0" w:line="259" w:lineRule="auto"/>
            </w:pPr>
            <w:r>
              <w:rPr>
                <w:rFonts w:ascii="Calibri" w:hAnsi="Calibri"/>
                <w:b/>
                <w:i w:val="0"/>
                <w:color w:val="212121"/>
                <w:sz w:val="19"/>
              </w:rPr>
              <w:t>Elevated vaginal pH &gt; 4.5</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Measured with narrow-range pH paper; an Amsel criterion.</w:t>
            </w:r>
          </w:p>
        </w:tc>
      </w:tr>
      <w:tr>
        <w:trPr>
          <w:cantSplit/>
        </w:trPr>
        <w:tc>
          <w:tcPr>
            <w:tcW w:type="dxa" w:w="3456"/>
            <w:vAlign w:val="top"/>
          </w:tcPr>
          <w:p>
            <w:pPr>
              <w:spacing w:after="40" w:before="0" w:line="259" w:lineRule="auto"/>
            </w:pPr>
            <w:r>
              <w:rPr>
                <w:rFonts w:ascii="Calibri" w:hAnsi="Calibri"/>
                <w:b/>
                <w:i w:val="0"/>
                <w:color w:val="212121"/>
                <w:sz w:val="19"/>
              </w:rPr>
              <w:t>Positive whiff (amine)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Fishy odour on adding 10% potassium hydroxide (KOH).</w:t>
            </w:r>
          </w:p>
        </w:tc>
      </w:tr>
      <w:tr>
        <w:trPr>
          <w:cantSplit/>
        </w:trPr>
        <w:tc>
          <w:tcPr>
            <w:tcW w:type="dxa" w:w="3456"/>
            <w:vAlign w:val="top"/>
          </w:tcPr>
          <w:p>
            <w:pPr>
              <w:spacing w:after="40" w:before="0" w:line="259" w:lineRule="auto"/>
            </w:pPr>
            <w:r>
              <w:rPr>
                <w:rFonts w:ascii="Calibri" w:hAnsi="Calibri"/>
                <w:b/>
                <w:i w:val="0"/>
                <w:color w:val="212121"/>
                <w:sz w:val="19"/>
              </w:rPr>
              <w:t>Clue cells on saline wet mount (≥ 20% of epithelial cells)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Epithelial cells studded with coccobacilli, obscuring their borders.</w:t>
            </w:r>
          </w:p>
        </w:tc>
      </w:tr>
      <w:tr>
        <w:trPr>
          <w:cantSplit/>
        </w:trPr>
        <w:tc>
          <w:tcPr>
            <w:tcW w:type="dxa" w:w="3456"/>
            <w:vAlign w:val="top"/>
          </w:tcPr>
          <w:p>
            <w:pPr>
              <w:spacing w:after="40" w:before="0" w:line="259" w:lineRule="auto"/>
            </w:pPr>
            <w:r>
              <w:rPr>
                <w:rFonts w:ascii="Calibri" w:hAnsi="Calibri"/>
                <w:b/>
                <w:i w:val="0"/>
                <w:color w:val="212121"/>
                <w:sz w:val="19"/>
              </w:rPr>
              <w:t>Reduced or absent lactobacilli with scant leukocytes on microscopy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non-inflammatory microscopic picture typical of BV.</w:t>
            </w:r>
          </w:p>
        </w:tc>
      </w:tr>
      <w:tr>
        <w:trPr>
          <w:cantSplit/>
        </w:trPr>
        <w:tc>
          <w:tcPr>
            <w:tcW w:type="dxa" w:w="3456"/>
            <w:vAlign w:val="top"/>
          </w:tcPr>
          <w:p>
            <w:pPr>
              <w:spacing w:after="40" w:before="0" w:line="259" w:lineRule="auto"/>
            </w:pPr>
            <w:r>
              <w:rPr>
                <w:rFonts w:ascii="Calibri" w:hAnsi="Calibri"/>
                <w:b/>
                <w:i w:val="0"/>
                <w:color w:val="212121"/>
                <w:sz w:val="19"/>
              </w:rPr>
              <w:t>High Nugent score (7–10) on Gram stain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Laboratory reference-standard sign.</w:t>
            </w:r>
          </w:p>
        </w:tc>
      </w:tr>
      <w:tr>
        <w:trPr>
          <w:cantSplit/>
        </w:trPr>
        <w:tc>
          <w:tcPr>
            <w:tcW w:type="dxa" w:w="3456"/>
            <w:vAlign w:val="top"/>
          </w:tcPr>
          <w:p>
            <w:pPr>
              <w:spacing w:after="40" w:before="0" w:line="259" w:lineRule="auto"/>
            </w:pPr>
            <w:r>
              <w:rPr>
                <w:rFonts w:ascii="Calibri" w:hAnsi="Calibri"/>
                <w:b/>
                <w:i w:val="0"/>
                <w:color w:val="212121"/>
                <w:sz w:val="19"/>
              </w:rPr>
              <w:t>Absence of vulvovaginal erythema or 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BV is characteristically non-inflammatory — hence 'vaginosis', not 'vaginitis'.</w:t>
            </w:r>
          </w:p>
        </w:tc>
      </w:tr>
      <w:tr>
        <w:trPr>
          <w:cantSplit/>
        </w:trPr>
        <w:tc>
          <w:tcPr>
            <w:tcW w:type="dxa" w:w="3456"/>
            <w:vAlign w:val="top"/>
          </w:tcPr>
          <w:p>
            <w:pPr>
              <w:spacing w:after="40" w:before="0" w:line="259" w:lineRule="auto"/>
            </w:pPr>
            <w:r>
              <w:rPr>
                <w:rFonts w:ascii="Calibri" w:hAnsi="Calibri"/>
                <w:b/>
                <w:i w:val="0"/>
                <w:color w:val="212121"/>
                <w:sz w:val="19"/>
              </w:rPr>
              <w:t>Malodour appreciable on examination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Notably after intercourse or menstruation.</w:t>
            </w:r>
          </w:p>
        </w:tc>
      </w:tr>
      <w:tr>
        <w:trPr>
          <w:cantSplit/>
        </w:trPr>
        <w:tc>
          <w:tcPr>
            <w:tcW w:type="dxa" w:w="3456"/>
            <w:vAlign w:val="top"/>
          </w:tcPr>
          <w:p>
            <w:pPr>
              <w:spacing w:after="40" w:before="0" w:line="259" w:lineRule="auto"/>
            </w:pPr>
            <w:r>
              <w:rPr>
                <w:rFonts w:ascii="Calibri" w:hAnsi="Calibri"/>
                <w:b/>
                <w:i w:val="0"/>
                <w:color w:val="212121"/>
                <w:sz w:val="19"/>
              </w:rPr>
              <w:t>Vulvovaginal inflammation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If present, suggests coinfection (candida or trichomonas) rather than isolated BV.</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or recurrent malodorous vaginal discharge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Raised vaginal pH predisposing to further colonisation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Psychosocial distress, embarrassment and reduced sexual and quality-of-life wellbeing</w:t>
            </w:r>
          </w:p>
        </w:tc>
        <w:tc>
          <w:tcPr>
            <w:tcW w:type="dxa" w:w="2980"/>
            <w:vAlign w:val="top"/>
          </w:tcPr>
          <w:p>
            <w:pPr>
              <w:spacing w:after="40" w:before="0" w:line="259" w:lineRule="auto"/>
            </w:pPr>
            <w:r>
              <w:rPr>
                <w:rFonts w:ascii="Calibri" w:hAnsi="Calibri"/>
                <w:b w:val="0"/>
                <w:i w:val="0"/>
                <w:color w:val="212121"/>
                <w:sz w:val="19"/>
              </w:rPr>
              <w:t>Direct effects of the vaginal dysbiosis itself, including a high relapse rate after treatment.</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acquisition and transmission of STIs, including HIV, chlamydia, gonorrhoea, HSV-2, HPV and trichomoniasis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Ascending infection causing pelvic inflammatory disease (PID)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pregnancy: preterm labour and birth, preterm premature rupture of membranes, chorioamnionitis, low birth weight and late miscarriage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Post-procedure infection (post-abortal and post-hysterectomy endometritis, vaginal-cuff cellulitis)</w:t>
            </w:r>
          </w:p>
        </w:tc>
        <w:tc>
          <w:tcPr>
            <w:tcW w:type="dxa" w:w="2980"/>
            <w:vAlign w:val="top"/>
          </w:tcPr>
          <w:p>
            <w:pPr>
              <w:spacing w:after="40" w:before="0" w:line="259" w:lineRule="auto"/>
            </w:pPr>
            <w:r>
              <w:rPr>
                <w:rFonts w:ascii="Calibri" w:hAnsi="Calibri"/>
                <w:b w:val="0"/>
                <w:i w:val="0"/>
                <w:color w:val="212121"/>
                <w:sz w:val="19"/>
              </w:rPr>
              <w:t>Consequences of dysbiosis-driven mucosal susceptibility and ascending anaerobic spread.</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Tubal-factor infertility and ectopic pregnancy from PID sequelae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pelvic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Neonatal morbidity from prematurity and low birth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Population-level facilitation of HIV transmission</w:t>
            </w:r>
          </w:p>
        </w:tc>
        <w:tc>
          <w:tcPr>
            <w:tcW w:type="dxa" w:w="2980"/>
            <w:vAlign w:val="top"/>
          </w:tcPr>
          <w:p>
            <w:pPr>
              <w:spacing w:after="40" w:before="0" w:line="259" w:lineRule="auto"/>
            </w:pPr>
            <w:r>
              <w:rPr>
                <w:rFonts w:ascii="Calibri" w:hAnsi="Calibri"/>
                <w:b w:val="0"/>
                <w:i w:val="0"/>
                <w:color w:val="212121"/>
                <w:sz w:val="19"/>
              </w:rPr>
              <w:t>Long-term, disabling sequelae of untreated or repeatedly recurrent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Tubal-factor infertility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BV-associated anaerobes can ascend to cause subclinical PID and tubal damage; BV is over-represented among infertile women.</w:t>
            </w:r>
          </w:p>
          <w:p>
            <w:pPr>
              <w:spacing w:after="40" w:before="0" w:line="259" w:lineRule="auto"/>
            </w:pPr>
            <w:r>
              <w:rPr>
                <w:rFonts w:ascii="Calibri" w:hAnsi="Calibri"/>
                <w:b/>
                <w:i w:val="0"/>
                <w:color w:val="212121"/>
                <w:sz w:val="19"/>
              </w:rPr>
              <w:t>Up to 45.5% (infertile women vs 15.4% fertile)</w:t>
            </w:r>
          </w:p>
        </w:tc>
      </w:tr>
      <w:tr>
        <w:trPr>
          <w:cantSplit/>
        </w:trPr>
        <w:tc>
          <w:tcPr>
            <w:tcW w:type="dxa" w:w="2232"/>
            <w:vAlign w:val="top"/>
          </w:tcPr>
          <w:p>
            <w:pPr>
              <w:spacing w:after="40" w:before="0" w:line="259" w:lineRule="auto"/>
            </w:pPr>
            <w:r>
              <w:rPr>
                <w:rFonts w:ascii="Calibri" w:hAnsi="Calibri"/>
                <w:b/>
                <w:i w:val="0"/>
                <w:color w:val="212121"/>
                <w:sz w:val="19"/>
              </w:rPr>
              <w:t>Trichomoniasis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Frequent coinfection; in Mysore BV was independently associated with T. vaginalis (odds ratio 4.07).</w:t>
            </w:r>
          </w:p>
        </w:tc>
      </w:tr>
      <w:tr>
        <w:trPr>
          <w:cantSplit/>
        </w:trPr>
        <w:tc>
          <w:tcPr>
            <w:tcW w:type="dxa" w:w="2232"/>
            <w:vAlign w:val="top"/>
          </w:tcPr>
          <w:p>
            <w:pPr>
              <w:spacing w:after="40" w:before="0" w:line="259" w:lineRule="auto"/>
            </w:pPr>
            <w:r>
              <w:rPr>
                <w:rFonts w:ascii="Calibri" w:hAnsi="Calibri"/>
                <w:b/>
                <w:i w:val="0"/>
                <w:color w:val="212121"/>
                <w:sz w:val="19"/>
              </w:rPr>
              <w:t>HSV-2 infection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Associated with BV in Indian data (odds ratio 2.22 in Mysore).</w:t>
            </w:r>
          </w:p>
        </w:tc>
      </w:tr>
      <w:tr>
        <w:trPr>
          <w:cantSplit/>
        </w:trPr>
        <w:tc>
          <w:tcPr>
            <w:tcW w:type="dxa" w:w="2232"/>
            <w:vAlign w:val="top"/>
          </w:tcPr>
          <w:p>
            <w:pPr>
              <w:spacing w:after="40" w:before="0" w:line="259" w:lineRule="auto"/>
            </w:pPr>
            <w:r>
              <w:rPr>
                <w:rFonts w:ascii="Calibri" w:hAnsi="Calibri"/>
                <w:b/>
                <w:i w:val="0"/>
                <w:color w:val="212121"/>
                <w:sz w:val="19"/>
              </w:rPr>
              <w:t>HIV infection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BV is more common and persistent in HIV-positive women and can increase genital HIV shedding up to 6-fold.</w:t>
            </w:r>
          </w:p>
        </w:tc>
      </w:tr>
      <w:tr>
        <w:trPr>
          <w:cantSplit/>
        </w:trPr>
        <w:tc>
          <w:tcPr>
            <w:tcW w:type="dxa" w:w="2232"/>
            <w:vAlign w:val="top"/>
          </w:tcPr>
          <w:p>
            <w:pPr>
              <w:spacing w:after="40" w:before="0" w:line="259" w:lineRule="auto"/>
            </w:pPr>
            <w:r>
              <w:rPr>
                <w:rFonts w:ascii="Calibri" w:hAnsi="Calibri"/>
                <w:b/>
                <w:i w:val="0"/>
                <w:color w:val="212121"/>
                <w:sz w:val="19"/>
              </w:rPr>
              <w:t>Chlamydia trachomatis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BV is associated with roughly a 1.9-fold higher risk of chlamydia acquisition.</w:t>
            </w:r>
          </w:p>
        </w:tc>
      </w:tr>
      <w:tr>
        <w:trPr>
          <w:cantSplit/>
        </w:trPr>
        <w:tc>
          <w:tcPr>
            <w:tcW w:type="dxa" w:w="2232"/>
            <w:vAlign w:val="top"/>
          </w:tcPr>
          <w:p>
            <w:pPr>
              <w:spacing w:after="40" w:before="0" w:line="259" w:lineRule="auto"/>
            </w:pPr>
            <w:r>
              <w:rPr>
                <w:rFonts w:ascii="Calibri" w:hAnsi="Calibri"/>
                <w:b/>
                <w:i w:val="0"/>
                <w:color w:val="212121"/>
                <w:sz w:val="19"/>
              </w:rPr>
              <w:t>Gonorrhoea</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BV is associated with roughly a 1.8-fold higher risk of gonorrhoea acquisition.</w:t>
            </w:r>
          </w:p>
        </w:tc>
      </w:tr>
      <w:tr>
        <w:trPr>
          <w:cantSplit/>
        </w:trPr>
        <w:tc>
          <w:tcPr>
            <w:tcW w:type="dxa" w:w="2232"/>
            <w:vAlign w:val="top"/>
          </w:tcPr>
          <w:p>
            <w:pPr>
              <w:spacing w:after="40" w:before="0" w:line="259" w:lineRule="auto"/>
            </w:pPr>
            <w:r>
              <w:rPr>
                <w:rFonts w:ascii="Calibri" w:hAnsi="Calibri"/>
                <w:b/>
                <w:i w:val="0"/>
                <w:color w:val="212121"/>
                <w:sz w:val="19"/>
              </w:rPr>
              <w:t>Preterm birth (in pregnancy)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BV roughly doubles the risk of preterm delivery and increases premature rupture of membranes and low birth weight.</w:t>
            </w:r>
          </w:p>
        </w:tc>
      </w:tr>
      <w:tr>
        <w:trPr>
          <w:cantSplit/>
        </w:trPr>
        <w:tc>
          <w:tcPr>
            <w:tcW w:type="dxa" w:w="2232"/>
            <w:vAlign w:val="top"/>
          </w:tcPr>
          <w:p>
            <w:pPr>
              <w:spacing w:after="40" w:before="0" w:line="259" w:lineRule="auto"/>
            </w:pPr>
            <w:r>
              <w:rPr>
                <w:rFonts w:ascii="Calibri" w:hAnsi="Calibri"/>
                <w:b/>
                <w:i w:val="0"/>
                <w:color w:val="212121"/>
                <w:sz w:val="19"/>
              </w:rPr>
              <w:t>Vulvovaginal candidiasis</w:t>
            </w:r>
          </w:p>
        </w:tc>
        <w:tc>
          <w:tcPr>
            <w:tcW w:type="dxa" w:w="2520"/>
            <w:vAlign w:val="top"/>
          </w:tcPr>
          <w:p>
            <w:pPr>
              <w:spacing w:after="40" w:before="0" w:line="259" w:lineRule="auto"/>
            </w:pPr>
            <w:r>
              <w:rPr>
                <w:rFonts w:ascii="Calibri" w:hAnsi="Calibri"/>
                <w:b w:val="0"/>
                <w:i w:val="0"/>
                <w:color w:val="212121"/>
                <w:sz w:val="18"/>
              </w:rPr>
              <w:t>Treatment Interaction</w:t>
            </w:r>
          </w:p>
        </w:tc>
        <w:tc>
          <w:tcPr>
            <w:tcW w:type="dxa" w:w="4852"/>
            <w:vAlign w:val="top"/>
          </w:tcPr>
          <w:p>
            <w:pPr>
              <w:spacing w:after="40" w:before="0" w:line="259" w:lineRule="auto"/>
            </w:pPr>
            <w:r>
              <w:rPr>
                <w:rFonts w:ascii="Calibri" w:hAnsi="Calibri"/>
                <w:b w:val="0"/>
                <w:i w:val="0"/>
                <w:color w:val="212121"/>
                <w:sz w:val="19"/>
              </w:rPr>
              <w:t>Commonly co-occurs as mixed vaginitis, complicating diagnosis and treatment.</w:t>
            </w:r>
          </w:p>
        </w:tc>
      </w:tr>
      <w:tr>
        <w:trPr>
          <w:cantSplit/>
        </w:trPr>
        <w:tc>
          <w:tcPr>
            <w:tcW w:type="dxa" w:w="2232"/>
            <w:vAlign w:val="top"/>
          </w:tcPr>
          <w:p>
            <w:pPr>
              <w:spacing w:after="40" w:before="0" w:line="259" w:lineRule="auto"/>
            </w:pPr>
            <w:r>
              <w:rPr>
                <w:rFonts w:ascii="Calibri" w:hAnsi="Calibri"/>
                <w:b/>
                <w:i w:val="0"/>
                <w:color w:val="212121"/>
                <w:sz w:val="19"/>
              </w:rPr>
              <w:t>Pelvic inflammatory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BV-associated anaerobes are implicated in the development of PID.</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BV is a common imbalance of vaginal bacteria — not a sign of being 'dirty' — and that it is not classically a sexually transmitted infection, although sexual activity influences 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vaginal douching and intravaginal cleansing with soaps, antiseptics, herbs, drying agents or cloth; the vagina is self-cleaning and washing only the external vulva with plain water is sufficient.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typical symptoms — a thin grey-white discharge with a fishy odour, especially after sex or periods — and seek testing rather than repeated self-medication.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menstrual hygiene: change pads or clean cloth every 4–6 hours, use dry absorbents, and wash and sun-dry reusable cloth thoroughly.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safer sex — consistent condom use and limiting new or multiple partners — to reduce recurrence and STI co-acquisition.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prescribed antibiotic course even if symptoms settle, and return for review if symptoms recur, because BV commonly relapses.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pregnancy, report abnormal discharge promptly, as BV is linked to preterm birth.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Reproductive-age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who douche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recurrent BV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and low-resource women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body weight through regular physical activity, as obesity is associated with vaginal dysbiosis.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breathable cotton underwear and change out of wet or sweaty gym wear and swimwear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wearing of tight, non-breathable synthetic leggings or shapewear that trap heat and moisture.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heavy exercise, rinse the vulva with plain water and dry thoroughly; do not use scented wipes, sprays or vaginal deodorants.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fragrance-free sanitary products during activity and change them regularly.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Physically active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reproductive-age women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probiotic and fermented foods such as curd/dahi and buttermilk, which may help maintain protective vaginal lactobacilli.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dietary folate, calcium and vitamin D, and correct documented deficiency, as low levels have been observed with BV (evidence still emerging).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fibre-rich diet with plenty of fruits and vegetables and limit excess dietary fat and refined sugar.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clean, safe water and stay well hydrated.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clinician-guided specific probiotic strains as an adjunct in recurrent BV.</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recurrent BV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poor diet quality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Reproductive-age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Antenatal women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healthy immune and hormonal regulation of the vaginal mucosa.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and minimise the impact of night-shift work where possible.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pre-sleep screen time and late caffeine to improve sleep quality.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stress and pain that fragment sleep as part of overall reproductive-health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high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reproductive-age women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tobacco lowers protective hydrogen-peroxide-producing lactobacilli and raises the risk of BV and its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(passive) smoke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 brief counselling, quitlines, and nicotine-replacement therapy or pharmacotherapy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Frame smoking cessation as part of preventing recurrent BV and improving overall reproductive and pregnancy outcomes.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recurrent BV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exposed to passive smoke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intake; heavy drinking is linked with higher-risk sexual behaviour, and a partner's alcohol use has been independently associated with BV in Indian data.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completely while taking metronidazole or tinidazole and for at least 24–72 hours afterwards, to prevent a disulfiram-like reaction (flushing, nausea, vomiting).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partners in couple-level counselling on reducing alcohol use where relevant.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combine alcohol with unprotected sex with new partners, which compounds BV and STI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on metronidazole/tinidazole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heavy-drinking partners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Reproductive-age women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and manage chronic psychosocial stress, which may weaken mucosal immunity and has been associated with BV.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anxiety, embarrassment and relationship strain that recurrent malodorous discharge can cause.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counselling or reassurance for recurrent BV; understanding that it is common and treatable improves adherence and wellbeing.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(breathing, yoga, physical activity and social support) as part of holistic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recurrent BV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high stress or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Reproductive-age women</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bacterial-vaginosis" TargetMode="External"/><Relationship Id="rId10" Type="http://schemas.openxmlformats.org/officeDocument/2006/relationships/hyperlink" Target="https://www.cdc.gov/bacterial-vaginosis/about/index.html" TargetMode="External"/><Relationship Id="rId11" Type="http://schemas.openxmlformats.org/officeDocument/2006/relationships/hyperlink" Target="https://pubmed.ncbi.nlm.nih.gov/18445948/" TargetMode="External"/><Relationship Id="rId12" Type="http://schemas.openxmlformats.org/officeDocument/2006/relationships/hyperlink" Target="https://www.ncbi.nlm.nih.gov/books/NBK459216/" TargetMode="External"/><Relationship Id="rId13" Type="http://schemas.openxmlformats.org/officeDocument/2006/relationships/hyperlink" Target="https://pubmed.ncbi.nlm.nih.gov/396293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