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Vulvovaginal candidiasis</w:t>
      </w:r>
    </w:p>
    <w:p>
      <w:pPr>
        <w:spacing w:before="0" w:after="160"/>
      </w:pPr>
      <w:r>
        <w:rPr>
          <w:rFonts w:ascii="Calibri" w:hAnsi="Calibri"/>
          <w:b/>
          <w:i w:val="0"/>
          <w:color w:val="212121"/>
          <w:sz w:val="22"/>
        </w:rPr>
        <w:t xml:space="preserve">AKA </w:t>
      </w:r>
      <w:r>
        <w:rPr>
          <w:rFonts w:ascii="Calibri" w:hAnsi="Calibri"/>
          <w:b w:val="0"/>
          <w:i w:val="0"/>
          <w:color w:val="212121"/>
          <w:sz w:val="22"/>
        </w:rPr>
        <w:t>i.e., VVC, Vaginal yeast infection, Vaginal thrush, Candidal vulvovaginitis, Vaginal candidosis, Monilial vaginitis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Vulvovaginal candidiasis (VVC) is inflammation of the vulva and vagina caused by overgrowth of commensal Candida yeasts, most often Candida albicans (about 85–90% of cases), with non-albicans species such as C. glabrata and C. tropicalis responsible for the remainder. It characteristically produces intense vulvar itching and burning with a thick, white, odourless, curd-like ('cottage-cheese') discharge, and — unlike bacterial vaginosis — the vaginal pH remains normal (&lt; 4.5) and there is no fishy odour. VVC is the second most common cause of vaginitis after bacterial vaginosis; because Candida is a normal vaginal commensal, it is not classically a sexually transmitted infection, but symptomatic overgrowth is provoked by high oestrogen states, diabetes, broad-spectrum antibiotics and immunosuppression.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Vulvovaginal candidiasis is one of the commonest gynaecological complaints in reproductive-age women. Globally, an estimated 75% of women have at least one episode in their lifetime and 40–45% have two or more, while recurrent VVC affects a smaller subset. Indian studies report VVC in roughly 10–35% of reproductive-age women attending gynaecology and antenatal clinics, with the burden concentrated in the 20–35-year age band; a prospective cohort of 898 women in Mysore, south India, characterised its incidence, prevalence and risk factors. The condition is more common in hot, humid regions and during pregnancy, and in women with diabetes or recent antibiotic use.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VVC is diagnosed by the combination of typical symptoms and signs with microscopic or culture confirmation of Candida; a normal vaginal pH and negative whiff test help distinguish it from bacterial vaginosis and trichomoniasis.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symptoms — vulvar pruritus, burning, soreness, external dysuria and dyspareunia — with a thick, white, non-malodorous, curd-like vaginal discharge;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normal vaginal pH of 4.0–4.5 (a pH &gt; 4.5 suggests bacterial vaginosis, trichomoniasis or a mixed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negative whiff (amine) test — no fishy odour on adding 10% potassium hydroxide (KOH);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budding yeasts, pseudohyphae or hyphae seen on a saline and 10% KOH wet-mount of vaginal discharge (microscopy is negative in up to half of culture-positive cases, so a negative smear does not exclude VVC);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vaginal fungal culture (Sabouraud agar) with species identification — the most sensitive test, reserved for recurrent, severe, microscopy-negative or treatment-resistant disease to detect non-albicans species and guide antifungal choice;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increasingly, molecular (NAAT / multiplex PCR) vaginitis panels that simultaneously detect Candida species and exclude bacterial vaginosis and trichomoniasis.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Vulvovaginal candidiasis is most usefully classified by the Sobel scheme into uncomplicated and complicated disease, which directly guides treatment duration; additional axes describe the infecting species and the pattern of recurrence:</w:t>
      </w:r>
    </w:p>
    <w:p>
      <w:pPr>
        <w:spacing w:before="0" w:after="80"/>
      </w:pPr>
      <w:r>
        <w:rPr>
          <w:rFonts w:ascii="Calibri" w:hAnsi="Calibri"/>
          <w:b w:val="0"/>
          <w:i w:val="0"/>
          <w:color w:val="212121"/>
          <w:sz w:val="21"/>
        </w:rPr>
        <w:t>(1) Uncomplicated VVC — sporadic or infrequent episodes, mild-to-moderate severity, almost always due to Candida albicans, in immunocompetent, non-pregnant women; responds to short-course topical or single-dose oral azole therapy;</w:t>
      </w:r>
    </w:p>
    <w:p>
      <w:pPr>
        <w:spacing w:before="0" w:after="80"/>
      </w:pPr>
      <w:r>
        <w:rPr>
          <w:rFonts w:ascii="Calibri" w:hAnsi="Calibri"/>
          <w:b w:val="0"/>
          <w:i w:val="0"/>
          <w:color w:val="212121"/>
          <w:sz w:val="21"/>
        </w:rPr>
        <w:t>(2) Complicated VVC — recurrent disease, severe symptoms/signs, infection with a non-albicans species (e.g. C. glabrata), or occurrence in pregnancy, uncontrolled diabetes or immunosuppression (including HIV); requires longer or specialised regimens;</w:t>
      </w:r>
    </w:p>
    <w:p>
      <w:pPr>
        <w:spacing w:before="0" w:after="80"/>
      </w:pPr>
      <w:r>
        <w:rPr>
          <w:rFonts w:ascii="Calibri" w:hAnsi="Calibri"/>
          <w:b w:val="0"/>
          <w:i w:val="0"/>
          <w:color w:val="212121"/>
          <w:sz w:val="21"/>
        </w:rPr>
        <w:t>(3) By species — albicans VVC (the great majority, azole-sensitive) versus non-albicans VVC (about 10–20% overall and rising, more often azole-tolerant/resistant and seen in recurrent, postmenopausal and diabetic patients);</w:t>
      </w:r>
    </w:p>
    <w:p>
      <w:pPr>
        <w:spacing w:before="0" w:after="80"/>
      </w:pPr>
      <w:r>
        <w:rPr>
          <w:rFonts w:ascii="Calibri" w:hAnsi="Calibri"/>
          <w:b w:val="0"/>
          <w:i w:val="0"/>
          <w:color w:val="212121"/>
          <w:sz w:val="21"/>
        </w:rPr>
        <w:t>(4) Recurrent VVC (RVVC) — conventionally defined as three or more (some criteria use four) culture-confirmed symptomatic episodes within 12 months, with symptom-free intervals; it affects a minority of women but carries a large global burden and a substantial quality-of-life impact.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Candida overgrowth of a commensal: Candida (chiefly C. albicans) colonises the vagina asymptomatically in 10–20% of healthy women; disease occurs when a shift in the local environment or host defences allows the yeast to proliferate, germinate into invasive hyphae and trigger an inflammatory response.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High-oestrogen states: Pregnancy, combined oral contraceptives, hormone-replacement therapy and the luteal phase raise vaginal glycogen and oestrogen, which promote Candida adherence and growth — hence VVC is largely a disease of the reproductive years and is uncommon before menarche and after menopause.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Diabetes mellitus and hyperglycaemia: Elevated blood and vaginal glucose feed Candida and impair neutrophil function, increasing colonisation, symptomatic infection and recurrence, especially when glycaemic control is poor.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Broad-spectrum antibiotics: Antibiotic courses deplete protective lactobacilli, removing competitive and pH-based restraint on Candida and precipitating post-antibiotic yeast infection.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Immunosuppression: HIV/AIDS, corticosteroids, chemotherapy and other immunosuppressive states reduce mucosal cell-mediated immunity, making VVC more frequent, more severe and more recurrent.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Local and iatrogenic factors: Tight, non-breathable synthetic clothing, prolonged moisture (wet swimwear, sweat), vaginal douching, and SGLT2-inhibitor drugs (which cause glycosuria) create a warm, moist, glucose-rich milieu that favours candidal overgrowth.</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genetic susceptibility: Polymorphisms in innate-immune recognition and signalling genes (e.g. Dectin-1, mannose-binding lectin, cytokine pathways) predispose some women to recurrent VVC even without classical risk factors.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~20–40 years)</w:t>
            </w:r>
          </w:p>
        </w:tc>
        <w:tc>
          <w:tcPr>
            <w:tcW w:type="dxa" w:w="4276"/>
            <w:vAlign w:val="top"/>
          </w:tcPr>
          <w:p>
            <w:pPr>
              <w:spacing w:after="60" w:line="259" w:lineRule="auto"/>
            </w:pPr>
            <w:r>
              <w:rPr>
                <w:rFonts w:ascii="Calibri" w:hAnsi="Calibri"/>
                <w:b w:val="0"/>
                <w:i w:val="0"/>
                <w:color w:val="212121"/>
                <w:sz w:val="19"/>
              </w:rPr>
              <w:t>Cyclical oestrogen and high vaginal glycogen during the reproductive years create the ideal environment for Candida adherence and growth, so VVC peaks in this age band and is uncommon before puberty.</w:t>
            </w:r>
          </w:p>
          <w:p>
            <w:pPr>
              <w:spacing w:after="40" w:before="60" w:line="259" w:lineRule="auto"/>
            </w:pPr>
            <w:r>
              <w:rPr>
                <w:rFonts w:ascii="Calibri" w:hAnsi="Calibri"/>
                <w:b w:val="0"/>
                <w:i w:val="0"/>
                <w:color w:val="212121"/>
                <w:sz w:val="19"/>
              </w:rPr>
              <w:t>About 75% of women have at least one episode of VVC and 40–45% have two or more during their reproductive years.</w:t>
            </w:r>
          </w:p>
          <w:p>
            <w:pPr>
              <w:spacing w:after="40" w:line="252" w:lineRule="auto"/>
            </w:pPr>
            <w:hyperlink r:id="rId9">
              <w:r>
                <w:rPr>
                  <w:rFonts w:ascii="Calibri" w:hAnsi="Calibri" w:cs="Calibri"/>
                  <w:sz w:val="18"/>
                  <w:color w:val="1155CC"/>
                  <w:u w:val="single"/>
                </w:rPr>
                <w:t xml:space="preserve">cdc.gov — vulvovaginal candidiasis (STI treatment guidelines)</w:t>
              </w:r>
            </w:hyperlink>
          </w:p>
          <w:p>
            <w:pPr>
              <w:spacing w:before="60" w:after="40"/>
            </w:pPr>
            <w:r>
              <w:rPr>
                <w:rFonts w:ascii="Calibri" w:hAnsi="Calibri"/>
                <w:b w:val="0"/>
                <w:i w:val="0"/>
                <w:color w:val="5A5A5A"/>
                <w:sz w:val="18"/>
              </w:rPr>
              <w:t>#reproductiveage  #oestrogen  #glycogen  #candidaalbicans  #womenshealth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(postmenopausal women)</w:t>
            </w:r>
          </w:p>
        </w:tc>
        <w:tc>
          <w:tcPr>
            <w:tcW w:type="dxa" w:w="4276"/>
            <w:vAlign w:val="top"/>
          </w:tcPr>
          <w:p>
            <w:pPr>
              <w:spacing w:after="60" w:line="259" w:lineRule="auto"/>
            </w:pPr>
            <w:r>
              <w:rPr>
                <w:rFonts w:ascii="Calibri" w:hAnsi="Calibri"/>
                <w:b w:val="0"/>
                <w:i w:val="0"/>
                <w:color w:val="212121"/>
                <w:sz w:val="19"/>
              </w:rPr>
              <w:t>Falling oestrogen after menopause lowers vaginal glycogen and makes VVC uncommon; when it does occur it is more often due to non-albicans species (e.g. C. glabrata) and is usually driven by diabetes, immunosuppression or systemic/topical hormone therapy.</w:t>
            </w:r>
          </w:p>
          <w:p>
            <w:pPr>
              <w:spacing w:after="40" w:before="60" w:line="259" w:lineRule="auto"/>
            </w:pPr>
            <w:r>
              <w:rPr>
                <w:rFonts w:ascii="Calibri" w:hAnsi="Calibri"/>
                <w:b w:val="0"/>
                <w:i w:val="0"/>
                <w:color w:val="212121"/>
                <w:sz w:val="19"/>
              </w:rPr>
              <w:t>Non-albicans species such as C. glabrata account for a larger share of VVC in postmenopausal and diabetic women and are more often azole-tolerant.</w:t>
            </w:r>
          </w:p>
          <w:p>
            <w:pPr>
              <w:spacing w:after="40" w:line="252" w:lineRule="auto"/>
            </w:pPr>
            <w:hyperlink r:id="rId10">
              <w:r>
                <w:rPr>
                  <w:rFonts w:ascii="Calibri" w:hAnsi="Calibri" w:cs="Calibri"/>
                  <w:sz w:val="18"/>
                  <w:color w:val="1155CC"/>
                  <w:u w:val="single"/>
                </w:rPr>
                <w:t xml:space="preserve">journals.sagepub.com — recurrent VVC review (Neal &amp; Martens 2022)</w:t>
              </w:r>
            </w:hyperlink>
          </w:p>
          <w:p>
            <w:pPr>
              <w:spacing w:before="60" w:after="40"/>
            </w:pPr>
            <w:r>
              <w:rPr>
                <w:rFonts w:ascii="Calibri" w:hAnsi="Calibri"/>
                <w:b w:val="0"/>
                <w:i w:val="0"/>
                <w:color w:val="5A5A5A"/>
                <w:sz w:val="18"/>
              </w:rPr>
              <w:t>#postmenopause  #Cglabrata  #lowoestrogen  #HRT  #nonalbicans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(women and people with a vagina)</w:t>
            </w:r>
          </w:p>
        </w:tc>
        <w:tc>
          <w:tcPr>
            <w:tcW w:type="dxa" w:w="4276"/>
            <w:vAlign w:val="top"/>
          </w:tcPr>
          <w:p>
            <w:pPr>
              <w:spacing w:after="60" w:line="259" w:lineRule="auto"/>
            </w:pPr>
            <w:r>
              <w:rPr>
                <w:rFonts w:ascii="Calibri" w:hAnsi="Calibri"/>
                <w:b w:val="0"/>
                <w:i w:val="0"/>
                <w:color w:val="212121"/>
                <w:sz w:val="19"/>
              </w:rPr>
              <w:t>VVC is by definition a vulvovaginal condition and is therefore essentially exclusive to women; male partners may occasionally develop candidal balanitis but do not develop the syndrome and routine partner treatment is not recommended.</w:t>
            </w:r>
          </w:p>
          <w:p>
            <w:pPr>
              <w:spacing w:after="40" w:before="60" w:line="259" w:lineRule="auto"/>
            </w:pPr>
            <w:r>
              <w:rPr>
                <w:rFonts w:ascii="Calibri" w:hAnsi="Calibri"/>
                <w:b w:val="0"/>
                <w:i w:val="0"/>
                <w:color w:val="212121"/>
                <w:sz w:val="19"/>
              </w:rPr>
              <w:t>Vulvovaginal candidiasis is the second most common cause of vaginitis after bacterial vaginosis.</w:t>
            </w:r>
          </w:p>
          <w:p>
            <w:pPr>
              <w:spacing w:after="40" w:line="252" w:lineRule="auto"/>
            </w:pPr>
            <w:hyperlink r:id="rId11">
              <w:r>
                <w:rPr>
                  <w:rFonts w:ascii="Calibri" w:hAnsi="Calibri" w:cs="Calibri"/>
                  <w:sz w:val="18"/>
                  <w:color w:val="1155CC"/>
                  <w:u w:val="single"/>
                </w:rPr>
                <w:t xml:space="preserve">ncbi.nlm.nih.gov — Candidiasis (StatPearls)</w:t>
              </w:r>
            </w:hyperlink>
          </w:p>
          <w:p>
            <w:pPr>
              <w:spacing w:before="60" w:after="40"/>
            </w:pPr>
            <w:r>
              <w:rPr>
                <w:rFonts w:ascii="Calibri" w:hAnsi="Calibri"/>
                <w:b w:val="0"/>
                <w:i w:val="0"/>
                <w:color w:val="5A5A5A"/>
                <w:sz w:val="18"/>
              </w:rPr>
              <w:t>#femalehealth  #vaginitis  #partnernotreat  #candidalbalanitis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socioeconomic status; limited water, sanitation and health access</w:t>
            </w:r>
          </w:p>
        </w:tc>
        <w:tc>
          <w:tcPr>
            <w:tcW w:type="dxa" w:w="4276"/>
            <w:vAlign w:val="top"/>
          </w:tcPr>
          <w:p>
            <w:pPr>
              <w:spacing w:after="60" w:line="259" w:lineRule="auto"/>
            </w:pPr>
            <w:r>
              <w:rPr>
                <w:rFonts w:ascii="Calibri" w:hAnsi="Calibri"/>
                <w:b w:val="0"/>
                <w:i w:val="0"/>
                <w:color w:val="212121"/>
                <w:sz w:val="19"/>
              </w:rPr>
              <w:t>Poor access to clean water and private sanitation, low health literacy, self-medication with over-the-counter antifungals and delayed care promote misdiagnosis, recurrence and antifungal resistance.</w:t>
            </w:r>
          </w:p>
          <w:p>
            <w:pPr>
              <w:spacing w:after="40" w:before="60" w:line="259" w:lineRule="auto"/>
            </w:pPr>
            <w:r>
              <w:rPr>
                <w:rFonts w:ascii="Calibri" w:hAnsi="Calibri"/>
                <w:b w:val="0"/>
                <w:i w:val="0"/>
                <w:color w:val="212121"/>
                <w:sz w:val="19"/>
              </w:rPr>
              <w:t>Indian clinic and antenatal studies place VVC prevalence in the broad 10–35% range, with higher figures among symptomatic attendees.</w:t>
            </w:r>
          </w:p>
          <w:p>
            <w:pPr>
              <w:spacing w:after="40" w:line="252" w:lineRule="auto"/>
            </w:pPr>
            <w:hyperlink r:id="rId12">
              <w:r>
                <w:rPr>
                  <w:rFonts w:ascii="Calibri" w:hAnsi="Calibri" w:cs="Calibri"/>
                  <w:sz w:val="18"/>
                  <w:color w:val="1155CC"/>
                  <w:u w:val="single"/>
                </w:rPr>
                <w:t xml:space="preserve">ijogr.org — VVC epidemiology, treatment &amp; prevention (India)</w:t>
              </w:r>
            </w:hyperlink>
          </w:p>
          <w:p>
            <w:pPr>
              <w:spacing w:before="60" w:after="40"/>
            </w:pPr>
            <w:r>
              <w:rPr>
                <w:rFonts w:ascii="Calibri" w:hAnsi="Calibri"/>
                <w:b w:val="0"/>
                <w:i w:val="0"/>
                <w:color w:val="5A5A5A"/>
                <w:sz w:val="18"/>
              </w:rPr>
              <w:t>#healthaccess  #selfmedication  #healthliteracy  #WASH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and South Asian women</w:t>
            </w:r>
          </w:p>
        </w:tc>
        <w:tc>
          <w:tcPr>
            <w:tcW w:type="dxa" w:w="4276"/>
            <w:vAlign w:val="top"/>
          </w:tcPr>
          <w:p>
            <w:pPr>
              <w:spacing w:after="60" w:line="259" w:lineRule="auto"/>
            </w:pPr>
            <w:r>
              <w:rPr>
                <w:rFonts w:ascii="Calibri" w:hAnsi="Calibri"/>
                <w:b w:val="0"/>
                <w:i w:val="0"/>
                <w:color w:val="212121"/>
                <w:sz w:val="19"/>
              </w:rPr>
              <w:t>Indian women carry a substantial VVC burden, with clinic and antenatal populations reporting higher rates than community samples; heat, humidity, occlusive clothing and self-treatment practices contribute.</w:t>
            </w:r>
          </w:p>
          <w:p>
            <w:pPr>
              <w:spacing w:after="40" w:before="60" w:line="259" w:lineRule="auto"/>
            </w:pPr>
            <w:r>
              <w:rPr>
                <w:rFonts w:ascii="Calibri" w:hAnsi="Calibri"/>
                <w:b w:val="0"/>
                <w:i w:val="0"/>
                <w:color w:val="212121"/>
                <w:sz w:val="19"/>
              </w:rPr>
              <w:t>Reported VVC prevalence in India is approximately 10–35% among reproductive-age women; a Mysore cohort of 898 women characterised its incidence and risk factors.</w:t>
            </w:r>
          </w:p>
          <w:p>
            <w:pPr>
              <w:spacing w:after="40" w:line="252" w:lineRule="auto"/>
            </w:pPr>
            <w:hyperlink r:id="rId13">
              <w:r>
                <w:rPr>
                  <w:rFonts w:ascii="Calibri" w:hAnsi="Calibri" w:cs="Calibri"/>
                  <w:sz w:val="18"/>
                  <w:color w:val="1155CC"/>
                  <w:u w:val="single"/>
                </w:rPr>
                <w:t xml:space="preserve">onlinelibrary.wiley.com — VVC in reproductive-age women, south India (Rathod 2012)</w:t>
              </w:r>
            </w:hyperlink>
          </w:p>
          <w:p>
            <w:pPr>
              <w:spacing w:before="60" w:after="40"/>
            </w:pPr>
            <w:r>
              <w:rPr>
                <w:rFonts w:ascii="Calibri" w:hAnsi="Calibri"/>
                <w:b w:val="0"/>
                <w:i w:val="0"/>
                <w:color w:val="5A5A5A"/>
                <w:sz w:val="18"/>
              </w:rPr>
              <w:t>#India  #southasia  #reproductivetractinfection  #antenatal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region</w:t>
            </w:r>
          </w:p>
        </w:tc>
        <w:tc>
          <w:tcPr>
            <w:tcW w:type="dxa" w:w="2160"/>
            <w:vAlign w:val="top"/>
          </w:tcPr>
          <w:p>
            <w:pPr>
              <w:spacing w:after="40" w:before="0" w:line="259" w:lineRule="auto"/>
            </w:pPr>
            <w:r>
              <w:rPr>
                <w:rFonts w:ascii="Calibri" w:hAnsi="Calibri"/>
                <w:b w:val="0"/>
                <w:i w:val="0"/>
                <w:color w:val="212121"/>
                <w:sz w:val="19"/>
              </w:rPr>
              <w:t>Women in hot, humid tropical regions</w:t>
            </w:r>
          </w:p>
        </w:tc>
        <w:tc>
          <w:tcPr>
            <w:tcW w:type="dxa" w:w="4276"/>
            <w:vAlign w:val="top"/>
          </w:tcPr>
          <w:p>
            <w:pPr>
              <w:spacing w:after="60" w:line="259" w:lineRule="auto"/>
            </w:pPr>
            <w:r>
              <w:rPr>
                <w:rFonts w:ascii="Calibri" w:hAnsi="Calibri"/>
                <w:b w:val="0"/>
                <w:i w:val="0"/>
                <w:color w:val="212121"/>
                <w:sz w:val="19"/>
              </w:rPr>
              <w:t>High ambient temperature and humidity keep the vulval skin warm and moist, favouring candidal germination and overgrowth; sweating under occlusive clothing compounds the effect.</w:t>
            </w:r>
          </w:p>
          <w:p>
            <w:pPr>
              <w:spacing w:after="40" w:before="60" w:line="259" w:lineRule="auto"/>
            </w:pPr>
            <w:r>
              <w:rPr>
                <w:rFonts w:ascii="Calibri" w:hAnsi="Calibri"/>
                <w:b w:val="0"/>
                <w:i w:val="0"/>
                <w:color w:val="212121"/>
                <w:sz w:val="19"/>
              </w:rPr>
              <w:t>VVC is more frequent in hot, humid conditions and where occlusive clothing traps moisture (clinical evidence).</w:t>
            </w:r>
          </w:p>
          <w:p>
            <w:pPr>
              <w:spacing w:before="60" w:after="40"/>
            </w:pPr>
            <w:r>
              <w:rPr>
                <w:rFonts w:ascii="Calibri" w:hAnsi="Calibri"/>
                <w:b w:val="0"/>
                <w:i w:val="0"/>
                <w:color w:val="5A5A5A"/>
                <w:sz w:val="18"/>
              </w:rPr>
              <w:t>#tropicalclimate  #humidity  #moisture  #intertrigo</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Clothing / moisture</w:t>
            </w:r>
          </w:p>
        </w:tc>
        <w:tc>
          <w:tcPr>
            <w:tcW w:type="dxa" w:w="2160"/>
            <w:vAlign w:val="top"/>
          </w:tcPr>
          <w:p>
            <w:pPr>
              <w:spacing w:after="40" w:before="0" w:line="259" w:lineRule="auto"/>
            </w:pPr>
            <w:r>
              <w:rPr>
                <w:rFonts w:ascii="Calibri" w:hAnsi="Calibri"/>
                <w:b w:val="0"/>
                <w:i w:val="0"/>
                <w:color w:val="212121"/>
                <w:sz w:val="19"/>
              </w:rPr>
              <w:t>Women wearing tight synthetic underwear, wet swimwear or damp gym wear</w:t>
            </w:r>
          </w:p>
        </w:tc>
        <w:tc>
          <w:tcPr>
            <w:tcW w:type="dxa" w:w="4276"/>
            <w:vAlign w:val="top"/>
          </w:tcPr>
          <w:p>
            <w:pPr>
              <w:spacing w:after="60" w:line="259" w:lineRule="auto"/>
            </w:pPr>
            <w:r>
              <w:rPr>
                <w:rFonts w:ascii="Calibri" w:hAnsi="Calibri"/>
                <w:b w:val="0"/>
                <w:i w:val="0"/>
                <w:color w:val="212121"/>
                <w:sz w:val="19"/>
              </w:rPr>
              <w:t>Non-breathable synthetic fabrics and prolonged dampness raise vulval temperature and humidity, creating a warm, moist microenvironment in which Candida thrives.</w:t>
            </w:r>
          </w:p>
          <w:p>
            <w:pPr>
              <w:spacing w:after="40" w:before="60" w:line="259" w:lineRule="auto"/>
            </w:pPr>
            <w:r>
              <w:rPr>
                <w:rFonts w:ascii="Calibri" w:hAnsi="Calibri"/>
                <w:b w:val="0"/>
                <w:i w:val="0"/>
                <w:color w:val="212121"/>
                <w:sz w:val="19"/>
              </w:rPr>
              <w:t>In a Kerala study of 90 women, most affected patients were sedentary (86.7% did not exercise regularly), consistent with prolonged sitting and occlusive-clothing exposure.</w:t>
            </w:r>
          </w:p>
          <w:p>
            <w:pPr>
              <w:spacing w:after="40" w:line="252" w:lineRule="auto"/>
            </w:pPr>
            <w:hyperlink r:id="rId14">
              <w:r>
                <w:rPr>
                  <w:rFonts w:ascii="Calibri" w:hAnsi="Calibri" w:cs="Calibri"/>
                  <w:sz w:val="18"/>
                  <w:color w:val="1155CC"/>
                  <w:u w:val="single"/>
                </w:rPr>
                <w:t xml:space="preserve">biotech-asia.org — VVC risk factors by age group (Palakkad, India)</w:t>
              </w:r>
            </w:hyperlink>
          </w:p>
          <w:p>
            <w:pPr>
              <w:spacing w:before="60" w:after="40"/>
            </w:pPr>
            <w:r>
              <w:rPr>
                <w:rFonts w:ascii="Calibri" w:hAnsi="Calibri"/>
                <w:b w:val="0"/>
                <w:i w:val="0"/>
                <w:color w:val="5A5A5A"/>
                <w:sz w:val="18"/>
              </w:rPr>
              <w:t>#syntheticfabric  #moisture  #wetswimwear  #breathablecotton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Vaginal hygiene practices</w:t>
            </w:r>
          </w:p>
        </w:tc>
        <w:tc>
          <w:tcPr>
            <w:tcW w:type="dxa" w:w="2160"/>
            <w:vAlign w:val="top"/>
          </w:tcPr>
          <w:p>
            <w:pPr>
              <w:spacing w:after="40" w:before="0" w:line="259" w:lineRule="auto"/>
            </w:pPr>
            <w:r>
              <w:rPr>
                <w:rFonts w:ascii="Calibri" w:hAnsi="Calibri"/>
                <w:b w:val="0"/>
                <w:i w:val="0"/>
                <w:color w:val="212121"/>
                <w:sz w:val="19"/>
              </w:rPr>
              <w:t>Women who douche or use intravaginal soaps, deodorants or antiseptics</w:t>
            </w:r>
          </w:p>
        </w:tc>
        <w:tc>
          <w:tcPr>
            <w:tcW w:type="dxa" w:w="4276"/>
            <w:vAlign w:val="top"/>
          </w:tcPr>
          <w:p>
            <w:pPr>
              <w:spacing w:after="60" w:line="259" w:lineRule="auto"/>
            </w:pPr>
            <w:r>
              <w:rPr>
                <w:rFonts w:ascii="Calibri" w:hAnsi="Calibri"/>
                <w:b w:val="0"/>
                <w:i w:val="0"/>
                <w:color w:val="212121"/>
                <w:sz w:val="19"/>
              </w:rPr>
              <w:t>Douching and intravaginal cleansers strip protective lactobacilli and irritate the mucosa, disturbing the microenvironment and predisposing to candidal overgrowth and recurrence.</w:t>
            </w:r>
          </w:p>
          <w:p>
            <w:pPr>
              <w:spacing w:after="40" w:before="60" w:line="259" w:lineRule="auto"/>
            </w:pPr>
            <w:r>
              <w:rPr>
                <w:rFonts w:ascii="Calibri" w:hAnsi="Calibri"/>
                <w:b w:val="0"/>
                <w:i w:val="0"/>
                <w:color w:val="212121"/>
                <w:sz w:val="19"/>
              </w:rPr>
              <w:t>Douching and intravaginal cleansing are recognised, avoidable risk factors for vaginitis including VVC.</w:t>
            </w:r>
          </w:p>
          <w:p>
            <w:pPr>
              <w:spacing w:after="40" w:line="252" w:lineRule="auto"/>
            </w:pPr>
            <w:hyperlink r:id="rId12">
              <w:r>
                <w:rPr>
                  <w:rFonts w:ascii="Calibri" w:hAnsi="Calibri" w:cs="Calibri"/>
                  <w:sz w:val="18"/>
                  <w:color w:val="1155CC"/>
                  <w:u w:val="single"/>
                </w:rPr>
                <w:t xml:space="preserve">ijogr.org — VVC epidemiology, treatment &amp; prevention (India)</w:t>
              </w:r>
            </w:hyperlink>
          </w:p>
          <w:p>
            <w:pPr>
              <w:spacing w:before="60" w:after="40"/>
            </w:pPr>
            <w:r>
              <w:rPr>
                <w:rFonts w:ascii="Calibri" w:hAnsi="Calibri"/>
                <w:b w:val="0"/>
                <w:i w:val="0"/>
                <w:color w:val="5A5A5A"/>
                <w:sz w:val="18"/>
              </w:rPr>
              <w:t>#douching  #stopdouching  #intravaginalproducts  #lactobacillus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Sexual activity</w:t>
            </w:r>
          </w:p>
        </w:tc>
        <w:tc>
          <w:tcPr>
            <w:tcW w:type="dxa" w:w="2160"/>
            <w:vAlign w:val="top"/>
          </w:tcPr>
          <w:p>
            <w:pPr>
              <w:spacing w:after="40" w:before="0" w:line="259" w:lineRule="auto"/>
            </w:pPr>
            <w:r>
              <w:rPr>
                <w:rFonts w:ascii="Calibri" w:hAnsi="Calibri"/>
                <w:b w:val="0"/>
                <w:i w:val="0"/>
                <w:color w:val="212121"/>
                <w:sz w:val="19"/>
              </w:rPr>
              <w:t>Sexually active women (including receptive oral sex and new activity)</w:t>
            </w:r>
          </w:p>
        </w:tc>
        <w:tc>
          <w:tcPr>
            <w:tcW w:type="dxa" w:w="4276"/>
            <w:vAlign w:val="top"/>
          </w:tcPr>
          <w:p>
            <w:pPr>
              <w:spacing w:after="60" w:line="259" w:lineRule="auto"/>
            </w:pPr>
            <w:r>
              <w:rPr>
                <w:rFonts w:ascii="Calibri" w:hAnsi="Calibri"/>
                <w:b w:val="0"/>
                <w:i w:val="0"/>
                <w:color w:val="212121"/>
                <w:sz w:val="19"/>
              </w:rPr>
              <w:t>VVC is not classically an STI, but the onset of regular sexual activity, receptive oral sex and certain contraceptive practices (spermicides, sponge) are associated with more frequent episodes.</w:t>
            </w:r>
          </w:p>
          <w:p>
            <w:pPr>
              <w:spacing w:after="40" w:before="60" w:line="259" w:lineRule="auto"/>
            </w:pPr>
            <w:r>
              <w:rPr>
                <w:rFonts w:ascii="Calibri" w:hAnsi="Calibri"/>
                <w:b w:val="0"/>
                <w:i w:val="0"/>
                <w:color w:val="212121"/>
                <w:sz w:val="19"/>
              </w:rPr>
              <w:t>VVC incidence rises with sexual activity, though sexual transmission is not the primary route and partner treatment is not routinely advised.</w:t>
            </w:r>
          </w:p>
          <w:p>
            <w:pPr>
              <w:spacing w:after="40" w:line="252" w:lineRule="auto"/>
            </w:pPr>
            <w:hyperlink r:id="rId11">
              <w:r>
                <w:rPr>
                  <w:rFonts w:ascii="Calibri" w:hAnsi="Calibri" w:cs="Calibri"/>
                  <w:sz w:val="18"/>
                  <w:color w:val="1155CC"/>
                  <w:u w:val="single"/>
                </w:rPr>
                <w:t xml:space="preserve">ncbi.nlm.nih.gov — Candidiasis (StatPearls)</w:t>
              </w:r>
            </w:hyperlink>
          </w:p>
          <w:p>
            <w:pPr>
              <w:spacing w:before="60" w:after="40"/>
            </w:pPr>
            <w:r>
              <w:rPr>
                <w:rFonts w:ascii="Calibri" w:hAnsi="Calibri"/>
                <w:b w:val="0"/>
                <w:i w:val="0"/>
                <w:color w:val="5A5A5A"/>
                <w:sz w:val="18"/>
              </w:rPr>
              <w:t>#sexualactivity  #spermicide  #notanSTI  #receptiveoral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Sugar / refined-carbohydrate intake</w:t>
            </w:r>
          </w:p>
        </w:tc>
        <w:tc>
          <w:tcPr>
            <w:tcW w:type="dxa" w:w="2160"/>
            <w:vAlign w:val="top"/>
          </w:tcPr>
          <w:p>
            <w:pPr>
              <w:spacing w:after="40" w:before="0" w:line="259" w:lineRule="auto"/>
            </w:pPr>
            <w:r>
              <w:rPr>
                <w:rFonts w:ascii="Calibri" w:hAnsi="Calibri"/>
                <w:b w:val="0"/>
                <w:i w:val="0"/>
                <w:color w:val="212121"/>
                <w:sz w:val="19"/>
              </w:rPr>
              <w:t>Women with high dietary sugar and refined-carbohydrate intake</w:t>
            </w:r>
          </w:p>
        </w:tc>
        <w:tc>
          <w:tcPr>
            <w:tcW w:type="dxa" w:w="4276"/>
            <w:vAlign w:val="top"/>
          </w:tcPr>
          <w:p>
            <w:pPr>
              <w:spacing w:after="60" w:line="259" w:lineRule="auto"/>
            </w:pPr>
            <w:r>
              <w:rPr>
                <w:rFonts w:ascii="Calibri" w:hAnsi="Calibri"/>
                <w:b w:val="0"/>
                <w:i w:val="0"/>
                <w:color w:val="212121"/>
                <w:sz w:val="19"/>
              </w:rPr>
              <w:t>High sugar intake raises blood and vaginal glucose, providing substrate for Candida; this is most relevant in women with impaired glucose tolerance or diabetes and may aggravate recurrent disease.</w:t>
            </w:r>
          </w:p>
          <w:p>
            <w:pPr>
              <w:spacing w:after="40" w:before="60" w:line="259" w:lineRule="auto"/>
            </w:pPr>
            <w:r>
              <w:rPr>
                <w:rFonts w:ascii="Calibri" w:hAnsi="Calibri"/>
                <w:b w:val="0"/>
                <w:i w:val="0"/>
                <w:color w:val="212121"/>
                <w:sz w:val="19"/>
              </w:rPr>
              <w:t>Hyperglycaemia and high vaginal glucose promote candidal colonisation and symptomatic infection; glycaemic control reduces episodes in diabetic women.</w:t>
            </w:r>
          </w:p>
          <w:p>
            <w:pPr>
              <w:spacing w:after="40" w:line="252" w:lineRule="auto"/>
            </w:pPr>
            <w:hyperlink r:id="rId9">
              <w:r>
                <w:rPr>
                  <w:rFonts w:ascii="Calibri" w:hAnsi="Calibri" w:cs="Calibri"/>
                  <w:sz w:val="18"/>
                  <w:color w:val="1155CC"/>
                  <w:u w:val="single"/>
                </w:rPr>
                <w:t xml:space="preserve">cdc.gov — vulvovaginal candidiasis (STI treatment guidelines)</w:t>
              </w:r>
            </w:hyperlink>
          </w:p>
          <w:p>
            <w:pPr>
              <w:spacing w:before="60" w:after="40"/>
            </w:pPr>
            <w:r>
              <w:rPr>
                <w:rFonts w:ascii="Calibri" w:hAnsi="Calibri"/>
                <w:b w:val="0"/>
                <w:i w:val="0"/>
                <w:color w:val="5A5A5A"/>
                <w:sz w:val="18"/>
              </w:rPr>
              <w:t>#sugar  #refinedcarbs  #glucose  #glycaemiccontrol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Probiotic / fermented-food intake</w:t>
            </w:r>
          </w:p>
        </w:tc>
        <w:tc>
          <w:tcPr>
            <w:tcW w:type="dxa" w:w="2160"/>
            <w:vAlign w:val="top"/>
          </w:tcPr>
          <w:p>
            <w:pPr>
              <w:spacing w:after="40" w:before="0" w:line="259" w:lineRule="auto"/>
            </w:pPr>
            <w:r>
              <w:rPr>
                <w:rFonts w:ascii="Calibri" w:hAnsi="Calibri"/>
                <w:b w:val="0"/>
                <w:i w:val="0"/>
                <w:color w:val="212121"/>
                <w:sz w:val="19"/>
              </w:rPr>
              <w:t>Women with negligible probiotic or fermented-dairy intake</w:t>
            </w:r>
          </w:p>
        </w:tc>
        <w:tc>
          <w:tcPr>
            <w:tcW w:type="dxa" w:w="4276"/>
            <w:vAlign w:val="top"/>
          </w:tcPr>
          <w:p>
            <w:pPr>
              <w:spacing w:after="60" w:line="259" w:lineRule="auto"/>
            </w:pPr>
            <w:r>
              <w:rPr>
                <w:rFonts w:ascii="Calibri" w:hAnsi="Calibri"/>
                <w:b w:val="0"/>
                <w:i w:val="0"/>
                <w:color w:val="212121"/>
                <w:sz w:val="19"/>
              </w:rPr>
              <w:t>Low intake of Lactobacillus-containing fermented foods (curd/dahi, buttermilk) provides fewer exogenous lactobacilli that help maintain an acidic, Candida-suppressing vaginal environment; evidence for prevention is suggestive but not definitive.</w:t>
            </w:r>
          </w:p>
          <w:p>
            <w:pPr>
              <w:spacing w:after="40" w:before="60" w:line="259" w:lineRule="auto"/>
            </w:pPr>
            <w:r>
              <w:rPr>
                <w:rFonts w:ascii="Calibri" w:hAnsi="Calibri"/>
                <w:b w:val="0"/>
                <w:i w:val="0"/>
                <w:color w:val="212121"/>
                <w:sz w:val="19"/>
              </w:rPr>
              <w:t>Probiotic Lactobacillus supplementation may help reduce recurrence as an adjunct, though robust preventive evidence remains limited.</w:t>
            </w:r>
          </w:p>
          <w:p>
            <w:pPr>
              <w:spacing w:before="60" w:after="40"/>
            </w:pPr>
            <w:r>
              <w:rPr>
                <w:rFonts w:ascii="Calibri" w:hAnsi="Calibri"/>
                <w:b w:val="0"/>
                <w:i w:val="0"/>
                <w:color w:val="5A5A5A"/>
                <w:sz w:val="18"/>
              </w:rPr>
              <w:t>#probiotics  #curd  #lactobacillus  #fermentedfoods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immunogenetics</w:t>
            </w:r>
          </w:p>
        </w:tc>
        <w:tc>
          <w:tcPr>
            <w:tcW w:type="dxa" w:w="2160"/>
            <w:vAlign w:val="top"/>
          </w:tcPr>
          <w:p>
            <w:pPr>
              <w:spacing w:after="40" w:before="0" w:line="259" w:lineRule="auto"/>
            </w:pPr>
            <w:r>
              <w:rPr>
                <w:rFonts w:ascii="Calibri" w:hAnsi="Calibri"/>
                <w:b w:val="0"/>
                <w:i w:val="0"/>
                <w:color w:val="212121"/>
                <w:sz w:val="19"/>
              </w:rPr>
              <w:t>Women with innate-immunity gene variants (e.g. Dectin-1, mannose-binding lectin)</w:t>
            </w:r>
          </w:p>
        </w:tc>
        <w:tc>
          <w:tcPr>
            <w:tcW w:type="dxa" w:w="4276"/>
            <w:vAlign w:val="top"/>
          </w:tcPr>
          <w:p>
            <w:pPr>
              <w:spacing w:after="60" w:line="259" w:lineRule="auto"/>
            </w:pPr>
            <w:r>
              <w:rPr>
                <w:rFonts w:ascii="Calibri" w:hAnsi="Calibri"/>
                <w:b w:val="0"/>
                <w:i w:val="0"/>
                <w:color w:val="212121"/>
                <w:sz w:val="19"/>
              </w:rPr>
              <w:t>Polymorphisms in fungal-recognition and cytokine-signalling genes blunt the mucosal antifungal response, predisposing carriers to recurrent VVC even in the absence of classical risk factors.</w:t>
            </w:r>
          </w:p>
          <w:p>
            <w:pPr>
              <w:spacing w:after="40" w:before="60" w:line="259" w:lineRule="auto"/>
            </w:pPr>
            <w:r>
              <w:rPr>
                <w:rFonts w:ascii="Calibri" w:hAnsi="Calibri"/>
                <w:b w:val="0"/>
                <w:i w:val="0"/>
                <w:color w:val="212121"/>
                <w:sz w:val="19"/>
              </w:rPr>
              <w:t>In roughly 20–30% of women with recurrent VVC no classical predisposing factor is found, pointing to host genetic susceptibility.</w:t>
            </w:r>
          </w:p>
          <w:p>
            <w:pPr>
              <w:spacing w:after="40" w:line="252" w:lineRule="auto"/>
            </w:pPr>
            <w:hyperlink r:id="rId10">
              <w:r>
                <w:rPr>
                  <w:rFonts w:ascii="Calibri" w:hAnsi="Calibri" w:cs="Calibri"/>
                  <w:sz w:val="18"/>
                  <w:color w:val="1155CC"/>
                  <w:u w:val="single"/>
                </w:rPr>
                <w:t xml:space="preserve">journals.sagepub.com — recurrent VVC review (Neal &amp; Martens 2022)</w:t>
              </w:r>
            </w:hyperlink>
          </w:p>
          <w:p>
            <w:pPr>
              <w:spacing w:before="60" w:after="40"/>
            </w:pPr>
            <w:r>
              <w:rPr>
                <w:rFonts w:ascii="Calibri" w:hAnsi="Calibri"/>
                <w:b w:val="0"/>
                <w:i w:val="0"/>
                <w:color w:val="5A5A5A"/>
                <w:sz w:val="18"/>
              </w:rPr>
              <w:t>#Dectin1  #MBL  #immunogenetics  #recurrentVVC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Blood group / secretor status</w:t>
            </w:r>
          </w:p>
        </w:tc>
        <w:tc>
          <w:tcPr>
            <w:tcW w:type="dxa" w:w="2160"/>
            <w:vAlign w:val="top"/>
          </w:tcPr>
          <w:p>
            <w:pPr>
              <w:spacing w:after="40" w:before="0" w:line="259" w:lineRule="auto"/>
            </w:pPr>
            <w:r>
              <w:rPr>
                <w:rFonts w:ascii="Calibri" w:hAnsi="Calibri"/>
                <w:b w:val="0"/>
                <w:i w:val="0"/>
                <w:color w:val="212121"/>
                <w:sz w:val="19"/>
              </w:rPr>
              <w:t>Non-secretors of ABO blood-group antigens; Lewis-negative women</w:t>
            </w:r>
          </w:p>
        </w:tc>
        <w:tc>
          <w:tcPr>
            <w:tcW w:type="dxa" w:w="4276"/>
            <w:vAlign w:val="top"/>
          </w:tcPr>
          <w:p>
            <w:pPr>
              <w:spacing w:after="60" w:line="259" w:lineRule="auto"/>
            </w:pPr>
            <w:r>
              <w:rPr>
                <w:rFonts w:ascii="Calibri" w:hAnsi="Calibri"/>
                <w:b w:val="0"/>
                <w:i w:val="0"/>
                <w:color w:val="212121"/>
                <w:sz w:val="19"/>
              </w:rPr>
              <w:t>Non-secretor status alters the mucin and glycan receptors available on the vaginal epithelium, which has been associated with increased Candida adherence and a higher risk of recurrent VVC.</w:t>
            </w:r>
          </w:p>
          <w:p>
            <w:pPr>
              <w:spacing w:after="40" w:before="60" w:line="259" w:lineRule="auto"/>
            </w:pPr>
            <w:r>
              <w:rPr>
                <w:rFonts w:ascii="Calibri" w:hAnsi="Calibri"/>
                <w:b w:val="0"/>
                <w:i w:val="0"/>
                <w:color w:val="212121"/>
                <w:sz w:val="19"/>
              </w:rPr>
              <w:t>Non-secretor / Lewis-negative phenotypes have been associated with susceptibility to recurrent VVC (mechanistic and observational evidence).</w:t>
            </w:r>
          </w:p>
          <w:p>
            <w:pPr>
              <w:spacing w:before="60" w:after="40"/>
            </w:pPr>
            <w:r>
              <w:rPr>
                <w:rFonts w:ascii="Calibri" w:hAnsi="Calibri"/>
                <w:b w:val="0"/>
                <w:i w:val="0"/>
                <w:color w:val="5A5A5A"/>
                <w:sz w:val="18"/>
              </w:rPr>
              <w:t>#secretorstatus  #ABObloodgroup  #adherence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Women with diabetes, especially poorly controlled</w:t>
            </w:r>
          </w:p>
        </w:tc>
        <w:tc>
          <w:tcPr>
            <w:tcW w:type="dxa" w:w="4276"/>
            <w:vAlign w:val="top"/>
          </w:tcPr>
          <w:p>
            <w:pPr>
              <w:spacing w:after="60" w:line="259" w:lineRule="auto"/>
            </w:pPr>
            <w:r>
              <w:rPr>
                <w:rFonts w:ascii="Calibri" w:hAnsi="Calibri"/>
                <w:b w:val="0"/>
                <w:i w:val="0"/>
                <w:color w:val="212121"/>
                <w:sz w:val="19"/>
              </w:rPr>
              <w:t>Chronic hyperglycaemia raises vaginal glucose and impairs neutrophil killing of Candida, increasing colonisation, symptomatic and recurrent VVC and the proportion of non-albicans species; SGLT2-inhibitor therapy adds glycosuria and further risk.</w:t>
            </w:r>
          </w:p>
          <w:p>
            <w:pPr>
              <w:spacing w:after="40" w:before="60" w:line="259" w:lineRule="auto"/>
            </w:pPr>
            <w:r>
              <w:rPr>
                <w:rFonts w:ascii="Calibri" w:hAnsi="Calibri"/>
                <w:b w:val="0"/>
                <w:i w:val="0"/>
                <w:color w:val="212121"/>
                <w:sz w:val="19"/>
              </w:rPr>
              <w:t>In a Kerala study of women with VVC, 27.7% had coexisting diabetes mellitus, identified as a major contributing factor.</w:t>
            </w:r>
          </w:p>
          <w:p>
            <w:pPr>
              <w:spacing w:after="40" w:line="252" w:lineRule="auto"/>
            </w:pPr>
            <w:hyperlink r:id="rId14">
              <w:r>
                <w:rPr>
                  <w:rFonts w:ascii="Calibri" w:hAnsi="Calibri" w:cs="Calibri"/>
                  <w:sz w:val="18"/>
                  <w:color w:val="1155CC"/>
                  <w:u w:val="single"/>
                </w:rPr>
                <w:t xml:space="preserve">biotech-asia.org — VVC risk factors by age group (Palakkad, India)</w:t>
              </w:r>
            </w:hyperlink>
          </w:p>
          <w:p>
            <w:pPr>
              <w:spacing w:before="60" w:after="40"/>
            </w:pPr>
            <w:r>
              <w:rPr>
                <w:rFonts w:ascii="Calibri" w:hAnsi="Calibri"/>
                <w:b w:val="0"/>
                <w:i w:val="0"/>
                <w:color w:val="5A5A5A"/>
                <w:sz w:val="18"/>
              </w:rPr>
              <w:t>#diabetes  #hyperglycaemia  #SGLT2  #glucosuria  #recurrentVVC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particularly in the 2nd–3rd trimester</w:t>
            </w:r>
          </w:p>
        </w:tc>
        <w:tc>
          <w:tcPr>
            <w:tcW w:type="dxa" w:w="4276"/>
            <w:vAlign w:val="top"/>
          </w:tcPr>
          <w:p>
            <w:pPr>
              <w:spacing w:after="60" w:line="259" w:lineRule="auto"/>
            </w:pPr>
            <w:r>
              <w:rPr>
                <w:rFonts w:ascii="Calibri" w:hAnsi="Calibri"/>
                <w:b w:val="0"/>
                <w:i w:val="0"/>
                <w:color w:val="212121"/>
                <w:sz w:val="19"/>
              </w:rPr>
              <w:t>High pregnancy oestrogen increases vaginal glycogen and Candida adherence, so colonisation and symptomatic VVC are markedly more common; only topical azoles are recommended, and untreated maternal infection can cause neonatal oral/cutaneous thrush.</w:t>
            </w:r>
          </w:p>
          <w:p>
            <w:pPr>
              <w:spacing w:after="40" w:before="60" w:line="259" w:lineRule="auto"/>
            </w:pPr>
            <w:r>
              <w:rPr>
                <w:rFonts w:ascii="Calibri" w:hAnsi="Calibri"/>
                <w:b w:val="0"/>
                <w:i w:val="0"/>
                <w:color w:val="212121"/>
                <w:sz w:val="19"/>
              </w:rPr>
              <w:t>Around 20–30% of pregnant women carry vaginal Candida, with asymptomatic colonisation commonest in the second and third trimesters.</w:t>
            </w:r>
          </w:p>
          <w:p>
            <w:pPr>
              <w:spacing w:after="40" w:line="252" w:lineRule="auto"/>
            </w:pPr>
            <w:hyperlink r:id="rId12">
              <w:r>
                <w:rPr>
                  <w:rFonts w:ascii="Calibri" w:hAnsi="Calibri" w:cs="Calibri"/>
                  <w:sz w:val="18"/>
                  <w:color w:val="1155CC"/>
                  <w:u w:val="single"/>
                </w:rPr>
                <w:t xml:space="preserve">ijogr.org — VVC epidemiology, treatment &amp; prevention (India)</w:t>
              </w:r>
            </w:hyperlink>
          </w:p>
          <w:p>
            <w:pPr>
              <w:spacing w:before="60" w:after="40"/>
            </w:pPr>
            <w:r>
              <w:rPr>
                <w:rFonts w:ascii="Calibri" w:hAnsi="Calibri"/>
                <w:b w:val="0"/>
                <w:i w:val="0"/>
                <w:color w:val="5A5A5A"/>
                <w:sz w:val="18"/>
              </w:rPr>
              <w:t>#pregnancy  #oestrogen  #neonatalthrush  #topicalazoles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HIV-positive and otherwise immunosuppressed women</w:t>
            </w:r>
          </w:p>
        </w:tc>
        <w:tc>
          <w:tcPr>
            <w:tcW w:type="dxa" w:w="4276"/>
            <w:vAlign w:val="top"/>
          </w:tcPr>
          <w:p>
            <w:pPr>
              <w:spacing w:after="60" w:line="259" w:lineRule="auto"/>
            </w:pPr>
            <w:r>
              <w:rPr>
                <w:rFonts w:ascii="Calibri" w:hAnsi="Calibri"/>
                <w:b w:val="0"/>
                <w:i w:val="0"/>
                <w:color w:val="212121"/>
                <w:sz w:val="19"/>
              </w:rPr>
              <w:t>Reduced mucosal cell-mediated immunity makes VVC more frequent, more severe and more recurrent, and persistent or refractory VVC can be an early clinical indicator of immunosuppression.</w:t>
            </w:r>
          </w:p>
          <w:p>
            <w:pPr>
              <w:spacing w:after="40" w:before="60" w:line="259" w:lineRule="auto"/>
            </w:pPr>
            <w:r>
              <w:rPr>
                <w:rFonts w:ascii="Calibri" w:hAnsi="Calibri"/>
                <w:b w:val="0"/>
                <w:i w:val="0"/>
                <w:color w:val="212121"/>
                <w:sz w:val="19"/>
              </w:rPr>
              <w:t>Women who are immunocompromised, including those with HIV, are more likely to get VVC, and episodes may be more severe or recur more often.</w:t>
            </w:r>
          </w:p>
          <w:p>
            <w:pPr>
              <w:spacing w:after="40" w:line="252" w:lineRule="auto"/>
            </w:pPr>
            <w:hyperlink r:id="rId15">
              <w:r>
                <w:rPr>
                  <w:rFonts w:ascii="Calibri" w:hAnsi="Calibri" w:cs="Calibri"/>
                  <w:sz w:val="18"/>
                  <w:color w:val="1155CC"/>
                  <w:u w:val="single"/>
                </w:rPr>
                <w:t xml:space="preserve">clinicalinfo.hiv.gov — vulvovaginal candidiasis &amp; HIV</w:t>
              </w:r>
            </w:hyperlink>
          </w:p>
          <w:p>
            <w:pPr>
              <w:spacing w:before="60" w:after="40"/>
            </w:pPr>
            <w:r>
              <w:rPr>
                <w:rFonts w:ascii="Calibri" w:hAnsi="Calibri"/>
                <w:b w:val="0"/>
                <w:i w:val="0"/>
                <w:color w:val="5A5A5A"/>
                <w:sz w:val="18"/>
              </w:rPr>
              <w:t>#HIV  #immunosuppression  #refractoryVVC  #CD4</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antibiotic use</w:t>
            </w:r>
          </w:p>
        </w:tc>
        <w:tc>
          <w:tcPr>
            <w:tcW w:type="dxa" w:w="2160"/>
            <w:vAlign w:val="top"/>
          </w:tcPr>
          <w:p>
            <w:pPr>
              <w:spacing w:after="40" w:before="0" w:line="259" w:lineRule="auto"/>
            </w:pPr>
            <w:r>
              <w:rPr>
                <w:rFonts w:ascii="Calibri" w:hAnsi="Calibri"/>
                <w:b w:val="0"/>
                <w:i w:val="0"/>
                <w:color w:val="212121"/>
                <w:sz w:val="19"/>
              </w:rPr>
              <w:t>Women on or just after broad-spectrum antibiotics</w:t>
            </w:r>
          </w:p>
        </w:tc>
        <w:tc>
          <w:tcPr>
            <w:tcW w:type="dxa" w:w="4276"/>
            <w:vAlign w:val="top"/>
          </w:tcPr>
          <w:p>
            <w:pPr>
              <w:spacing w:after="60" w:line="259" w:lineRule="auto"/>
            </w:pPr>
            <w:r>
              <w:rPr>
                <w:rFonts w:ascii="Calibri" w:hAnsi="Calibri"/>
                <w:b w:val="0"/>
                <w:i w:val="0"/>
                <w:color w:val="212121"/>
                <w:sz w:val="19"/>
              </w:rPr>
              <w:t>Antibiotics suppress protective lactobacilli, removing the acidic, competitive brake on Candida and precipitating post-antibiotic yeast infection, a very common trigger for acute VVC.</w:t>
            </w:r>
          </w:p>
          <w:p>
            <w:pPr>
              <w:spacing w:after="40" w:before="60" w:line="259" w:lineRule="auto"/>
            </w:pPr>
            <w:r>
              <w:rPr>
                <w:rFonts w:ascii="Calibri" w:hAnsi="Calibri"/>
                <w:b w:val="0"/>
                <w:i w:val="0"/>
                <w:color w:val="212121"/>
                <w:sz w:val="19"/>
              </w:rPr>
              <w:t>In a Kerala VVC study, 23.3% of affected women reported recent antibiotic use.</w:t>
            </w:r>
          </w:p>
          <w:p>
            <w:pPr>
              <w:spacing w:after="40" w:line="252" w:lineRule="auto"/>
            </w:pPr>
            <w:hyperlink r:id="rId14">
              <w:r>
                <w:rPr>
                  <w:rFonts w:ascii="Calibri" w:hAnsi="Calibri" w:cs="Calibri"/>
                  <w:sz w:val="18"/>
                  <w:color w:val="1155CC"/>
                  <w:u w:val="single"/>
                </w:rPr>
                <w:t xml:space="preserve">biotech-asia.org — VVC risk factors by age group (Palakkad, India)</w:t>
              </w:r>
            </w:hyperlink>
          </w:p>
          <w:p>
            <w:pPr>
              <w:spacing w:before="60" w:after="40"/>
            </w:pPr>
            <w:r>
              <w:rPr>
                <w:rFonts w:ascii="Calibri" w:hAnsi="Calibri"/>
                <w:b w:val="0"/>
                <w:i w:val="0"/>
                <w:color w:val="5A5A5A"/>
                <w:sz w:val="18"/>
              </w:rPr>
              <w:t>#antibiotics  #postantibiotic  #lactobacillusloss  #dysbiosis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overweight</w:t>
            </w:r>
          </w:p>
        </w:tc>
        <w:tc>
          <w:tcPr>
            <w:tcW w:type="dxa" w:w="2160"/>
            <w:vAlign w:val="top"/>
          </w:tcPr>
          <w:p>
            <w:pPr>
              <w:spacing w:after="40" w:before="0" w:line="259" w:lineRule="auto"/>
            </w:pPr>
            <w:r>
              <w:rPr>
                <w:rFonts w:ascii="Calibri" w:hAnsi="Calibri"/>
                <w:b w:val="0"/>
                <w:i w:val="0"/>
                <w:color w:val="212121"/>
                <w:sz w:val="19"/>
              </w:rPr>
              <w:t>Overweight and obese women</w:t>
            </w:r>
          </w:p>
        </w:tc>
        <w:tc>
          <w:tcPr>
            <w:tcW w:type="dxa" w:w="4276"/>
            <w:vAlign w:val="top"/>
          </w:tcPr>
          <w:p>
            <w:pPr>
              <w:spacing w:after="60" w:line="259" w:lineRule="auto"/>
            </w:pPr>
            <w:r>
              <w:rPr>
                <w:rFonts w:ascii="Calibri" w:hAnsi="Calibri"/>
                <w:b w:val="0"/>
                <w:i w:val="0"/>
                <w:color w:val="212121"/>
                <w:sz w:val="19"/>
              </w:rPr>
              <w:t>Higher endogenous oestrogen, skin-fold moisture and intertrigo, and a greater likelihood of insulin resistance and diabetes together raise the risk of vulvovaginal and cutaneous candidiasis.</w:t>
            </w:r>
          </w:p>
          <w:p>
            <w:pPr>
              <w:spacing w:after="40" w:before="60" w:line="259" w:lineRule="auto"/>
            </w:pPr>
            <w:r>
              <w:rPr>
                <w:rFonts w:ascii="Calibri" w:hAnsi="Calibri"/>
                <w:b w:val="0"/>
                <w:i w:val="0"/>
                <w:color w:val="212121"/>
                <w:sz w:val="19"/>
              </w:rPr>
              <w:t>In the Kerala VVC study, 54.4% of affected women were in the overweight BMI range (25–29.9 kg/m²).</w:t>
            </w:r>
          </w:p>
          <w:p>
            <w:pPr>
              <w:spacing w:after="40" w:line="252" w:lineRule="auto"/>
            </w:pPr>
            <w:hyperlink r:id="rId14">
              <w:r>
                <w:rPr>
                  <w:rFonts w:ascii="Calibri" w:hAnsi="Calibri" w:cs="Calibri"/>
                  <w:sz w:val="18"/>
                  <w:color w:val="1155CC"/>
                  <w:u w:val="single"/>
                </w:rPr>
                <w:t xml:space="preserve">biotech-asia.org — VVC risk factors by age group (Palakkad, India)</w:t>
              </w:r>
            </w:hyperlink>
          </w:p>
          <w:p>
            <w:pPr>
              <w:spacing w:before="60" w:after="40"/>
            </w:pPr>
            <w:r>
              <w:rPr>
                <w:rFonts w:ascii="Calibri" w:hAnsi="Calibri"/>
                <w:b w:val="0"/>
                <w:i w:val="0"/>
                <w:color w:val="5A5A5A"/>
                <w:sz w:val="18"/>
              </w:rPr>
              <w:t>#obesity  #overweight  #intertrigo  #insulinresistance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itself protects against obesity and diabetes (which predispose to VVC), but prolonged wearing of tight, non-breathable synthetic gym wear and wet swimwear traps heat and moisture and can precipitate episodes; changing promptly into dry, breathable clothing after exercise is protective.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dietary sugar and refined carbohydrate raise blood and vaginal glucose that feed Candida, especially in diabetic or prediabetic women, while probiotic and fermented-dairy intake may help maintain protective lactobacilli; causal preventive evidence is moderate.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may impair mucosal immunity in a general way, but there is no established direct link between sleep duration and VVC; recurrent nocturnal itch can, in turn, disturb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weakly and inconsistently associated with VVC; any effect is small compared with diabetes, antibiotics, oestrogen and immunosuppression.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direct association between alcohol intake and VVC; heavy use may worsen glycaemic control and immune function indirectly.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psychological stress may modestly impair cell-mediated immunity and has been linked to recurrence in some studies, and recurrent, itchy, uncomfortable VVC itself causes anxiety, sexual distress and reduced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Clean water and private sanitation support safe genital hygiene and prompt drying, whereas using water for douching or intravaginal washing strips protective flora and can precipitate VVC; adequate hydration is generally supportive.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vulvovaginal candidiasis.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strongly influences VVC: douching, intravaginal soaps/deodorants and over-washing disturb the flora, while occlusive clothing, prolonged dampness and poor drying create the warm, moist environment Candida needs. Gentle external-only washing and keeping the area dry are protective.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Broad-spectrum antibiotics, pregnancy and other high-oestrogen states, uncontrolled diabetes/SGLT2 inhibitors, immunosuppression (including HIV and corticosteroids) and the premenstrual luteal phase are the major precipitants of acute and recurrent VVC.</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Adults, diabetics, recurrent VVC</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 (diabetes); 100–125 (impaired)</w:t>
            </w:r>
          </w:p>
        </w:tc>
        <w:tc>
          <w:tcPr>
            <w:tcW w:type="dxa" w:w="1468"/>
            <w:vAlign w:val="top"/>
          </w:tcPr>
          <w:p>
            <w:pPr>
              <w:spacing w:after="60" w:line="259" w:lineRule="auto"/>
            </w:pPr>
            <w:r>
              <w:rPr>
                <w:rFonts w:ascii="Calibri" w:hAnsi="Calibri"/>
                <w:b w:val="0"/>
                <w:i w:val="0"/>
                <w:color w:val="212121"/>
                <w:sz w:val="19"/>
              </w:rPr>
              <w:t>Hyperglycaemia raises vaginal glucose and drives candidal overgrowth</w:t>
            </w:r>
          </w:p>
          <w:p>
            <w:pPr>
              <w:spacing w:after="40" w:line="252" w:lineRule="auto"/>
            </w:pPr>
            <w:hyperlink r:id="rId9">
              <w:r>
                <w:rPr>
                  <w:rFonts w:ascii="Calibri" w:hAnsi="Calibri" w:cs="Calibri"/>
                  <w:sz w:val="18"/>
                  <w:color w:val="1155CC"/>
                  <w:u w:val="single"/>
                </w:rPr>
                <w:t xml:space="preserve">https://www.cdc.gov/std/treatment-guidelines/candidiasis.htm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Glycated haemoglobin (HbA1c)</w:t>
            </w:r>
          </w:p>
        </w:tc>
        <w:tc>
          <w:tcPr>
            <w:tcW w:type="dxa" w:w="1655"/>
            <w:vAlign w:val="top"/>
          </w:tcPr>
          <w:p>
            <w:pPr>
              <w:spacing w:after="40" w:before="0" w:line="259" w:lineRule="auto"/>
            </w:pPr>
            <w:r>
              <w:rPr>
                <w:rFonts w:ascii="Calibri" w:hAnsi="Calibri"/>
                <w:b w:val="0"/>
                <w:i w:val="0"/>
                <w:color w:val="212121"/>
                <w:sz w:val="19"/>
              </w:rPr>
              <w:t>Diabetic women with recurrent VVC</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(or above individual target)</w:t>
            </w:r>
          </w:p>
        </w:tc>
        <w:tc>
          <w:tcPr>
            <w:tcW w:type="dxa" w:w="1468"/>
            <w:vAlign w:val="top"/>
          </w:tcPr>
          <w:p>
            <w:pPr>
              <w:spacing w:after="40" w:before="0" w:line="259" w:lineRule="auto"/>
            </w:pPr>
            <w:r>
              <w:rPr>
                <w:rFonts w:ascii="Calibri" w:hAnsi="Calibri"/>
                <w:b w:val="0"/>
                <w:i w:val="0"/>
                <w:color w:val="212121"/>
                <w:sz w:val="19"/>
              </w:rPr>
              <w:t>Poor glycaemic control predicts recurrent and non-albicans VVC</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Probiotic / fermented-dairy intake</w:t>
            </w:r>
          </w:p>
        </w:tc>
        <w:tc>
          <w:tcPr>
            <w:tcW w:type="dxa" w:w="1655"/>
            <w:vAlign w:val="top"/>
          </w:tcPr>
          <w:p>
            <w:pPr>
              <w:spacing w:after="40" w:before="0" w:line="259" w:lineRule="auto"/>
            </w:pPr>
            <w:r>
              <w:rPr>
                <w:rFonts w:ascii="Calibri" w:hAnsi="Calibri"/>
                <w:b w:val="0"/>
                <w:i w:val="0"/>
                <w:color w:val="212121"/>
                <w:sz w:val="19"/>
              </w:rPr>
              <w:t>Women with recurrent VVC</w:t>
            </w:r>
          </w:p>
        </w:tc>
        <w:tc>
          <w:tcPr>
            <w:tcW w:type="dxa" w:w="1512"/>
            <w:vAlign w:val="top"/>
          </w:tcPr>
          <w:p>
            <w:pPr>
              <w:spacing w:after="40" w:before="0" w:line="259" w:lineRule="auto"/>
            </w:pPr>
            <w:r>
              <w:rPr>
                <w:rFonts w:ascii="Calibri" w:hAnsi="Calibri"/>
                <w:b w:val="0"/>
                <w:i w:val="0"/>
                <w:color w:val="212121"/>
                <w:sz w:val="19"/>
              </w:rPr>
              <w:t>Regular curd/dahi, buttermilk or Lactobacillus foods</w:t>
            </w:r>
          </w:p>
        </w:tc>
        <w:tc>
          <w:tcPr>
            <w:tcW w:type="dxa" w:w="1512"/>
            <w:vAlign w:val="top"/>
          </w:tcPr>
          <w:p>
            <w:pPr>
              <w:spacing w:after="40" w:before="0" w:line="259" w:lineRule="auto"/>
            </w:pPr>
            <w:r>
              <w:rPr>
                <w:rFonts w:ascii="Calibri" w:hAnsi="Calibri"/>
                <w:b w:val="0"/>
                <w:i w:val="0"/>
                <w:color w:val="212121"/>
                <w:sz w:val="19"/>
              </w:rPr>
              <w:t>Negligible probiotic intake</w:t>
            </w:r>
          </w:p>
        </w:tc>
        <w:tc>
          <w:tcPr>
            <w:tcW w:type="dxa" w:w="1468"/>
            <w:vAlign w:val="top"/>
          </w:tcPr>
          <w:p>
            <w:pPr>
              <w:spacing w:after="40" w:before="0" w:line="259" w:lineRule="auto"/>
            </w:pPr>
            <w:r>
              <w:rPr>
                <w:rFonts w:ascii="Calibri" w:hAnsi="Calibri"/>
                <w:b w:val="0"/>
                <w:i w:val="0"/>
                <w:color w:val="212121"/>
                <w:sz w:val="19"/>
              </w:rPr>
              <w:t>May help maintain protective vaginal lactobacilli (evidence emerging)</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60" w:line="259" w:lineRule="auto"/>
            </w:pPr>
            <w:r>
              <w:rPr>
                <w:rFonts w:ascii="Calibri" w:hAnsi="Calibri"/>
                <w:b w:val="0"/>
                <w:i w:val="0"/>
                <w:color w:val="212121"/>
                <w:sz w:val="19"/>
              </w:rPr>
              <w:t>Overweight raises oestrogen, moisture and diabetes risk</w:t>
            </w:r>
          </w:p>
          <w:p>
            <w:pPr>
              <w:spacing w:after="40" w:line="252" w:lineRule="auto"/>
            </w:pPr>
            <w:hyperlink r:id="rId14">
              <w:r>
                <w:rPr>
                  <w:rFonts w:ascii="Calibri" w:hAnsi="Calibri" w:cs="Calibri"/>
                  <w:sz w:val="18"/>
                  <w:color w:val="1155CC"/>
                  <w:u w:val="single"/>
                </w:rPr>
                <w:t xml:space="preserve">https://www.biotech-asia.org/vol20no1/assessment-of-risk-factors-for-developing-vulvovaginal-candidiasis-among-women-at-various-age-groups/</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Vaginal douching frequency</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None (no vaginal douching)</w:t>
            </w:r>
          </w:p>
        </w:tc>
        <w:tc>
          <w:tcPr>
            <w:tcW w:type="dxa" w:w="1512"/>
            <w:vAlign w:val="top"/>
          </w:tcPr>
          <w:p>
            <w:pPr>
              <w:spacing w:after="40" w:before="0" w:line="259" w:lineRule="auto"/>
            </w:pPr>
            <w:r>
              <w:rPr>
                <w:rFonts w:ascii="Calibri" w:hAnsi="Calibri"/>
                <w:b w:val="0"/>
                <w:i w:val="0"/>
                <w:color w:val="212121"/>
                <w:sz w:val="19"/>
              </w:rPr>
              <w:t>Any regular intravaginal douching or washing</w:t>
            </w:r>
          </w:p>
        </w:tc>
        <w:tc>
          <w:tcPr>
            <w:tcW w:type="dxa" w:w="1468"/>
            <w:vAlign w:val="top"/>
          </w:tcPr>
          <w:p>
            <w:pPr>
              <w:spacing w:after="60" w:line="259" w:lineRule="auto"/>
            </w:pPr>
            <w:r>
              <w:rPr>
                <w:rFonts w:ascii="Calibri" w:hAnsi="Calibri"/>
                <w:b w:val="0"/>
                <w:i w:val="0"/>
                <w:color w:val="212121"/>
                <w:sz w:val="19"/>
              </w:rPr>
              <w:t>Douching disturbs flora and predisposes to vaginitis</w:t>
            </w:r>
          </w:p>
          <w:p>
            <w:pPr>
              <w:spacing w:after="40" w:line="252" w:lineRule="auto"/>
            </w:pPr>
            <w:hyperlink r:id="rId12">
              <w:r>
                <w:rPr>
                  <w:rFonts w:ascii="Calibri" w:hAnsi="Calibri" w:cs="Calibri"/>
                  <w:sz w:val="18"/>
                  <w:color w:val="1155CC"/>
                  <w:u w:val="single"/>
                </w:rPr>
                <w:t xml:space="preserve">https://ijogr.org/archive/volume/9/issue/3/article/13471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Underwear fabric &amp; dampness</w:t>
            </w:r>
          </w:p>
        </w:tc>
        <w:tc>
          <w:tcPr>
            <w:tcW w:type="dxa" w:w="1655"/>
            <w:vAlign w:val="top"/>
          </w:tcPr>
          <w:p>
            <w:pPr>
              <w:spacing w:after="40" w:before="0" w:line="259" w:lineRule="auto"/>
            </w:pPr>
            <w:r>
              <w:rPr>
                <w:rFonts w:ascii="Calibri" w:hAnsi="Calibri"/>
                <w:b w:val="0"/>
                <w:i w:val="0"/>
                <w:color w:val="212121"/>
                <w:sz w:val="19"/>
              </w:rPr>
              <w:t>All women, athletes, swimmers</w:t>
            </w:r>
          </w:p>
        </w:tc>
        <w:tc>
          <w:tcPr>
            <w:tcW w:type="dxa" w:w="1512"/>
            <w:vAlign w:val="top"/>
          </w:tcPr>
          <w:p>
            <w:pPr>
              <w:spacing w:after="40" w:before="0" w:line="259" w:lineRule="auto"/>
            </w:pPr>
            <w:r>
              <w:rPr>
                <w:rFonts w:ascii="Calibri" w:hAnsi="Calibri"/>
                <w:b w:val="0"/>
                <w:i w:val="0"/>
                <w:color w:val="212121"/>
                <w:sz w:val="19"/>
              </w:rPr>
              <w:t>Breathable cotton; change promptly when damp</w:t>
            </w:r>
          </w:p>
        </w:tc>
        <w:tc>
          <w:tcPr>
            <w:tcW w:type="dxa" w:w="1512"/>
            <w:vAlign w:val="top"/>
          </w:tcPr>
          <w:p>
            <w:pPr>
              <w:spacing w:after="40" w:before="0" w:line="259" w:lineRule="auto"/>
            </w:pPr>
            <w:r>
              <w:rPr>
                <w:rFonts w:ascii="Calibri" w:hAnsi="Calibri"/>
                <w:b w:val="0"/>
                <w:i w:val="0"/>
                <w:color w:val="212121"/>
                <w:sz w:val="19"/>
              </w:rPr>
              <w:t>Tight synthetic fabric; prolonged wet swimwear/gym wear</w:t>
            </w:r>
          </w:p>
        </w:tc>
        <w:tc>
          <w:tcPr>
            <w:tcW w:type="dxa" w:w="1468"/>
            <w:vAlign w:val="top"/>
          </w:tcPr>
          <w:p>
            <w:pPr>
              <w:spacing w:after="40" w:before="0" w:line="259" w:lineRule="auto"/>
            </w:pPr>
            <w:r>
              <w:rPr>
                <w:rFonts w:ascii="Calibri" w:hAnsi="Calibri"/>
                <w:b w:val="0"/>
                <w:i w:val="0"/>
                <w:color w:val="212121"/>
                <w:sz w:val="19"/>
              </w:rPr>
              <w:t>Warm, moist occlusion favours candidal germination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Recent broad-spectrum antibiotic course</w:t>
            </w:r>
          </w:p>
        </w:tc>
        <w:tc>
          <w:tcPr>
            <w:tcW w:type="dxa" w:w="1655"/>
            <w:vAlign w:val="top"/>
          </w:tcPr>
          <w:p>
            <w:pPr>
              <w:spacing w:after="40" w:before="0" w:line="259" w:lineRule="auto"/>
            </w:pPr>
            <w:r>
              <w:rPr>
                <w:rFonts w:ascii="Calibri" w:hAnsi="Calibri"/>
                <w:b w:val="0"/>
                <w:i w:val="0"/>
                <w:color w:val="212121"/>
                <w:sz w:val="19"/>
              </w:rPr>
              <w:t>Women prescribed antibiotics</w:t>
            </w:r>
          </w:p>
        </w:tc>
        <w:tc>
          <w:tcPr>
            <w:tcW w:type="dxa" w:w="1512"/>
            <w:vAlign w:val="top"/>
          </w:tcPr>
          <w:p>
            <w:pPr>
              <w:spacing w:after="40" w:before="0" w:line="259" w:lineRule="auto"/>
            </w:pPr>
            <w:r>
              <w:rPr>
                <w:rFonts w:ascii="Calibri" w:hAnsi="Calibri"/>
                <w:b w:val="0"/>
                <w:i w:val="0"/>
                <w:color w:val="212121"/>
                <w:sz w:val="19"/>
              </w:rPr>
              <w:t>Only when indicated; narrowest effective spectrum</w:t>
            </w:r>
          </w:p>
        </w:tc>
        <w:tc>
          <w:tcPr>
            <w:tcW w:type="dxa" w:w="1512"/>
            <w:vAlign w:val="top"/>
          </w:tcPr>
          <w:p>
            <w:pPr>
              <w:spacing w:after="40" w:before="0" w:line="259" w:lineRule="auto"/>
            </w:pPr>
            <w:r>
              <w:rPr>
                <w:rFonts w:ascii="Calibri" w:hAnsi="Calibri"/>
                <w:b w:val="0"/>
                <w:i w:val="0"/>
                <w:color w:val="212121"/>
                <w:sz w:val="19"/>
              </w:rPr>
              <w:t>Recent/repeated broad-spectrum courses</w:t>
            </w:r>
          </w:p>
        </w:tc>
        <w:tc>
          <w:tcPr>
            <w:tcW w:type="dxa" w:w="1468"/>
            <w:vAlign w:val="top"/>
          </w:tcPr>
          <w:p>
            <w:pPr>
              <w:spacing w:after="60" w:line="259" w:lineRule="auto"/>
            </w:pPr>
            <w:r>
              <w:rPr>
                <w:rFonts w:ascii="Calibri" w:hAnsi="Calibri"/>
                <w:b w:val="0"/>
                <w:i w:val="0"/>
                <w:color w:val="212121"/>
                <w:sz w:val="19"/>
              </w:rPr>
              <w:t>Antibiotics deplete lactobacilli and precipitate post-antibiotic VVC</w:t>
            </w:r>
          </w:p>
          <w:p>
            <w:pPr>
              <w:spacing w:after="40" w:line="252" w:lineRule="auto"/>
            </w:pPr>
            <w:hyperlink r:id="rId14">
              <w:r>
                <w:rPr>
                  <w:rFonts w:ascii="Calibri" w:hAnsi="Calibri" w:cs="Calibri"/>
                  <w:sz w:val="18"/>
                  <w:color w:val="1155CC"/>
                  <w:u w:val="single"/>
                </w:rPr>
                <w:t xml:space="preserve">https://www.biotech-asia.org/vol20no1/assessment-of-risk-factors-for-developing-vulvovaginal-candidiasis-among-women-at-various-age-groups/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Vaginal pH</w:t>
            </w:r>
          </w:p>
        </w:tc>
        <w:tc>
          <w:tcPr>
            <w:tcW w:type="dxa" w:w="1655"/>
            <w:vAlign w:val="top"/>
          </w:tcPr>
          <w:p>
            <w:pPr>
              <w:spacing w:after="40" w:before="0" w:line="259" w:lineRule="auto"/>
            </w:pPr>
            <w:r>
              <w:rPr>
                <w:rFonts w:ascii="Calibri" w:hAnsi="Calibri"/>
                <w:b w:val="0"/>
                <w:i w:val="0"/>
                <w:color w:val="212121"/>
                <w:sz w:val="19"/>
              </w:rPr>
              <w:t>Women with vaginitis symptoms</w:t>
            </w:r>
          </w:p>
        </w:tc>
        <w:tc>
          <w:tcPr>
            <w:tcW w:type="dxa" w:w="1512"/>
            <w:vAlign w:val="top"/>
          </w:tcPr>
          <w:p>
            <w:pPr>
              <w:spacing w:after="40" w:before="0" w:line="259" w:lineRule="auto"/>
            </w:pPr>
            <w:r>
              <w:rPr>
                <w:rFonts w:ascii="Calibri" w:hAnsi="Calibri"/>
                <w:b w:val="0"/>
                <w:i w:val="0"/>
                <w:color w:val="212121"/>
                <w:sz w:val="19"/>
              </w:rPr>
              <w:t>4.0–4.5 (normal in VVC)</w:t>
            </w:r>
          </w:p>
        </w:tc>
        <w:tc>
          <w:tcPr>
            <w:tcW w:type="dxa" w:w="1512"/>
            <w:vAlign w:val="top"/>
          </w:tcPr>
          <w:p>
            <w:pPr>
              <w:spacing w:after="40" w:before="0" w:line="259" w:lineRule="auto"/>
            </w:pPr>
            <w:r>
              <w:rPr>
                <w:rFonts w:ascii="Calibri" w:hAnsi="Calibri"/>
                <w:b w:val="0"/>
                <w:i w:val="0"/>
                <w:color w:val="212121"/>
                <w:sz w:val="19"/>
              </w:rPr>
              <w:t>&gt; 4.5 suggests BV, trichomoniasis or mixed infection</w:t>
            </w:r>
          </w:p>
        </w:tc>
        <w:tc>
          <w:tcPr>
            <w:tcW w:type="dxa" w:w="1468"/>
            <w:vAlign w:val="top"/>
          </w:tcPr>
          <w:p>
            <w:pPr>
              <w:spacing w:after="60" w:line="259" w:lineRule="auto"/>
            </w:pPr>
            <w:r>
              <w:rPr>
                <w:rFonts w:ascii="Calibri" w:hAnsi="Calibri"/>
                <w:b w:val="0"/>
                <w:i w:val="0"/>
                <w:color w:val="212121"/>
                <w:sz w:val="19"/>
              </w:rPr>
              <w:t>Normal pH helps distinguish VVC from other causes of vaginitis</w:t>
            </w:r>
          </w:p>
          <w:p>
            <w:pPr>
              <w:spacing w:after="40" w:line="252" w:lineRule="auto"/>
            </w:pPr>
            <w:hyperlink r:id="rId9">
              <w:r>
                <w:rPr>
                  <w:rFonts w:ascii="Calibri" w:hAnsi="Calibri" w:cs="Calibri"/>
                  <w:sz w:val="18"/>
                  <w:color w:val="1155CC"/>
                  <w:u w:val="single"/>
                </w:rPr>
                <w:t xml:space="preserve">https://www.cdc.gov/std/treatment-guidelines/candidiasis.htm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Symptomatic episodes per year</w:t>
            </w:r>
          </w:p>
        </w:tc>
        <w:tc>
          <w:tcPr>
            <w:tcW w:type="dxa" w:w="1655"/>
            <w:vAlign w:val="top"/>
          </w:tcPr>
          <w:p>
            <w:pPr>
              <w:spacing w:after="40" w:before="0" w:line="259" w:lineRule="auto"/>
            </w:pPr>
            <w:r>
              <w:rPr>
                <w:rFonts w:ascii="Calibri" w:hAnsi="Calibri"/>
                <w:b w:val="0"/>
                <w:i w:val="0"/>
                <w:color w:val="212121"/>
                <w:sz w:val="19"/>
              </w:rPr>
              <w:t>Women with recurrent VVC</w:t>
            </w:r>
          </w:p>
        </w:tc>
        <w:tc>
          <w:tcPr>
            <w:tcW w:type="dxa" w:w="1512"/>
            <w:vAlign w:val="top"/>
          </w:tcPr>
          <w:p>
            <w:pPr>
              <w:spacing w:after="40" w:before="0" w:line="259" w:lineRule="auto"/>
            </w:pPr>
            <w:r>
              <w:rPr>
                <w:rFonts w:ascii="Calibri" w:hAnsi="Calibri"/>
                <w:b w:val="0"/>
                <w:i w:val="0"/>
                <w:color w:val="212121"/>
                <w:sz w:val="19"/>
              </w:rPr>
              <w:t>0–1 per year</w:t>
            </w:r>
          </w:p>
        </w:tc>
        <w:tc>
          <w:tcPr>
            <w:tcW w:type="dxa" w:w="1512"/>
            <w:vAlign w:val="top"/>
          </w:tcPr>
          <w:p>
            <w:pPr>
              <w:spacing w:after="40" w:before="0" w:line="259" w:lineRule="auto"/>
            </w:pPr>
            <w:r>
              <w:rPr>
                <w:rFonts w:ascii="Calibri" w:hAnsi="Calibri"/>
                <w:b w:val="0"/>
                <w:i w:val="0"/>
                <w:color w:val="212121"/>
                <w:sz w:val="19"/>
              </w:rPr>
              <w:t>≥ 3 culture-confirmed episodes in 12 months (RVVC)</w:t>
            </w:r>
          </w:p>
        </w:tc>
        <w:tc>
          <w:tcPr>
            <w:tcW w:type="dxa" w:w="1468"/>
            <w:vAlign w:val="top"/>
          </w:tcPr>
          <w:p>
            <w:pPr>
              <w:spacing w:after="60" w:line="259" w:lineRule="auto"/>
            </w:pPr>
            <w:r>
              <w:rPr>
                <w:rFonts w:ascii="Calibri" w:hAnsi="Calibri"/>
                <w:b w:val="0"/>
                <w:i w:val="0"/>
                <w:color w:val="212121"/>
                <w:sz w:val="19"/>
              </w:rPr>
              <w:t>Defines recurrent VVC and the need for maintenance therapy</w:t>
            </w:r>
          </w:p>
          <w:p>
            <w:pPr>
              <w:spacing w:after="40" w:line="252" w:lineRule="auto"/>
            </w:pPr>
            <w:hyperlink r:id="rId10">
              <w:r>
                <w:rPr>
                  <w:rFonts w:ascii="Calibri" w:hAnsi="Calibri" w:cs="Calibri"/>
                  <w:sz w:val="18"/>
                  <w:color w:val="1155CC"/>
                  <w:u w:val="single"/>
                </w:rPr>
                <w:t xml:space="preserve">https://journals.sagepub.com/doi/10.1177/20503121221115201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Immune / HIV status</w:t>
            </w:r>
          </w:p>
        </w:tc>
        <w:tc>
          <w:tcPr>
            <w:tcW w:type="dxa" w:w="1655"/>
            <w:vAlign w:val="top"/>
          </w:tcPr>
          <w:p>
            <w:pPr>
              <w:spacing w:after="40" w:before="0" w:line="259" w:lineRule="auto"/>
            </w:pPr>
            <w:r>
              <w:rPr>
                <w:rFonts w:ascii="Calibri" w:hAnsi="Calibri"/>
                <w:b w:val="0"/>
                <w:i w:val="0"/>
                <w:color w:val="212121"/>
                <w:sz w:val="19"/>
              </w:rPr>
              <w:t>Immunosuppressed women</w:t>
            </w:r>
          </w:p>
        </w:tc>
        <w:tc>
          <w:tcPr>
            <w:tcW w:type="dxa" w:w="1512"/>
            <w:vAlign w:val="top"/>
          </w:tcPr>
          <w:p>
            <w:pPr>
              <w:spacing w:after="40" w:before="0" w:line="259" w:lineRule="auto"/>
            </w:pPr>
            <w:r>
              <w:rPr>
                <w:rFonts w:ascii="Calibri" w:hAnsi="Calibri"/>
                <w:b w:val="0"/>
                <w:i w:val="0"/>
                <w:color w:val="212121"/>
                <w:sz w:val="19"/>
              </w:rPr>
              <w:t>Immunocompetent; HIV virally suppressed</w:t>
            </w:r>
          </w:p>
        </w:tc>
        <w:tc>
          <w:tcPr>
            <w:tcW w:type="dxa" w:w="1512"/>
            <w:vAlign w:val="top"/>
          </w:tcPr>
          <w:p>
            <w:pPr>
              <w:spacing w:after="40" w:before="0" w:line="259" w:lineRule="auto"/>
            </w:pPr>
            <w:r>
              <w:rPr>
                <w:rFonts w:ascii="Calibri" w:hAnsi="Calibri"/>
                <w:b w:val="0"/>
                <w:i w:val="0"/>
                <w:color w:val="212121"/>
                <w:sz w:val="19"/>
              </w:rPr>
              <w:t>Uncontrolled HIV, corticosteroids, chemotherapy</w:t>
            </w:r>
          </w:p>
        </w:tc>
        <w:tc>
          <w:tcPr>
            <w:tcW w:type="dxa" w:w="1468"/>
            <w:vAlign w:val="top"/>
          </w:tcPr>
          <w:p>
            <w:pPr>
              <w:spacing w:after="60" w:line="259" w:lineRule="auto"/>
            </w:pPr>
            <w:r>
              <w:rPr>
                <w:rFonts w:ascii="Calibri" w:hAnsi="Calibri"/>
                <w:b w:val="0"/>
                <w:i w:val="0"/>
                <w:color w:val="212121"/>
                <w:sz w:val="19"/>
              </w:rPr>
              <w:t>Immunosuppression drives severe, recurrent and refractory VVC</w:t>
            </w:r>
          </w:p>
          <w:p>
            <w:pPr>
              <w:spacing w:after="40" w:line="252" w:lineRule="auto"/>
            </w:pPr>
            <w:hyperlink r:id="rId15">
              <w:r>
                <w:rPr>
                  <w:rFonts w:ascii="Calibri" w:hAnsi="Calibri" w:cs="Calibri"/>
                  <w:sz w:val="18"/>
                  <w:color w:val="1155CC"/>
                  <w:u w:val="single"/>
                </w:rPr>
                <w:t xml:space="preserve">https://clinicalinfo.hiv.gov/en/glossary/vulvovaginal-candidiasis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Vaginal pH</w:t>
            </w:r>
          </w:p>
        </w:tc>
        <w:tc>
          <w:tcPr>
            <w:tcW w:type="dxa" w:w="892"/>
            <w:vAlign w:val="top"/>
          </w:tcPr>
          <w:p>
            <w:pPr>
              <w:spacing w:after="40" w:before="0" w:line="259" w:lineRule="auto"/>
            </w:pPr>
            <w:r>
              <w:rPr>
                <w:rFonts w:ascii="Calibri" w:hAnsi="Calibri"/>
                <w:b w:val="0"/>
                <w:i w:val="0"/>
                <w:color w:val="212121"/>
                <w:sz w:val="16"/>
              </w:rPr>
              <w:t>Vaginal pH testing (narrow-range paper)</w:t>
            </w:r>
          </w:p>
        </w:tc>
        <w:tc>
          <w:tcPr>
            <w:tcW w:type="dxa" w:w="950"/>
            <w:vAlign w:val="top"/>
          </w:tcPr>
          <w:p>
            <w:pPr>
              <w:spacing w:after="40" w:before="0" w:line="259" w:lineRule="auto"/>
            </w:pPr>
            <w:r>
              <w:rPr>
                <w:rFonts w:ascii="Calibri" w:hAnsi="Calibri"/>
                <w:b w:val="0"/>
                <w:i w:val="0"/>
                <w:color w:val="212121"/>
                <w:sz w:val="16"/>
              </w:rPr>
              <w:t>4.0–4.5</w:t>
            </w:r>
          </w:p>
        </w:tc>
        <w:tc>
          <w:tcPr>
            <w:tcW w:type="dxa" w:w="950"/>
            <w:vAlign w:val="top"/>
          </w:tcPr>
          <w:p>
            <w:pPr>
              <w:spacing w:after="40" w:before="0" w:line="259" w:lineRule="auto"/>
            </w:pPr>
            <w:r>
              <w:rPr>
                <w:rFonts w:ascii="Calibri" w:hAnsi="Calibri"/>
                <w:b w:val="0"/>
                <w:i w:val="0"/>
                <w:color w:val="212121"/>
                <w:sz w:val="16"/>
              </w:rPr>
              <w:t>&gt; 4.5 suggests BV/trichomoniasis/mixed</w:t>
            </w:r>
          </w:p>
        </w:tc>
        <w:tc>
          <w:tcPr>
            <w:tcW w:type="dxa" w:w="1036"/>
            <w:vAlign w:val="top"/>
          </w:tcPr>
          <w:p>
            <w:pPr>
              <w:spacing w:after="40" w:before="0" w:line="259" w:lineRule="auto"/>
            </w:pPr>
            <w:r>
              <w:rPr>
                <w:rFonts w:ascii="Calibri" w:hAnsi="Calibri"/>
                <w:b w:val="0"/>
                <w:i w:val="0"/>
                <w:color w:val="212121"/>
                <w:sz w:val="16"/>
              </w:rPr>
              <w:t>VVC characteristically has a normal vaginal pH; a raised pH points to another or mixed diagnosis</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Falsely elevated by blood, semen or cervical mucus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Whiff (amine) test</w:t>
            </w:r>
          </w:p>
        </w:tc>
        <w:tc>
          <w:tcPr>
            <w:tcW w:type="dxa" w:w="892"/>
            <w:vAlign w:val="top"/>
          </w:tcPr>
          <w:p>
            <w:pPr>
              <w:spacing w:after="40" w:before="0" w:line="259" w:lineRule="auto"/>
            </w:pPr>
            <w:r>
              <w:rPr>
                <w:rFonts w:ascii="Calibri" w:hAnsi="Calibri"/>
                <w:b w:val="0"/>
                <w:i w:val="0"/>
                <w:color w:val="212121"/>
                <w:sz w:val="16"/>
              </w:rPr>
              <w:t>KOH whiff test</w:t>
            </w:r>
          </w:p>
        </w:tc>
        <w:tc>
          <w:tcPr>
            <w:tcW w:type="dxa" w:w="950"/>
            <w:vAlign w:val="top"/>
          </w:tcPr>
          <w:p>
            <w:pPr>
              <w:spacing w:after="40" w:before="0" w:line="259" w:lineRule="auto"/>
            </w:pPr>
            <w:r>
              <w:rPr>
                <w:rFonts w:ascii="Calibri" w:hAnsi="Calibri"/>
                <w:b w:val="0"/>
                <w:i w:val="0"/>
                <w:color w:val="212121"/>
                <w:sz w:val="16"/>
              </w:rPr>
              <w:t>Negative (no odour)</w:t>
            </w:r>
          </w:p>
        </w:tc>
        <w:tc>
          <w:tcPr>
            <w:tcW w:type="dxa" w:w="950"/>
            <w:vAlign w:val="top"/>
          </w:tcPr>
          <w:p>
            <w:pPr>
              <w:spacing w:after="40" w:before="0" w:line="259" w:lineRule="auto"/>
            </w:pPr>
            <w:r>
              <w:rPr>
                <w:rFonts w:ascii="Calibri" w:hAnsi="Calibri"/>
                <w:b w:val="0"/>
                <w:i w:val="0"/>
                <w:color w:val="212121"/>
                <w:sz w:val="16"/>
              </w:rPr>
              <w:t>Fishy odour suggests BV/trichomoniasis, not VVC</w:t>
            </w:r>
          </w:p>
        </w:tc>
        <w:tc>
          <w:tcPr>
            <w:tcW w:type="dxa" w:w="1036"/>
            <w:vAlign w:val="top"/>
          </w:tcPr>
          <w:p>
            <w:pPr>
              <w:spacing w:after="40" w:before="0" w:line="259" w:lineRule="auto"/>
            </w:pPr>
            <w:r>
              <w:rPr>
                <w:rFonts w:ascii="Calibri" w:hAnsi="Calibri"/>
                <w:b w:val="0"/>
                <w:i w:val="0"/>
                <w:color w:val="212121"/>
                <w:sz w:val="16"/>
              </w:rPr>
              <w:t>A negative whiff test supports VVC over bacterial vaginosis</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Helps differentiate the cause of vaginitis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Saline &amp; 10% KOH wet mount</w:t>
            </w:r>
          </w:p>
        </w:tc>
        <w:tc>
          <w:tcPr>
            <w:tcW w:type="dxa" w:w="892"/>
            <w:vAlign w:val="top"/>
          </w:tcPr>
          <w:p>
            <w:pPr>
              <w:spacing w:after="40" w:before="0" w:line="259" w:lineRule="auto"/>
            </w:pPr>
            <w:r>
              <w:rPr>
                <w:rFonts w:ascii="Calibri" w:hAnsi="Calibri"/>
                <w:b w:val="0"/>
                <w:i w:val="0"/>
                <w:color w:val="212121"/>
                <w:sz w:val="16"/>
              </w:rPr>
              <w:t>Wet-mount microscopy</w:t>
            </w:r>
          </w:p>
        </w:tc>
        <w:tc>
          <w:tcPr>
            <w:tcW w:type="dxa" w:w="950"/>
            <w:vAlign w:val="top"/>
          </w:tcPr>
          <w:p>
            <w:pPr>
              <w:spacing w:after="40" w:before="0" w:line="259" w:lineRule="auto"/>
            </w:pPr>
            <w:r>
              <w:rPr>
                <w:rFonts w:ascii="Calibri" w:hAnsi="Calibri"/>
                <w:b w:val="0"/>
                <w:i w:val="0"/>
                <w:color w:val="212121"/>
                <w:sz w:val="16"/>
              </w:rPr>
              <w:t>No yeast; lactobacilli present</w:t>
            </w:r>
          </w:p>
        </w:tc>
        <w:tc>
          <w:tcPr>
            <w:tcW w:type="dxa" w:w="950"/>
            <w:vAlign w:val="top"/>
          </w:tcPr>
          <w:p>
            <w:pPr>
              <w:spacing w:after="40" w:before="0" w:line="259" w:lineRule="auto"/>
            </w:pPr>
            <w:r>
              <w:rPr>
                <w:rFonts w:ascii="Calibri" w:hAnsi="Calibri"/>
                <w:b w:val="0"/>
                <w:i w:val="0"/>
                <w:color w:val="212121"/>
                <w:sz w:val="16"/>
              </w:rPr>
              <w:t>Budding yeasts, pseudohyphae or hyphae</w:t>
            </w:r>
          </w:p>
        </w:tc>
        <w:tc>
          <w:tcPr>
            <w:tcW w:type="dxa" w:w="1036"/>
            <w:vAlign w:val="top"/>
          </w:tcPr>
          <w:p>
            <w:pPr>
              <w:spacing w:after="40" w:before="0" w:line="259" w:lineRule="auto"/>
            </w:pPr>
            <w:r>
              <w:rPr>
                <w:rFonts w:ascii="Calibri" w:hAnsi="Calibri"/>
                <w:b w:val="0"/>
                <w:i w:val="0"/>
                <w:color w:val="212121"/>
                <w:sz w:val="16"/>
              </w:rPr>
              <w:t>Direct visualisation of Candida; KOH lyses epithelial cells to reveal fungal elements</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Negative in up to ~50% of culture-positive cases, so a negative smear does not exclude VVC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Vaginal fungal culture (Sabouraud)</w:t>
            </w:r>
          </w:p>
        </w:tc>
        <w:tc>
          <w:tcPr>
            <w:tcW w:type="dxa" w:w="892"/>
            <w:vAlign w:val="top"/>
          </w:tcPr>
          <w:p>
            <w:pPr>
              <w:spacing w:after="40" w:before="0" w:line="259" w:lineRule="auto"/>
            </w:pPr>
            <w:r>
              <w:rPr>
                <w:rFonts w:ascii="Calibri" w:hAnsi="Calibri"/>
                <w:b w:val="0"/>
                <w:i w:val="0"/>
                <w:color w:val="212121"/>
                <w:sz w:val="16"/>
              </w:rPr>
              <w:t>Fungal culture &amp; species identification</w:t>
            </w:r>
          </w:p>
        </w:tc>
        <w:tc>
          <w:tcPr>
            <w:tcW w:type="dxa" w:w="950"/>
            <w:vAlign w:val="top"/>
          </w:tcPr>
          <w:p>
            <w:pPr>
              <w:spacing w:after="40" w:before="0" w:line="259" w:lineRule="auto"/>
            </w:pPr>
            <w:r>
              <w:rPr>
                <w:rFonts w:ascii="Calibri" w:hAnsi="Calibri"/>
                <w:b w:val="0"/>
                <w:i w:val="0"/>
                <w:color w:val="212121"/>
                <w:sz w:val="16"/>
              </w:rPr>
              <w:t>No growth / commensal only</w:t>
            </w:r>
          </w:p>
        </w:tc>
        <w:tc>
          <w:tcPr>
            <w:tcW w:type="dxa" w:w="950"/>
            <w:vAlign w:val="top"/>
          </w:tcPr>
          <w:p>
            <w:pPr>
              <w:spacing w:after="40" w:before="0" w:line="259" w:lineRule="auto"/>
            </w:pPr>
            <w:r>
              <w:rPr>
                <w:rFonts w:ascii="Calibri" w:hAnsi="Calibri"/>
                <w:b w:val="0"/>
                <w:i w:val="0"/>
                <w:color w:val="212121"/>
                <w:sz w:val="16"/>
              </w:rPr>
              <w:t>Growth of C. albicans or non-albicans species</w:t>
            </w:r>
          </w:p>
        </w:tc>
        <w:tc>
          <w:tcPr>
            <w:tcW w:type="dxa" w:w="1036"/>
            <w:vAlign w:val="top"/>
          </w:tcPr>
          <w:p>
            <w:pPr>
              <w:spacing w:after="40" w:before="0" w:line="259" w:lineRule="auto"/>
            </w:pPr>
            <w:r>
              <w:rPr>
                <w:rFonts w:ascii="Calibri" w:hAnsi="Calibri"/>
                <w:b w:val="0"/>
                <w:i w:val="0"/>
                <w:color w:val="212121"/>
                <w:sz w:val="16"/>
              </w:rPr>
              <w:t>Most sensitive test; identifies species and guides therapy in complicated disease</w:t>
            </w:r>
          </w:p>
        </w:tc>
        <w:tc>
          <w:tcPr>
            <w:tcW w:type="dxa" w:w="1036"/>
            <w:vAlign w:val="top"/>
          </w:tcPr>
          <w:p>
            <w:pPr>
              <w:spacing w:after="40" w:before="0" w:line="259" w:lineRule="auto"/>
            </w:pPr>
            <w:r>
              <w:rPr>
                <w:rFonts w:ascii="Calibri" w:hAnsi="Calibri"/>
                <w:b w:val="0"/>
                <w:i w:val="0"/>
                <w:color w:val="212121"/>
                <w:sz w:val="16"/>
              </w:rPr>
              <w:t>Recurrent, severe, microscopy-negative or refractory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 gold standard</w:t>
            </w:r>
          </w:p>
        </w:tc>
        <w:tc>
          <w:tcPr>
            <w:tcW w:type="dxa" w:w="720"/>
            <w:vAlign w:val="top"/>
          </w:tcPr>
          <w:p>
            <w:pPr>
              <w:spacing w:after="40" w:before="0" w:line="259" w:lineRule="auto"/>
            </w:pPr>
            <w:r>
              <w:rPr>
                <w:rFonts w:ascii="Calibri" w:hAnsi="Calibri"/>
                <w:b w:val="0"/>
                <w:i w:val="0"/>
                <w:color w:val="212121"/>
                <w:sz w:val="16"/>
              </w:rPr>
              <w:t>Essential to detect azole-tolerant non-albicans species such as C. glabrata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Susceptibility</w:t>
            </w:r>
          </w:p>
        </w:tc>
        <w:tc>
          <w:tcPr>
            <w:tcW w:type="dxa" w:w="1036"/>
            <w:vAlign w:val="top"/>
          </w:tcPr>
          <w:p>
            <w:pPr>
              <w:spacing w:after="40" w:before="0" w:line="259" w:lineRule="auto"/>
            </w:pPr>
            <w:r>
              <w:rPr>
                <w:rFonts w:ascii="Calibri" w:hAnsi="Calibri"/>
                <w:b w:val="0"/>
                <w:i w:val="0"/>
                <w:color w:val="212121"/>
                <w:sz w:val="16"/>
              </w:rPr>
              <w:t>Antifungal susceptibility testing</w:t>
            </w:r>
          </w:p>
        </w:tc>
        <w:tc>
          <w:tcPr>
            <w:tcW w:type="dxa" w:w="892"/>
            <w:vAlign w:val="top"/>
          </w:tcPr>
          <w:p>
            <w:pPr>
              <w:spacing w:after="40" w:before="0" w:line="259" w:lineRule="auto"/>
            </w:pPr>
            <w:r>
              <w:rPr>
                <w:rFonts w:ascii="Calibri" w:hAnsi="Calibri"/>
                <w:b w:val="0"/>
                <w:i w:val="0"/>
                <w:color w:val="212121"/>
                <w:sz w:val="16"/>
              </w:rPr>
              <w:t>Azole susceptibility assay</w:t>
            </w:r>
          </w:p>
        </w:tc>
        <w:tc>
          <w:tcPr>
            <w:tcW w:type="dxa" w:w="950"/>
            <w:vAlign w:val="top"/>
          </w:tcPr>
          <w:p>
            <w:pPr>
              <w:spacing w:after="40" w:before="0" w:line="259" w:lineRule="auto"/>
            </w:pPr>
            <w:r>
              <w:rPr>
                <w:rFonts w:ascii="Calibri" w:hAnsi="Calibri"/>
                <w:b w:val="0"/>
                <w:i w:val="0"/>
                <w:color w:val="212121"/>
                <w:sz w:val="16"/>
              </w:rPr>
              <w:t>Azole-sensitive</w:t>
            </w:r>
          </w:p>
        </w:tc>
        <w:tc>
          <w:tcPr>
            <w:tcW w:type="dxa" w:w="950"/>
            <w:vAlign w:val="top"/>
          </w:tcPr>
          <w:p>
            <w:pPr>
              <w:spacing w:after="40" w:before="0" w:line="259" w:lineRule="auto"/>
            </w:pPr>
            <w:r>
              <w:rPr>
                <w:rFonts w:ascii="Calibri" w:hAnsi="Calibri"/>
                <w:b w:val="0"/>
                <w:i w:val="0"/>
                <w:color w:val="212121"/>
                <w:sz w:val="16"/>
              </w:rPr>
              <w:t>Reduced azole susceptibility / resistance</w:t>
            </w:r>
          </w:p>
        </w:tc>
        <w:tc>
          <w:tcPr>
            <w:tcW w:type="dxa" w:w="1036"/>
            <w:vAlign w:val="top"/>
          </w:tcPr>
          <w:p>
            <w:pPr>
              <w:spacing w:after="40" w:before="0" w:line="259" w:lineRule="auto"/>
            </w:pPr>
            <w:r>
              <w:rPr>
                <w:rFonts w:ascii="Calibri" w:hAnsi="Calibri"/>
                <w:b w:val="0"/>
                <w:i w:val="0"/>
                <w:color w:val="212121"/>
                <w:sz w:val="16"/>
              </w:rPr>
              <w:t>Guides antifungal selection in recurrent or non-albicans VVC</w:t>
            </w:r>
          </w:p>
        </w:tc>
        <w:tc>
          <w:tcPr>
            <w:tcW w:type="dxa" w:w="1036"/>
            <w:vAlign w:val="top"/>
          </w:tcPr>
          <w:p>
            <w:pPr>
              <w:spacing w:after="40" w:before="0" w:line="259" w:lineRule="auto"/>
            </w:pPr>
            <w:r>
              <w:rPr>
                <w:rFonts w:ascii="Calibri" w:hAnsi="Calibri"/>
                <w:b w:val="0"/>
                <w:i w:val="0"/>
                <w:color w:val="212121"/>
                <w:sz w:val="16"/>
              </w:rPr>
              <w:t>Recurrent / non-albicans / treatment-failure VVC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Particularly relevant for C. glabrata and C. krusei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NAAT / multiplex vaginitis panel</w:t>
            </w:r>
          </w:p>
        </w:tc>
        <w:tc>
          <w:tcPr>
            <w:tcW w:type="dxa" w:w="892"/>
            <w:vAlign w:val="top"/>
          </w:tcPr>
          <w:p>
            <w:pPr>
              <w:spacing w:after="40" w:before="0" w:line="259" w:lineRule="auto"/>
            </w:pPr>
            <w:r>
              <w:rPr>
                <w:rFonts w:ascii="Calibri" w:hAnsi="Calibri"/>
                <w:b w:val="0"/>
                <w:i w:val="0"/>
                <w:color w:val="212121"/>
                <w:sz w:val="16"/>
              </w:rPr>
              <w:t>Molecular vaginitis PCR panel</w:t>
            </w:r>
          </w:p>
        </w:tc>
        <w:tc>
          <w:tcPr>
            <w:tcW w:type="dxa" w:w="950"/>
            <w:vAlign w:val="top"/>
          </w:tcPr>
          <w:p>
            <w:pPr>
              <w:spacing w:after="40" w:before="0" w:line="259" w:lineRule="auto"/>
            </w:pPr>
            <w:r>
              <w:rPr>
                <w:rFonts w:ascii="Calibri" w:hAnsi="Calibri"/>
                <w:b w:val="0"/>
                <w:i w:val="0"/>
                <w:color w:val="212121"/>
                <w:sz w:val="16"/>
              </w:rPr>
              <w:t>No Candida detected</w:t>
            </w:r>
          </w:p>
        </w:tc>
        <w:tc>
          <w:tcPr>
            <w:tcW w:type="dxa" w:w="950"/>
            <w:vAlign w:val="top"/>
          </w:tcPr>
          <w:p>
            <w:pPr>
              <w:spacing w:after="40" w:before="0" w:line="259" w:lineRule="auto"/>
            </w:pPr>
            <w:r>
              <w:rPr>
                <w:rFonts w:ascii="Calibri" w:hAnsi="Calibri"/>
                <w:b w:val="0"/>
                <w:i w:val="0"/>
                <w:color w:val="212121"/>
                <w:sz w:val="16"/>
              </w:rPr>
              <w:t>Candida species detected ± BV/trichomonas markers</w:t>
            </w:r>
          </w:p>
        </w:tc>
        <w:tc>
          <w:tcPr>
            <w:tcW w:type="dxa" w:w="1036"/>
            <w:vAlign w:val="top"/>
          </w:tcPr>
          <w:p>
            <w:pPr>
              <w:spacing w:after="40" w:before="0" w:line="259" w:lineRule="auto"/>
            </w:pPr>
            <w:r>
              <w:rPr>
                <w:rFonts w:ascii="Calibri" w:hAnsi="Calibri"/>
                <w:b w:val="0"/>
                <w:i w:val="0"/>
                <w:color w:val="212121"/>
                <w:sz w:val="16"/>
              </w:rPr>
              <w:t>Sensitive detection and simultaneous exclusion of BV and trichomoniasis in mixed vaginitis</w:t>
            </w:r>
          </w:p>
        </w:tc>
        <w:tc>
          <w:tcPr>
            <w:tcW w:type="dxa" w:w="1036"/>
            <w:vAlign w:val="top"/>
          </w:tcPr>
          <w:p>
            <w:pPr>
              <w:spacing w:after="40" w:before="0" w:line="259" w:lineRule="auto"/>
            </w:pPr>
            <w:r>
              <w:rPr>
                <w:rFonts w:ascii="Calibri" w:hAnsi="Calibri"/>
                <w:b w:val="0"/>
                <w:i w:val="0"/>
                <w:color w:val="212121"/>
                <w:sz w:val="16"/>
              </w:rPr>
              <w:t>Recurrent or mixed vaginitis,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Does not by itself distinguish colonisation from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 HbA1c</w:t>
            </w:r>
          </w:p>
        </w:tc>
        <w:tc>
          <w:tcPr>
            <w:tcW w:type="dxa" w:w="892"/>
            <w:vAlign w:val="top"/>
          </w:tcPr>
          <w:p>
            <w:pPr>
              <w:spacing w:after="40" w:before="0" w:line="259" w:lineRule="auto"/>
            </w:pPr>
            <w:r>
              <w:rPr>
                <w:rFonts w:ascii="Calibri" w:hAnsi="Calibri"/>
                <w:b w:val="0"/>
                <w:i w:val="0"/>
                <w:color w:val="212121"/>
                <w:sz w:val="16"/>
              </w:rPr>
              <w:t>Diabetes screen</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Screens for undiagnosed or poorly controlled diabetes in recurrent VVC</w:t>
            </w:r>
          </w:p>
        </w:tc>
        <w:tc>
          <w:tcPr>
            <w:tcW w:type="dxa" w:w="1036"/>
            <w:vAlign w:val="top"/>
          </w:tcPr>
          <w:p>
            <w:pPr>
              <w:spacing w:after="40" w:before="0" w:line="259" w:lineRule="auto"/>
            </w:pPr>
            <w:r>
              <w:rPr>
                <w:rFonts w:ascii="Calibri" w:hAnsi="Calibri"/>
                <w:b w:val="0"/>
                <w:i w:val="0"/>
                <w:color w:val="212121"/>
                <w:sz w:val="16"/>
              </w:rPr>
              <w:t>Recurrent, severe or non-albicans VVC</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Glycaemic optimisation reduces recurrence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test</w:t>
            </w:r>
          </w:p>
        </w:tc>
        <w:tc>
          <w:tcPr>
            <w:tcW w:type="dxa" w:w="892"/>
            <w:vAlign w:val="top"/>
          </w:tcPr>
          <w:p>
            <w:pPr>
              <w:spacing w:after="40" w:before="0" w:line="259" w:lineRule="auto"/>
            </w:pPr>
            <w:r>
              <w:rPr>
                <w:rFonts w:ascii="Calibri" w:hAnsi="Calibri"/>
                <w:b w:val="0"/>
                <w:i w:val="0"/>
                <w:color w:val="212121"/>
                <w:sz w:val="16"/>
              </w:rPr>
              <w:t>HIV screening</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Persistent, severe or refractory VVC can indicate underlying immunosuppression</w:t>
            </w:r>
          </w:p>
        </w:tc>
        <w:tc>
          <w:tcPr>
            <w:tcW w:type="dxa" w:w="1036"/>
            <w:vAlign w:val="top"/>
          </w:tcPr>
          <w:p>
            <w:pPr>
              <w:spacing w:after="40" w:before="0" w:line="259" w:lineRule="auto"/>
            </w:pPr>
            <w:r>
              <w:rPr>
                <w:rFonts w:ascii="Calibri" w:hAnsi="Calibri"/>
                <w:b w:val="0"/>
                <w:i w:val="0"/>
                <w:color w:val="212121"/>
                <w:sz w:val="16"/>
              </w:rPr>
              <w:t>Refractory or unusually severe/recurrent VVC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Offer with counselling per national guidelines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Vulvar itch/burning with thick white curd-like discharge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Classic VVC symptom pattern</w:t>
            </w:r>
          </w:p>
        </w:tc>
        <w:tc>
          <w:tcPr>
            <w:tcW w:type="dxa" w:w="1036"/>
            <w:vAlign w:val="top"/>
          </w:tcPr>
          <w:p>
            <w:pPr>
              <w:spacing w:after="40" w:before="0" w:line="259" w:lineRule="auto"/>
            </w:pPr>
            <w:r>
              <w:rPr>
                <w:rFonts w:ascii="Calibri" w:hAnsi="Calibri"/>
                <w:b w:val="0"/>
                <w:i w:val="0"/>
                <w:color w:val="212121"/>
                <w:sz w:val="16"/>
              </w:rPr>
              <w:t>Reproductive-age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Itch is the dominant symptom; discharge is typically odourless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Cyclical pattern</w:t>
            </w:r>
          </w:p>
        </w:tc>
        <w:tc>
          <w:tcPr>
            <w:tcW w:type="dxa" w:w="979"/>
            <w:vAlign w:val="top"/>
          </w:tcPr>
          <w:p>
            <w:pPr>
              <w:spacing w:after="40" w:before="0" w:line="259" w:lineRule="auto"/>
            </w:pPr>
            <w:r>
              <w:rPr>
                <w:rFonts w:ascii="Calibri" w:hAnsi="Calibri"/>
                <w:b w:val="0"/>
                <w:i w:val="0"/>
                <w:color w:val="212121"/>
                <w:sz w:val="16"/>
              </w:rPr>
              <w:t>Premenstrual worsening; relation to menstrual cycle</w:t>
            </w:r>
          </w:p>
        </w:tc>
        <w:tc>
          <w:tcPr>
            <w:tcW w:type="dxa" w:w="950"/>
            <w:vAlign w:val="top"/>
          </w:tcPr>
          <w:p>
            <w:pPr>
              <w:spacing w:after="40" w:before="0" w:line="259" w:lineRule="auto"/>
            </w:pPr>
            <w:r>
              <w:rPr>
                <w:rFonts w:ascii="Calibri" w:hAnsi="Calibri"/>
                <w:b w:val="0"/>
                <w:i w:val="0"/>
                <w:color w:val="212121"/>
                <w:sz w:val="16"/>
              </w:rPr>
              <w:t>No cyclical pattern</w:t>
            </w:r>
          </w:p>
        </w:tc>
        <w:tc>
          <w:tcPr>
            <w:tcW w:type="dxa" w:w="950"/>
            <w:vAlign w:val="top"/>
          </w:tcPr>
          <w:p>
            <w:pPr>
              <w:spacing w:after="40" w:before="0" w:line="259" w:lineRule="auto"/>
            </w:pPr>
            <w:r>
              <w:rPr>
                <w:rFonts w:ascii="Calibri" w:hAnsi="Calibri"/>
                <w:b w:val="0"/>
                <w:i w:val="0"/>
                <w:color w:val="212121"/>
                <w:sz w:val="16"/>
              </w:rPr>
              <w:t>Symptoms worse in the premenstrual luteal phase</w:t>
            </w:r>
          </w:p>
        </w:tc>
        <w:tc>
          <w:tcPr>
            <w:tcW w:type="dxa" w:w="1036"/>
            <w:vAlign w:val="top"/>
          </w:tcPr>
          <w:p>
            <w:pPr>
              <w:spacing w:after="40" w:before="0" w:line="259" w:lineRule="auto"/>
            </w:pPr>
            <w:r>
              <w:rPr>
                <w:rFonts w:ascii="Calibri" w:hAnsi="Calibri"/>
                <w:b w:val="0"/>
                <w:i w:val="0"/>
                <w:color w:val="212121"/>
                <w:sz w:val="16"/>
              </w:rPr>
              <w:t>Oestrogen/progesterone-driven flares typical of VVC</w:t>
            </w:r>
          </w:p>
        </w:tc>
        <w:tc>
          <w:tcPr>
            <w:tcW w:type="dxa" w:w="1036"/>
            <w:vAlign w:val="top"/>
          </w:tcPr>
          <w:p>
            <w:pPr>
              <w:spacing w:after="40" w:before="0" w:line="259" w:lineRule="auto"/>
            </w:pPr>
            <w:r>
              <w:rPr>
                <w:rFonts w:ascii="Calibri" w:hAnsi="Calibri"/>
                <w:b w:val="0"/>
                <w:i w:val="0"/>
                <w:color w:val="212121"/>
                <w:sz w:val="16"/>
              </w:rPr>
              <w:t>Menstruating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Helps differentiate from other vaginitis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history</w:t>
            </w:r>
          </w:p>
        </w:tc>
        <w:tc>
          <w:tcPr>
            <w:tcW w:type="dxa" w:w="979"/>
            <w:vAlign w:val="top"/>
          </w:tcPr>
          <w:p>
            <w:pPr>
              <w:spacing w:after="40" w:before="0" w:line="259" w:lineRule="auto"/>
            </w:pPr>
            <w:r>
              <w:rPr>
                <w:rFonts w:ascii="Calibri" w:hAnsi="Calibri"/>
                <w:b w:val="0"/>
                <w:i w:val="0"/>
                <w:color w:val="212121"/>
                <w:sz w:val="16"/>
              </w:rPr>
              <w:t>Recent antibiotics, pregnancy, diabetes, oestrogen/OCP, immunosuppression, SGLT2 inhibitors</w:t>
            </w:r>
          </w:p>
        </w:tc>
        <w:tc>
          <w:tcPr>
            <w:tcW w:type="dxa" w:w="950"/>
            <w:vAlign w:val="top"/>
          </w:tcPr>
          <w:p>
            <w:pPr>
              <w:spacing w:after="40" w:before="0" w:line="259" w:lineRule="auto"/>
            </w:pPr>
            <w:r>
              <w:rPr>
                <w:rFonts w:ascii="Calibri" w:hAnsi="Calibri"/>
                <w:b w:val="0"/>
                <w:i w:val="0"/>
                <w:color w:val="212121"/>
                <w:sz w:val="16"/>
              </w:rPr>
              <w:t>No predisposing factors</w:t>
            </w:r>
          </w:p>
        </w:tc>
        <w:tc>
          <w:tcPr>
            <w:tcW w:type="dxa" w:w="950"/>
            <w:vAlign w:val="top"/>
          </w:tcPr>
          <w:p>
            <w:pPr>
              <w:spacing w:after="40" w:before="0" w:line="259" w:lineRule="auto"/>
            </w:pPr>
            <w:r>
              <w:rPr>
                <w:rFonts w:ascii="Calibri" w:hAnsi="Calibri"/>
                <w:b w:val="0"/>
                <w:i w:val="0"/>
                <w:color w:val="212121"/>
                <w:sz w:val="16"/>
              </w:rPr>
              <w:t>One or more provoking factors present</w:t>
            </w:r>
          </w:p>
        </w:tc>
        <w:tc>
          <w:tcPr>
            <w:tcW w:type="dxa" w:w="1036"/>
            <w:vAlign w:val="top"/>
          </w:tcPr>
          <w:p>
            <w:pPr>
              <w:spacing w:after="40" w:before="0" w:line="259" w:lineRule="auto"/>
            </w:pPr>
            <w:r>
              <w:rPr>
                <w:rFonts w:ascii="Calibri" w:hAnsi="Calibri"/>
                <w:b w:val="0"/>
                <w:i w:val="0"/>
                <w:color w:val="212121"/>
                <w:sz w:val="16"/>
              </w:rPr>
              <w:t>Identifies precipitants driving acute or recurrent disease</w:t>
            </w:r>
          </w:p>
        </w:tc>
        <w:tc>
          <w:tcPr>
            <w:tcW w:type="dxa" w:w="1036"/>
            <w:vAlign w:val="top"/>
          </w:tcPr>
          <w:p>
            <w:pPr>
              <w:spacing w:after="40" w:before="0" w:line="259" w:lineRule="auto"/>
            </w:pPr>
            <w:r>
              <w:rPr>
                <w:rFonts w:ascii="Calibri" w:hAnsi="Calibri"/>
                <w:b w:val="0"/>
                <w:i w:val="0"/>
                <w:color w:val="212121"/>
                <w:sz w:val="16"/>
              </w:rPr>
              <w:t>Women with recurrent or complicated VVC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classification into uncomplicated vs complicated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history</w:t>
            </w:r>
          </w:p>
        </w:tc>
        <w:tc>
          <w:tcPr>
            <w:tcW w:type="dxa" w:w="979"/>
            <w:vAlign w:val="top"/>
          </w:tcPr>
          <w:p>
            <w:pPr>
              <w:spacing w:after="40" w:before="0" w:line="259" w:lineRule="auto"/>
            </w:pPr>
            <w:r>
              <w:rPr>
                <w:rFonts w:ascii="Calibri" w:hAnsi="Calibri"/>
                <w:b w:val="0"/>
                <w:i w:val="0"/>
                <w:color w:val="212121"/>
                <w:sz w:val="16"/>
              </w:rPr>
              <w:t>Number of culture-confirmed episodes in 12 months</w:t>
            </w:r>
          </w:p>
        </w:tc>
        <w:tc>
          <w:tcPr>
            <w:tcW w:type="dxa" w:w="950"/>
            <w:vAlign w:val="top"/>
          </w:tcPr>
          <w:p>
            <w:pPr>
              <w:spacing w:after="40" w:before="0" w:line="259" w:lineRule="auto"/>
            </w:pPr>
            <w:r>
              <w:rPr>
                <w:rFonts w:ascii="Calibri" w:hAnsi="Calibri"/>
                <w:b w:val="0"/>
                <w:i w:val="0"/>
                <w:color w:val="212121"/>
                <w:sz w:val="16"/>
              </w:rPr>
              <w:t>0–1 episode/year</w:t>
            </w:r>
          </w:p>
        </w:tc>
        <w:tc>
          <w:tcPr>
            <w:tcW w:type="dxa" w:w="950"/>
            <w:vAlign w:val="top"/>
          </w:tcPr>
          <w:p>
            <w:pPr>
              <w:spacing w:after="40" w:before="0" w:line="259" w:lineRule="auto"/>
            </w:pPr>
            <w:r>
              <w:rPr>
                <w:rFonts w:ascii="Calibri" w:hAnsi="Calibri"/>
                <w:b w:val="0"/>
                <w:i w:val="0"/>
                <w:color w:val="212121"/>
                <w:sz w:val="16"/>
              </w:rPr>
              <w:t>≥ 3 episodes/year (RVVC)</w:t>
            </w:r>
          </w:p>
        </w:tc>
        <w:tc>
          <w:tcPr>
            <w:tcW w:type="dxa" w:w="1036"/>
            <w:vAlign w:val="top"/>
          </w:tcPr>
          <w:p>
            <w:pPr>
              <w:spacing w:after="40" w:before="0" w:line="259" w:lineRule="auto"/>
            </w:pPr>
            <w:r>
              <w:rPr>
                <w:rFonts w:ascii="Calibri" w:hAnsi="Calibri"/>
                <w:b w:val="0"/>
                <w:i w:val="0"/>
                <w:color w:val="212121"/>
                <w:sz w:val="16"/>
              </w:rPr>
              <w:t>Defines recurrent VVC requiring maintenance therapy and evaluation</w:t>
            </w:r>
          </w:p>
        </w:tc>
        <w:tc>
          <w:tcPr>
            <w:tcW w:type="dxa" w:w="1036"/>
            <w:vAlign w:val="top"/>
          </w:tcPr>
          <w:p>
            <w:pPr>
              <w:spacing w:after="40" w:before="0" w:line="259" w:lineRule="auto"/>
            </w:pPr>
            <w:r>
              <w:rPr>
                <w:rFonts w:ascii="Calibri" w:hAnsi="Calibri"/>
                <w:b w:val="0"/>
                <w:i w:val="0"/>
                <w:color w:val="212121"/>
                <w:sz w:val="16"/>
              </w:rPr>
              <w:t>Women with recurrent VVC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Confirm with culture rather than symptoms alone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Hygiene &amp; clothing practices</w:t>
            </w:r>
          </w:p>
        </w:tc>
        <w:tc>
          <w:tcPr>
            <w:tcW w:type="dxa" w:w="979"/>
            <w:vAlign w:val="top"/>
          </w:tcPr>
          <w:p>
            <w:pPr>
              <w:spacing w:after="40" w:before="0" w:line="259" w:lineRule="auto"/>
            </w:pPr>
            <w:r>
              <w:rPr>
                <w:rFonts w:ascii="Calibri" w:hAnsi="Calibri"/>
                <w:b w:val="0"/>
                <w:i w:val="0"/>
                <w:color w:val="212121"/>
                <w:sz w:val="16"/>
              </w:rPr>
              <w:t>Douching, intravaginal products, tight synthetic/occlusive clothing, wet swimwear</w:t>
            </w:r>
          </w:p>
        </w:tc>
        <w:tc>
          <w:tcPr>
            <w:tcW w:type="dxa" w:w="950"/>
            <w:vAlign w:val="top"/>
          </w:tcPr>
          <w:p>
            <w:pPr>
              <w:spacing w:after="40" w:before="0" w:line="259" w:lineRule="auto"/>
            </w:pPr>
            <w:r>
              <w:rPr>
                <w:rFonts w:ascii="Calibri" w:hAnsi="Calibri"/>
                <w:b w:val="0"/>
                <w:i w:val="0"/>
                <w:color w:val="212121"/>
                <w:sz w:val="16"/>
              </w:rPr>
              <w:t>No douching; breathable clothing</w:t>
            </w:r>
          </w:p>
        </w:tc>
        <w:tc>
          <w:tcPr>
            <w:tcW w:type="dxa" w:w="950"/>
            <w:vAlign w:val="top"/>
          </w:tcPr>
          <w:p>
            <w:pPr>
              <w:spacing w:after="40" w:before="0" w:line="259" w:lineRule="auto"/>
            </w:pPr>
            <w:r>
              <w:rPr>
                <w:rFonts w:ascii="Calibri" w:hAnsi="Calibri"/>
                <w:b w:val="0"/>
                <w:i w:val="0"/>
                <w:color w:val="212121"/>
                <w:sz w:val="16"/>
              </w:rPr>
              <w:t>Douching or prolonged occlusive dampness</w:t>
            </w:r>
          </w:p>
        </w:tc>
        <w:tc>
          <w:tcPr>
            <w:tcW w:type="dxa" w:w="1036"/>
            <w:vAlign w:val="top"/>
          </w:tcPr>
          <w:p>
            <w:pPr>
              <w:spacing w:after="40" w:before="0" w:line="259" w:lineRule="auto"/>
            </w:pPr>
            <w:r>
              <w:rPr>
                <w:rFonts w:ascii="Calibri" w:hAnsi="Calibri"/>
                <w:b w:val="0"/>
                <w:i w:val="0"/>
                <w:color w:val="212121"/>
                <w:sz w:val="16"/>
              </w:rPr>
              <w:t>Modifiable behavioural drivers of VVC</w:t>
            </w:r>
          </w:p>
        </w:tc>
        <w:tc>
          <w:tcPr>
            <w:tcW w:type="dxa" w:w="1036"/>
            <w:vAlign w:val="top"/>
          </w:tcPr>
          <w:p>
            <w:pPr>
              <w:spacing w:after="40" w:before="0" w:line="259" w:lineRule="auto"/>
            </w:pPr>
            <w:r>
              <w:rPr>
                <w:rFonts w:ascii="Calibri" w:hAnsi="Calibri"/>
                <w:b w:val="0"/>
                <w:i w:val="0"/>
                <w:color w:val="212121"/>
                <w:sz w:val="16"/>
              </w:rPr>
              <w:t>Women who douche; athletes/swimmers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Counsel to stop douching and keep the area dry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Vulval inspection</w:t>
            </w:r>
          </w:p>
        </w:tc>
        <w:tc>
          <w:tcPr>
            <w:tcW w:type="dxa" w:w="979"/>
            <w:vAlign w:val="top"/>
          </w:tcPr>
          <w:p>
            <w:pPr>
              <w:spacing w:after="40" w:before="0" w:line="259" w:lineRule="auto"/>
            </w:pPr>
            <w:r>
              <w:rPr>
                <w:rFonts w:ascii="Calibri" w:hAnsi="Calibri"/>
                <w:b w:val="0"/>
                <w:i w:val="0"/>
                <w:color w:val="212121"/>
                <w:sz w:val="16"/>
              </w:rPr>
              <w:t>Erythema, oedema, excoriation, fissures, satellite lesions</w:t>
            </w:r>
          </w:p>
        </w:tc>
        <w:tc>
          <w:tcPr>
            <w:tcW w:type="dxa" w:w="950"/>
            <w:vAlign w:val="top"/>
          </w:tcPr>
          <w:p>
            <w:pPr>
              <w:spacing w:after="40" w:before="0" w:line="259" w:lineRule="auto"/>
            </w:pPr>
            <w:r>
              <w:rPr>
                <w:rFonts w:ascii="Calibri" w:hAnsi="Calibri"/>
                <w:b w:val="0"/>
                <w:i w:val="0"/>
                <w:color w:val="212121"/>
                <w:sz w:val="16"/>
              </w:rPr>
              <w:t>Normal vulva</w:t>
            </w:r>
          </w:p>
        </w:tc>
        <w:tc>
          <w:tcPr>
            <w:tcW w:type="dxa" w:w="950"/>
            <w:vAlign w:val="top"/>
          </w:tcPr>
          <w:p>
            <w:pPr>
              <w:spacing w:after="40" w:before="0" w:line="259" w:lineRule="auto"/>
            </w:pPr>
            <w:r>
              <w:rPr>
                <w:rFonts w:ascii="Calibri" w:hAnsi="Calibri"/>
                <w:b w:val="0"/>
                <w:i w:val="0"/>
                <w:color w:val="212121"/>
                <w:sz w:val="16"/>
              </w:rPr>
              <w:t>Vulval erythema, swelling, excoriation and satellite papulopustules</w:t>
            </w:r>
          </w:p>
        </w:tc>
        <w:tc>
          <w:tcPr>
            <w:tcW w:type="dxa" w:w="1036"/>
            <w:vAlign w:val="top"/>
          </w:tcPr>
          <w:p>
            <w:pPr>
              <w:spacing w:after="40" w:before="0" w:line="259" w:lineRule="auto"/>
            </w:pPr>
            <w:r>
              <w:rPr>
                <w:rFonts w:ascii="Calibri" w:hAnsi="Calibri"/>
                <w:b w:val="0"/>
                <w:i w:val="0"/>
                <w:color w:val="212121"/>
                <w:sz w:val="16"/>
              </w:rPr>
              <w:t>Inflammatory signs typical of candidal vulvitis</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Severe excoriation and fissuring indicate complicated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Speculum examination</w:t>
            </w:r>
          </w:p>
        </w:tc>
        <w:tc>
          <w:tcPr>
            <w:tcW w:type="dxa" w:w="979"/>
            <w:vAlign w:val="top"/>
          </w:tcPr>
          <w:p>
            <w:pPr>
              <w:spacing w:after="40" w:before="0" w:line="259" w:lineRule="auto"/>
            </w:pPr>
            <w:r>
              <w:rPr>
                <w:rFonts w:ascii="Calibri" w:hAnsi="Calibri"/>
                <w:b w:val="0"/>
                <w:i w:val="0"/>
                <w:color w:val="212121"/>
                <w:sz w:val="16"/>
              </w:rPr>
              <w:t>Discharge character and vaginal walls</w:t>
            </w:r>
          </w:p>
        </w:tc>
        <w:tc>
          <w:tcPr>
            <w:tcW w:type="dxa" w:w="950"/>
            <w:vAlign w:val="top"/>
          </w:tcPr>
          <w:p>
            <w:pPr>
              <w:spacing w:after="40" w:before="0" w:line="259" w:lineRule="auto"/>
            </w:pPr>
            <w:r>
              <w:rPr>
                <w:rFonts w:ascii="Calibri" w:hAnsi="Calibri"/>
                <w:b w:val="0"/>
                <w:i w:val="0"/>
                <w:color w:val="212121"/>
                <w:sz w:val="16"/>
              </w:rPr>
              <w:t>Normal flora, no adherent plaques</w:t>
            </w:r>
          </w:p>
        </w:tc>
        <w:tc>
          <w:tcPr>
            <w:tcW w:type="dxa" w:w="950"/>
            <w:vAlign w:val="top"/>
          </w:tcPr>
          <w:p>
            <w:pPr>
              <w:spacing w:after="40" w:before="0" w:line="259" w:lineRule="auto"/>
            </w:pPr>
            <w:r>
              <w:rPr>
                <w:rFonts w:ascii="Calibri" w:hAnsi="Calibri"/>
                <w:b w:val="0"/>
                <w:i w:val="0"/>
                <w:color w:val="212121"/>
                <w:sz w:val="16"/>
              </w:rPr>
              <w:t>Thick, white, adherent 'cottage-cheese' plaques on erythematous walls</w:t>
            </w:r>
          </w:p>
        </w:tc>
        <w:tc>
          <w:tcPr>
            <w:tcW w:type="dxa" w:w="1036"/>
            <w:vAlign w:val="top"/>
          </w:tcPr>
          <w:p>
            <w:pPr>
              <w:spacing w:after="40" w:before="0" w:line="259" w:lineRule="auto"/>
            </w:pPr>
            <w:r>
              <w:rPr>
                <w:rFonts w:ascii="Calibri" w:hAnsi="Calibri"/>
                <w:b w:val="0"/>
                <w:i w:val="0"/>
                <w:color w:val="212121"/>
                <w:sz w:val="16"/>
              </w:rPr>
              <w:t>Characteristic VVC finding; collect samples for pH, whiff and microscopy</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Discharge is adherent and odourless, unlike BV</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Vulvar and vaginal 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and most characteristic symptom, often intense and worse premenstrually and at night.</w:t>
            </w:r>
          </w:p>
        </w:tc>
      </w:tr>
      <w:tr>
        <w:trPr>
          <w:cantSplit/>
        </w:trPr>
        <w:tc>
          <w:tcPr>
            <w:tcW w:type="dxa" w:w="2304"/>
            <w:vAlign w:val="top"/>
          </w:tcPr>
          <w:p>
            <w:pPr>
              <w:spacing w:after="40" w:before="0" w:line="259" w:lineRule="auto"/>
            </w:pPr>
            <w:r>
              <w:rPr>
                <w:rFonts w:ascii="Calibri" w:hAnsi="Calibri"/>
                <w:b/>
                <w:i w:val="0"/>
                <w:color w:val="212121"/>
                <w:sz w:val="19"/>
              </w:rPr>
              <w:t>Thick, white, curd-like ('cottage-cheese')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Classically odourless and adherent; the hallmark discharge of VVC.</w:t>
            </w:r>
          </w:p>
        </w:tc>
      </w:tr>
      <w:tr>
        <w:trPr>
          <w:cantSplit/>
        </w:trPr>
        <w:tc>
          <w:tcPr>
            <w:tcW w:type="dxa" w:w="2304"/>
            <w:vAlign w:val="top"/>
          </w:tcPr>
          <w:p>
            <w:pPr>
              <w:spacing w:after="40" w:before="0" w:line="259" w:lineRule="auto"/>
            </w:pPr>
            <w:r>
              <w:rPr>
                <w:rFonts w:ascii="Calibri" w:hAnsi="Calibri"/>
                <w:b/>
                <w:i w:val="0"/>
                <w:color w:val="212121"/>
                <w:sz w:val="19"/>
              </w:rPr>
              <w:t>Vulvar/vaginal burning and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Burning discomfort of the vulva and vaginal introitus, often with rawness.</w:t>
            </w:r>
          </w:p>
        </w:tc>
      </w:tr>
      <w:tr>
        <w:trPr>
          <w:cantSplit/>
        </w:trPr>
        <w:tc>
          <w:tcPr>
            <w:tcW w:type="dxa" w:w="2304"/>
            <w:vAlign w:val="top"/>
          </w:tcPr>
          <w:p>
            <w:pPr>
              <w:spacing w:after="40" w:before="0" w:line="259" w:lineRule="auto"/>
            </w:pPr>
            <w:r>
              <w:rPr>
                <w:rFonts w:ascii="Calibri" w:hAnsi="Calibri"/>
                <w:b/>
                <w:i w:val="0"/>
                <w:color w:val="212121"/>
                <w:sz w:val="19"/>
              </w:rPr>
              <w:t>Dyspareunia (pain during intercourse)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Superficial/introital pain from vulvovaginal inflammation and fissuring.</w:t>
            </w:r>
          </w:p>
        </w:tc>
      </w:tr>
      <w:tr>
        <w:trPr>
          <w:cantSplit/>
        </w:trPr>
        <w:tc>
          <w:tcPr>
            <w:tcW w:type="dxa" w:w="2304"/>
            <w:vAlign w:val="top"/>
          </w:tcPr>
          <w:p>
            <w:pPr>
              <w:spacing w:after="40" w:before="0" w:line="259" w:lineRule="auto"/>
            </w:pPr>
            <w:r>
              <w:rPr>
                <w:rFonts w:ascii="Calibri" w:hAnsi="Calibri"/>
                <w:b/>
                <w:i w:val="0"/>
                <w:color w:val="212121"/>
                <w:sz w:val="19"/>
              </w:rPr>
              <w:t>External dysuria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Stinging as urine passes over inflamed, excoriated vulval skin rather than true cystitis.</w:t>
            </w:r>
          </w:p>
        </w:tc>
      </w:tr>
      <w:tr>
        <w:trPr>
          <w:cantSplit/>
        </w:trPr>
        <w:tc>
          <w:tcPr>
            <w:tcW w:type="dxa" w:w="2304"/>
            <w:vAlign w:val="top"/>
          </w:tcPr>
          <w:p>
            <w:pPr>
              <w:spacing w:after="40" w:before="0" w:line="259" w:lineRule="auto"/>
            </w:pPr>
            <w:r>
              <w:rPr>
                <w:rFonts w:ascii="Calibri" w:hAnsi="Calibri"/>
                <w:b/>
                <w:i w:val="0"/>
                <w:color w:val="212121"/>
                <w:sz w:val="19"/>
              </w:rPr>
              <w:t>Vulval swelling and 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Perceived swelling and irritation of the vulva accompanying the itch.</w:t>
            </w:r>
          </w:p>
        </w:tc>
      </w:tr>
      <w:tr>
        <w:trPr>
          <w:cantSplit/>
        </w:trPr>
        <w:tc>
          <w:tcPr>
            <w:tcW w:type="dxa" w:w="2304"/>
            <w:vAlign w:val="top"/>
          </w:tcPr>
          <w:p>
            <w:pPr>
              <w:spacing w:after="40" w:before="0" w:line="259" w:lineRule="auto"/>
            </w:pPr>
            <w:r>
              <w:rPr>
                <w:rFonts w:ascii="Calibri" w:hAnsi="Calibri"/>
                <w:b/>
                <w:i w:val="0"/>
                <w:color w:val="212121"/>
                <w:sz w:val="19"/>
              </w:rPr>
              <w:t>Premenstrual worsening of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Flares in the luteal phase reflect hormonal influence on Candida growth.</w:t>
            </w:r>
          </w:p>
        </w:tc>
      </w:tr>
      <w:tr>
        <w:trPr>
          <w:cantSplit/>
        </w:trPr>
        <w:tc>
          <w:tcPr>
            <w:tcW w:type="dxa" w:w="2304"/>
            <w:vAlign w:val="top"/>
          </w:tcPr>
          <w:p>
            <w:pPr>
              <w:spacing w:after="40" w:before="0" w:line="259" w:lineRule="auto"/>
            </w:pPr>
            <w:r>
              <w:rPr>
                <w:rFonts w:ascii="Calibri" w:hAnsi="Calibri"/>
                <w:b/>
                <w:i w:val="0"/>
                <w:color w:val="212121"/>
                <w:sz w:val="19"/>
              </w:rPr>
              <w:t>Absence of foul or fishy odour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pertinent negative that helps distinguish VVC from bacterial vaginosis and trichomoniasis.</w:t>
            </w:r>
          </w:p>
        </w:tc>
      </w:tr>
      <w:tr>
        <w:trPr>
          <w:cantSplit/>
        </w:trPr>
        <w:tc>
          <w:tcPr>
            <w:tcW w:type="dxa" w:w="2304"/>
            <w:vAlign w:val="top"/>
          </w:tcPr>
          <w:p>
            <w:pPr>
              <w:spacing w:after="40" w:before="0" w:line="259" w:lineRule="auto"/>
            </w:pPr>
            <w:r>
              <w:rPr>
                <w:rFonts w:ascii="Calibri" w:hAnsi="Calibri"/>
                <w:b/>
                <w:i w:val="0"/>
                <w:color w:val="212121"/>
                <w:sz w:val="19"/>
              </w:rPr>
              <w:t>Minimal or watery discharge with prominent itch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episodes, especially non-albicans, present with little discharge but marked irritation.</w:t>
            </w:r>
          </w:p>
        </w:tc>
      </w:tr>
      <w:tr>
        <w:trPr>
          <w:cantSplit/>
        </w:trPr>
        <w:tc>
          <w:tcPr>
            <w:tcW w:type="dxa" w:w="2304"/>
            <w:vAlign w:val="top"/>
          </w:tcPr>
          <w:p>
            <w:pPr>
              <w:spacing w:after="40" w:before="0" w:line="259" w:lineRule="auto"/>
            </w:pPr>
            <w:r>
              <w:rPr>
                <w:rFonts w:ascii="Calibri" w:hAnsi="Calibri"/>
                <w:b/>
                <w:i w:val="0"/>
                <w:color w:val="212121"/>
                <w:sz w:val="19"/>
              </w:rPr>
              <w:t>Vulval fissuring and cracking of the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severe or recurrent disease and causes sharp pain.</w:t>
            </w:r>
          </w:p>
        </w:tc>
      </w:tr>
      <w:tr>
        <w:trPr>
          <w:cantSplit/>
        </w:trPr>
        <w:tc>
          <w:tcPr>
            <w:tcW w:type="dxa" w:w="2304"/>
            <w:vAlign w:val="top"/>
          </w:tcPr>
          <w:p>
            <w:pPr>
              <w:spacing w:after="40" w:before="0" w:line="259" w:lineRule="auto"/>
            </w:pPr>
            <w:r>
              <w:rPr>
                <w:rFonts w:ascii="Calibri" w:hAnsi="Calibri"/>
                <w:b/>
                <w:i w:val="0"/>
                <w:color w:val="212121"/>
                <w:sz w:val="19"/>
              </w:rPr>
              <w:t>Persistent low-grade symptoms between overt episodes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or recurrent VVC can cause ongoing irritation and distress.</w:t>
            </w:r>
          </w:p>
        </w:tc>
      </w:tr>
      <w:tr>
        <w:trPr>
          <w:cantSplit/>
        </w:trPr>
        <w:tc>
          <w:tcPr>
            <w:tcW w:type="dxa" w:w="2304"/>
            <w:vAlign w:val="top"/>
          </w:tcPr>
          <w:p>
            <w:pPr>
              <w:spacing w:after="40" w:before="0" w:line="259" w:lineRule="auto"/>
            </w:pPr>
            <w:r>
              <w:rPr>
                <w:rFonts w:ascii="Calibri" w:hAnsi="Calibri"/>
                <w:b/>
                <w:i w:val="0"/>
                <w:color w:val="212121"/>
                <w:sz w:val="19"/>
              </w:rPr>
              <w:t>Systemic upset or spread</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Fever or extension beyond the vulvovagina is unusual and suggests severe immunosuppression.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Vulvar and vaginal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inflamed vulval and vaginal mucosa on inspection.</w:t>
            </w:r>
          </w:p>
        </w:tc>
      </w:tr>
      <w:tr>
        <w:trPr>
          <w:cantSplit/>
        </w:trPr>
        <w:tc>
          <w:tcPr>
            <w:tcW w:type="dxa" w:w="3456"/>
            <w:vAlign w:val="top"/>
          </w:tcPr>
          <w:p>
            <w:pPr>
              <w:spacing w:after="40" w:before="0" w:line="259" w:lineRule="auto"/>
            </w:pPr>
            <w:r>
              <w:rPr>
                <w:rFonts w:ascii="Calibri" w:hAnsi="Calibri"/>
                <w:b/>
                <w:i w:val="0"/>
                <w:color w:val="212121"/>
                <w:sz w:val="19"/>
              </w:rPr>
              <w:t>Vulval oedema and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Swelling of the labia and introitus accompanying inflammation.</w:t>
            </w:r>
          </w:p>
        </w:tc>
      </w:tr>
      <w:tr>
        <w:trPr>
          <w:cantSplit/>
        </w:trPr>
        <w:tc>
          <w:tcPr>
            <w:tcW w:type="dxa" w:w="3456"/>
            <w:vAlign w:val="top"/>
          </w:tcPr>
          <w:p>
            <w:pPr>
              <w:spacing w:after="40" w:before="0" w:line="259" w:lineRule="auto"/>
            </w:pPr>
            <w:r>
              <w:rPr>
                <w:rFonts w:ascii="Calibri" w:hAnsi="Calibri"/>
                <w:b/>
                <w:i w:val="0"/>
                <w:color w:val="212121"/>
                <w:sz w:val="19"/>
              </w:rPr>
              <w:t>Thick, white, adherent 'cottage-cheese'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Curd-like discharge clinging to erythematous vaginal walls.</w:t>
            </w:r>
          </w:p>
        </w:tc>
      </w:tr>
      <w:tr>
        <w:trPr>
          <w:cantSplit/>
        </w:trPr>
        <w:tc>
          <w:tcPr>
            <w:tcW w:type="dxa" w:w="3456"/>
            <w:vAlign w:val="top"/>
          </w:tcPr>
          <w:p>
            <w:pPr>
              <w:spacing w:after="40" w:before="0" w:line="259" w:lineRule="auto"/>
            </w:pPr>
            <w:r>
              <w:rPr>
                <w:rFonts w:ascii="Calibri" w:hAnsi="Calibri"/>
                <w:b/>
                <w:i w:val="0"/>
                <w:color w:val="212121"/>
                <w:sz w:val="19"/>
              </w:rPr>
              <w:t>Excoriations and fissures of the vulva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scratching and severe inflammation; a marker of complicated disease.</w:t>
            </w:r>
          </w:p>
        </w:tc>
      </w:tr>
      <w:tr>
        <w:trPr>
          <w:cantSplit/>
        </w:trPr>
        <w:tc>
          <w:tcPr>
            <w:tcW w:type="dxa" w:w="3456"/>
            <w:vAlign w:val="top"/>
          </w:tcPr>
          <w:p>
            <w:pPr>
              <w:spacing w:after="40" w:before="0" w:line="259" w:lineRule="auto"/>
            </w:pPr>
            <w:r>
              <w:rPr>
                <w:rFonts w:ascii="Calibri" w:hAnsi="Calibri"/>
                <w:b/>
                <w:i w:val="0"/>
                <w:color w:val="212121"/>
                <w:sz w:val="19"/>
              </w:rPr>
              <w:t>Normal vaginal pH (&lt; 4.5)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VVC from bacterial vaginosis and trichomoniasis on narrow-range pH paper.</w:t>
            </w:r>
          </w:p>
        </w:tc>
      </w:tr>
      <w:tr>
        <w:trPr>
          <w:cantSplit/>
        </w:trPr>
        <w:tc>
          <w:tcPr>
            <w:tcW w:type="dxa" w:w="3456"/>
            <w:vAlign w:val="top"/>
          </w:tcPr>
          <w:p>
            <w:pPr>
              <w:spacing w:after="40" w:before="0" w:line="259" w:lineRule="auto"/>
            </w:pPr>
            <w:r>
              <w:rPr>
                <w:rFonts w:ascii="Calibri" w:hAnsi="Calibri"/>
                <w:b/>
                <w:i w:val="0"/>
                <w:color w:val="212121"/>
                <w:sz w:val="19"/>
              </w:rPr>
              <w:t>Budding yeasts, pseudohyphae or hyphae on KOH 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Direct microscopic confirmation of Candida in the discharge.</w:t>
            </w:r>
          </w:p>
        </w:tc>
      </w:tr>
      <w:tr>
        <w:trPr>
          <w:cantSplit/>
        </w:trPr>
        <w:tc>
          <w:tcPr>
            <w:tcW w:type="dxa" w:w="3456"/>
            <w:vAlign w:val="top"/>
          </w:tcPr>
          <w:p>
            <w:pPr>
              <w:spacing w:after="40" w:before="0" w:line="259" w:lineRule="auto"/>
            </w:pPr>
            <w:r>
              <w:rPr>
                <w:rFonts w:ascii="Calibri" w:hAnsi="Calibri"/>
                <w:b/>
                <w:i w:val="0"/>
                <w:color w:val="212121"/>
                <w:sz w:val="19"/>
              </w:rPr>
              <w:t>Negative whiff (amine)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fishy odour on 10% KOH, supporting VVC over BV.</w:t>
            </w:r>
          </w:p>
        </w:tc>
      </w:tr>
      <w:tr>
        <w:trPr>
          <w:cantSplit/>
        </w:trPr>
        <w:tc>
          <w:tcPr>
            <w:tcW w:type="dxa" w:w="3456"/>
            <w:vAlign w:val="top"/>
          </w:tcPr>
          <w:p>
            <w:pPr>
              <w:spacing w:after="40" w:before="0" w:line="259" w:lineRule="auto"/>
            </w:pPr>
            <w:r>
              <w:rPr>
                <w:rFonts w:ascii="Calibri" w:hAnsi="Calibri"/>
                <w:b/>
                <w:i w:val="0"/>
                <w:color w:val="212121"/>
                <w:sz w:val="19"/>
              </w:rPr>
              <w:t>Satellite papulopustular lesions on the vulva/thighs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Small satellite lesions beyond the main area of erythema, typical of cutaneous candidal spread.</w:t>
            </w:r>
          </w:p>
        </w:tc>
      </w:tr>
      <w:tr>
        <w:trPr>
          <w:cantSplit/>
        </w:trPr>
        <w:tc>
          <w:tcPr>
            <w:tcW w:type="dxa" w:w="3456"/>
            <w:vAlign w:val="top"/>
          </w:tcPr>
          <w:p>
            <w:pPr>
              <w:spacing w:after="40" w:before="0" w:line="259" w:lineRule="auto"/>
            </w:pPr>
            <w:r>
              <w:rPr>
                <w:rFonts w:ascii="Calibri" w:hAnsi="Calibri"/>
                <w:b/>
                <w:i w:val="0"/>
                <w:color w:val="212121"/>
                <w:sz w:val="19"/>
              </w:rPr>
              <w:t>Positive fungal culture with species identification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Confirms diagnosis and detects non-albicans species in complicated cases.</w:t>
            </w:r>
          </w:p>
        </w:tc>
      </w:tr>
      <w:tr>
        <w:trPr>
          <w:cantSplit/>
        </w:trPr>
        <w:tc>
          <w:tcPr>
            <w:tcW w:type="dxa" w:w="3456"/>
            <w:vAlign w:val="top"/>
          </w:tcPr>
          <w:p>
            <w:pPr>
              <w:spacing w:after="40" w:before="0" w:line="259" w:lineRule="auto"/>
            </w:pPr>
            <w:r>
              <w:rPr>
                <w:rFonts w:ascii="Calibri" w:hAnsi="Calibri"/>
                <w:b/>
                <w:i w:val="0"/>
                <w:color w:val="212121"/>
                <w:sz w:val="19"/>
              </w:rPr>
              <w:t>Absence of vaginal inflammation with heavy discharge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If the picture is non-inflammatory with malodour, reconsider BV or mixed vaginitis.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acute vulvovaginitis with intense pruritus and burning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Vulval excoriation, fissuring and secondary soreness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impaired daily functioning from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Dyspareunia and sexual discomfort</w:t>
            </w:r>
          </w:p>
        </w:tc>
        <w:tc>
          <w:tcPr>
            <w:tcW w:type="dxa" w:w="2980"/>
            <w:vAlign w:val="top"/>
          </w:tcPr>
          <w:p>
            <w:pPr>
              <w:spacing w:after="40" w:before="0" w:line="259" w:lineRule="auto"/>
            </w:pPr>
            <w:r>
              <w:rPr>
                <w:rFonts w:ascii="Calibri" w:hAnsi="Calibri"/>
                <w:b w:val="0"/>
                <w:i w:val="0"/>
                <w:color w:val="212121"/>
                <w:sz w:val="19"/>
              </w:rPr>
              <w:t>Direct effects of candidal overgrowth and the vigorous local inflammatory response.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VVC (≥ 3–4 episodes/year) with maintenance-therapy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Non-albicans and azole-tolerant/resistant infection after repeated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Mixed vaginitis with bacterial vaginosis or trichomoniasis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excoriated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neonatal oral thrush and congenital cutaneous candidiasis; possible link to preterm labour</w:t>
            </w:r>
          </w:p>
        </w:tc>
        <w:tc>
          <w:tcPr>
            <w:tcW w:type="dxa" w:w="2980"/>
            <w:vAlign w:val="top"/>
          </w:tcPr>
          <w:p>
            <w:pPr>
              <w:spacing w:after="40" w:before="0" w:line="259" w:lineRule="auto"/>
            </w:pPr>
            <w:r>
              <w:rPr>
                <w:rFonts w:ascii="Calibri" w:hAnsi="Calibri"/>
                <w:b w:val="0"/>
                <w:i w:val="0"/>
                <w:color w:val="212121"/>
                <w:sz w:val="19"/>
              </w:rPr>
              <w:t>Consequences of persistent, recurrent or inadequately treated disease and of infection during pregnancy.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VVC with major quality-of-life, psychological and sexual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Antifungal (azole) resistance limiting treatment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and psychosexual distress,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Rarely, invasive or disseminated candidiasis in severely immunocompromised women</w:t>
            </w:r>
          </w:p>
        </w:tc>
        <w:tc>
          <w:tcPr>
            <w:tcW w:type="dxa" w:w="2980"/>
            <w:vAlign w:val="top"/>
          </w:tcPr>
          <w:p>
            <w:pPr>
              <w:spacing w:after="40" w:before="0" w:line="259" w:lineRule="auto"/>
            </w:pPr>
            <w:r>
              <w:rPr>
                <w:rFonts w:ascii="Calibri" w:hAnsi="Calibri"/>
                <w:b w:val="0"/>
                <w:i w:val="0"/>
                <w:color w:val="212121"/>
                <w:sz w:val="19"/>
              </w:rPr>
              <w:t>Long-term, disabling sequelae of longstanding recurrent disease or profound immunosuppression.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and impaired neutrophil function raise vaginal glucose and candidal overgrowth; VVC is more frequent, recurrent and non-albicans in diabetics, and recurrent VVC can be the presenting clue to undiagnosed diabetes.</w:t>
            </w:r>
          </w:p>
          <w:p>
            <w:pPr>
              <w:spacing w:after="40" w:before="0" w:line="259" w:lineRule="auto"/>
            </w:pPr>
            <w:r>
              <w:rPr>
                <w:rFonts w:ascii="Calibri" w:hAnsi="Calibri"/>
                <w:b/>
                <w:i w:val="0"/>
                <w:color w:val="212121"/>
                <w:sz w:val="19"/>
              </w:rPr>
              <w:t>Up to 27.7% (Kerala VVC study)</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 oestrogen and vaginal glycogen greatly increase colonisation and symptomatic VVC; only topical azoles are used, and maternal infection can seed neonatal thrush.</w:t>
            </w:r>
          </w:p>
          <w:p>
            <w:pPr>
              <w:spacing w:after="40" w:before="0" w:line="259" w:lineRule="auto"/>
            </w:pPr>
            <w:r>
              <w:rPr>
                <w:rFonts w:ascii="Calibri" w:hAnsi="Calibri"/>
                <w:b/>
                <w:i w:val="0"/>
                <w:color w:val="212121"/>
                <w:sz w:val="19"/>
              </w:rPr>
              <w:t>~20–30% colonised</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mucosal cell-mediated immunity makes VVC more frequent, severe and recurrent; persistent VVC can be an early indicator of immunosuppression.</w:t>
            </w:r>
          </w:p>
        </w:tc>
      </w:tr>
      <w:tr>
        <w:trPr>
          <w:cantSplit/>
        </w:trPr>
        <w:tc>
          <w:tcPr>
            <w:tcW w:type="dxa" w:w="2232"/>
            <w:vAlign w:val="top"/>
          </w:tcPr>
          <w:p>
            <w:pPr>
              <w:spacing w:after="40" w:before="0" w:line="259" w:lineRule="auto"/>
            </w:pPr>
            <w:r>
              <w:rPr>
                <w:rFonts w:ascii="Calibri" w:hAnsi="Calibri"/>
                <w:b/>
                <w:i w:val="0"/>
                <w:color w:val="212121"/>
                <w:sz w:val="19"/>
              </w:rPr>
              <w:t>Recent broad-spectrum antibiotic use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Antibiotics deplete protective lactobacilli and commonly precipitate post-antibiotic VVC.</w:t>
            </w:r>
          </w:p>
          <w:p>
            <w:pPr>
              <w:spacing w:after="40" w:before="0" w:line="259" w:lineRule="auto"/>
            </w:pPr>
            <w:r>
              <w:rPr>
                <w:rFonts w:ascii="Calibri" w:hAnsi="Calibri"/>
                <w:b/>
                <w:i w:val="0"/>
                <w:color w:val="212121"/>
                <w:sz w:val="19"/>
              </w:rPr>
              <w:t>Up to 23.3% (Kerala VVC study)</w:t>
            </w:r>
          </w:p>
        </w:tc>
      </w:tr>
      <w:tr>
        <w:trPr>
          <w:cantSplit/>
        </w:trPr>
        <w:tc>
          <w:tcPr>
            <w:tcW w:type="dxa" w:w="2232"/>
            <w:vAlign w:val="top"/>
          </w:tcPr>
          <w:p>
            <w:pPr>
              <w:spacing w:after="40" w:before="0" w:line="259" w:lineRule="auto"/>
            </w:pPr>
            <w:r>
              <w:rPr>
                <w:rFonts w:ascii="Calibri" w:hAnsi="Calibri"/>
                <w:b/>
                <w:i w:val="0"/>
                <w:color w:val="212121"/>
                <w:sz w:val="19"/>
              </w:rPr>
              <w:t>Obesity / overweight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Higher endogenous oestrogen, skin-fold moisture/intertrigo and insulin resistance increase vulvovaginal and cutaneous candidiasis.</w:t>
            </w:r>
          </w:p>
          <w:p>
            <w:pPr>
              <w:spacing w:after="40" w:before="0" w:line="259" w:lineRule="auto"/>
            </w:pPr>
            <w:r>
              <w:rPr>
                <w:rFonts w:ascii="Calibri" w:hAnsi="Calibri"/>
                <w:b/>
                <w:i w:val="0"/>
                <w:color w:val="212121"/>
                <w:sz w:val="19"/>
              </w:rPr>
              <w:t>Up to 54.4% overweight (Kerala VVC study)</w:t>
            </w:r>
          </w:p>
        </w:tc>
      </w:tr>
      <w:tr>
        <w:trPr>
          <w:cantSplit/>
        </w:trPr>
        <w:tc>
          <w:tcPr>
            <w:tcW w:type="dxa" w:w="2232"/>
            <w:vAlign w:val="top"/>
          </w:tcPr>
          <w:p>
            <w:pPr>
              <w:spacing w:after="40" w:before="0" w:line="259" w:lineRule="auto"/>
            </w:pPr>
            <w:r>
              <w:rPr>
                <w:rFonts w:ascii="Calibri" w:hAnsi="Calibri"/>
                <w:b/>
                <w:i w:val="0"/>
                <w:color w:val="212121"/>
                <w:sz w:val="19"/>
              </w:rPr>
              <w:t>SGLT2-inhibitor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Sodium-glucose co-transporter-2 inhibitors used for diabetes cause glycosuria and markedly increase the risk of genital (vulvovaginal) candidiasis.</w:t>
            </w:r>
          </w:p>
        </w:tc>
      </w:tr>
      <w:tr>
        <w:trPr>
          <w:cantSplit/>
        </w:trPr>
        <w:tc>
          <w:tcPr>
            <w:tcW w:type="dxa" w:w="2232"/>
            <w:vAlign w:val="top"/>
          </w:tcPr>
          <w:p>
            <w:pPr>
              <w:spacing w:after="40" w:before="0" w:line="259" w:lineRule="auto"/>
            </w:pPr>
            <w:r>
              <w:rPr>
                <w:rFonts w:ascii="Calibri" w:hAnsi="Calibri"/>
                <w:b/>
                <w:i w:val="0"/>
                <w:color w:val="212121"/>
                <w:sz w:val="19"/>
              </w:rPr>
              <w:t>Bacterial vaginosis / mixed vaginitis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Candida frequently coexists with BV or trichomoniasis as mixed vaginitis, complicating diagnosis and treatment; treating one may unmask or worsen the other.</w:t>
            </w:r>
          </w:p>
        </w:tc>
      </w:tr>
      <w:tr>
        <w:trPr>
          <w:cantSplit/>
        </w:trPr>
        <w:tc>
          <w:tcPr>
            <w:tcW w:type="dxa" w:w="2232"/>
            <w:vAlign w:val="top"/>
          </w:tcPr>
          <w:p>
            <w:pPr>
              <w:spacing w:after="40" w:before="0" w:line="259" w:lineRule="auto"/>
            </w:pPr>
            <w:r>
              <w:rPr>
                <w:rFonts w:ascii="Calibri" w:hAnsi="Calibri"/>
                <w:b/>
                <w:i w:val="0"/>
                <w:color w:val="212121"/>
                <w:sz w:val="19"/>
              </w:rPr>
              <w:t>Corticosteroid / immunosuppressive drug use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Systemic steroids, chemotherapy and other immunosuppressants blunt antifungal immunity and predispose to recurrent and severe VVC.</w:t>
            </w:r>
          </w:p>
        </w:tc>
      </w:tr>
      <w:tr>
        <w:trPr>
          <w:cantSplit/>
        </w:trPr>
        <w:tc>
          <w:tcPr>
            <w:tcW w:type="dxa" w:w="2232"/>
            <w:vAlign w:val="top"/>
          </w:tcPr>
          <w:p>
            <w:pPr>
              <w:spacing w:after="40" w:before="0" w:line="259" w:lineRule="auto"/>
            </w:pPr>
            <w:r>
              <w:rPr>
                <w:rFonts w:ascii="Calibri" w:hAnsi="Calibri"/>
                <w:b/>
                <w:i w:val="0"/>
                <w:color w:val="212121"/>
                <w:sz w:val="19"/>
              </w:rPr>
              <w:t>Atopy / allergic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An atopic, hypersensitivity-prone immune phenotype has been associated with a susceptibility to recurrent VVC.</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VVC is an overgrowth of a normal vaginal yeast (usually Candida albicans), not a sign of being 'dirty' and not classically a sexually transmitted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typical symptoms — intense vulval itching with a thick, white, odourless, curd-like discharge and a normal (non-fishy) smell — and seek proper testing rather than repeated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vaginal douching and scented intravaginal soaps, deodorants and washes; the vagina is self-cleaning and washing only the external vulva with plain water is sufficient.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breathable cotton underwear, avoid tight synthetic clothing, and change promptly out of wet swimwear or sweaty gym wear to keep the area cool and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antifungal course and return for review if symptoms persist or recur, because inadequate treatment promotes recurrence and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personal triggers — antibiotic courses, pregnancy, poorly controlled diabetes and immunosuppression — and seek early treatment when exposed.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recurrent VVC, ask to be screened for diabetes and, where appropriate, HIV, and to have a culture taken to identify the species.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douche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through regular activity, as overweight and diabetes raise VVC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breathable, moisture-wicking or cotton underwear during exercise and change out of damp clothing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wearing of tight, non-breathable leggings, shapewear or wet swimwear that trap heat and moisture.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exercise or swimming, rinse the vulva with plain water and dry thoroughly; do not use scented wipes or sprays.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fragrance-free sanitary products and change them regularly during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if diabetic — reducing blood and vaginal glucose is one of the most effective ways to prevent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added sugar, sugary drinks and refined carbohydrates, which raise blood glucose that feeds Candida.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probiotic and fermented foods such as curd/dahi and buttermilk, which may help maintain protective vaginal lactobacilli.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fibre-rich diet with plenty of vegetables and whole grains and adequate micronutrients.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clinician-guided Lactobacillus probiotics as an adjunct in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clean, safe water and stay well hydrated.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and prediabetic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high-sugar diets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healthy immune 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manage night-shift disruption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nocturnal itch promptly, as it fragments sleep and worsens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pre-sleep screen time and late caffeine to improve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as part of overall reproductive and immune health, though its direct effect on VVC is modest.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(passive)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brief counselling, quitlines and nicotine-replacement therapy where appropriate.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exposed to passive smoke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intake, which can worsen glycaemic control and impair immunity indirectly.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moderation as part of general metabolic and reproductive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alcohol use with poor diet, which compounds diabetes and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heavy alcohol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address the anxiety, embarrassment, sexual distress and low mood that recurrent, itchy VVC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recurrent VVC is common and treatable; accurate information improves adherence and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yoga, physical activity and social support), as chronic stress may modestly impair antifungal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counselling or psychosexual support where recurrent disease affects relationships or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VVC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 stress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std/treatment-guidelines/candidiasis.htm" TargetMode="External"/><Relationship Id="rId10" Type="http://schemas.openxmlformats.org/officeDocument/2006/relationships/hyperlink" Target="https://journals.sagepub.com/doi/10.1177/20503121221115201" TargetMode="External"/><Relationship Id="rId11" Type="http://schemas.openxmlformats.org/officeDocument/2006/relationships/hyperlink" Target="https://www.ncbi.nlm.nih.gov/books/NBK459317/" TargetMode="External"/><Relationship Id="rId12" Type="http://schemas.openxmlformats.org/officeDocument/2006/relationships/hyperlink" Target="https://ijogr.org/archive/volume/9/issue/3/article/13471" TargetMode="External"/><Relationship Id="rId13" Type="http://schemas.openxmlformats.org/officeDocument/2006/relationships/hyperlink" Target="https://onlinelibrary.wiley.com/doi/10.1155/2012/859071" TargetMode="External"/><Relationship Id="rId14" Type="http://schemas.openxmlformats.org/officeDocument/2006/relationships/hyperlink" Target="https://www.biotech-asia.org/vol20no1/assessment-of-risk-factors-for-developing-vulvovaginal-candidiasis-among-women-at-various-age-groups/" TargetMode="External"/><Relationship Id="rId15" Type="http://schemas.openxmlformats.org/officeDocument/2006/relationships/hyperlink" Target="https://clinicalinfo.hiv.gov/en/glossary/vulvovaginal-candidia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