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Cervical Dysplasia / Cervical Intraepithelial Neoplasia (CIN)</w:t>
      </w:r>
    </w:p>
    <w:p>
      <w:pPr>
        <w:spacing w:before="0" w:after="160"/>
      </w:pPr>
      <w:r>
        <w:rPr>
          <w:rFonts w:ascii="Calibri" w:hAnsi="Calibri"/>
          <w:b/>
          <w:i w:val="0"/>
          <w:color w:val="212121"/>
          <w:sz w:val="22"/>
        </w:rPr>
        <w:t xml:space="preserve">AKA </w:t>
      </w:r>
      <w:r>
        <w:rPr>
          <w:rFonts w:ascii="Calibri" w:hAnsi="Calibri"/>
          <w:b w:val="0"/>
          <w:i w:val="0"/>
          <w:color w:val="212121"/>
          <w:sz w:val="22"/>
        </w:rPr>
        <w:t>i.e., Cervical intraepithelial neoplasia (CIN 1/2/3), Cervical precancer, Squamous intraepithelial lesion (LSIL/HSIL), Cervical dyskaryosis, Pre-invasive cervical disease, “abnormal Pap”</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Cervical dysplasia, or cervical intraepithelial neoplasia (CIN), is the pre-invasive, disordered proliferation of immature, atypical squamous epithelial cells at the cervical transformation zone (the squamocolumnar junction), driven almost always by persistent infection with high-risk (oncogenic) human papillomavirus (HPV). It is graded histologically by the thickness of epithelium replaced by abnormal cells — CIN 1 (lower third), CIN 2 (lower two-thirds) and CIN 3 (full-thickness / carcinoma in situ) — corresponding cytologically to low-grade (LSIL) and high-grade (HSIL) squamous intraepithelial lesions. Most low-grade lesions regress spontaneously as the immune system clears the virus, but untreated high-grade dysplasia can progress over years to invasive cervical cancer. Crucially, CIN is asymptomatic and is detected only through screening, making it the central target for cervical-cancer prevention.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Cervical dysplasia is the detectable precursor of cervical cancer, which is the second most common cancer among Indian women, with about 123,907 new cervical-cancer cases and 77,348 deaths estimated annually (2020) and an age-standardised incidence rate of 18.0 per 100,000 — India carries roughly a fifth of the world's cervical-cancer burden. An estimated 511 million Indian women aged 15 years and older are at risk. High-risk HPV 16/18 is found in about 5.0% of women with normal cytology but rises to 62.8% in high-grade lesions (HSIL/CIN 2–3) and 83.2% in invasive cervical cancer in India, so the pool of women harbouring HPV and low-/high-grade dysplasia is far larger than the cancer burden itself. Screening coverage remains very low, meaning most dysplasia goes undetected until it has progressed.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Cervical dysplasia is a screen-detected, histology-confirmed diagnosis. It is identified and graded using a screen → triage → colposcopy → biopsy pathway based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Cervical cytology (conventional Pap smear or liquid-based cytology) reported by the Bethesda system: ASC-US, LSIL, ASC-H, HSIL or AGC indicates an abnormal result requiring triage;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High-risk HPV DNA/mRNA testing (with HPV 16/18 genotyping) — a positive high-risk HPV result, now the WHO-preferred primary screening test, identifies women needing colposcopy or further triage;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Visual inspection with acetic acid (VIA) — a low-cost see-and-treat screening option used widely in Indian and other low-resource settings, positive when acetowhite lesions appear on the cervix;</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Colposcopy with 3–5% acetic acid and Lugol's iodine (Schiller test) — identifies acetowhite epithelium, punctation, mosaicism, atypical vessels and iodine-negative areas that direct biopsy;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Colposcopically directed cervical biopsy (± endocervical curettage) providing the histological gold standard, graded CIN 1, CIN 2 or CIN 3; p16/Ki-67 immunostaining helps confirm high-grade (HSIL)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Cervical squamous precancer is described by two overlapping systems — a three-tier histological (CIN) grade and a two-tier cytological/histological (SIL) grade under the Bethesda and LAST terminology:</w:t>
      </w:r>
    </w:p>
    <w:p>
      <w:pPr>
        <w:spacing w:before="0" w:after="80"/>
      </w:pPr>
      <w:r>
        <w:rPr>
          <w:rFonts w:ascii="Calibri" w:hAnsi="Calibri"/>
          <w:b w:val="0"/>
          <w:i w:val="0"/>
          <w:color w:val="212121"/>
          <w:sz w:val="21"/>
        </w:rPr>
        <w:t>(1) CIN 1 (low-grade / LSIL) — dysplasia confined to the lower third of the epithelium; usually a transient productive HPV infection, the great majority of which regress spontaneously and are generally managed by observation rather than treatment;</w:t>
      </w:r>
    </w:p>
    <w:p>
      <w:pPr>
        <w:spacing w:before="0" w:after="80"/>
      </w:pPr>
      <w:r>
        <w:rPr>
          <w:rFonts w:ascii="Calibri" w:hAnsi="Calibri"/>
          <w:b w:val="0"/>
          <w:i w:val="0"/>
          <w:color w:val="212121"/>
          <w:sz w:val="21"/>
        </w:rPr>
        <w:t>(2) CIN 2 (high-grade / HSIL) — atypical cells occupying the lower two-thirds of the epithelium; a biologically intermediate, often equivocal category (p16 staining helps stratify it) that may regress, particularly in young women, but is usually treated;</w:t>
      </w:r>
    </w:p>
    <w:p>
      <w:pPr>
        <w:spacing w:before="0" w:after="80"/>
      </w:pPr>
      <w:r>
        <w:rPr>
          <w:rFonts w:ascii="Calibri" w:hAnsi="Calibri"/>
          <w:b w:val="0"/>
          <w:i w:val="0"/>
          <w:color w:val="212121"/>
          <w:sz w:val="21"/>
        </w:rPr>
        <w:t>(3) CIN 3 / carcinoma in situ (high-grade / HSIL) — full-thickness epithelial atypia without breach of the basement membrane; the true, obligate cancer precursor that should be treated to prevent progression;</w:t>
      </w:r>
    </w:p>
    <w:p>
      <w:pPr>
        <w:spacing w:before="0" w:after="80"/>
      </w:pPr>
      <w:r>
        <w:rPr>
          <w:rFonts w:ascii="Calibri" w:hAnsi="Calibri"/>
          <w:b w:val="0"/>
          <w:i w:val="0"/>
          <w:color w:val="212121"/>
          <w:sz w:val="21"/>
        </w:rPr>
        <w:t>(4) Cytology (Bethesda) categories used to trigger this pathway: ASC-US (atypical squamous cells of undetermined significance), LSIL, ASC-H (cannot exclude HSIL), HSIL, AGC (atypical glandular cells) and AIS (adenocarcinoma in situ, the glandular precursor). The LAST project harmonises histology to a two-tier LSIL/HSIL scheme mirroring the cytology.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Persistent high-risk HPV infection: The necessary cause — persistent infection with oncogenic HPV types (chiefly 16 and 18, plus 31/33/45/52/58) integrates viral E6/E7 oncogenes that inactivate p53 and Rb; persistent HPV underlies more than 99% of cervical cancers.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Failure of viral clearance / immunosuppression: Most HPV infections are cleared by cell-mediated immunity within about 2 years; impaired immunity (HIV, transplantation, long-term corticosteroids) allows persistence and accelerated progression.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Tobacco use: Carcinogens from smoking (and smokeless tobacco) concentrate in cervical mucus and impair local Langerhans-cell immunity, roughly doubling the risk and promoting persistence.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Early sexual debut and multiple sexual partners: Increase the probability and load of high-risk HPV exposure, especially when the immature adolescent transformation zone is undergoing active metaplasia.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High parity and early first pregnancy: Repeated full-term pregnancies (≥ 3) and first pregnancy before age 20 sustain cervical exposure of the transformation zone and hormonal cofactors that favour persistence.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Long-term oral contraceptive use and genital co-infections: Prolonged combined oral contraceptive use and co-infection with Chlamydia trachomatis or HSV-2 act as cofactors that promote HPV persistence and progression.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Lack of screening and vaccination: Absence of Pap/HPV screening and of HPV vaccination allows HPV-driven dysplasia to go undetected and progress — the dominant driver of India's high cervical-cancer burden.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(sexually active, ~20–35 years)</w:t>
            </w:r>
          </w:p>
        </w:tc>
        <w:tc>
          <w:tcPr>
            <w:tcW w:type="dxa" w:w="4276"/>
            <w:vAlign w:val="top"/>
          </w:tcPr>
          <w:p>
            <w:pPr>
              <w:spacing w:after="60" w:line="259" w:lineRule="auto"/>
            </w:pPr>
            <w:r>
              <w:rPr>
                <w:rFonts w:ascii="Calibri" w:hAnsi="Calibri"/>
                <w:b w:val="0"/>
                <w:i w:val="0"/>
                <w:color w:val="212121"/>
                <w:sz w:val="19"/>
              </w:rPr>
              <w:t>High-risk HPV prevalence and incident cervical dysplasia peak in the years soon after sexual debut, when the transformation zone is undergoing active squamous metaplasia and is most susceptible to HPV infection; most of these low-grade lesions later regress.</w:t>
            </w:r>
          </w:p>
          <w:p>
            <w:pPr>
              <w:spacing w:after="40" w:before="60" w:line="259" w:lineRule="auto"/>
            </w:pPr>
            <w:r>
              <w:rPr>
                <w:rFonts w:ascii="Calibri" w:hAnsi="Calibri"/>
                <w:b w:val="0"/>
                <w:i w:val="0"/>
                <w:color w:val="212121"/>
                <w:sz w:val="19"/>
              </w:rPr>
              <w:t>The greatest prevalence of high-risk HPV occurs in adults younger than 25 years; most such infections are low-grade and clear within about 2 years.</w:t>
            </w:r>
          </w:p>
          <w:p>
            <w:pPr>
              <w:spacing w:after="40" w:line="252" w:lineRule="auto"/>
            </w:pPr>
            <w:hyperlink r:id="rId9">
              <w:r>
                <w:rPr>
                  <w:rFonts w:ascii="Calibri" w:hAnsi="Calibri" w:cs="Calibri"/>
                  <w:sz w:val="18"/>
                  <w:color w:val="1155CC"/>
                  <w:u w:val="single"/>
                </w:rPr>
                <w:t xml:space="preserve">ncbi.nlm.nih.gov — StatPearls, Cervical Cancer</w:t>
              </w:r>
            </w:hyperlink>
          </w:p>
          <w:p>
            <w:pPr>
              <w:spacing w:before="60" w:after="40"/>
            </w:pPr>
            <w:r>
              <w:rPr>
                <w:rFonts w:ascii="Calibri" w:hAnsi="Calibri"/>
                <w:b w:val="0"/>
                <w:i w:val="0"/>
                <w:color w:val="5A5A5A"/>
                <w:sz w:val="18"/>
              </w:rPr>
              <w:t>#HPV  #transformationzone  #youngadults  #LSIL  #metaplasia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Peri-/post-menopausal &amp; older unscreened women (40–60 years)</w:t>
            </w:r>
          </w:p>
        </w:tc>
        <w:tc>
          <w:tcPr>
            <w:tcW w:type="dxa" w:w="4276"/>
            <w:vAlign w:val="top"/>
          </w:tcPr>
          <w:p>
            <w:pPr>
              <w:spacing w:after="60" w:line="259" w:lineRule="auto"/>
            </w:pPr>
            <w:r>
              <w:rPr>
                <w:rFonts w:ascii="Calibri" w:hAnsi="Calibri"/>
                <w:b w:val="0"/>
                <w:i w:val="0"/>
                <w:color w:val="212121"/>
                <w:sz w:val="19"/>
              </w:rPr>
              <w:t>Persistent HPV that was acquired earlier can progress to high-grade dysplasia and invasive cancer over 15–20 years, so unscreened older women present with advanced precancer or cancer; the modelled peak of cervical-cancer incidence in India is around ages 50–54.</w:t>
            </w:r>
          </w:p>
          <w:p>
            <w:pPr>
              <w:spacing w:after="40" w:before="60" w:line="259" w:lineRule="auto"/>
            </w:pPr>
            <w:r>
              <w:rPr>
                <w:rFonts w:ascii="Calibri" w:hAnsi="Calibri"/>
                <w:b w:val="0"/>
                <w:i w:val="0"/>
                <w:color w:val="212121"/>
                <w:sz w:val="19"/>
              </w:rPr>
              <w:t>In India, modelled cervical-cancer incidence peaks around ages 50–54 (roughly 16,000 cases annually in that band); it takes 15–20 years for precancer to become cancer.</w:t>
            </w:r>
          </w:p>
          <w:p>
            <w:pPr>
              <w:spacing w:after="40" w:line="252" w:lineRule="auto"/>
            </w:pPr>
            <w:hyperlink r:id="rId10">
              <w:r>
                <w:rPr>
                  <w:rFonts w:ascii="Calibri" w:hAnsi="Calibri" w:cs="Calibri"/>
                  <w:sz w:val="18"/>
                  <w:color w:val="1155CC"/>
                  <w:u w:val="single"/>
                </w:rPr>
                <w:t xml:space="preserve">hpvcentre.net — ICO/IARC India HPV report (2020)</w:t>
              </w:r>
            </w:hyperlink>
          </w:p>
          <w:p>
            <w:pPr>
              <w:spacing w:before="60" w:after="40"/>
            </w:pPr>
            <w:r>
              <w:rPr>
                <w:rFonts w:ascii="Calibri" w:hAnsi="Calibri"/>
                <w:b w:val="0"/>
                <w:i w:val="0"/>
                <w:color w:val="5A5A5A"/>
                <w:sz w:val="18"/>
              </w:rPr>
              <w:t>#persistentHPV  #HSIL  #screeninggap  #olderwomen  #latepresentation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and all persons with a cervix</w:t>
            </w:r>
          </w:p>
        </w:tc>
        <w:tc>
          <w:tcPr>
            <w:tcW w:type="dxa" w:w="4276"/>
            <w:vAlign w:val="top"/>
          </w:tcPr>
          <w:p>
            <w:pPr>
              <w:spacing w:after="60" w:line="259" w:lineRule="auto"/>
            </w:pPr>
            <w:r>
              <w:rPr>
                <w:rFonts w:ascii="Calibri" w:hAnsi="Calibri"/>
                <w:b w:val="0"/>
                <w:i w:val="0"/>
                <w:color w:val="212121"/>
                <w:sz w:val="19"/>
              </w:rPr>
              <w:t>By definition CIN arises in cervical epithelium, so it affects only people with a cervix; transgender men and non-binary people with a retained cervix remain at risk and are frequently under-screened.</w:t>
            </w:r>
          </w:p>
          <w:p>
            <w:pPr>
              <w:spacing w:after="40" w:before="60" w:line="259" w:lineRule="auto"/>
            </w:pPr>
            <w:r>
              <w:rPr>
                <w:rFonts w:ascii="Calibri" w:hAnsi="Calibri"/>
                <w:b w:val="0"/>
                <w:i w:val="0"/>
                <w:color w:val="212121"/>
                <w:sz w:val="19"/>
              </w:rPr>
              <w:t>About 511.4 million Indian women aged 15 years and older are at risk of cervical disease.</w:t>
            </w:r>
          </w:p>
          <w:p>
            <w:pPr>
              <w:spacing w:after="40" w:line="252" w:lineRule="auto"/>
            </w:pPr>
            <w:hyperlink r:id="rId10">
              <w:r>
                <w:rPr>
                  <w:rFonts w:ascii="Calibri" w:hAnsi="Calibri" w:cs="Calibri"/>
                  <w:sz w:val="18"/>
                  <w:color w:val="1155CC"/>
                  <w:u w:val="single"/>
                </w:rPr>
                <w:t xml:space="preserve">hpvcentre.net — ICO/IARC India HPV report</w:t>
              </w:r>
            </w:hyperlink>
          </w:p>
          <w:p>
            <w:pPr>
              <w:spacing w:before="60" w:after="40"/>
            </w:pPr>
            <w:r>
              <w:rPr>
                <w:rFonts w:ascii="Calibri" w:hAnsi="Calibri"/>
                <w:b w:val="0"/>
                <w:i w:val="0"/>
                <w:color w:val="5A5A5A"/>
                <w:sz w:val="18"/>
              </w:rPr>
              <w:t>#womenshealth  #cervix  #atriskpopulation  #inclusivescreening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poorly educated &amp; uninsured women</w:t>
            </w:r>
          </w:p>
        </w:tc>
        <w:tc>
          <w:tcPr>
            <w:tcW w:type="dxa" w:w="4276"/>
            <w:vAlign w:val="top"/>
          </w:tcPr>
          <w:p>
            <w:pPr>
              <w:spacing w:after="60" w:line="259" w:lineRule="auto"/>
            </w:pPr>
            <w:r>
              <w:rPr>
                <w:rFonts w:ascii="Calibri" w:hAnsi="Calibri"/>
                <w:b w:val="0"/>
                <w:i w:val="0"/>
                <w:color w:val="212121"/>
                <w:sz w:val="19"/>
              </w:rPr>
              <w:t>Limited awareness, cost, distance and lack of organised screening mean poorer women are rarely screened or vaccinated and present late; low socioeconomic status is a consistent risk factor for cervical cancer worldwide.</w:t>
            </w:r>
          </w:p>
          <w:p>
            <w:pPr>
              <w:spacing w:after="40" w:before="60" w:line="259" w:lineRule="auto"/>
            </w:pPr>
            <w:r>
              <w:rPr>
                <w:rFonts w:ascii="Calibri" w:hAnsi="Calibri"/>
                <w:b w:val="0"/>
                <w:i w:val="0"/>
                <w:color w:val="212121"/>
                <w:sz w:val="19"/>
              </w:rPr>
              <w:t>Low-income women often lack easy access to adequate health care services, including cervical-cancer screening — a recognised risk factor.</w:t>
            </w:r>
          </w:p>
          <w:p>
            <w:pPr>
              <w:spacing w:after="40" w:line="252" w:lineRule="auto"/>
            </w:pPr>
            <w:hyperlink r:id="rId11">
              <w:r>
                <w:rPr>
                  <w:rFonts w:ascii="Calibri" w:hAnsi="Calibri" w:cs="Calibri"/>
                  <w:sz w:val="18"/>
                  <w:color w:val="1155CC"/>
                  <w:u w:val="single"/>
                </w:rPr>
                <w:t xml:space="preserve">cancer.org — cervical cancer risk factors</w:t>
              </w:r>
            </w:hyperlink>
          </w:p>
          <w:p>
            <w:pPr>
              <w:spacing w:before="60" w:after="40"/>
            </w:pPr>
            <w:r>
              <w:rPr>
                <w:rFonts w:ascii="Calibri" w:hAnsi="Calibri"/>
                <w:b w:val="0"/>
                <w:i w:val="0"/>
                <w:color w:val="5A5A5A"/>
                <w:sz w:val="18"/>
              </w:rPr>
              <w:t>#healthequity  #screeningaccess  #lowincome  #awareness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Rural Indian women with limited screening access</w:t>
            </w:r>
          </w:p>
        </w:tc>
        <w:tc>
          <w:tcPr>
            <w:tcW w:type="dxa" w:w="4276"/>
            <w:vAlign w:val="top"/>
          </w:tcPr>
          <w:p>
            <w:pPr>
              <w:spacing w:after="60" w:line="259" w:lineRule="auto"/>
            </w:pPr>
            <w:r>
              <w:rPr>
                <w:rFonts w:ascii="Calibri" w:hAnsi="Calibri"/>
                <w:b w:val="0"/>
                <w:i w:val="0"/>
                <w:color w:val="212121"/>
                <w:sz w:val="19"/>
              </w:rPr>
              <w:t>Cervical-cancer screening infrastructure, cytology laboratories and colposcopy are concentrated in cities, so rural women — the majority of Indian women — are seldom screened and carry a disproportionate share of undetected dysplasia and cancer.</w:t>
            </w:r>
          </w:p>
          <w:p>
            <w:pPr>
              <w:spacing w:after="40" w:before="60" w:line="259" w:lineRule="auto"/>
            </w:pPr>
            <w:r>
              <w:rPr>
                <w:rFonts w:ascii="Calibri" w:hAnsi="Calibri"/>
                <w:b w:val="0"/>
                <w:i w:val="0"/>
                <w:color w:val="212121"/>
                <w:sz w:val="19"/>
              </w:rPr>
              <w:t>Cervical cancer is the 2nd most common female cancer in India, with a national age-standardised incidence of 18.0 per 100,000 women.</w:t>
            </w:r>
          </w:p>
          <w:p>
            <w:pPr>
              <w:spacing w:after="40" w:line="252" w:lineRule="auto"/>
            </w:pPr>
            <w:hyperlink r:id="rId10">
              <w:r>
                <w:rPr>
                  <w:rFonts w:ascii="Calibri" w:hAnsi="Calibri" w:cs="Calibri"/>
                  <w:sz w:val="18"/>
                  <w:color w:val="1155CC"/>
                  <w:u w:val="single"/>
                </w:rPr>
                <w:t xml:space="preserve">hpvcentre.net — ICO/IARC India HPV report</w:t>
              </w:r>
            </w:hyperlink>
          </w:p>
          <w:p>
            <w:pPr>
              <w:spacing w:before="60" w:after="40"/>
            </w:pPr>
            <w:r>
              <w:rPr>
                <w:rFonts w:ascii="Calibri" w:hAnsi="Calibri"/>
                <w:b w:val="0"/>
                <w:i w:val="0"/>
                <w:color w:val="5A5A5A"/>
                <w:sz w:val="18"/>
              </w:rPr>
              <w:t>#ruralhealth  #screeninggap  #India  #ASR  #accessgap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Regions of India with high cervical-cancer registry rates</w:t>
            </w:r>
          </w:p>
        </w:tc>
        <w:tc>
          <w:tcPr>
            <w:tcW w:type="dxa" w:w="4276"/>
            <w:vAlign w:val="top"/>
          </w:tcPr>
          <w:p>
            <w:pPr>
              <w:spacing w:after="60" w:line="259" w:lineRule="auto"/>
            </w:pPr>
            <w:r>
              <w:rPr>
                <w:rFonts w:ascii="Calibri" w:hAnsi="Calibri"/>
                <w:b w:val="0"/>
                <w:i w:val="0"/>
                <w:color w:val="212121"/>
                <w:sz w:val="19"/>
              </w:rPr>
              <w:t>Cervical-cancer incidence varies markedly across Indian population-based cancer registries, reflecting differences in HPV exposure, tobacco use, parity, hygiene and screening; some rural and north-eastern registries have historically reported among the higher rates.</w:t>
            </w:r>
          </w:p>
          <w:p>
            <w:pPr>
              <w:spacing w:after="40" w:before="60" w:line="259" w:lineRule="auto"/>
            </w:pPr>
            <w:r>
              <w:rPr>
                <w:rFonts w:ascii="Calibri" w:hAnsi="Calibri"/>
                <w:b w:val="0"/>
                <w:i w:val="0"/>
                <w:color w:val="212121"/>
                <w:sz w:val="19"/>
              </w:rPr>
              <w:t>National ASIR is 18.0 per 100,000, but registry-level rates vary widely across Indian regions (general clinical statement).</w:t>
            </w:r>
          </w:p>
          <w:p>
            <w:pPr>
              <w:spacing w:after="40" w:line="252" w:lineRule="auto"/>
            </w:pPr>
            <w:hyperlink r:id="rId10">
              <w:r>
                <w:rPr>
                  <w:rFonts w:ascii="Calibri" w:hAnsi="Calibri" w:cs="Calibri"/>
                  <w:sz w:val="18"/>
                  <w:color w:val="1155CC"/>
                  <w:u w:val="single"/>
                </w:rPr>
                <w:t xml:space="preserve">hpvcentre.net — ICO/IARC India HPV report</w:t>
              </w:r>
            </w:hyperlink>
          </w:p>
          <w:p>
            <w:pPr>
              <w:spacing w:before="60" w:after="40"/>
            </w:pPr>
            <w:r>
              <w:rPr>
                <w:rFonts w:ascii="Calibri" w:hAnsi="Calibri"/>
                <w:b w:val="0"/>
                <w:i w:val="0"/>
                <w:color w:val="5A5A5A"/>
                <w:sz w:val="18"/>
              </w:rPr>
              <w:t>#registryvariation  #India  #regionaldisparity  #epidemiology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 / Tobacco</w:t>
            </w:r>
          </w:p>
        </w:tc>
        <w:tc>
          <w:tcPr>
            <w:tcW w:type="dxa" w:w="2160"/>
            <w:vAlign w:val="top"/>
          </w:tcPr>
          <w:p>
            <w:pPr>
              <w:spacing w:after="40" w:before="0" w:line="259" w:lineRule="auto"/>
            </w:pPr>
            <w:r>
              <w:rPr>
                <w:rFonts w:ascii="Calibri" w:hAnsi="Calibri"/>
                <w:b w:val="0"/>
                <w:i w:val="0"/>
                <w:color w:val="212121"/>
                <w:sz w:val="19"/>
              </w:rPr>
              <w:t>Women who smoke or use smokeless tobacco</w:t>
            </w:r>
          </w:p>
        </w:tc>
        <w:tc>
          <w:tcPr>
            <w:tcW w:type="dxa" w:w="4276"/>
            <w:vAlign w:val="top"/>
          </w:tcPr>
          <w:p>
            <w:pPr>
              <w:spacing w:after="60" w:line="259" w:lineRule="auto"/>
            </w:pPr>
            <w:r>
              <w:rPr>
                <w:rFonts w:ascii="Calibri" w:hAnsi="Calibri"/>
                <w:b w:val="0"/>
                <w:i w:val="0"/>
                <w:color w:val="212121"/>
                <w:sz w:val="19"/>
              </w:rPr>
              <w:t>Tobacco-derived carcinogens are excreted in cervical mucus and suppress local Langerhans-cell immunity, impairing HPV clearance and promoting progression of dysplasia; smokeless (chewed) tobacco is especially common among Indian women.</w:t>
            </w:r>
          </w:p>
          <w:p>
            <w:pPr>
              <w:spacing w:after="40" w:before="60" w:line="259" w:lineRule="auto"/>
            </w:pPr>
            <w:r>
              <w:rPr>
                <w:rFonts w:ascii="Calibri" w:hAnsi="Calibri"/>
                <w:b w:val="0"/>
                <w:i w:val="0"/>
                <w:color w:val="212121"/>
                <w:sz w:val="19"/>
              </w:rPr>
              <w:t>Women who smoke are about twice as likely to develop cervical cancer as non-smokers; India's female cigarette-smoking prevalence is low (~1.7%) but smokeless-tobacco use is far higher.</w:t>
            </w:r>
          </w:p>
          <w:p>
            <w:pPr>
              <w:spacing w:after="40" w:line="252" w:lineRule="auto"/>
            </w:pPr>
            <w:hyperlink r:id="rId11">
              <w:r>
                <w:rPr>
                  <w:rFonts w:ascii="Calibri" w:hAnsi="Calibri" w:cs="Calibri"/>
                  <w:sz w:val="18"/>
                  <w:color w:val="1155CC"/>
                  <w:u w:val="single"/>
                </w:rPr>
                <w:t xml:space="preserve">cancer.org — cervical cancer risk factors</w:t>
              </w:r>
            </w:hyperlink>
          </w:p>
          <w:p>
            <w:pPr>
              <w:spacing w:before="60" w:after="40"/>
            </w:pPr>
            <w:r>
              <w:rPr>
                <w:rFonts w:ascii="Calibri" w:hAnsi="Calibri"/>
                <w:b w:val="0"/>
                <w:i w:val="0"/>
                <w:color w:val="5A5A5A"/>
                <w:sz w:val="18"/>
              </w:rPr>
              <w:t>#smoking  #smokelesstobacco  #cofactor  #HPVpersistence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Sexual behaviour</w:t>
            </w:r>
          </w:p>
        </w:tc>
        <w:tc>
          <w:tcPr>
            <w:tcW w:type="dxa" w:w="2160"/>
            <w:vAlign w:val="top"/>
          </w:tcPr>
          <w:p>
            <w:pPr>
              <w:spacing w:after="40" w:before="0" w:line="259" w:lineRule="auto"/>
            </w:pPr>
            <w:r>
              <w:rPr>
                <w:rFonts w:ascii="Calibri" w:hAnsi="Calibri"/>
                <w:b w:val="0"/>
                <w:i w:val="0"/>
                <w:color w:val="212121"/>
                <w:sz w:val="19"/>
              </w:rPr>
              <w:t>Early sexual debut / multiple partners / partner risk</w:t>
            </w:r>
          </w:p>
        </w:tc>
        <w:tc>
          <w:tcPr>
            <w:tcW w:type="dxa" w:w="4276"/>
            <w:vAlign w:val="top"/>
          </w:tcPr>
          <w:p>
            <w:pPr>
              <w:spacing w:after="60" w:line="259" w:lineRule="auto"/>
            </w:pPr>
            <w:r>
              <w:rPr>
                <w:rFonts w:ascii="Calibri" w:hAnsi="Calibri"/>
                <w:b w:val="0"/>
                <w:i w:val="0"/>
                <w:color w:val="212121"/>
                <w:sz w:val="19"/>
              </w:rPr>
              <w:t>Earlier age at first intercourse and a higher number of sexual partners (for the woman or her partner) increase exposure to high-risk HPV, and adolescent cervical metaplasia is particularly vulnerable to infection.</w:t>
            </w:r>
          </w:p>
          <w:p>
            <w:pPr>
              <w:spacing w:after="40" w:before="60" w:line="259" w:lineRule="auto"/>
            </w:pPr>
            <w:r>
              <w:rPr>
                <w:rFonts w:ascii="Calibri" w:hAnsi="Calibri"/>
                <w:b w:val="0"/>
                <w:i w:val="0"/>
                <w:color w:val="212121"/>
                <w:sz w:val="19"/>
              </w:rPr>
              <w:t>Young age at sexual initiation and multiple sexual partners are established risk factors for HPV infection and cervical neoplasia.</w:t>
            </w:r>
          </w:p>
          <w:p>
            <w:pPr>
              <w:spacing w:after="40" w:line="252" w:lineRule="auto"/>
            </w:pPr>
            <w:hyperlink r:id="rId9">
              <w:r>
                <w:rPr>
                  <w:rFonts w:ascii="Calibri" w:hAnsi="Calibri" w:cs="Calibri"/>
                  <w:sz w:val="18"/>
                  <w:color w:val="1155CC"/>
                  <w:u w:val="single"/>
                </w:rPr>
                <w:t xml:space="preserve">ncbi.nlm.nih.gov — StatPearls, Cervical Cancer</w:t>
              </w:r>
            </w:hyperlink>
          </w:p>
          <w:p>
            <w:pPr>
              <w:spacing w:before="60" w:after="40"/>
            </w:pPr>
            <w:r>
              <w:rPr>
                <w:rFonts w:ascii="Calibri" w:hAnsi="Calibri"/>
                <w:b w:val="0"/>
                <w:i w:val="0"/>
                <w:color w:val="5A5A5A"/>
                <w:sz w:val="18"/>
              </w:rPr>
              <w:t>#sexualdebut  #multiplepartners  #HPVexposure  #adolescentcervix</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Overweight</w:t>
            </w:r>
          </w:p>
        </w:tc>
        <w:tc>
          <w:tcPr>
            <w:tcW w:type="dxa" w:w="2160"/>
            <w:vAlign w:val="top"/>
          </w:tcPr>
          <w:p>
            <w:pPr>
              <w:spacing w:after="40" w:before="0" w:line="259" w:lineRule="auto"/>
            </w:pPr>
            <w:r>
              <w:rPr>
                <w:rFonts w:ascii="Calibri" w:hAnsi="Calibri"/>
                <w:b w:val="0"/>
                <w:i w:val="0"/>
                <w:color w:val="212121"/>
                <w:sz w:val="19"/>
              </w:rPr>
              <w:t>Overweight or obese women</w:t>
            </w:r>
          </w:p>
        </w:tc>
        <w:tc>
          <w:tcPr>
            <w:tcW w:type="dxa" w:w="4276"/>
            <w:vAlign w:val="top"/>
          </w:tcPr>
          <w:p>
            <w:pPr>
              <w:spacing w:after="60" w:line="259" w:lineRule="auto"/>
            </w:pPr>
            <w:r>
              <w:rPr>
                <w:rFonts w:ascii="Calibri" w:hAnsi="Calibri"/>
                <w:b w:val="0"/>
                <w:i w:val="0"/>
                <w:color w:val="212121"/>
                <w:sz w:val="19"/>
              </w:rPr>
              <w:t>Obesity is linked to poorer cervical visualisation and screening, altered immune function and worse outcomes, particularly for cervical adenocarcinoma; the association with dysplasia is modest and largely indirect.</w:t>
            </w:r>
          </w:p>
          <w:p>
            <w:pPr>
              <w:spacing w:after="40" w:before="60" w:line="259" w:lineRule="auto"/>
            </w:pPr>
            <w:r>
              <w:rPr>
                <w:rFonts w:ascii="Calibri" w:hAnsi="Calibri"/>
                <w:b w:val="0"/>
                <w:i w:val="0"/>
                <w:color w:val="212121"/>
                <w:sz w:val="19"/>
              </w:rPr>
              <w:t>Overweight/obesity is associated with reduced screening adequacy and worse cervical-cancer outcomes (general clinical statement).</w:t>
            </w:r>
          </w:p>
          <w:p>
            <w:pPr>
              <w:spacing w:before="60" w:after="40"/>
            </w:pPr>
            <w:r>
              <w:rPr>
                <w:rFonts w:ascii="Calibri" w:hAnsi="Calibri"/>
                <w:b w:val="0"/>
                <w:i w:val="0"/>
                <w:color w:val="5A5A5A"/>
                <w:sz w:val="18"/>
              </w:rPr>
              <w:t>#obesity  #screeningquality  #immunefunction  #modifiable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Diets low in fruit, vegetables, folate &amp; antioxidants</w:t>
            </w:r>
          </w:p>
        </w:tc>
        <w:tc>
          <w:tcPr>
            <w:tcW w:type="dxa" w:w="4276"/>
            <w:vAlign w:val="top"/>
          </w:tcPr>
          <w:p>
            <w:pPr>
              <w:spacing w:after="60" w:line="259" w:lineRule="auto"/>
            </w:pPr>
            <w:r>
              <w:rPr>
                <w:rFonts w:ascii="Calibri" w:hAnsi="Calibri"/>
                <w:b w:val="0"/>
                <w:i w:val="0"/>
                <w:color w:val="212121"/>
                <w:sz w:val="19"/>
              </w:rPr>
              <w:t>Low intake of folate, carotenoids and vitamins C and E has been associated with reduced HPV clearance and persistence of cervical dysplasia, whereas antioxidant-rich diets may support regression; evidence is supportive rather than definitive.</w:t>
            </w:r>
          </w:p>
          <w:p>
            <w:pPr>
              <w:spacing w:after="40" w:before="60" w:line="259" w:lineRule="auto"/>
            </w:pPr>
            <w:r>
              <w:rPr>
                <w:rFonts w:ascii="Calibri" w:hAnsi="Calibri"/>
                <w:b w:val="0"/>
                <w:i w:val="0"/>
                <w:color w:val="212121"/>
                <w:sz w:val="19"/>
              </w:rPr>
              <w:t>Low dietary folate and antioxidant intake are associated with HPV persistence and cervical dysplasia (general clinical statement).</w:t>
            </w:r>
          </w:p>
          <w:p>
            <w:pPr>
              <w:spacing w:before="60" w:after="40"/>
            </w:pPr>
            <w:r>
              <w:rPr>
                <w:rFonts w:ascii="Calibri" w:hAnsi="Calibri"/>
                <w:b w:val="0"/>
                <w:i w:val="0"/>
                <w:color w:val="5A5A5A"/>
                <w:sz w:val="18"/>
              </w:rPr>
              <w:t>#folate  #antioxidants  #diet  #HPVclearance  #micronutrients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Mother or sister with cervical cancer</w:t>
            </w:r>
          </w:p>
        </w:tc>
        <w:tc>
          <w:tcPr>
            <w:tcW w:type="dxa" w:w="4276"/>
            <w:vAlign w:val="top"/>
          </w:tcPr>
          <w:p>
            <w:pPr>
              <w:spacing w:after="60" w:line="259" w:lineRule="auto"/>
            </w:pPr>
            <w:r>
              <w:rPr>
                <w:rFonts w:ascii="Calibri" w:hAnsi="Calibri"/>
                <w:b w:val="0"/>
                <w:i w:val="0"/>
                <w:color w:val="212121"/>
                <w:sz w:val="19"/>
              </w:rPr>
              <w:t>A first-degree family history increases risk, reflecting shared HPV exposure, environment and inherited differences in immune handling of the virus.</w:t>
            </w:r>
          </w:p>
          <w:p>
            <w:pPr>
              <w:spacing w:after="40" w:before="60" w:line="259" w:lineRule="auto"/>
            </w:pPr>
            <w:r>
              <w:rPr>
                <w:rFonts w:ascii="Calibri" w:hAnsi="Calibri"/>
                <w:b w:val="0"/>
                <w:i w:val="0"/>
                <w:color w:val="212121"/>
                <w:sz w:val="19"/>
              </w:rPr>
              <w:t>Cervical-cancer risk is higher in women whose mother or sister had cervical cancer.</w:t>
            </w:r>
          </w:p>
          <w:p>
            <w:pPr>
              <w:spacing w:after="40" w:line="252" w:lineRule="auto"/>
            </w:pPr>
            <w:hyperlink r:id="rId11">
              <w:r>
                <w:rPr>
                  <w:rFonts w:ascii="Calibri" w:hAnsi="Calibri" w:cs="Calibri"/>
                  <w:sz w:val="18"/>
                  <w:color w:val="1155CC"/>
                  <w:u w:val="single"/>
                </w:rPr>
                <w:t xml:space="preserve">cancer.org — cervical cancer risk factors</w:t>
              </w:r>
            </w:hyperlink>
          </w:p>
          <w:p>
            <w:pPr>
              <w:spacing w:before="60" w:after="40"/>
            </w:pPr>
            <w:r>
              <w:rPr>
                <w:rFonts w:ascii="Calibri" w:hAnsi="Calibri"/>
                <w:b w:val="0"/>
                <w:i w:val="0"/>
                <w:color w:val="5A5A5A"/>
                <w:sz w:val="18"/>
              </w:rPr>
              <w:t>#familyhistory  #susceptibility  #inheritedrisk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Immunogenetics</w:t>
            </w:r>
          </w:p>
        </w:tc>
        <w:tc>
          <w:tcPr>
            <w:tcW w:type="dxa" w:w="2160"/>
            <w:vAlign w:val="top"/>
          </w:tcPr>
          <w:p>
            <w:pPr>
              <w:spacing w:after="40" w:before="0" w:line="259" w:lineRule="auto"/>
            </w:pPr>
            <w:r>
              <w:rPr>
                <w:rFonts w:ascii="Calibri" w:hAnsi="Calibri"/>
                <w:b w:val="0"/>
                <w:i w:val="0"/>
                <w:color w:val="212121"/>
                <w:sz w:val="19"/>
              </w:rPr>
              <w:t>Women with HLA / immune-response variants</w:t>
            </w:r>
          </w:p>
        </w:tc>
        <w:tc>
          <w:tcPr>
            <w:tcW w:type="dxa" w:w="4276"/>
            <w:vAlign w:val="top"/>
          </w:tcPr>
          <w:p>
            <w:pPr>
              <w:spacing w:after="60" w:line="259" w:lineRule="auto"/>
            </w:pPr>
            <w:r>
              <w:rPr>
                <w:rFonts w:ascii="Calibri" w:hAnsi="Calibri"/>
                <w:b w:val="0"/>
                <w:i w:val="0"/>
                <w:color w:val="212121"/>
                <w:sz w:val="19"/>
              </w:rPr>
              <w:t>Polymorphisms in HLA class I/II and other immune genes influence the ability to mount an effective cell-mediated response to HPV, affecting whether infection is cleared or persists to cause high-grade dysplasia.</w:t>
            </w:r>
          </w:p>
          <w:p>
            <w:pPr>
              <w:spacing w:after="40" w:before="60" w:line="259" w:lineRule="auto"/>
            </w:pPr>
            <w:r>
              <w:rPr>
                <w:rFonts w:ascii="Calibri" w:hAnsi="Calibri"/>
                <w:b w:val="0"/>
                <w:i w:val="0"/>
                <w:color w:val="212121"/>
                <w:sz w:val="19"/>
              </w:rPr>
              <w:t>Host HLA and immune-gene variation modulates HPV clearance versus persistence (general clinical statement).</w:t>
            </w:r>
          </w:p>
          <w:p>
            <w:pPr>
              <w:spacing w:before="60" w:after="40"/>
            </w:pPr>
            <w:r>
              <w:rPr>
                <w:rFonts w:ascii="Calibri" w:hAnsi="Calibri"/>
                <w:b w:val="0"/>
                <w:i w:val="0"/>
                <w:color w:val="5A5A5A"/>
                <w:sz w:val="18"/>
              </w:rPr>
              <w:t>#HLA  #immunogenetics  #viralclearance  #hostfactors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 / AIDS</w:t>
            </w:r>
          </w:p>
        </w:tc>
        <w:tc>
          <w:tcPr>
            <w:tcW w:type="dxa" w:w="2160"/>
            <w:vAlign w:val="top"/>
          </w:tcPr>
          <w:p>
            <w:pPr>
              <w:spacing w:after="40" w:before="0" w:line="259" w:lineRule="auto"/>
            </w:pPr>
            <w:r>
              <w:rPr>
                <w:rFonts w:ascii="Calibri" w:hAnsi="Calibri"/>
                <w:b w:val="0"/>
                <w:i w:val="0"/>
                <w:color w:val="212121"/>
                <w:sz w:val="19"/>
              </w:rPr>
              <w:t>Women living with HIV</w:t>
            </w:r>
          </w:p>
        </w:tc>
        <w:tc>
          <w:tcPr>
            <w:tcW w:type="dxa" w:w="4276"/>
            <w:vAlign w:val="top"/>
          </w:tcPr>
          <w:p>
            <w:pPr>
              <w:spacing w:after="60" w:line="259" w:lineRule="auto"/>
            </w:pPr>
            <w:r>
              <w:rPr>
                <w:rFonts w:ascii="Calibri" w:hAnsi="Calibri"/>
                <w:b w:val="0"/>
                <w:i w:val="0"/>
                <w:color w:val="212121"/>
                <w:sz w:val="19"/>
              </w:rPr>
              <w:t>HIV-related immunosuppression greatly increases acquisition and persistence of high-risk HPV and accelerates progression from dysplasia to cancer, so cervical cancer is an AIDS-defining malignancy requiring earlier, more frequent screening.</w:t>
            </w:r>
          </w:p>
          <w:p>
            <w:pPr>
              <w:spacing w:after="40" w:before="60" w:line="259" w:lineRule="auto"/>
            </w:pPr>
            <w:r>
              <w:rPr>
                <w:rFonts w:ascii="Calibri" w:hAnsi="Calibri"/>
                <w:b w:val="0"/>
                <w:i w:val="0"/>
                <w:color w:val="212121"/>
                <w:sz w:val="19"/>
              </w:rPr>
              <w:t>Women living with HIV are 6 times more likely to develop cervical cancer, and about 5% of all cervical cancers are attributable to HIV; progression can take only 5–10 years.</w:t>
            </w:r>
          </w:p>
          <w:p>
            <w:pPr>
              <w:spacing w:after="40" w:line="252" w:lineRule="auto"/>
            </w:pPr>
            <w:hyperlink r:id="rId12">
              <w:r>
                <w:rPr>
                  <w:rFonts w:ascii="Calibri" w:hAnsi="Calibri" w:cs="Calibri"/>
                  <w:sz w:val="18"/>
                  <w:color w:val="1155CC"/>
                  <w:u w:val="single"/>
                </w:rPr>
                <w:t xml:space="preserve">who.int — cervical cancer fact sheet</w:t>
              </w:r>
            </w:hyperlink>
          </w:p>
          <w:p>
            <w:pPr>
              <w:spacing w:before="60" w:after="40"/>
            </w:pPr>
            <w:r>
              <w:rPr>
                <w:rFonts w:ascii="Calibri" w:hAnsi="Calibri"/>
                <w:b w:val="0"/>
                <w:i w:val="0"/>
                <w:color w:val="5A5A5A"/>
                <w:sz w:val="18"/>
              </w:rPr>
              <w:t>#HIV  #immunosuppression  #AIDSdefining  #fastprogression  #earlyscreening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Genital co-infection</w:t>
            </w:r>
          </w:p>
        </w:tc>
        <w:tc>
          <w:tcPr>
            <w:tcW w:type="dxa" w:w="2160"/>
            <w:vAlign w:val="top"/>
          </w:tcPr>
          <w:p>
            <w:pPr>
              <w:spacing w:after="40" w:before="0" w:line="259" w:lineRule="auto"/>
            </w:pPr>
            <w:r>
              <w:rPr>
                <w:rFonts w:ascii="Calibri" w:hAnsi="Calibri"/>
                <w:b w:val="0"/>
                <w:i w:val="0"/>
                <w:color w:val="212121"/>
                <w:sz w:val="19"/>
              </w:rPr>
              <w:t>Women with Chlamydia trachomatis / HSV-2</w:t>
            </w:r>
          </w:p>
        </w:tc>
        <w:tc>
          <w:tcPr>
            <w:tcW w:type="dxa" w:w="4276"/>
            <w:vAlign w:val="top"/>
          </w:tcPr>
          <w:p>
            <w:pPr>
              <w:spacing w:after="60" w:line="259" w:lineRule="auto"/>
            </w:pPr>
            <w:r>
              <w:rPr>
                <w:rFonts w:ascii="Calibri" w:hAnsi="Calibri"/>
                <w:b w:val="0"/>
                <w:i w:val="0"/>
                <w:color w:val="212121"/>
                <w:sz w:val="19"/>
              </w:rPr>
              <w:t>Chlamydial and HSV-2 co-infection cause chronic cervical inflammation that can promote HPV growth and persistence, acting as cofactors that raise the risk of high-grade dysplasia.</w:t>
            </w:r>
          </w:p>
          <w:p>
            <w:pPr>
              <w:spacing w:after="40" w:before="60" w:line="259" w:lineRule="auto"/>
            </w:pPr>
            <w:r>
              <w:rPr>
                <w:rFonts w:ascii="Calibri" w:hAnsi="Calibri"/>
                <w:b w:val="0"/>
                <w:i w:val="0"/>
                <w:color w:val="212121"/>
                <w:sz w:val="19"/>
              </w:rPr>
              <w:t>Past or current chlamydia infection is associated with a higher risk of cervical cancer and may help HPV grow and persist in the cervix.</w:t>
            </w:r>
          </w:p>
          <w:p>
            <w:pPr>
              <w:spacing w:after="40" w:line="252" w:lineRule="auto"/>
            </w:pPr>
            <w:hyperlink r:id="rId11">
              <w:r>
                <w:rPr>
                  <w:rFonts w:ascii="Calibri" w:hAnsi="Calibri" w:cs="Calibri"/>
                  <w:sz w:val="18"/>
                  <w:color w:val="1155CC"/>
                  <w:u w:val="single"/>
                </w:rPr>
                <w:t xml:space="preserve">cancer.org — cervical cancer risk factors</w:t>
              </w:r>
            </w:hyperlink>
          </w:p>
          <w:p>
            <w:pPr>
              <w:spacing w:before="60" w:after="40"/>
            </w:pPr>
            <w:r>
              <w:rPr>
                <w:rFonts w:ascii="Calibri" w:hAnsi="Calibri"/>
                <w:b w:val="0"/>
                <w:i w:val="0"/>
                <w:color w:val="5A5A5A"/>
                <w:sz w:val="18"/>
              </w:rPr>
              <w:t>#chlamydia  #HSV2  #coinfection  #cervicitis  #cofactor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Transplant recipients / long-term corticosteroid or immunosuppressant users</w:t>
            </w:r>
          </w:p>
        </w:tc>
        <w:tc>
          <w:tcPr>
            <w:tcW w:type="dxa" w:w="4276"/>
            <w:vAlign w:val="top"/>
          </w:tcPr>
          <w:p>
            <w:pPr>
              <w:spacing w:after="60" w:line="259" w:lineRule="auto"/>
            </w:pPr>
            <w:r>
              <w:rPr>
                <w:rFonts w:ascii="Calibri" w:hAnsi="Calibri"/>
                <w:b w:val="0"/>
                <w:i w:val="0"/>
                <w:color w:val="212121"/>
                <w:sz w:val="19"/>
              </w:rPr>
              <w:t>Iatrogenic immunosuppression after organ transplantation or for autoimmune disease impairs HPV clearance, increasing the incidence and recurrence of cervical (and other anogenital) intraepithelial neoplasia.</w:t>
            </w:r>
          </w:p>
          <w:p>
            <w:pPr>
              <w:spacing w:after="40" w:before="60" w:line="259" w:lineRule="auto"/>
            </w:pPr>
            <w:r>
              <w:rPr>
                <w:rFonts w:ascii="Calibri" w:hAnsi="Calibri"/>
                <w:b w:val="0"/>
                <w:i w:val="0"/>
                <w:color w:val="212121"/>
                <w:sz w:val="19"/>
              </w:rPr>
              <w:t>Women on immunosuppressive drugs are at increased risk of HPV infection and cervical cancer.</w:t>
            </w:r>
          </w:p>
          <w:p>
            <w:pPr>
              <w:spacing w:after="40" w:line="252" w:lineRule="auto"/>
            </w:pPr>
            <w:hyperlink r:id="rId11">
              <w:r>
                <w:rPr>
                  <w:rFonts w:ascii="Calibri" w:hAnsi="Calibri" w:cs="Calibri"/>
                  <w:sz w:val="18"/>
                  <w:color w:val="1155CC"/>
                  <w:u w:val="single"/>
                </w:rPr>
                <w:t xml:space="preserve">cancer.org — cervical cancer risk factors</w:t>
              </w:r>
            </w:hyperlink>
          </w:p>
          <w:p>
            <w:pPr>
              <w:spacing w:before="60" w:after="40"/>
            </w:pPr>
            <w:r>
              <w:rPr>
                <w:rFonts w:ascii="Calibri" w:hAnsi="Calibri"/>
                <w:b w:val="0"/>
                <w:i w:val="0"/>
                <w:color w:val="5A5A5A"/>
                <w:sz w:val="18"/>
              </w:rPr>
              <w:t>#transplant  #immunosuppressants  #steroids  #recurrence  #surveillance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Reproductive history</w:t>
            </w:r>
          </w:p>
        </w:tc>
        <w:tc>
          <w:tcPr>
            <w:tcW w:type="dxa" w:w="2160"/>
            <w:vAlign w:val="top"/>
          </w:tcPr>
          <w:p>
            <w:pPr>
              <w:spacing w:after="40" w:before="0" w:line="259" w:lineRule="auto"/>
            </w:pPr>
            <w:r>
              <w:rPr>
                <w:rFonts w:ascii="Calibri" w:hAnsi="Calibri"/>
                <w:b w:val="0"/>
                <w:i w:val="0"/>
                <w:color w:val="212121"/>
                <w:sz w:val="19"/>
              </w:rPr>
              <w:t>Grand-multiparous women / first pregnancy before age 20</w:t>
            </w:r>
          </w:p>
        </w:tc>
        <w:tc>
          <w:tcPr>
            <w:tcW w:type="dxa" w:w="4276"/>
            <w:vAlign w:val="top"/>
          </w:tcPr>
          <w:p>
            <w:pPr>
              <w:spacing w:after="60" w:line="259" w:lineRule="auto"/>
            </w:pPr>
            <w:r>
              <w:rPr>
                <w:rFonts w:ascii="Calibri" w:hAnsi="Calibri"/>
                <w:b w:val="0"/>
                <w:i w:val="0"/>
                <w:color w:val="212121"/>
                <w:sz w:val="19"/>
              </w:rPr>
              <w:t>High parity and early first full-term pregnancy prolong exposure of the transformation zone and involve hormonal and immunological changes that favour HPV persistence and progression.</w:t>
            </w:r>
          </w:p>
          <w:p>
            <w:pPr>
              <w:spacing w:after="40" w:before="60" w:line="259" w:lineRule="auto"/>
            </w:pPr>
            <w:r>
              <w:rPr>
                <w:rFonts w:ascii="Calibri" w:hAnsi="Calibri"/>
                <w:b w:val="0"/>
                <w:i w:val="0"/>
                <w:color w:val="212121"/>
                <w:sz w:val="19"/>
              </w:rPr>
              <w:t>Women with 3 or more full-term pregnancies, and those whose first full-term pregnancy was before age 20, have an increased risk; India's total fertility rate is about 2.3.</w:t>
            </w:r>
          </w:p>
          <w:p>
            <w:pPr>
              <w:spacing w:after="40" w:line="252" w:lineRule="auto"/>
            </w:pPr>
            <w:hyperlink r:id="rId11">
              <w:r>
                <w:rPr>
                  <w:rFonts w:ascii="Calibri" w:hAnsi="Calibri" w:cs="Calibri"/>
                  <w:sz w:val="18"/>
                  <w:color w:val="1155CC"/>
                  <w:u w:val="single"/>
                </w:rPr>
                <w:t xml:space="preserve">cancer.org — cervical cancer risk factors</w:t>
              </w:r>
            </w:hyperlink>
          </w:p>
          <w:p>
            <w:pPr>
              <w:spacing w:before="60" w:after="40"/>
            </w:pPr>
            <w:r>
              <w:rPr>
                <w:rFonts w:ascii="Calibri" w:hAnsi="Calibri"/>
                <w:b w:val="0"/>
                <w:i w:val="0"/>
                <w:color w:val="5A5A5A"/>
                <w:sz w:val="18"/>
              </w:rPr>
              <w:t>#highparity  #earlypregnancy  #reproductivehistory  #India  #hormonalcofactor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Long-term contraception</w:t>
            </w:r>
          </w:p>
        </w:tc>
        <w:tc>
          <w:tcPr>
            <w:tcW w:type="dxa" w:w="2160"/>
            <w:vAlign w:val="top"/>
          </w:tcPr>
          <w:p>
            <w:pPr>
              <w:spacing w:after="40" w:before="0" w:line="259" w:lineRule="auto"/>
            </w:pPr>
            <w:r>
              <w:rPr>
                <w:rFonts w:ascii="Calibri" w:hAnsi="Calibri"/>
                <w:b w:val="0"/>
                <w:i w:val="0"/>
                <w:color w:val="212121"/>
                <w:sz w:val="19"/>
              </w:rPr>
              <w:t>Long-term combined oral contraceptive users</w:t>
            </w:r>
          </w:p>
        </w:tc>
        <w:tc>
          <w:tcPr>
            <w:tcW w:type="dxa" w:w="4276"/>
            <w:vAlign w:val="top"/>
          </w:tcPr>
          <w:p>
            <w:pPr>
              <w:spacing w:after="60" w:line="259" w:lineRule="auto"/>
            </w:pPr>
            <w:r>
              <w:rPr>
                <w:rFonts w:ascii="Calibri" w:hAnsi="Calibri"/>
                <w:b w:val="0"/>
                <w:i w:val="0"/>
                <w:color w:val="212121"/>
                <w:sz w:val="19"/>
              </w:rPr>
              <w:t>Prolonged combined oral contraceptive use is associated with a duration-dependent increase in cervical-cancer risk that declines after stopping, acting as a hormonal cofactor for HPV-driven neoplasia.</w:t>
            </w:r>
          </w:p>
          <w:p>
            <w:pPr>
              <w:spacing w:after="40" w:before="60" w:line="259" w:lineRule="auto"/>
            </w:pPr>
            <w:r>
              <w:rPr>
                <w:rFonts w:ascii="Calibri" w:hAnsi="Calibri"/>
                <w:b w:val="0"/>
                <w:i w:val="0"/>
                <w:color w:val="212121"/>
                <w:sz w:val="19"/>
              </w:rPr>
              <w:t>Cervical-cancer risk rises with longer oral-contraceptive use and falls again after stopping; recorded OC use in India is about 4.1%.</w:t>
            </w:r>
          </w:p>
          <w:p>
            <w:pPr>
              <w:spacing w:after="40" w:line="252" w:lineRule="auto"/>
            </w:pPr>
            <w:hyperlink r:id="rId11">
              <w:r>
                <w:rPr>
                  <w:rFonts w:ascii="Calibri" w:hAnsi="Calibri" w:cs="Calibri"/>
                  <w:sz w:val="18"/>
                  <w:color w:val="1155CC"/>
                  <w:u w:val="single"/>
                </w:rPr>
                <w:t xml:space="preserve">cancer.org — cervical cancer risk factors</w:t>
              </w:r>
            </w:hyperlink>
          </w:p>
          <w:p>
            <w:pPr>
              <w:spacing w:before="60" w:after="40"/>
            </w:pPr>
            <w:r>
              <w:rPr>
                <w:rFonts w:ascii="Calibri" w:hAnsi="Calibri"/>
                <w:b w:val="0"/>
                <w:i w:val="0"/>
                <w:color w:val="5A5A5A"/>
                <w:sz w:val="18"/>
              </w:rPr>
              <w:t>#oralcontraceptives  #hormonalcofactor  #reversiblerisk  #counselling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Regular activity and a healthy weight support immune function and screening adequacy, but physical activity has no established direct effect on HPV acquisition or clearance; its role in cervical dysplasia is minor and indirect.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Diets low in folate, carotenoids and vitamins C and E are associated with reduced HPV clearance and persistence of cervical dysplasia, whereas antioxidant- and folate-rich diets may favour regression; evidence is supportive rather than causal.</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sleep supports cell-mediated immunity that clears HPV, and chronic sleep deprivation may impair immune surveillance, but there is no direct evidence linking sleep to cervical dysplasia.</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tobacco exposure roughly doubles cervical-cancer risk; carcinogens concentrate in cervical mucus and suppress local Langerhans-cell immunity, impairing HPV clearance and promoting high-grade dysplasia. Smokeless tobacco is an important cofactor in Indian women.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Any association between alcohol and cervical neoplasia is weak and largely confounded by sexual behaviour and smoking; alcohol is not an established independent risk factor.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stress and depression may modestly impair cell-mediated immunity and reduce screening uptake; a diagnosis of dysplasia also causes significant anxiety. Direct causal links to dysplasia are weak.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established role in HPV infection or cervical dysplasia; general genital and mucosal health only.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or established association between caffeine intake and cervical dysplasia.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Consistent barrier (condom) use, prompt treatment of genital co-infections (chlamydia, HSV-2, bacterial vaginosis) and good menstrual and genital hygiene reduce the cofactor burden that promotes HPV persistence, though condoms are only partially protective against HPV.</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proximate cause is sexual acquisition and persistence of high-risk HPV; early sexual debut, multiple partners, immunosuppression (HIV, transplant), tobacco and lack of screening/vaccination provoke and sustain dysplasia.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High-risk HPV DNA status (with 16/18 genotype)</w:t>
            </w:r>
          </w:p>
        </w:tc>
        <w:tc>
          <w:tcPr>
            <w:tcW w:type="dxa" w:w="1655"/>
            <w:vAlign w:val="top"/>
          </w:tcPr>
          <w:p>
            <w:pPr>
              <w:spacing w:after="40" w:before="0" w:line="259" w:lineRule="auto"/>
            </w:pPr>
            <w:r>
              <w:rPr>
                <w:rFonts w:ascii="Calibri" w:hAnsi="Calibri"/>
                <w:b w:val="0"/>
                <w:i w:val="0"/>
                <w:color w:val="212121"/>
                <w:sz w:val="19"/>
              </w:rPr>
              <w:t>Women aged ≥ 30 (≥ 25 if HIV+)</w:t>
            </w:r>
          </w:p>
        </w:tc>
        <w:tc>
          <w:tcPr>
            <w:tcW w:type="dxa" w:w="1512"/>
            <w:vAlign w:val="top"/>
          </w:tcPr>
          <w:p>
            <w:pPr>
              <w:spacing w:after="40" w:before="0" w:line="259" w:lineRule="auto"/>
            </w:pPr>
            <w:r>
              <w:rPr>
                <w:rFonts w:ascii="Calibri" w:hAnsi="Calibri"/>
                <w:b w:val="0"/>
                <w:i w:val="0"/>
                <w:color w:val="212121"/>
                <w:sz w:val="19"/>
              </w:rPr>
              <w:t>Negative for high-risk HPV</w:t>
            </w:r>
          </w:p>
        </w:tc>
        <w:tc>
          <w:tcPr>
            <w:tcW w:type="dxa" w:w="1512"/>
            <w:vAlign w:val="top"/>
          </w:tcPr>
          <w:p>
            <w:pPr>
              <w:spacing w:after="40" w:before="0" w:line="259" w:lineRule="auto"/>
            </w:pPr>
            <w:r>
              <w:rPr>
                <w:rFonts w:ascii="Calibri" w:hAnsi="Calibri"/>
                <w:b w:val="0"/>
                <w:i w:val="0"/>
                <w:color w:val="212121"/>
                <w:sz w:val="19"/>
              </w:rPr>
              <w:t>Positive high-risk HPV, especially HPV 16/18</w:t>
            </w:r>
          </w:p>
        </w:tc>
        <w:tc>
          <w:tcPr>
            <w:tcW w:type="dxa" w:w="1468"/>
            <w:vAlign w:val="top"/>
          </w:tcPr>
          <w:p>
            <w:pPr>
              <w:spacing w:after="60" w:line="259" w:lineRule="auto"/>
            </w:pPr>
            <w:r>
              <w:rPr>
                <w:rFonts w:ascii="Calibri" w:hAnsi="Calibri"/>
                <w:b w:val="0"/>
                <w:i w:val="0"/>
                <w:color w:val="212121"/>
                <w:sz w:val="19"/>
              </w:rPr>
              <w:t>Primary WHO-preferred screen; HPV 16/18 confers the highest progression risk</w:t>
            </w:r>
          </w:p>
          <w:p>
            <w:pPr>
              <w:spacing w:after="40" w:line="252" w:lineRule="auto"/>
            </w:pPr>
            <w:hyperlink r:id="rId12">
              <w:r>
                <w:rPr>
                  <w:rFonts w:ascii="Calibri" w:hAnsi="Calibri" w:cs="Calibri"/>
                  <w:sz w:val="18"/>
                  <w:color w:val="1155CC"/>
                  <w:u w:val="single"/>
                </w:rPr>
                <w:t xml:space="preserve">https://www.who.int/news-room/fact-sheets/detail/cervical-cancer</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Cervical cytology (Bethesda) result</w:t>
            </w:r>
          </w:p>
        </w:tc>
        <w:tc>
          <w:tcPr>
            <w:tcW w:type="dxa" w:w="1655"/>
            <w:vAlign w:val="top"/>
          </w:tcPr>
          <w:p>
            <w:pPr>
              <w:spacing w:after="40" w:before="0" w:line="259" w:lineRule="auto"/>
            </w:pPr>
            <w:r>
              <w:rPr>
                <w:rFonts w:ascii="Calibri" w:hAnsi="Calibri"/>
                <w:b w:val="0"/>
                <w:i w:val="0"/>
                <w:color w:val="212121"/>
                <w:sz w:val="19"/>
              </w:rPr>
              <w:t>Screened women</w:t>
            </w:r>
          </w:p>
        </w:tc>
        <w:tc>
          <w:tcPr>
            <w:tcW w:type="dxa" w:w="1512"/>
            <w:vAlign w:val="top"/>
          </w:tcPr>
          <w:p>
            <w:pPr>
              <w:spacing w:after="40" w:before="0" w:line="259" w:lineRule="auto"/>
            </w:pPr>
            <w:r>
              <w:rPr>
                <w:rFonts w:ascii="Calibri" w:hAnsi="Calibri"/>
                <w:b w:val="0"/>
                <w:i w:val="0"/>
                <w:color w:val="212121"/>
                <w:sz w:val="19"/>
              </w:rPr>
              <w:t>NILM (negative for intraepithelial lesion)</w:t>
            </w:r>
          </w:p>
        </w:tc>
        <w:tc>
          <w:tcPr>
            <w:tcW w:type="dxa" w:w="1512"/>
            <w:vAlign w:val="top"/>
          </w:tcPr>
          <w:p>
            <w:pPr>
              <w:spacing w:after="40" w:before="0" w:line="259" w:lineRule="auto"/>
            </w:pPr>
            <w:r>
              <w:rPr>
                <w:rFonts w:ascii="Calibri" w:hAnsi="Calibri"/>
                <w:b w:val="0"/>
                <w:i w:val="0"/>
                <w:color w:val="212121"/>
                <w:sz w:val="19"/>
              </w:rPr>
              <w:t>ASC-US / LSIL / ASC-H / HSIL / AGC</w:t>
            </w:r>
          </w:p>
        </w:tc>
        <w:tc>
          <w:tcPr>
            <w:tcW w:type="dxa" w:w="1468"/>
            <w:vAlign w:val="top"/>
          </w:tcPr>
          <w:p>
            <w:pPr>
              <w:spacing w:after="40" w:before="0" w:line="259" w:lineRule="auto"/>
            </w:pPr>
            <w:r>
              <w:rPr>
                <w:rFonts w:ascii="Calibri" w:hAnsi="Calibri"/>
                <w:b w:val="0"/>
                <w:i w:val="0"/>
                <w:color w:val="212121"/>
                <w:sz w:val="19"/>
              </w:rPr>
              <w:t>Abnormal cytology triggers HPV triage or colposcopy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Screening interval</w:t>
            </w:r>
          </w:p>
        </w:tc>
        <w:tc>
          <w:tcPr>
            <w:tcW w:type="dxa" w:w="1655"/>
            <w:vAlign w:val="top"/>
          </w:tcPr>
          <w:p>
            <w:pPr>
              <w:spacing w:after="40" w:before="0" w:line="259" w:lineRule="auto"/>
            </w:pPr>
            <w:r>
              <w:rPr>
                <w:rFonts w:ascii="Calibri" w:hAnsi="Calibri"/>
                <w:b w:val="0"/>
                <w:i w:val="0"/>
                <w:color w:val="212121"/>
                <w:sz w:val="19"/>
              </w:rPr>
              <w:t>General population women ≥ 30</w:t>
            </w:r>
          </w:p>
        </w:tc>
        <w:tc>
          <w:tcPr>
            <w:tcW w:type="dxa" w:w="1512"/>
            <w:vAlign w:val="top"/>
          </w:tcPr>
          <w:p>
            <w:pPr>
              <w:spacing w:after="40" w:before="0" w:line="259" w:lineRule="auto"/>
            </w:pPr>
            <w:r>
              <w:rPr>
                <w:rFonts w:ascii="Calibri" w:hAnsi="Calibri"/>
                <w:b w:val="0"/>
                <w:i w:val="0"/>
                <w:color w:val="212121"/>
                <w:sz w:val="19"/>
              </w:rPr>
              <w:t>High-performance HPV test every 5–10 years from age 30</w:t>
            </w:r>
          </w:p>
        </w:tc>
        <w:tc>
          <w:tcPr>
            <w:tcW w:type="dxa" w:w="1512"/>
            <w:vAlign w:val="top"/>
          </w:tcPr>
          <w:p>
            <w:pPr>
              <w:spacing w:after="40" w:before="0" w:line="259" w:lineRule="auto"/>
            </w:pPr>
            <w:r>
              <w:rPr>
                <w:rFonts w:ascii="Calibri" w:hAnsi="Calibri"/>
                <w:b w:val="0"/>
                <w:i w:val="0"/>
                <w:color w:val="212121"/>
                <w:sz w:val="19"/>
              </w:rPr>
              <w:t>Never screened or overdue</w:t>
            </w:r>
          </w:p>
        </w:tc>
        <w:tc>
          <w:tcPr>
            <w:tcW w:type="dxa" w:w="1468"/>
            <w:vAlign w:val="top"/>
          </w:tcPr>
          <w:p>
            <w:pPr>
              <w:spacing w:after="60" w:line="259" w:lineRule="auto"/>
            </w:pPr>
            <w:r>
              <w:rPr>
                <w:rFonts w:ascii="Calibri" w:hAnsi="Calibri"/>
                <w:b w:val="0"/>
                <w:i w:val="0"/>
                <w:color w:val="212121"/>
                <w:sz w:val="19"/>
              </w:rPr>
              <w:t>HIV-positive women: screen every 3–5 years from age 25</w:t>
            </w:r>
          </w:p>
          <w:p>
            <w:pPr>
              <w:spacing w:after="40" w:line="252" w:lineRule="auto"/>
            </w:pPr>
            <w:hyperlink r:id="rId12">
              <w:r>
                <w:rPr>
                  <w:rFonts w:ascii="Calibri" w:hAnsi="Calibri" w:cs="Calibri"/>
                  <w:sz w:val="18"/>
                  <w:color w:val="1155CC"/>
                  <w:u w:val="single"/>
                </w:rPr>
                <w:t xml:space="preserve">https://www.who.int/news-room/fact-sheets/detail/cervical-cancer</w:t>
              </w:r>
            </w:hyperlink>
          </w:p>
        </w:tc>
      </w:tr>
      <w:tr>
        <w:trPr>
          <w:cantSplit/>
        </w:trPr>
        <w:tc>
          <w:tcPr>
            <w:tcW w:type="dxa" w:w="1512"/>
            <w:vMerge w:val="restart"/>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Women of reproductive age</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Any smoking roughly doubles cervical-cancer risk and impairs HPV clearance</w:t>
            </w:r>
          </w:p>
          <w:p>
            <w:pPr>
              <w:spacing w:after="40" w:line="252" w:lineRule="auto"/>
            </w:pPr>
            <w:hyperlink r:id="rId11">
              <w:r>
                <w:rPr>
                  <w:rFonts w:ascii="Calibri" w:hAnsi="Calibri" w:cs="Calibri"/>
                  <w:sz w:val="18"/>
                  <w:color w:val="1155CC"/>
                  <w:u w:val="single"/>
                </w:rPr>
                <w:t xml:space="preserve">https://www.cancer.org/cancer/types/cervical-cancer/causes-risks-prevention/risk-factors.html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Smokeless (chewed) tobacco use</w:t>
            </w:r>
          </w:p>
        </w:tc>
        <w:tc>
          <w:tcPr>
            <w:tcW w:type="dxa" w:w="1655"/>
            <w:vAlign w:val="top"/>
          </w:tcPr>
          <w:p>
            <w:pPr>
              <w:spacing w:after="40" w:before="0" w:line="259" w:lineRule="auto"/>
            </w:pPr>
            <w:r>
              <w:rPr>
                <w:rFonts w:ascii="Calibri" w:hAnsi="Calibri"/>
                <w:b w:val="0"/>
                <w:i w:val="0"/>
                <w:color w:val="212121"/>
                <w:sz w:val="19"/>
              </w:rPr>
              <w:t>Indian women</w:t>
            </w:r>
          </w:p>
        </w:tc>
        <w:tc>
          <w:tcPr>
            <w:tcW w:type="dxa" w:w="1512"/>
            <w:vAlign w:val="top"/>
          </w:tcPr>
          <w:p>
            <w:pPr>
              <w:spacing w:after="40" w:before="0" w:line="259" w:lineRule="auto"/>
            </w:pPr>
            <w:r>
              <w:rPr>
                <w:rFonts w:ascii="Calibri" w:hAnsi="Calibri"/>
                <w:b w:val="0"/>
                <w:i w:val="0"/>
                <w:color w:val="212121"/>
                <w:sz w:val="19"/>
              </w:rPr>
              <w:t>No use</w:t>
            </w:r>
          </w:p>
        </w:tc>
        <w:tc>
          <w:tcPr>
            <w:tcW w:type="dxa" w:w="1512"/>
            <w:vAlign w:val="top"/>
          </w:tcPr>
          <w:p>
            <w:pPr>
              <w:spacing w:after="40" w:before="0" w:line="259" w:lineRule="auto"/>
            </w:pPr>
            <w:r>
              <w:rPr>
                <w:rFonts w:ascii="Calibri" w:hAnsi="Calibri"/>
                <w:b w:val="0"/>
                <w:i w:val="0"/>
                <w:color w:val="212121"/>
                <w:sz w:val="19"/>
              </w:rPr>
              <w:t>Any regular use</w:t>
            </w:r>
          </w:p>
        </w:tc>
        <w:tc>
          <w:tcPr>
            <w:tcW w:type="dxa" w:w="1468"/>
            <w:vAlign w:val="top"/>
          </w:tcPr>
          <w:p>
            <w:pPr>
              <w:spacing w:after="40" w:before="0" w:line="259" w:lineRule="auto"/>
            </w:pPr>
            <w:r>
              <w:rPr>
                <w:rFonts w:ascii="Calibri" w:hAnsi="Calibri"/>
                <w:b w:val="0"/>
                <w:i w:val="0"/>
                <w:color w:val="212121"/>
                <w:sz w:val="19"/>
              </w:rPr>
              <w:t>Common cofactor in India; carcinogens reach cervical mucus</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Age at first sexual intercourse</w:t>
            </w:r>
          </w:p>
        </w:tc>
        <w:tc>
          <w:tcPr>
            <w:tcW w:type="dxa" w:w="1655"/>
            <w:vAlign w:val="top"/>
          </w:tcPr>
          <w:p>
            <w:pPr>
              <w:spacing w:after="40" w:before="0" w:line="259" w:lineRule="auto"/>
            </w:pPr>
            <w:r>
              <w:rPr>
                <w:rFonts w:ascii="Calibri" w:hAnsi="Calibri"/>
                <w:b w:val="0"/>
                <w:i w:val="0"/>
                <w:color w:val="212121"/>
                <w:sz w:val="19"/>
              </w:rPr>
              <w:t>Adolescent / young women</w:t>
            </w:r>
          </w:p>
        </w:tc>
        <w:tc>
          <w:tcPr>
            <w:tcW w:type="dxa" w:w="1512"/>
            <w:vAlign w:val="top"/>
          </w:tcPr>
          <w:p>
            <w:pPr>
              <w:spacing w:after="40" w:before="0" w:line="259" w:lineRule="auto"/>
            </w:pPr>
            <w:r>
              <w:rPr>
                <w:rFonts w:ascii="Calibri" w:hAnsi="Calibri"/>
                <w:b w:val="0"/>
                <w:i w:val="0"/>
                <w:color w:val="212121"/>
                <w:sz w:val="19"/>
              </w:rPr>
              <w:t>≥ 18–20 years</w:t>
            </w:r>
          </w:p>
        </w:tc>
        <w:tc>
          <w:tcPr>
            <w:tcW w:type="dxa" w:w="1512"/>
            <w:vAlign w:val="top"/>
          </w:tcPr>
          <w:p>
            <w:pPr>
              <w:spacing w:after="40" w:before="0" w:line="259" w:lineRule="auto"/>
            </w:pPr>
            <w:r>
              <w:rPr>
                <w:rFonts w:ascii="Calibri" w:hAnsi="Calibri"/>
                <w:b w:val="0"/>
                <w:i w:val="0"/>
                <w:color w:val="212121"/>
                <w:sz w:val="19"/>
              </w:rPr>
              <w:t>&lt; 18 years</w:t>
            </w:r>
          </w:p>
        </w:tc>
        <w:tc>
          <w:tcPr>
            <w:tcW w:type="dxa" w:w="1468"/>
            <w:vAlign w:val="top"/>
          </w:tcPr>
          <w:p>
            <w:pPr>
              <w:spacing w:after="60" w:line="259" w:lineRule="auto"/>
            </w:pPr>
            <w:r>
              <w:rPr>
                <w:rFonts w:ascii="Calibri" w:hAnsi="Calibri"/>
                <w:b w:val="0"/>
                <w:i w:val="0"/>
                <w:color w:val="212121"/>
                <w:sz w:val="19"/>
              </w:rPr>
              <w:t>Earlier debut exposes the immature, metaplastic transformation zone to HPV</w:t>
            </w:r>
          </w:p>
          <w:p>
            <w:pPr>
              <w:spacing w:after="40" w:line="252" w:lineRule="auto"/>
            </w:pPr>
            <w:hyperlink r:id="rId9">
              <w:r>
                <w:rPr>
                  <w:rFonts w:ascii="Calibri" w:hAnsi="Calibri" w:cs="Calibri"/>
                  <w:sz w:val="18"/>
                  <w:color w:val="1155CC"/>
                  <w:u w:val="single"/>
                </w:rPr>
                <w:t xml:space="preserve">https://www.ncbi.nlm.nih.gov/books/NBK431093/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Number of sexual partners (self/partner)</w:t>
            </w:r>
          </w:p>
        </w:tc>
        <w:tc>
          <w:tcPr>
            <w:tcW w:type="dxa" w:w="1655"/>
            <w:vAlign w:val="top"/>
          </w:tcPr>
          <w:p>
            <w:pPr>
              <w:spacing w:after="40" w:before="0" w:line="259" w:lineRule="auto"/>
            </w:pPr>
            <w:r>
              <w:rPr>
                <w:rFonts w:ascii="Calibri" w:hAnsi="Calibri"/>
                <w:b w:val="0"/>
                <w:i w:val="0"/>
                <w:color w:val="212121"/>
                <w:sz w:val="19"/>
              </w:rPr>
              <w:t>Sexually active women</w:t>
            </w:r>
          </w:p>
        </w:tc>
        <w:tc>
          <w:tcPr>
            <w:tcW w:type="dxa" w:w="1512"/>
            <w:vAlign w:val="top"/>
          </w:tcPr>
          <w:p>
            <w:pPr>
              <w:spacing w:after="40" w:before="0" w:line="259" w:lineRule="auto"/>
            </w:pPr>
            <w:r>
              <w:rPr>
                <w:rFonts w:ascii="Calibri" w:hAnsi="Calibri"/>
                <w:b w:val="0"/>
                <w:i w:val="0"/>
                <w:color w:val="212121"/>
                <w:sz w:val="19"/>
              </w:rPr>
              <w:t>Mutually monogamous / few partners</w:t>
            </w:r>
          </w:p>
        </w:tc>
        <w:tc>
          <w:tcPr>
            <w:tcW w:type="dxa" w:w="1512"/>
            <w:vAlign w:val="top"/>
          </w:tcPr>
          <w:p>
            <w:pPr>
              <w:spacing w:after="40" w:before="0" w:line="259" w:lineRule="auto"/>
            </w:pPr>
            <w:r>
              <w:rPr>
                <w:rFonts w:ascii="Calibri" w:hAnsi="Calibri"/>
                <w:b w:val="0"/>
                <w:i w:val="0"/>
                <w:color w:val="212121"/>
                <w:sz w:val="19"/>
              </w:rPr>
              <w:t>Multiple partners</w:t>
            </w:r>
          </w:p>
        </w:tc>
        <w:tc>
          <w:tcPr>
            <w:tcW w:type="dxa" w:w="1468"/>
            <w:vAlign w:val="top"/>
          </w:tcPr>
          <w:p>
            <w:pPr>
              <w:spacing w:after="60" w:line="259" w:lineRule="auto"/>
            </w:pPr>
            <w:r>
              <w:rPr>
                <w:rFonts w:ascii="Calibri" w:hAnsi="Calibri"/>
                <w:b w:val="0"/>
                <w:i w:val="0"/>
                <w:color w:val="212121"/>
                <w:sz w:val="19"/>
              </w:rPr>
              <w:t>More partners increase high-risk HPV exposure</w:t>
            </w:r>
          </w:p>
          <w:p>
            <w:pPr>
              <w:spacing w:after="40" w:line="252" w:lineRule="auto"/>
            </w:pPr>
            <w:hyperlink r:id="rId9">
              <w:r>
                <w:rPr>
                  <w:rFonts w:ascii="Calibri" w:hAnsi="Calibri" w:cs="Calibri"/>
                  <w:sz w:val="18"/>
                  <w:color w:val="1155CC"/>
                  <w:u w:val="single"/>
                </w:rPr>
                <w:t xml:space="preserve">https://www.ncbi.nlm.nih.gov/books/NBK431093/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Consistent condom / barrier use</w:t>
            </w:r>
          </w:p>
        </w:tc>
        <w:tc>
          <w:tcPr>
            <w:tcW w:type="dxa" w:w="1655"/>
            <w:vAlign w:val="top"/>
          </w:tcPr>
          <w:p>
            <w:pPr>
              <w:spacing w:after="40" w:before="0" w:line="259" w:lineRule="auto"/>
            </w:pPr>
            <w:r>
              <w:rPr>
                <w:rFonts w:ascii="Calibri" w:hAnsi="Calibri"/>
                <w:b w:val="0"/>
                <w:i w:val="0"/>
                <w:color w:val="212121"/>
                <w:sz w:val="19"/>
              </w:rPr>
              <w:t>Sexually active women</w:t>
            </w:r>
          </w:p>
        </w:tc>
        <w:tc>
          <w:tcPr>
            <w:tcW w:type="dxa" w:w="1512"/>
            <w:vAlign w:val="top"/>
          </w:tcPr>
          <w:p>
            <w:pPr>
              <w:spacing w:after="40" w:before="0" w:line="259" w:lineRule="auto"/>
            </w:pPr>
            <w:r>
              <w:rPr>
                <w:rFonts w:ascii="Calibri" w:hAnsi="Calibri"/>
                <w:b w:val="0"/>
                <w:i w:val="0"/>
                <w:color w:val="212121"/>
                <w:sz w:val="19"/>
              </w:rPr>
              <w:t>Consistent use</w:t>
            </w:r>
          </w:p>
        </w:tc>
        <w:tc>
          <w:tcPr>
            <w:tcW w:type="dxa" w:w="1512"/>
            <w:vAlign w:val="top"/>
          </w:tcPr>
          <w:p>
            <w:pPr>
              <w:spacing w:after="40" w:before="0" w:line="259" w:lineRule="auto"/>
            </w:pPr>
            <w:r>
              <w:rPr>
                <w:rFonts w:ascii="Calibri" w:hAnsi="Calibri"/>
                <w:b w:val="0"/>
                <w:i w:val="0"/>
                <w:color w:val="212121"/>
                <w:sz w:val="19"/>
              </w:rPr>
              <w:t>Inconsistent / none</w:t>
            </w:r>
          </w:p>
        </w:tc>
        <w:tc>
          <w:tcPr>
            <w:tcW w:type="dxa" w:w="1468"/>
            <w:vAlign w:val="top"/>
          </w:tcPr>
          <w:p>
            <w:pPr>
              <w:spacing w:after="40" w:before="0" w:line="259" w:lineRule="auto"/>
            </w:pPr>
            <w:r>
              <w:rPr>
                <w:rFonts w:ascii="Calibri" w:hAnsi="Calibri"/>
                <w:b w:val="0"/>
                <w:i w:val="0"/>
                <w:color w:val="212121"/>
                <w:sz w:val="19"/>
              </w:rPr>
              <w:t>Partially protective against HPV and other genital co-infections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CD4 count (if HIV-positive)</w:t>
            </w:r>
          </w:p>
        </w:tc>
        <w:tc>
          <w:tcPr>
            <w:tcW w:type="dxa" w:w="1655"/>
            <w:vAlign w:val="top"/>
          </w:tcPr>
          <w:p>
            <w:pPr>
              <w:spacing w:after="40" w:before="0" w:line="259" w:lineRule="auto"/>
            </w:pPr>
            <w:r>
              <w:rPr>
                <w:rFonts w:ascii="Calibri" w:hAnsi="Calibri"/>
                <w:b w:val="0"/>
                <w:i w:val="0"/>
                <w:color w:val="212121"/>
                <w:sz w:val="19"/>
              </w:rPr>
              <w:t>Women living with HIV</w:t>
            </w:r>
          </w:p>
        </w:tc>
        <w:tc>
          <w:tcPr>
            <w:tcW w:type="dxa" w:w="1512"/>
            <w:vAlign w:val="top"/>
          </w:tcPr>
          <w:p>
            <w:pPr>
              <w:spacing w:after="40" w:before="0" w:line="259" w:lineRule="auto"/>
            </w:pPr>
            <w:r>
              <w:rPr>
                <w:rFonts w:ascii="Calibri" w:hAnsi="Calibri"/>
                <w:b w:val="0"/>
                <w:i w:val="0"/>
                <w:color w:val="212121"/>
                <w:sz w:val="19"/>
              </w:rPr>
              <w:t>&gt; 500 cells/µL on suppressive ART</w:t>
            </w:r>
          </w:p>
        </w:tc>
        <w:tc>
          <w:tcPr>
            <w:tcW w:type="dxa" w:w="1512"/>
            <w:vAlign w:val="top"/>
          </w:tcPr>
          <w:p>
            <w:pPr>
              <w:spacing w:after="40" w:before="0" w:line="259" w:lineRule="auto"/>
            </w:pPr>
            <w:r>
              <w:rPr>
                <w:rFonts w:ascii="Calibri" w:hAnsi="Calibri"/>
                <w:b w:val="0"/>
                <w:i w:val="0"/>
                <w:color w:val="212121"/>
                <w:sz w:val="19"/>
              </w:rPr>
              <w:t>&lt; 200 cells/µL</w:t>
            </w:r>
          </w:p>
        </w:tc>
        <w:tc>
          <w:tcPr>
            <w:tcW w:type="dxa" w:w="1468"/>
            <w:vAlign w:val="top"/>
          </w:tcPr>
          <w:p>
            <w:pPr>
              <w:spacing w:after="60" w:line="259" w:lineRule="auto"/>
            </w:pPr>
            <w:r>
              <w:rPr>
                <w:rFonts w:ascii="Calibri" w:hAnsi="Calibri"/>
                <w:b w:val="0"/>
                <w:i w:val="0"/>
                <w:color w:val="212121"/>
                <w:sz w:val="19"/>
              </w:rPr>
              <w:t>Lower CD4 predicts HPV persistence and faster progression</w:t>
            </w:r>
          </w:p>
          <w:p>
            <w:pPr>
              <w:spacing w:after="40" w:line="252" w:lineRule="auto"/>
            </w:pPr>
            <w:hyperlink r:id="rId12">
              <w:r>
                <w:rPr>
                  <w:rFonts w:ascii="Calibri" w:hAnsi="Calibri" w:cs="Calibri"/>
                  <w:sz w:val="18"/>
                  <w:color w:val="1155CC"/>
                  <w:u w:val="single"/>
                </w:rPr>
                <w:t xml:space="preserve">https://www.who.int/news-room/fact-sheets/detail/cervical-cancer</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Fruit &amp; vegetable servings/day</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 5 servings/day</w:t>
            </w:r>
          </w:p>
        </w:tc>
        <w:tc>
          <w:tcPr>
            <w:tcW w:type="dxa" w:w="1512"/>
            <w:vAlign w:val="top"/>
          </w:tcPr>
          <w:p>
            <w:pPr>
              <w:spacing w:after="40" w:before="0" w:line="259" w:lineRule="auto"/>
            </w:pPr>
            <w:r>
              <w:rPr>
                <w:rFonts w:ascii="Calibri" w:hAnsi="Calibri"/>
                <w:b w:val="0"/>
                <w:i w:val="0"/>
                <w:color w:val="212121"/>
                <w:sz w:val="19"/>
              </w:rPr>
              <w:t>&lt; 3 servings/day</w:t>
            </w:r>
          </w:p>
        </w:tc>
        <w:tc>
          <w:tcPr>
            <w:tcW w:type="dxa" w:w="1468"/>
            <w:vAlign w:val="top"/>
          </w:tcPr>
          <w:p>
            <w:pPr>
              <w:spacing w:after="40" w:before="0" w:line="259" w:lineRule="auto"/>
            </w:pPr>
            <w:r>
              <w:rPr>
                <w:rFonts w:ascii="Calibri" w:hAnsi="Calibri"/>
                <w:b w:val="0"/>
                <w:i w:val="0"/>
                <w:color w:val="212121"/>
                <w:sz w:val="19"/>
              </w:rPr>
              <w:t>Folate/antioxidant intake may support HPV clearance and lesion regression</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 Asian cut-off)</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25 (obese, Asian)</w:t>
            </w:r>
          </w:p>
        </w:tc>
        <w:tc>
          <w:tcPr>
            <w:tcW w:type="dxa" w:w="1468"/>
            <w:vAlign w:val="top"/>
          </w:tcPr>
          <w:p>
            <w:pPr>
              <w:spacing w:after="40" w:before="0" w:line="259" w:lineRule="auto"/>
            </w:pPr>
            <w:r>
              <w:rPr>
                <w:rFonts w:ascii="Calibri" w:hAnsi="Calibri"/>
                <w:b w:val="0"/>
                <w:i w:val="0"/>
                <w:color w:val="212121"/>
                <w:sz w:val="19"/>
              </w:rPr>
              <w:t>Obesity reduces screening adequacy and worsens cervical-cancer outcomes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High-risk HPV DNA/mRNA (± 16/18 genotyping)</w:t>
            </w:r>
          </w:p>
        </w:tc>
        <w:tc>
          <w:tcPr>
            <w:tcW w:type="dxa" w:w="892"/>
            <w:vAlign w:val="top"/>
          </w:tcPr>
          <w:p>
            <w:pPr>
              <w:spacing w:after="40" w:before="0" w:line="259" w:lineRule="auto"/>
            </w:pPr>
            <w:r>
              <w:rPr>
                <w:rFonts w:ascii="Calibri" w:hAnsi="Calibri"/>
                <w:b w:val="0"/>
                <w:i w:val="0"/>
                <w:color w:val="212121"/>
                <w:sz w:val="16"/>
              </w:rPr>
              <w:t>HPV test (primary screen)</w:t>
            </w:r>
          </w:p>
        </w:tc>
        <w:tc>
          <w:tcPr>
            <w:tcW w:type="dxa" w:w="950"/>
            <w:vAlign w:val="top"/>
          </w:tcPr>
          <w:p>
            <w:pPr>
              <w:spacing w:after="40" w:before="0" w:line="259" w:lineRule="auto"/>
            </w:pPr>
            <w:r>
              <w:rPr>
                <w:rFonts w:ascii="Calibri" w:hAnsi="Calibri"/>
                <w:b w:val="0"/>
                <w:i w:val="0"/>
                <w:color w:val="212121"/>
                <w:sz w:val="16"/>
              </w:rPr>
              <w:t>Negative for high-risk HPV</w:t>
            </w:r>
          </w:p>
        </w:tc>
        <w:tc>
          <w:tcPr>
            <w:tcW w:type="dxa" w:w="950"/>
            <w:vAlign w:val="top"/>
          </w:tcPr>
          <w:p>
            <w:pPr>
              <w:spacing w:after="40" w:before="0" w:line="259" w:lineRule="auto"/>
            </w:pPr>
            <w:r>
              <w:rPr>
                <w:rFonts w:ascii="Calibri" w:hAnsi="Calibri"/>
                <w:b w:val="0"/>
                <w:i w:val="0"/>
                <w:color w:val="212121"/>
                <w:sz w:val="16"/>
              </w:rPr>
              <w:t>Positive for high-risk HPV (16/18 highest risk)</w:t>
            </w:r>
          </w:p>
        </w:tc>
        <w:tc>
          <w:tcPr>
            <w:tcW w:type="dxa" w:w="1036"/>
            <w:vAlign w:val="top"/>
          </w:tcPr>
          <w:p>
            <w:pPr>
              <w:spacing w:after="40" w:before="0" w:line="259" w:lineRule="auto"/>
            </w:pPr>
            <w:r>
              <w:rPr>
                <w:rFonts w:ascii="Calibri" w:hAnsi="Calibri"/>
                <w:b w:val="0"/>
                <w:i w:val="0"/>
                <w:color w:val="212121"/>
                <w:sz w:val="16"/>
              </w:rPr>
              <w:t>Most sensitive primary screen; WHO-preferred; identifies women needing triage/colposcopy</w:t>
            </w:r>
          </w:p>
        </w:tc>
        <w:tc>
          <w:tcPr>
            <w:tcW w:type="dxa" w:w="1036"/>
            <w:vAlign w:val="top"/>
          </w:tcPr>
          <w:p>
            <w:pPr>
              <w:spacing w:after="40" w:before="0" w:line="259" w:lineRule="auto"/>
            </w:pPr>
            <w:r>
              <w:rPr>
                <w:rFonts w:ascii="Calibri" w:hAnsi="Calibri"/>
                <w:b w:val="0"/>
                <w:i w:val="0"/>
                <w:color w:val="212121"/>
                <w:sz w:val="16"/>
              </w:rPr>
              <w:t>Women ≥ 30 (≥ 25 if HIV+), unscreened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Primary screen</w:t>
            </w:r>
          </w:p>
        </w:tc>
        <w:tc>
          <w:tcPr>
            <w:tcW w:type="dxa" w:w="720"/>
            <w:vAlign w:val="top"/>
          </w:tcPr>
          <w:p>
            <w:pPr>
              <w:spacing w:after="40" w:before="0" w:line="259" w:lineRule="auto"/>
            </w:pPr>
            <w:r>
              <w:rPr>
                <w:rFonts w:ascii="Calibri" w:hAnsi="Calibri"/>
                <w:b w:val="0"/>
                <w:i w:val="0"/>
                <w:color w:val="212121"/>
                <w:sz w:val="16"/>
              </w:rPr>
              <w:t>Sensitivity for CIN2+ ~84–97%; higher than cytology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Cervical cytology (Bethesda category)</w:t>
            </w:r>
          </w:p>
        </w:tc>
        <w:tc>
          <w:tcPr>
            <w:tcW w:type="dxa" w:w="892"/>
            <w:vAlign w:val="top"/>
          </w:tcPr>
          <w:p>
            <w:pPr>
              <w:spacing w:after="40" w:before="0" w:line="259" w:lineRule="auto"/>
            </w:pPr>
            <w:r>
              <w:rPr>
                <w:rFonts w:ascii="Calibri" w:hAnsi="Calibri"/>
                <w:b w:val="0"/>
                <w:i w:val="0"/>
                <w:color w:val="212121"/>
                <w:sz w:val="16"/>
              </w:rPr>
              <w:t>Pap smear / liquid-based cytology</w:t>
            </w:r>
          </w:p>
        </w:tc>
        <w:tc>
          <w:tcPr>
            <w:tcW w:type="dxa" w:w="950"/>
            <w:vAlign w:val="top"/>
          </w:tcPr>
          <w:p>
            <w:pPr>
              <w:spacing w:after="40" w:before="0" w:line="259" w:lineRule="auto"/>
            </w:pPr>
            <w:r>
              <w:rPr>
                <w:rFonts w:ascii="Calibri" w:hAnsi="Calibri"/>
                <w:b w:val="0"/>
                <w:i w:val="0"/>
                <w:color w:val="212121"/>
                <w:sz w:val="16"/>
              </w:rPr>
              <w:t>NILM</w:t>
            </w:r>
          </w:p>
        </w:tc>
        <w:tc>
          <w:tcPr>
            <w:tcW w:type="dxa" w:w="950"/>
            <w:vAlign w:val="top"/>
          </w:tcPr>
          <w:p>
            <w:pPr>
              <w:spacing w:after="40" w:before="0" w:line="259" w:lineRule="auto"/>
            </w:pPr>
            <w:r>
              <w:rPr>
                <w:rFonts w:ascii="Calibri" w:hAnsi="Calibri"/>
                <w:b w:val="0"/>
                <w:i w:val="0"/>
                <w:color w:val="212121"/>
                <w:sz w:val="16"/>
              </w:rPr>
              <w:t>ASC-US, LSIL, ASC-H, HSIL, AGC</w:t>
            </w:r>
          </w:p>
        </w:tc>
        <w:tc>
          <w:tcPr>
            <w:tcW w:type="dxa" w:w="1036"/>
            <w:vAlign w:val="top"/>
          </w:tcPr>
          <w:p>
            <w:pPr>
              <w:spacing w:after="40" w:before="0" w:line="259" w:lineRule="auto"/>
            </w:pPr>
            <w:r>
              <w:rPr>
                <w:rFonts w:ascii="Calibri" w:hAnsi="Calibri"/>
                <w:b w:val="0"/>
                <w:i w:val="0"/>
                <w:color w:val="212121"/>
                <w:sz w:val="16"/>
              </w:rPr>
              <w:t>Detects abnormal cells; triages HPV-positive women</w:t>
            </w:r>
          </w:p>
        </w:tc>
        <w:tc>
          <w:tcPr>
            <w:tcW w:type="dxa" w:w="1036"/>
            <w:vAlign w:val="top"/>
          </w:tcPr>
          <w:p>
            <w:pPr>
              <w:spacing w:after="40" w:before="0" w:line="259" w:lineRule="auto"/>
            </w:pPr>
            <w:r>
              <w:rPr>
                <w:rFonts w:ascii="Calibri" w:hAnsi="Calibri"/>
                <w:b w:val="0"/>
                <w:i w:val="0"/>
                <w:color w:val="212121"/>
                <w:sz w:val="16"/>
              </w:rPr>
              <w:t>Screened women, HPV-positive women (triage)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triage</w:t>
            </w:r>
          </w:p>
        </w:tc>
        <w:tc>
          <w:tcPr>
            <w:tcW w:type="dxa" w:w="720"/>
            <w:vAlign w:val="top"/>
          </w:tcPr>
          <w:p>
            <w:pPr>
              <w:spacing w:after="40" w:before="0" w:line="259" w:lineRule="auto"/>
            </w:pPr>
            <w:r>
              <w:rPr>
                <w:rFonts w:ascii="Calibri" w:hAnsi="Calibri"/>
                <w:b w:val="0"/>
                <w:i w:val="0"/>
                <w:color w:val="212121"/>
                <w:sz w:val="16"/>
              </w:rPr>
              <w:t>Single-test sensitivity for high-grade lesions ~55–80%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Visual</w:t>
            </w:r>
          </w:p>
        </w:tc>
        <w:tc>
          <w:tcPr>
            <w:tcW w:type="dxa" w:w="1036"/>
            <w:vAlign w:val="top"/>
          </w:tcPr>
          <w:p>
            <w:pPr>
              <w:spacing w:after="40" w:before="0" w:line="259" w:lineRule="auto"/>
            </w:pPr>
            <w:r>
              <w:rPr>
                <w:rFonts w:ascii="Calibri" w:hAnsi="Calibri"/>
                <w:b w:val="0"/>
                <w:i w:val="0"/>
                <w:color w:val="212121"/>
                <w:sz w:val="16"/>
              </w:rPr>
              <w:t>Acetowhite change on the cervix</w:t>
            </w:r>
          </w:p>
        </w:tc>
        <w:tc>
          <w:tcPr>
            <w:tcW w:type="dxa" w:w="892"/>
            <w:vAlign w:val="top"/>
          </w:tcPr>
          <w:p>
            <w:pPr>
              <w:spacing w:after="40" w:before="0" w:line="259" w:lineRule="auto"/>
            </w:pPr>
            <w:r>
              <w:rPr>
                <w:rFonts w:ascii="Calibri" w:hAnsi="Calibri"/>
                <w:b w:val="0"/>
                <w:i w:val="0"/>
                <w:color w:val="212121"/>
                <w:sz w:val="16"/>
              </w:rPr>
              <w:t>Visual inspection with acetic acid (VIA)</w:t>
            </w:r>
          </w:p>
        </w:tc>
        <w:tc>
          <w:tcPr>
            <w:tcW w:type="dxa" w:w="950"/>
            <w:vAlign w:val="top"/>
          </w:tcPr>
          <w:p>
            <w:pPr>
              <w:spacing w:after="40" w:before="0" w:line="259" w:lineRule="auto"/>
            </w:pPr>
            <w:r>
              <w:rPr>
                <w:rFonts w:ascii="Calibri" w:hAnsi="Calibri"/>
                <w:b w:val="0"/>
                <w:i w:val="0"/>
                <w:color w:val="212121"/>
                <w:sz w:val="16"/>
              </w:rPr>
              <w:t>No acetowhite lesion</w:t>
            </w:r>
          </w:p>
        </w:tc>
        <w:tc>
          <w:tcPr>
            <w:tcW w:type="dxa" w:w="950"/>
            <w:vAlign w:val="top"/>
          </w:tcPr>
          <w:p>
            <w:pPr>
              <w:spacing w:after="40" w:before="0" w:line="259" w:lineRule="auto"/>
            </w:pPr>
            <w:r>
              <w:rPr>
                <w:rFonts w:ascii="Calibri" w:hAnsi="Calibri"/>
                <w:b w:val="0"/>
                <w:i w:val="0"/>
                <w:color w:val="212121"/>
                <w:sz w:val="16"/>
              </w:rPr>
              <w:t>Dense acetowhite area at the transformation zone</w:t>
            </w:r>
          </w:p>
        </w:tc>
        <w:tc>
          <w:tcPr>
            <w:tcW w:type="dxa" w:w="1036"/>
            <w:vAlign w:val="top"/>
          </w:tcPr>
          <w:p>
            <w:pPr>
              <w:spacing w:after="40" w:before="0" w:line="259" w:lineRule="auto"/>
            </w:pPr>
            <w:r>
              <w:rPr>
                <w:rFonts w:ascii="Calibri" w:hAnsi="Calibri"/>
                <w:b w:val="0"/>
                <w:i w:val="0"/>
                <w:color w:val="212121"/>
                <w:sz w:val="16"/>
              </w:rPr>
              <w:t>Low-cost see-and-treat screen for low-resource settings</w:t>
            </w:r>
          </w:p>
        </w:tc>
        <w:tc>
          <w:tcPr>
            <w:tcW w:type="dxa" w:w="1036"/>
            <w:vAlign w:val="top"/>
          </w:tcPr>
          <w:p>
            <w:pPr>
              <w:spacing w:after="40" w:before="0" w:line="259" w:lineRule="auto"/>
            </w:pPr>
            <w:r>
              <w:rPr>
                <w:rFonts w:ascii="Calibri" w:hAnsi="Calibri"/>
                <w:b w:val="0"/>
                <w:i w:val="0"/>
                <w:color w:val="212121"/>
                <w:sz w:val="16"/>
              </w:rPr>
              <w:t>Rural / low-resource Indian screening programmes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(low-resource)</w:t>
            </w:r>
          </w:p>
        </w:tc>
        <w:tc>
          <w:tcPr>
            <w:tcW w:type="dxa" w:w="720"/>
            <w:vAlign w:val="top"/>
          </w:tcPr>
          <w:p>
            <w:pPr>
              <w:spacing w:after="40" w:before="0" w:line="259" w:lineRule="auto"/>
            </w:pPr>
            <w:r>
              <w:rPr>
                <w:rFonts w:ascii="Calibri" w:hAnsi="Calibri"/>
                <w:b w:val="0"/>
                <w:i w:val="0"/>
                <w:color w:val="212121"/>
                <w:sz w:val="16"/>
              </w:rPr>
              <w:t>Sensitivity for CIN3+ ~60%, specificity ~93%</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Colposcopy</w:t>
            </w:r>
          </w:p>
        </w:tc>
        <w:tc>
          <w:tcPr>
            <w:tcW w:type="dxa" w:w="1036"/>
            <w:vAlign w:val="top"/>
          </w:tcPr>
          <w:p>
            <w:pPr>
              <w:spacing w:after="40" w:before="0" w:line="259" w:lineRule="auto"/>
            </w:pPr>
            <w:r>
              <w:rPr>
                <w:rFonts w:ascii="Calibri" w:hAnsi="Calibri"/>
                <w:b w:val="0"/>
                <w:i w:val="0"/>
                <w:color w:val="212121"/>
                <w:sz w:val="16"/>
              </w:rPr>
              <w:t>Acetowhite epithelium, punctation, mosaicism, atypical vessels</w:t>
            </w:r>
          </w:p>
        </w:tc>
        <w:tc>
          <w:tcPr>
            <w:tcW w:type="dxa" w:w="892"/>
            <w:vAlign w:val="top"/>
          </w:tcPr>
          <w:p>
            <w:pPr>
              <w:spacing w:after="40" w:before="0" w:line="259" w:lineRule="auto"/>
            </w:pPr>
            <w:r>
              <w:rPr>
                <w:rFonts w:ascii="Calibri" w:hAnsi="Calibri"/>
                <w:b w:val="0"/>
                <w:i w:val="0"/>
                <w:color w:val="212121"/>
                <w:sz w:val="16"/>
              </w:rPr>
              <w:t>Colposcopy (acetic acid + Lugol's iodine/Schiller)</w:t>
            </w:r>
          </w:p>
        </w:tc>
        <w:tc>
          <w:tcPr>
            <w:tcW w:type="dxa" w:w="950"/>
            <w:vAlign w:val="top"/>
          </w:tcPr>
          <w:p>
            <w:pPr>
              <w:spacing w:after="40" w:before="0" w:line="259" w:lineRule="auto"/>
            </w:pPr>
            <w:r>
              <w:rPr>
                <w:rFonts w:ascii="Calibri" w:hAnsi="Calibri"/>
                <w:b w:val="0"/>
                <w:i w:val="0"/>
                <w:color w:val="212121"/>
                <w:sz w:val="16"/>
              </w:rPr>
              <w:t>Normal transformation zone; iodine uptake</w:t>
            </w:r>
          </w:p>
        </w:tc>
        <w:tc>
          <w:tcPr>
            <w:tcW w:type="dxa" w:w="950"/>
            <w:vAlign w:val="top"/>
          </w:tcPr>
          <w:p>
            <w:pPr>
              <w:spacing w:after="40" w:before="0" w:line="259" w:lineRule="auto"/>
            </w:pPr>
            <w:r>
              <w:rPr>
                <w:rFonts w:ascii="Calibri" w:hAnsi="Calibri"/>
                <w:b w:val="0"/>
                <w:i w:val="0"/>
                <w:color w:val="212121"/>
                <w:sz w:val="16"/>
              </w:rPr>
              <w:t>Acetowhite / iodine-negative area, abnormal vessels</w:t>
            </w:r>
          </w:p>
        </w:tc>
        <w:tc>
          <w:tcPr>
            <w:tcW w:type="dxa" w:w="1036"/>
            <w:vAlign w:val="top"/>
          </w:tcPr>
          <w:p>
            <w:pPr>
              <w:spacing w:after="40" w:before="0" w:line="259" w:lineRule="auto"/>
            </w:pPr>
            <w:r>
              <w:rPr>
                <w:rFonts w:ascii="Calibri" w:hAnsi="Calibri"/>
                <w:b w:val="0"/>
                <w:i w:val="0"/>
                <w:color w:val="212121"/>
                <w:sz w:val="16"/>
              </w:rPr>
              <w:t>Localises the lesion and directs biopsy</w:t>
            </w:r>
          </w:p>
        </w:tc>
        <w:tc>
          <w:tcPr>
            <w:tcW w:type="dxa" w:w="1036"/>
            <w:vAlign w:val="top"/>
          </w:tcPr>
          <w:p>
            <w:pPr>
              <w:spacing w:after="40" w:before="0" w:line="259" w:lineRule="auto"/>
            </w:pPr>
            <w:r>
              <w:rPr>
                <w:rFonts w:ascii="Calibri" w:hAnsi="Calibri"/>
                <w:b w:val="0"/>
                <w:i w:val="0"/>
                <w:color w:val="212121"/>
                <w:sz w:val="16"/>
              </w:rPr>
              <w:t>Women with abnormal cytology / positive HPV or VIA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triage</w:t>
            </w:r>
          </w:p>
        </w:tc>
        <w:tc>
          <w:tcPr>
            <w:tcW w:type="dxa" w:w="720"/>
            <w:vAlign w:val="top"/>
          </w:tcPr>
          <w:p>
            <w:pPr>
              <w:spacing w:after="40" w:before="0" w:line="259" w:lineRule="auto"/>
            </w:pPr>
            <w:r>
              <w:rPr>
                <w:rFonts w:ascii="Calibri" w:hAnsi="Calibri"/>
                <w:b w:val="0"/>
                <w:i w:val="0"/>
                <w:color w:val="212121"/>
                <w:sz w:val="16"/>
              </w:rPr>
              <w:t>Adequacy depends on visualising the whole transformation zone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Depth of epithelial atypia (CIN grade)</w:t>
            </w:r>
          </w:p>
        </w:tc>
        <w:tc>
          <w:tcPr>
            <w:tcW w:type="dxa" w:w="892"/>
            <w:vAlign w:val="top"/>
          </w:tcPr>
          <w:p>
            <w:pPr>
              <w:spacing w:after="40" w:before="0" w:line="259" w:lineRule="auto"/>
            </w:pPr>
            <w:r>
              <w:rPr>
                <w:rFonts w:ascii="Calibri" w:hAnsi="Calibri"/>
                <w:b w:val="0"/>
                <w:i w:val="0"/>
                <w:color w:val="212121"/>
                <w:sz w:val="16"/>
              </w:rPr>
              <w:t>Colposcopically directed biopsy ± ECC</w:t>
            </w:r>
          </w:p>
        </w:tc>
        <w:tc>
          <w:tcPr>
            <w:tcW w:type="dxa" w:w="950"/>
            <w:vAlign w:val="top"/>
          </w:tcPr>
          <w:p>
            <w:pPr>
              <w:spacing w:after="40" w:before="0" w:line="259" w:lineRule="auto"/>
            </w:pPr>
            <w:r>
              <w:rPr>
                <w:rFonts w:ascii="Calibri" w:hAnsi="Calibri"/>
                <w:b w:val="0"/>
                <w:i w:val="0"/>
                <w:color w:val="212121"/>
                <w:sz w:val="16"/>
              </w:rPr>
              <w:t>No dysplasia (negative)</w:t>
            </w:r>
          </w:p>
        </w:tc>
        <w:tc>
          <w:tcPr>
            <w:tcW w:type="dxa" w:w="950"/>
            <w:vAlign w:val="top"/>
          </w:tcPr>
          <w:p>
            <w:pPr>
              <w:spacing w:after="40" w:before="0" w:line="259" w:lineRule="auto"/>
            </w:pPr>
            <w:r>
              <w:rPr>
                <w:rFonts w:ascii="Calibri" w:hAnsi="Calibri"/>
                <w:b w:val="0"/>
                <w:i w:val="0"/>
                <w:color w:val="212121"/>
                <w:sz w:val="16"/>
              </w:rPr>
              <w:t>CIN 1 (LSIL) / CIN 2–3 (HSIL)</w:t>
            </w:r>
          </w:p>
        </w:tc>
        <w:tc>
          <w:tcPr>
            <w:tcW w:type="dxa" w:w="1036"/>
            <w:vAlign w:val="top"/>
          </w:tcPr>
          <w:p>
            <w:pPr>
              <w:spacing w:after="40" w:before="0" w:line="259" w:lineRule="auto"/>
            </w:pPr>
            <w:r>
              <w:rPr>
                <w:rFonts w:ascii="Calibri" w:hAnsi="Calibri"/>
                <w:b w:val="0"/>
                <w:i w:val="0"/>
                <w:color w:val="212121"/>
                <w:sz w:val="16"/>
              </w:rPr>
              <w:t>Histological gold standard that grades and confirms dysplasia</w:t>
            </w:r>
          </w:p>
        </w:tc>
        <w:tc>
          <w:tcPr>
            <w:tcW w:type="dxa" w:w="1036"/>
            <w:vAlign w:val="top"/>
          </w:tcPr>
          <w:p>
            <w:pPr>
              <w:spacing w:after="40" w:before="0" w:line="259" w:lineRule="auto"/>
            </w:pPr>
            <w:r>
              <w:rPr>
                <w:rFonts w:ascii="Calibri" w:hAnsi="Calibri"/>
                <w:b w:val="0"/>
                <w:i w:val="0"/>
                <w:color w:val="212121"/>
                <w:sz w:val="16"/>
              </w:rPr>
              <w:t>Women with abnormal colposcopy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Endocervical curettage samples the canal if the lesion extends inward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Immunohistochemistry</w:t>
            </w:r>
          </w:p>
        </w:tc>
        <w:tc>
          <w:tcPr>
            <w:tcW w:type="dxa" w:w="1036"/>
            <w:vAlign w:val="top"/>
          </w:tcPr>
          <w:p>
            <w:pPr>
              <w:spacing w:after="40" w:before="0" w:line="259" w:lineRule="auto"/>
            </w:pPr>
            <w:r>
              <w:rPr>
                <w:rFonts w:ascii="Calibri" w:hAnsi="Calibri"/>
                <w:b w:val="0"/>
                <w:i w:val="0"/>
                <w:color w:val="212121"/>
                <w:sz w:val="16"/>
              </w:rPr>
              <w:t>p16^INK4a / Ki-67 expression</w:t>
            </w:r>
          </w:p>
        </w:tc>
        <w:tc>
          <w:tcPr>
            <w:tcW w:type="dxa" w:w="892"/>
            <w:vAlign w:val="top"/>
          </w:tcPr>
          <w:p>
            <w:pPr>
              <w:spacing w:after="40" w:before="0" w:line="259" w:lineRule="auto"/>
            </w:pPr>
            <w:r>
              <w:rPr>
                <w:rFonts w:ascii="Calibri" w:hAnsi="Calibri"/>
                <w:b w:val="0"/>
                <w:i w:val="0"/>
                <w:color w:val="212121"/>
                <w:sz w:val="16"/>
              </w:rPr>
              <w:t>p16/Ki-67 dual-stain</w:t>
            </w:r>
          </w:p>
        </w:tc>
        <w:tc>
          <w:tcPr>
            <w:tcW w:type="dxa" w:w="950"/>
            <w:vAlign w:val="top"/>
          </w:tcPr>
          <w:p>
            <w:pPr>
              <w:spacing w:after="40" w:before="0" w:line="259" w:lineRule="auto"/>
            </w:pPr>
            <w:r>
              <w:rPr>
                <w:rFonts w:ascii="Calibri" w:hAnsi="Calibri"/>
                <w:b w:val="0"/>
                <w:i w:val="0"/>
                <w:color w:val="212121"/>
                <w:sz w:val="16"/>
              </w:rPr>
              <w:t>Negative / patchy p16</w:t>
            </w:r>
          </w:p>
        </w:tc>
        <w:tc>
          <w:tcPr>
            <w:tcW w:type="dxa" w:w="950"/>
            <w:vAlign w:val="top"/>
          </w:tcPr>
          <w:p>
            <w:pPr>
              <w:spacing w:after="40" w:before="0" w:line="259" w:lineRule="auto"/>
            </w:pPr>
            <w:r>
              <w:rPr>
                <w:rFonts w:ascii="Calibri" w:hAnsi="Calibri"/>
                <w:b w:val="0"/>
                <w:i w:val="0"/>
                <w:color w:val="212121"/>
                <w:sz w:val="16"/>
              </w:rPr>
              <w:t>Block-positive p16 with high Ki-67</w:t>
            </w:r>
          </w:p>
        </w:tc>
        <w:tc>
          <w:tcPr>
            <w:tcW w:type="dxa" w:w="1036"/>
            <w:vAlign w:val="top"/>
          </w:tcPr>
          <w:p>
            <w:pPr>
              <w:spacing w:after="40" w:before="0" w:line="259" w:lineRule="auto"/>
            </w:pPr>
            <w:r>
              <w:rPr>
                <w:rFonts w:ascii="Calibri" w:hAnsi="Calibri"/>
                <w:b w:val="0"/>
                <w:i w:val="0"/>
                <w:color w:val="212121"/>
                <w:sz w:val="16"/>
              </w:rPr>
              <w:t>Confirms transforming high-risk HPV infection; distinguishes HSIL from mimics and stratifies CIN2</w:t>
            </w:r>
          </w:p>
        </w:tc>
        <w:tc>
          <w:tcPr>
            <w:tcW w:type="dxa" w:w="1036"/>
            <w:vAlign w:val="top"/>
          </w:tcPr>
          <w:p>
            <w:pPr>
              <w:spacing w:after="40" w:before="0" w:line="259" w:lineRule="auto"/>
            </w:pPr>
            <w:r>
              <w:rPr>
                <w:rFonts w:ascii="Calibri" w:hAnsi="Calibri"/>
                <w:b w:val="0"/>
                <w:i w:val="0"/>
                <w:color w:val="212121"/>
                <w:sz w:val="16"/>
              </w:rPr>
              <w:t>Equivocal CIN2, ASC-H, discordant results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Recommended by LAST criteria for equivocal high-grade lesions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HIV status / CD4 count</w:t>
            </w:r>
          </w:p>
        </w:tc>
        <w:tc>
          <w:tcPr>
            <w:tcW w:type="dxa" w:w="892"/>
            <w:vAlign w:val="top"/>
          </w:tcPr>
          <w:p>
            <w:pPr>
              <w:spacing w:after="40" w:before="0" w:line="259" w:lineRule="auto"/>
            </w:pPr>
            <w:r>
              <w:rPr>
                <w:rFonts w:ascii="Calibri" w:hAnsi="Calibri"/>
                <w:b w:val="0"/>
                <w:i w:val="0"/>
                <w:color w:val="212121"/>
                <w:sz w:val="16"/>
              </w:rPr>
              <w:t>HIV test (± CD4)</w:t>
            </w:r>
          </w:p>
        </w:tc>
        <w:tc>
          <w:tcPr>
            <w:tcW w:type="dxa" w:w="950"/>
            <w:vAlign w:val="top"/>
          </w:tcPr>
          <w:p>
            <w:pPr>
              <w:spacing w:after="40" w:before="0" w:line="259" w:lineRule="auto"/>
            </w:pPr>
            <w:r>
              <w:rPr>
                <w:rFonts w:ascii="Calibri" w:hAnsi="Calibri"/>
                <w:b w:val="0"/>
                <w:i w:val="0"/>
                <w:color w:val="212121"/>
                <w:sz w:val="16"/>
              </w:rPr>
              <w:t>HIV-negative</w:t>
            </w:r>
          </w:p>
        </w:tc>
        <w:tc>
          <w:tcPr>
            <w:tcW w:type="dxa" w:w="950"/>
            <w:vAlign w:val="top"/>
          </w:tcPr>
          <w:p>
            <w:pPr>
              <w:spacing w:after="40" w:before="0" w:line="259" w:lineRule="auto"/>
            </w:pPr>
            <w:r>
              <w:rPr>
                <w:rFonts w:ascii="Calibri" w:hAnsi="Calibri"/>
                <w:b w:val="0"/>
                <w:i w:val="0"/>
                <w:color w:val="212121"/>
                <w:sz w:val="16"/>
              </w:rPr>
              <w:t>HIV-positive (esp. CD4 &lt; 200)</w:t>
            </w:r>
          </w:p>
        </w:tc>
        <w:tc>
          <w:tcPr>
            <w:tcW w:type="dxa" w:w="1036"/>
            <w:vAlign w:val="top"/>
          </w:tcPr>
          <w:p>
            <w:pPr>
              <w:spacing w:after="40" w:before="0" w:line="259" w:lineRule="auto"/>
            </w:pPr>
            <w:r>
              <w:rPr>
                <w:rFonts w:ascii="Calibri" w:hAnsi="Calibri"/>
                <w:b w:val="0"/>
                <w:i w:val="0"/>
                <w:color w:val="212121"/>
                <w:sz w:val="16"/>
              </w:rPr>
              <w:t>Immunosuppression greatly raises persistence and progression; alters screening frequency</w:t>
            </w:r>
          </w:p>
        </w:tc>
        <w:tc>
          <w:tcPr>
            <w:tcW w:type="dxa" w:w="1036"/>
            <w:vAlign w:val="top"/>
          </w:tcPr>
          <w:p>
            <w:pPr>
              <w:spacing w:after="40" w:before="0" w:line="259" w:lineRule="auto"/>
            </w:pPr>
            <w:r>
              <w:rPr>
                <w:rFonts w:ascii="Calibri" w:hAnsi="Calibri"/>
                <w:b w:val="0"/>
                <w:i w:val="0"/>
                <w:color w:val="212121"/>
                <w:sz w:val="16"/>
              </w:rPr>
              <w:t>All women with dysplasia; higher-risk groups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context</w:t>
            </w:r>
          </w:p>
        </w:tc>
        <w:tc>
          <w:tcPr>
            <w:tcW w:type="dxa" w:w="720"/>
            <w:vAlign w:val="top"/>
          </w:tcPr>
          <w:p>
            <w:pPr>
              <w:spacing w:after="40" w:before="0" w:line="259" w:lineRule="auto"/>
            </w:pPr>
            <w:r>
              <w:rPr>
                <w:rFonts w:ascii="Calibri" w:hAnsi="Calibri"/>
                <w:b w:val="0"/>
                <w:i w:val="0"/>
                <w:color w:val="212121"/>
                <w:sz w:val="16"/>
              </w:rPr>
              <w:t>HIV-positive women need earlier, more frequent screening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Screening &amp; vaccination history</w:t>
            </w:r>
          </w:p>
        </w:tc>
        <w:tc>
          <w:tcPr>
            <w:tcW w:type="dxa" w:w="979"/>
            <w:vAlign w:val="top"/>
          </w:tcPr>
          <w:p>
            <w:pPr>
              <w:spacing w:after="40" w:before="0" w:line="259" w:lineRule="auto"/>
            </w:pPr>
            <w:r>
              <w:rPr>
                <w:rFonts w:ascii="Calibri" w:hAnsi="Calibri"/>
                <w:b w:val="0"/>
                <w:i w:val="0"/>
                <w:color w:val="212121"/>
                <w:sz w:val="16"/>
              </w:rPr>
              <w:t>Prior Pap/HPV/VIA results and HPV-vaccination status</w:t>
            </w:r>
          </w:p>
        </w:tc>
        <w:tc>
          <w:tcPr>
            <w:tcW w:type="dxa" w:w="950"/>
            <w:vAlign w:val="top"/>
          </w:tcPr>
          <w:p>
            <w:pPr>
              <w:spacing w:after="40" w:before="0" w:line="259" w:lineRule="auto"/>
            </w:pPr>
            <w:r>
              <w:rPr>
                <w:rFonts w:ascii="Calibri" w:hAnsi="Calibri"/>
                <w:b w:val="0"/>
                <w:i w:val="0"/>
                <w:color w:val="212121"/>
                <w:sz w:val="16"/>
              </w:rPr>
              <w:t>Up-to-date screening; HPV-vaccinated</w:t>
            </w:r>
          </w:p>
        </w:tc>
        <w:tc>
          <w:tcPr>
            <w:tcW w:type="dxa" w:w="950"/>
            <w:vAlign w:val="top"/>
          </w:tcPr>
          <w:p>
            <w:pPr>
              <w:spacing w:after="40" w:before="0" w:line="259" w:lineRule="auto"/>
            </w:pPr>
            <w:r>
              <w:rPr>
                <w:rFonts w:ascii="Calibri" w:hAnsi="Calibri"/>
                <w:b w:val="0"/>
                <w:i w:val="0"/>
                <w:color w:val="212121"/>
                <w:sz w:val="16"/>
              </w:rPr>
              <w:t>Never screened / overdue; unvaccinated</w:t>
            </w:r>
          </w:p>
        </w:tc>
        <w:tc>
          <w:tcPr>
            <w:tcW w:type="dxa" w:w="1036"/>
            <w:vAlign w:val="top"/>
          </w:tcPr>
          <w:p>
            <w:pPr>
              <w:spacing w:after="40" w:before="0" w:line="259" w:lineRule="auto"/>
            </w:pPr>
            <w:r>
              <w:rPr>
                <w:rFonts w:ascii="Calibri" w:hAnsi="Calibri"/>
                <w:b w:val="0"/>
                <w:i w:val="0"/>
                <w:color w:val="212121"/>
                <w:sz w:val="16"/>
              </w:rPr>
              <w:t>Identifies the dominant, modifiable driver of cervical-cancer risk in India</w:t>
            </w:r>
          </w:p>
        </w:tc>
        <w:tc>
          <w:tcPr>
            <w:tcW w:type="dxa" w:w="1036"/>
            <w:vAlign w:val="top"/>
          </w:tcPr>
          <w:p>
            <w:pPr>
              <w:spacing w:after="40" w:before="0" w:line="259" w:lineRule="auto"/>
            </w:pPr>
            <w:r>
              <w:rPr>
                <w:rFonts w:ascii="Calibri" w:hAnsi="Calibri"/>
                <w:b w:val="0"/>
                <w:i w:val="0"/>
                <w:color w:val="212121"/>
                <w:sz w:val="16"/>
              </w:rPr>
              <w:t>Unscreened women, rural women, older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Most Indian women have never been screened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Sexual &amp; reproductive history</w:t>
            </w:r>
          </w:p>
        </w:tc>
        <w:tc>
          <w:tcPr>
            <w:tcW w:type="dxa" w:w="979"/>
            <w:vAlign w:val="top"/>
          </w:tcPr>
          <w:p>
            <w:pPr>
              <w:spacing w:after="40" w:before="0" w:line="259" w:lineRule="auto"/>
            </w:pPr>
            <w:r>
              <w:rPr>
                <w:rFonts w:ascii="Calibri" w:hAnsi="Calibri"/>
                <w:b w:val="0"/>
                <w:i w:val="0"/>
                <w:color w:val="212121"/>
                <w:sz w:val="16"/>
              </w:rPr>
              <w:t>Age at first intercourse, number of partners, parity, age at first pregnancy</w:t>
            </w:r>
          </w:p>
        </w:tc>
        <w:tc>
          <w:tcPr>
            <w:tcW w:type="dxa" w:w="950"/>
            <w:vAlign w:val="top"/>
          </w:tcPr>
          <w:p>
            <w:pPr>
              <w:spacing w:after="40" w:before="0" w:line="259" w:lineRule="auto"/>
            </w:pPr>
            <w:r>
              <w:rPr>
                <w:rFonts w:ascii="Calibri" w:hAnsi="Calibri"/>
                <w:b w:val="0"/>
                <w:i w:val="0"/>
                <w:color w:val="212121"/>
                <w:sz w:val="16"/>
              </w:rPr>
              <w:t>Later debut, few partners, low parity</w:t>
            </w:r>
          </w:p>
        </w:tc>
        <w:tc>
          <w:tcPr>
            <w:tcW w:type="dxa" w:w="950"/>
            <w:vAlign w:val="top"/>
          </w:tcPr>
          <w:p>
            <w:pPr>
              <w:spacing w:after="40" w:before="0" w:line="259" w:lineRule="auto"/>
            </w:pPr>
            <w:r>
              <w:rPr>
                <w:rFonts w:ascii="Calibri" w:hAnsi="Calibri"/>
                <w:b w:val="0"/>
                <w:i w:val="0"/>
                <w:color w:val="212121"/>
                <w:sz w:val="16"/>
              </w:rPr>
              <w:t>Early debut, multiple partners, high parity, first pregnancy &lt; 20</w:t>
            </w:r>
          </w:p>
        </w:tc>
        <w:tc>
          <w:tcPr>
            <w:tcW w:type="dxa" w:w="1036"/>
            <w:vAlign w:val="top"/>
          </w:tcPr>
          <w:p>
            <w:pPr>
              <w:spacing w:after="40" w:before="0" w:line="259" w:lineRule="auto"/>
            </w:pPr>
            <w:r>
              <w:rPr>
                <w:rFonts w:ascii="Calibri" w:hAnsi="Calibri"/>
                <w:b w:val="0"/>
                <w:i w:val="0"/>
                <w:color w:val="212121"/>
                <w:sz w:val="16"/>
              </w:rPr>
              <w:t>Captures HPV-exposure and cofactor risk</w:t>
            </w:r>
          </w:p>
        </w:tc>
        <w:tc>
          <w:tcPr>
            <w:tcW w:type="dxa" w:w="1036"/>
            <w:vAlign w:val="top"/>
          </w:tcPr>
          <w:p>
            <w:pPr>
              <w:spacing w:after="40" w:before="0" w:line="259" w:lineRule="auto"/>
            </w:pPr>
            <w:r>
              <w:rPr>
                <w:rFonts w:ascii="Calibri" w:hAnsi="Calibri"/>
                <w:b w:val="0"/>
                <w:i w:val="0"/>
                <w:color w:val="212121"/>
                <w:sz w:val="16"/>
              </w:rPr>
              <w:t>Young sexually active women, grand-multiparous women</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Enquire sensitively and non-judgementally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Tobacco, contraceptive &amp; co-infection history</w:t>
            </w:r>
          </w:p>
        </w:tc>
        <w:tc>
          <w:tcPr>
            <w:tcW w:type="dxa" w:w="979"/>
            <w:vAlign w:val="top"/>
          </w:tcPr>
          <w:p>
            <w:pPr>
              <w:spacing w:after="40" w:before="0" w:line="259" w:lineRule="auto"/>
            </w:pPr>
            <w:r>
              <w:rPr>
                <w:rFonts w:ascii="Calibri" w:hAnsi="Calibri"/>
                <w:b w:val="0"/>
                <w:i w:val="0"/>
                <w:color w:val="212121"/>
                <w:sz w:val="16"/>
              </w:rPr>
              <w:t>Smoking/smokeless tobacco, long-term OC use, STIs (chlamydia/HSV/HIV)</w:t>
            </w:r>
          </w:p>
        </w:tc>
        <w:tc>
          <w:tcPr>
            <w:tcW w:type="dxa" w:w="950"/>
            <w:vAlign w:val="top"/>
          </w:tcPr>
          <w:p>
            <w:pPr>
              <w:spacing w:after="40" w:before="0" w:line="259" w:lineRule="auto"/>
            </w:pPr>
            <w:r>
              <w:rPr>
                <w:rFonts w:ascii="Calibri" w:hAnsi="Calibri"/>
                <w:b w:val="0"/>
                <w:i w:val="0"/>
                <w:color w:val="212121"/>
                <w:sz w:val="16"/>
              </w:rPr>
              <w:t>No tobacco, no relevant STI</w:t>
            </w:r>
          </w:p>
        </w:tc>
        <w:tc>
          <w:tcPr>
            <w:tcW w:type="dxa" w:w="950"/>
            <w:vAlign w:val="top"/>
          </w:tcPr>
          <w:p>
            <w:pPr>
              <w:spacing w:after="40" w:before="0" w:line="259" w:lineRule="auto"/>
            </w:pPr>
            <w:r>
              <w:rPr>
                <w:rFonts w:ascii="Calibri" w:hAnsi="Calibri"/>
                <w:b w:val="0"/>
                <w:i w:val="0"/>
                <w:color w:val="212121"/>
                <w:sz w:val="16"/>
              </w:rPr>
              <w:t>Tobacco use, long-term OC, prior/current genital infection</w:t>
            </w:r>
          </w:p>
        </w:tc>
        <w:tc>
          <w:tcPr>
            <w:tcW w:type="dxa" w:w="1036"/>
            <w:vAlign w:val="top"/>
          </w:tcPr>
          <w:p>
            <w:pPr>
              <w:spacing w:after="40" w:before="0" w:line="259" w:lineRule="auto"/>
            </w:pPr>
            <w:r>
              <w:rPr>
                <w:rFonts w:ascii="Calibri" w:hAnsi="Calibri"/>
                <w:b w:val="0"/>
                <w:i w:val="0"/>
                <w:color w:val="212121"/>
                <w:sz w:val="16"/>
              </w:rPr>
              <w:t>Identifies modifiable cofactors for HPV persistence</w:t>
            </w:r>
          </w:p>
        </w:tc>
        <w:tc>
          <w:tcPr>
            <w:tcW w:type="dxa" w:w="1036"/>
            <w:vAlign w:val="top"/>
          </w:tcPr>
          <w:p>
            <w:pPr>
              <w:spacing w:after="40" w:before="0" w:line="259" w:lineRule="auto"/>
            </w:pPr>
            <w:r>
              <w:rPr>
                <w:rFonts w:ascii="Calibri" w:hAnsi="Calibri"/>
                <w:b w:val="0"/>
                <w:i w:val="0"/>
                <w:color w:val="212121"/>
                <w:sz w:val="16"/>
              </w:rPr>
              <w:t>Tobacco users, long-term OC users, women with STIs</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Reinforce cessation and STI treatment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review</w:t>
            </w:r>
          </w:p>
        </w:tc>
        <w:tc>
          <w:tcPr>
            <w:tcW w:type="dxa" w:w="979"/>
            <w:vAlign w:val="top"/>
          </w:tcPr>
          <w:p>
            <w:pPr>
              <w:spacing w:after="40" w:before="0" w:line="259" w:lineRule="auto"/>
            </w:pPr>
            <w:r>
              <w:rPr>
                <w:rFonts w:ascii="Calibri" w:hAnsi="Calibri"/>
                <w:b w:val="0"/>
                <w:i w:val="0"/>
                <w:color w:val="212121"/>
                <w:sz w:val="16"/>
              </w:rPr>
              <w:t>Postcoital / intermenstrual bleeding, abnormal discharge</w:t>
            </w:r>
          </w:p>
        </w:tc>
        <w:tc>
          <w:tcPr>
            <w:tcW w:type="dxa" w:w="950"/>
            <w:vAlign w:val="top"/>
          </w:tcPr>
          <w:p>
            <w:pPr>
              <w:spacing w:after="40" w:before="0" w:line="259" w:lineRule="auto"/>
            </w:pPr>
            <w:r>
              <w:rPr>
                <w:rFonts w:ascii="Calibri" w:hAnsi="Calibri"/>
                <w:b w:val="0"/>
                <w:i w:val="0"/>
                <w:color w:val="212121"/>
                <w:sz w:val="16"/>
              </w:rPr>
              <w:t>Asymptomatic</w:t>
            </w:r>
          </w:p>
        </w:tc>
        <w:tc>
          <w:tcPr>
            <w:tcW w:type="dxa" w:w="950"/>
            <w:vAlign w:val="top"/>
          </w:tcPr>
          <w:p>
            <w:pPr>
              <w:spacing w:after="40" w:before="0" w:line="259" w:lineRule="auto"/>
            </w:pPr>
            <w:r>
              <w:rPr>
                <w:rFonts w:ascii="Calibri" w:hAnsi="Calibri"/>
                <w:b w:val="0"/>
                <w:i w:val="0"/>
                <w:color w:val="212121"/>
                <w:sz w:val="16"/>
              </w:rPr>
              <w:t>Any abnormal bleeding or persistent discharge</w:t>
            </w:r>
          </w:p>
        </w:tc>
        <w:tc>
          <w:tcPr>
            <w:tcW w:type="dxa" w:w="1036"/>
            <w:vAlign w:val="top"/>
          </w:tcPr>
          <w:p>
            <w:pPr>
              <w:spacing w:after="40" w:before="0" w:line="259" w:lineRule="auto"/>
            </w:pPr>
            <w:r>
              <w:rPr>
                <w:rFonts w:ascii="Calibri" w:hAnsi="Calibri"/>
                <w:b w:val="0"/>
                <w:i w:val="0"/>
                <w:color w:val="212121"/>
                <w:sz w:val="16"/>
              </w:rPr>
              <w:t>Dysplasia is asymptomatic; these symptoms suggest possible progression to invasive cancer and warrant urgent evaluation</w:t>
            </w:r>
          </w:p>
        </w:tc>
        <w:tc>
          <w:tcPr>
            <w:tcW w:type="dxa" w:w="1036"/>
            <w:vAlign w:val="top"/>
          </w:tcPr>
          <w:p>
            <w:pPr>
              <w:spacing w:after="40" w:before="0" w:line="259" w:lineRule="auto"/>
            </w:pPr>
            <w:r>
              <w:rPr>
                <w:rFonts w:ascii="Calibri" w:hAnsi="Calibri"/>
                <w:b w:val="0"/>
                <w:i w:val="0"/>
                <w:color w:val="212121"/>
                <w:sz w:val="16"/>
              </w:rPr>
              <w:t>Women reporting abnormal bleeding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 screening</w:t>
            </w:r>
          </w:p>
        </w:tc>
        <w:tc>
          <w:tcPr>
            <w:tcW w:type="dxa" w:w="720"/>
            <w:vAlign w:val="top"/>
          </w:tcPr>
          <w:p>
            <w:pPr>
              <w:spacing w:after="40" w:before="0" w:line="259" w:lineRule="auto"/>
            </w:pPr>
            <w:r>
              <w:rPr>
                <w:rFonts w:ascii="Calibri" w:hAnsi="Calibri"/>
                <w:b w:val="0"/>
                <w:i w:val="0"/>
                <w:color w:val="212121"/>
                <w:sz w:val="16"/>
              </w:rPr>
              <w:t>Do not attribute bleeding to benign causes without excluding cancer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Speculum examination of the cervix</w:t>
            </w:r>
          </w:p>
        </w:tc>
        <w:tc>
          <w:tcPr>
            <w:tcW w:type="dxa" w:w="979"/>
            <w:vAlign w:val="top"/>
          </w:tcPr>
          <w:p>
            <w:pPr>
              <w:spacing w:after="40" w:before="0" w:line="259" w:lineRule="auto"/>
            </w:pPr>
            <w:r>
              <w:rPr>
                <w:rFonts w:ascii="Calibri" w:hAnsi="Calibri"/>
                <w:b w:val="0"/>
                <w:i w:val="0"/>
                <w:color w:val="212121"/>
                <w:sz w:val="16"/>
              </w:rPr>
              <w:t>Cervical appearance</w:t>
            </w:r>
          </w:p>
        </w:tc>
        <w:tc>
          <w:tcPr>
            <w:tcW w:type="dxa" w:w="950"/>
            <w:vAlign w:val="top"/>
          </w:tcPr>
          <w:p>
            <w:pPr>
              <w:spacing w:after="40" w:before="0" w:line="259" w:lineRule="auto"/>
            </w:pPr>
            <w:r>
              <w:rPr>
                <w:rFonts w:ascii="Calibri" w:hAnsi="Calibri"/>
                <w:b w:val="0"/>
                <w:i w:val="0"/>
                <w:color w:val="212121"/>
                <w:sz w:val="16"/>
              </w:rPr>
              <w:t>Healthy cervix; no visible lesion</w:t>
            </w:r>
          </w:p>
        </w:tc>
        <w:tc>
          <w:tcPr>
            <w:tcW w:type="dxa" w:w="950"/>
            <w:vAlign w:val="top"/>
          </w:tcPr>
          <w:p>
            <w:pPr>
              <w:spacing w:after="40" w:before="0" w:line="259" w:lineRule="auto"/>
            </w:pPr>
            <w:r>
              <w:rPr>
                <w:rFonts w:ascii="Calibri" w:hAnsi="Calibri"/>
                <w:b w:val="0"/>
                <w:i w:val="0"/>
                <w:color w:val="212121"/>
                <w:sz w:val="16"/>
              </w:rPr>
              <w:t>Leukoplakia, erosion, friable or contact-bleeding area, or an obvious growth</w:t>
            </w:r>
          </w:p>
        </w:tc>
        <w:tc>
          <w:tcPr>
            <w:tcW w:type="dxa" w:w="1036"/>
            <w:vAlign w:val="top"/>
          </w:tcPr>
          <w:p>
            <w:pPr>
              <w:spacing w:after="40" w:before="0" w:line="259" w:lineRule="auto"/>
            </w:pPr>
            <w:r>
              <w:rPr>
                <w:rFonts w:ascii="Calibri" w:hAnsi="Calibri"/>
                <w:b w:val="0"/>
                <w:i w:val="0"/>
                <w:color w:val="212121"/>
                <w:sz w:val="16"/>
              </w:rPr>
              <w:t>Screen-detected dysplasia usually looks normal; a visible lesion suggests invasive disease and needs biopsy regardless of cytology</w:t>
            </w:r>
          </w:p>
        </w:tc>
        <w:tc>
          <w:tcPr>
            <w:tcW w:type="dxa" w:w="1036"/>
            <w:vAlign w:val="top"/>
          </w:tcPr>
          <w:p>
            <w:pPr>
              <w:spacing w:after="40" w:before="0" w:line="259" w:lineRule="auto"/>
            </w:pPr>
            <w:r>
              <w:rPr>
                <w:rFonts w:ascii="Calibri" w:hAnsi="Calibri"/>
                <w:b w:val="0"/>
                <w:i w:val="0"/>
                <w:color w:val="212121"/>
                <w:sz w:val="16"/>
              </w:rPr>
              <w:t>All women being screened / symptomatic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Always biopsy a suspicious cervix even if cytology is normal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Bimanual &amp; general examination</w:t>
            </w:r>
          </w:p>
        </w:tc>
        <w:tc>
          <w:tcPr>
            <w:tcW w:type="dxa" w:w="979"/>
            <w:vAlign w:val="top"/>
          </w:tcPr>
          <w:p>
            <w:pPr>
              <w:spacing w:after="40" w:before="0" w:line="259" w:lineRule="auto"/>
            </w:pPr>
            <w:r>
              <w:rPr>
                <w:rFonts w:ascii="Calibri" w:hAnsi="Calibri"/>
                <w:b w:val="0"/>
                <w:i w:val="0"/>
                <w:color w:val="212121"/>
                <w:sz w:val="16"/>
              </w:rPr>
              <w:t>Parametrial/pelvic spread, lymph nodes, pallor</w:t>
            </w:r>
          </w:p>
        </w:tc>
        <w:tc>
          <w:tcPr>
            <w:tcW w:type="dxa" w:w="950"/>
            <w:vAlign w:val="top"/>
          </w:tcPr>
          <w:p>
            <w:pPr>
              <w:spacing w:after="40" w:before="0" w:line="259" w:lineRule="auto"/>
            </w:pPr>
            <w:r>
              <w:rPr>
                <w:rFonts w:ascii="Calibri" w:hAnsi="Calibri"/>
                <w:b w:val="0"/>
                <w:i w:val="0"/>
                <w:color w:val="212121"/>
                <w:sz w:val="16"/>
              </w:rPr>
              <w:t>Mobile cervix, no mass, no nodes</w:t>
            </w:r>
          </w:p>
        </w:tc>
        <w:tc>
          <w:tcPr>
            <w:tcW w:type="dxa" w:w="950"/>
            <w:vAlign w:val="top"/>
          </w:tcPr>
          <w:p>
            <w:pPr>
              <w:spacing w:after="40" w:before="0" w:line="259" w:lineRule="auto"/>
            </w:pPr>
            <w:r>
              <w:rPr>
                <w:rFonts w:ascii="Calibri" w:hAnsi="Calibri"/>
                <w:b w:val="0"/>
                <w:i w:val="0"/>
                <w:color w:val="212121"/>
                <w:sz w:val="16"/>
              </w:rPr>
              <w:t>Fixed cervix, parametrial induration, lymphadenopathy, pallor</w:t>
            </w:r>
          </w:p>
        </w:tc>
        <w:tc>
          <w:tcPr>
            <w:tcW w:type="dxa" w:w="1036"/>
            <w:vAlign w:val="top"/>
          </w:tcPr>
          <w:p>
            <w:pPr>
              <w:spacing w:after="40" w:before="0" w:line="259" w:lineRule="auto"/>
            </w:pPr>
            <w:r>
              <w:rPr>
                <w:rFonts w:ascii="Calibri" w:hAnsi="Calibri"/>
                <w:b w:val="0"/>
                <w:i w:val="0"/>
                <w:color w:val="212121"/>
                <w:sz w:val="16"/>
              </w:rPr>
              <w:t>Detects features of invasion/advanced disease rather than pure dysplasia</w:t>
            </w:r>
          </w:p>
        </w:tc>
        <w:tc>
          <w:tcPr>
            <w:tcW w:type="dxa" w:w="1036"/>
            <w:vAlign w:val="top"/>
          </w:tcPr>
          <w:p>
            <w:pPr>
              <w:spacing w:after="40" w:before="0" w:line="259" w:lineRule="auto"/>
            </w:pPr>
            <w:r>
              <w:rPr>
                <w:rFonts w:ascii="Calibri" w:hAnsi="Calibri"/>
                <w:b w:val="0"/>
                <w:i w:val="0"/>
                <w:color w:val="212121"/>
                <w:sz w:val="16"/>
              </w:rPr>
              <w:t>Women with visible lesions or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Staging context</w:t>
            </w:r>
          </w:p>
        </w:tc>
        <w:tc>
          <w:tcPr>
            <w:tcW w:type="dxa" w:w="720"/>
            <w:vAlign w:val="top"/>
          </w:tcPr>
          <w:p>
            <w:pPr>
              <w:spacing w:after="40" w:before="0" w:line="259" w:lineRule="auto"/>
            </w:pPr>
            <w:r>
              <w:rPr>
                <w:rFonts w:ascii="Calibri" w:hAnsi="Calibri"/>
                <w:b w:val="0"/>
                <w:i w:val="0"/>
                <w:color w:val="212121"/>
                <w:sz w:val="16"/>
              </w:rPr>
              <w:t>Abnormal findings prompt referral for staging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Asymptomatic (screen-detected)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Cervical dysplasia (CIN) characteristically causes no symptoms and is found only on screening — the key reason organised screening is essential.</w:t>
            </w:r>
          </w:p>
        </w:tc>
      </w:tr>
      <w:tr>
        <w:trPr>
          <w:cantSplit/>
        </w:trPr>
        <w:tc>
          <w:tcPr>
            <w:tcW w:type="dxa" w:w="2304"/>
            <w:vAlign w:val="top"/>
          </w:tcPr>
          <w:p>
            <w:pPr>
              <w:spacing w:after="40" w:before="0" w:line="259" w:lineRule="auto"/>
            </w:pPr>
            <w:r>
              <w:rPr>
                <w:rFonts w:ascii="Calibri" w:hAnsi="Calibri"/>
                <w:b/>
                <w:i w:val="0"/>
                <w:color w:val="212121"/>
                <w:sz w:val="19"/>
              </w:rPr>
              <w:t>Abnormal (screen-detected) cytology or HPV result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 abnormal Pap or positive high-risk HPV test is usually the only 'presentation'; it is a laboratory finding rather than a symptom experienced by the woman.</w:t>
            </w:r>
          </w:p>
        </w:tc>
      </w:tr>
      <w:tr>
        <w:trPr>
          <w:cantSplit/>
        </w:trPr>
        <w:tc>
          <w:tcPr>
            <w:tcW w:type="dxa" w:w="2304"/>
            <w:vAlign w:val="top"/>
          </w:tcPr>
          <w:p>
            <w:pPr>
              <w:spacing w:after="40" w:before="0" w:line="259" w:lineRule="auto"/>
            </w:pPr>
            <w:r>
              <w:rPr>
                <w:rFonts w:ascii="Calibri" w:hAnsi="Calibri"/>
                <w:b/>
                <w:i w:val="0"/>
                <w:color w:val="212121"/>
                <w:sz w:val="19"/>
              </w:rPr>
              <w:t>Postcoital (after-intercourse) bleeding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Bleeding after sex is uncommon in pure dysplasia and, when present, raises concern for a more advanced or invasive lesion needing urgent evaluation.</w:t>
            </w:r>
          </w:p>
        </w:tc>
      </w:tr>
      <w:tr>
        <w:trPr>
          <w:cantSplit/>
        </w:trPr>
        <w:tc>
          <w:tcPr>
            <w:tcW w:type="dxa" w:w="2304"/>
            <w:vAlign w:val="top"/>
          </w:tcPr>
          <w:p>
            <w:pPr>
              <w:spacing w:after="40" w:before="0" w:line="259" w:lineRule="auto"/>
            </w:pPr>
            <w:r>
              <w:rPr>
                <w:rFonts w:ascii="Calibri" w:hAnsi="Calibri"/>
                <w:b/>
                <w:i w:val="0"/>
                <w:color w:val="212121"/>
                <w:sz w:val="19"/>
              </w:rPr>
              <w:t>Intermenstrual / irregular vaginal bleeding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Bleeding between periods is not typical of CIN itself and suggests progression or a coexisting cervical lesion.</w:t>
            </w:r>
          </w:p>
        </w:tc>
      </w:tr>
      <w:tr>
        <w:trPr>
          <w:cantSplit/>
        </w:trPr>
        <w:tc>
          <w:tcPr>
            <w:tcW w:type="dxa" w:w="2304"/>
            <w:vAlign w:val="top"/>
          </w:tcPr>
          <w:p>
            <w:pPr>
              <w:spacing w:after="40" w:before="0" w:line="259" w:lineRule="auto"/>
            </w:pPr>
            <w:r>
              <w:rPr>
                <w:rFonts w:ascii="Calibri" w:hAnsi="Calibri"/>
                <w:b/>
                <w:i w:val="0"/>
                <w:color w:val="212121"/>
                <w:sz w:val="19"/>
              </w:rPr>
              <w:t>Persistent or blood-stained vaginal discharge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watery, malodorous or blood-tinged discharge may accompany a larger high-grade lesion or early invasive change, or a coexisting genital infection.</w:t>
            </w:r>
          </w:p>
        </w:tc>
      </w:tr>
      <w:tr>
        <w:trPr>
          <w:cantSplit/>
        </w:trPr>
        <w:tc>
          <w:tcPr>
            <w:tcW w:type="dxa" w:w="2304"/>
            <w:vAlign w:val="top"/>
          </w:tcPr>
          <w:p>
            <w:pPr>
              <w:spacing w:after="40" w:before="0" w:line="259" w:lineRule="auto"/>
            </w:pPr>
            <w:r>
              <w:rPr>
                <w:rFonts w:ascii="Calibri" w:hAnsi="Calibri"/>
                <w:b/>
                <w:i w:val="0"/>
                <w:color w:val="212121"/>
                <w:sz w:val="19"/>
              </w:rPr>
              <w:t>Postmenopausal bleeding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Any bleeding after menopause is a red flag that mandates evaluation to exclude cervical (or endometrial) malignancy.</w:t>
            </w:r>
          </w:p>
        </w:tc>
      </w:tr>
      <w:tr>
        <w:trPr>
          <w:cantSplit/>
        </w:trPr>
        <w:tc>
          <w:tcPr>
            <w:tcW w:type="dxa" w:w="2304"/>
            <w:vAlign w:val="top"/>
          </w:tcPr>
          <w:p>
            <w:pPr>
              <w:spacing w:after="40" w:before="0" w:line="259" w:lineRule="auto"/>
            </w:pPr>
            <w:r>
              <w:rPr>
                <w:rFonts w:ascii="Calibri" w:hAnsi="Calibri"/>
                <w:b/>
                <w:i w:val="0"/>
                <w:color w:val="212121"/>
                <w:sz w:val="19"/>
              </w:rPr>
              <w:t>Dyspareunia (pain during intercourse)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Uncommon in dysplasia; when present it usually reflects coexisting cervicitis, infection or more advanced disease.</w:t>
            </w:r>
          </w:p>
        </w:tc>
      </w:tr>
      <w:tr>
        <w:trPr>
          <w:cantSplit/>
        </w:trPr>
        <w:tc>
          <w:tcPr>
            <w:tcW w:type="dxa" w:w="2304"/>
            <w:vAlign w:val="top"/>
          </w:tcPr>
          <w:p>
            <w:pPr>
              <w:spacing w:after="40" w:before="0" w:line="259" w:lineRule="auto"/>
            </w:pPr>
            <w:r>
              <w:rPr>
                <w:rFonts w:ascii="Calibri" w:hAnsi="Calibri"/>
                <w:b/>
                <w:i w:val="0"/>
                <w:color w:val="212121"/>
                <w:sz w:val="19"/>
              </w:rPr>
              <w:t>Pelvic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Not a feature of pre-invasive dysplasia; new pelvic pain suggests invasive cancer or another pelvic pathology.</w:t>
            </w:r>
          </w:p>
        </w:tc>
      </w:tr>
      <w:tr>
        <w:trPr>
          <w:cantSplit/>
        </w:trPr>
        <w:tc>
          <w:tcPr>
            <w:tcW w:type="dxa" w:w="2304"/>
            <w:vAlign w:val="top"/>
          </w:tcPr>
          <w:p>
            <w:pPr>
              <w:spacing w:after="40" w:before="0" w:line="259" w:lineRule="auto"/>
            </w:pPr>
            <w:r>
              <w:rPr>
                <w:rFonts w:ascii="Calibri" w:hAnsi="Calibri"/>
                <w:b/>
                <w:i w:val="0"/>
                <w:color w:val="212121"/>
                <w:sz w:val="19"/>
              </w:rPr>
              <w:t>Foul-smelling discharge with contact bleeding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a bulky, possibly invasive lesion rather than pure intraepithelial disease and warrants urgent colposcopy/biopsy.</w:t>
            </w:r>
          </w:p>
        </w:tc>
      </w:tr>
      <w:tr>
        <w:trPr>
          <w:cantSplit/>
        </w:trPr>
        <w:tc>
          <w:tcPr>
            <w:tcW w:type="dxa" w:w="2304"/>
            <w:vAlign w:val="top"/>
          </w:tcPr>
          <w:p>
            <w:pPr>
              <w:spacing w:after="40" w:before="0" w:line="259" w:lineRule="auto"/>
            </w:pPr>
            <w:r>
              <w:rPr>
                <w:rFonts w:ascii="Calibri" w:hAnsi="Calibri"/>
                <w:b/>
                <w:i w:val="0"/>
                <w:color w:val="212121"/>
                <w:sz w:val="19"/>
              </w:rPr>
              <w:t>Symptoms of advanced disease (leg oedema, back pain, urinary/bowel symptoms)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Reflect established invasive cervical cancer, not dysplasia; included to emphasise late presentation when screening is absent.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Normal-appearing cervix on speculum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Most dysplasia is invisible to the naked eye; a normal-looking cervix does not exclude high-grade CIN, hence reliance on cytology/HPV testing.</w:t>
            </w:r>
          </w:p>
        </w:tc>
      </w:tr>
      <w:tr>
        <w:trPr>
          <w:cantSplit/>
        </w:trPr>
        <w:tc>
          <w:tcPr>
            <w:tcW w:type="dxa" w:w="3456"/>
            <w:vAlign w:val="top"/>
          </w:tcPr>
          <w:p>
            <w:pPr>
              <w:spacing w:after="40" w:before="0" w:line="259" w:lineRule="auto"/>
            </w:pPr>
            <w:r>
              <w:rPr>
                <w:rFonts w:ascii="Calibri" w:hAnsi="Calibri"/>
                <w:b/>
                <w:i w:val="0"/>
                <w:color w:val="212121"/>
                <w:sz w:val="19"/>
              </w:rPr>
              <w:t>Acetowhite epithelium after acetic acid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Dysplastic epithelium turns dense white with 3–5% acetic acid at the transformation zone on VIA/colposcopy — the core screening/colposcopic sign.</w:t>
            </w:r>
          </w:p>
        </w:tc>
      </w:tr>
      <w:tr>
        <w:trPr>
          <w:cantSplit/>
        </w:trPr>
        <w:tc>
          <w:tcPr>
            <w:tcW w:type="dxa" w:w="3456"/>
            <w:vAlign w:val="top"/>
          </w:tcPr>
          <w:p>
            <w:pPr>
              <w:spacing w:after="40" w:before="0" w:line="259" w:lineRule="auto"/>
            </w:pPr>
            <w:r>
              <w:rPr>
                <w:rFonts w:ascii="Calibri" w:hAnsi="Calibri"/>
                <w:b/>
                <w:i w:val="0"/>
                <w:color w:val="212121"/>
                <w:sz w:val="19"/>
              </w:rPr>
              <w:t>Iodine-negative (Schiller-positive) area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Dysplastic epithelium lacks glycogen and fails to stain brown with Lugol's iodine, appearing mustard-yellow — helps delineate lesion margins.</w:t>
            </w:r>
          </w:p>
        </w:tc>
      </w:tr>
      <w:tr>
        <w:trPr>
          <w:cantSplit/>
        </w:trPr>
        <w:tc>
          <w:tcPr>
            <w:tcW w:type="dxa" w:w="3456"/>
            <w:vAlign w:val="top"/>
          </w:tcPr>
          <w:p>
            <w:pPr>
              <w:spacing w:after="40" w:before="0" w:line="259" w:lineRule="auto"/>
            </w:pPr>
            <w:r>
              <w:rPr>
                <w:rFonts w:ascii="Calibri" w:hAnsi="Calibri"/>
                <w:b/>
                <w:i w:val="0"/>
                <w:color w:val="212121"/>
                <w:sz w:val="19"/>
              </w:rPr>
              <w:t>Colposcopic vascular patterns — punctation &amp; mosaicism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Abnormal capillary patterns within an acetowhite lesion indicate higher-grade dysplasia and guide biopsy site.</w:t>
            </w:r>
          </w:p>
        </w:tc>
      </w:tr>
      <w:tr>
        <w:trPr>
          <w:cantSplit/>
        </w:trPr>
        <w:tc>
          <w:tcPr>
            <w:tcW w:type="dxa" w:w="3456"/>
            <w:vAlign w:val="top"/>
          </w:tcPr>
          <w:p>
            <w:pPr>
              <w:spacing w:after="40" w:before="0" w:line="259" w:lineRule="auto"/>
            </w:pPr>
            <w:r>
              <w:rPr>
                <w:rFonts w:ascii="Calibri" w:hAnsi="Calibri"/>
                <w:b/>
                <w:i w:val="0"/>
                <w:color w:val="212121"/>
                <w:sz w:val="19"/>
              </w:rPr>
              <w:t>Sharp lesion borders at the squamocolumnar junction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Well-demarcated acetowhite lesions abutting the new squamocolumnar junction are typical of high-grade CIN.</w:t>
            </w:r>
          </w:p>
        </w:tc>
      </w:tr>
      <w:tr>
        <w:trPr>
          <w:cantSplit/>
        </w:trPr>
        <w:tc>
          <w:tcPr>
            <w:tcW w:type="dxa" w:w="3456"/>
            <w:vAlign w:val="top"/>
          </w:tcPr>
          <w:p>
            <w:pPr>
              <w:spacing w:after="40" w:before="0" w:line="259" w:lineRule="auto"/>
            </w:pPr>
            <w:r>
              <w:rPr>
                <w:rFonts w:ascii="Calibri" w:hAnsi="Calibri"/>
                <w:b/>
                <w:i w:val="0"/>
                <w:color w:val="212121"/>
                <w:sz w:val="19"/>
              </w:rPr>
              <w:t>Atypical / coarse surface vessels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Irregular, bizarre vessels raise concern for microinvasion or invasion and mandate biopsy.</w:t>
            </w:r>
          </w:p>
        </w:tc>
      </w:tr>
      <w:tr>
        <w:trPr>
          <w:cantSplit/>
        </w:trPr>
        <w:tc>
          <w:tcPr>
            <w:tcW w:type="dxa" w:w="3456"/>
            <w:vAlign w:val="top"/>
          </w:tcPr>
          <w:p>
            <w:pPr>
              <w:spacing w:after="40" w:before="0" w:line="259" w:lineRule="auto"/>
            </w:pPr>
            <w:r>
              <w:rPr>
                <w:rFonts w:ascii="Calibri" w:hAnsi="Calibri"/>
                <w:b/>
                <w:i w:val="0"/>
                <w:color w:val="212121"/>
                <w:sz w:val="19"/>
              </w:rPr>
              <w:t>Friable cervix / contact bleeding on swabbing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Easy bleeding on contact suggests a fragile, possibly invasive lesion rather than pure dysplasia.</w:t>
            </w:r>
          </w:p>
        </w:tc>
      </w:tr>
      <w:tr>
        <w:trPr>
          <w:cantSplit/>
        </w:trPr>
        <w:tc>
          <w:tcPr>
            <w:tcW w:type="dxa" w:w="3456"/>
            <w:vAlign w:val="top"/>
          </w:tcPr>
          <w:p>
            <w:pPr>
              <w:spacing w:after="40" w:before="0" w:line="259" w:lineRule="auto"/>
            </w:pPr>
            <w:r>
              <w:rPr>
                <w:rFonts w:ascii="Calibri" w:hAnsi="Calibri"/>
                <w:b/>
                <w:i w:val="0"/>
                <w:color w:val="212121"/>
                <w:sz w:val="19"/>
              </w:rPr>
              <w:t>Visible cervical growth, ulcer or mass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frank lesion indicates likely invasive cancer, not intraepithelial disease, and needs urgent biopsy irrespective of cytology.</w:t>
            </w:r>
          </w:p>
        </w:tc>
      </w:tr>
      <w:tr>
        <w:trPr>
          <w:cantSplit/>
        </w:trPr>
        <w:tc>
          <w:tcPr>
            <w:tcW w:type="dxa" w:w="3456"/>
            <w:vAlign w:val="top"/>
          </w:tcPr>
          <w:p>
            <w:pPr>
              <w:spacing w:after="40" w:before="0" w:line="259" w:lineRule="auto"/>
            </w:pPr>
            <w:r>
              <w:rPr>
                <w:rFonts w:ascii="Calibri" w:hAnsi="Calibri"/>
                <w:b/>
                <w:i w:val="0"/>
                <w:color w:val="212121"/>
                <w:sz w:val="19"/>
              </w:rPr>
              <w:t>Block-positive p16 with high Ki-67 on histology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An immunohistochemical 'sign' confirming transforming high-risk HPV infection and high-grade (HSIL/CIN2–3)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Persistence of high-risk HPV infection with failure of clearance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of low-grade (CIN 1/LSIL) to high-grade dysplasia (CIN 2–3/HSIL)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Extension of dysplasia into the endocervical canal / glandular involvement (adenocarcinoma in situ, AIS)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Multifocal / recurrent intraepithelial disease, especially in immunosuppressed women</w:t>
            </w:r>
          </w:p>
        </w:tc>
        <w:tc>
          <w:tcPr>
            <w:tcW w:type="dxa" w:w="2980"/>
            <w:vAlign w:val="top"/>
          </w:tcPr>
          <w:p>
            <w:pPr>
              <w:spacing w:after="40" w:before="0" w:line="259" w:lineRule="auto"/>
            </w:pPr>
            <w:r>
              <w:rPr>
                <w:rFonts w:ascii="Calibri" w:hAnsi="Calibri"/>
                <w:b w:val="0"/>
                <w:i w:val="0"/>
                <w:color w:val="212121"/>
                <w:sz w:val="19"/>
              </w:rPr>
              <w:t>Direct evolution of the HPV-driven intraepithelial lesion within the cervix</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invasive cervical cancer (squamous cell carcinoma or adenocarcinoma) — untreated CIN3 carries roughly a 30% long-term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Field-effect HPV neoplasia elsewhere: vaginal (VaIN), vulvar (VIN) and anal intraepithelial neoplasia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morbidity: cervical stenosis, cervical insufficiency and increased preterm-birth risk after excisional treatment (LEEP/LLETZ/cone)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Bleeding, infection or incomplete excision requiring repeat treatment</w:t>
            </w:r>
          </w:p>
        </w:tc>
        <w:tc>
          <w:tcPr>
            <w:tcW w:type="dxa" w:w="2980"/>
            <w:vAlign w:val="top"/>
          </w:tcPr>
          <w:p>
            <w:pPr>
              <w:spacing w:after="40" w:before="0" w:line="259" w:lineRule="auto"/>
            </w:pPr>
            <w:r>
              <w:rPr>
                <w:rFonts w:ascii="Calibri" w:hAnsi="Calibri"/>
                <w:b w:val="0"/>
                <w:i w:val="0"/>
                <w:color w:val="212121"/>
                <w:sz w:val="19"/>
              </w:rPr>
              <w:t>Consequences of untreated progression or of the excisional/ablative treatment used to prevent cancer</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Invasive cervical cancer with local spread, metastasis and, without treatment,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obstetric outcomes (preterm birth, PPROM) from prior excisional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cancer morbidity: renal failure from ureteric obstruction, fistulae,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Psychosexual and psychological morbidity, and the economic burden of late diagnosis</w:t>
            </w:r>
          </w:p>
        </w:tc>
        <w:tc>
          <w:tcPr>
            <w:tcW w:type="dxa" w:w="2980"/>
            <w:vAlign w:val="top"/>
          </w:tcPr>
          <w:p>
            <w:pPr>
              <w:spacing w:after="40" w:before="0" w:line="259" w:lineRule="auto"/>
            </w:pPr>
            <w:r>
              <w:rPr>
                <w:rFonts w:ascii="Calibri" w:hAnsi="Calibri"/>
                <w:b w:val="0"/>
                <w:i w:val="0"/>
                <w:color w:val="212121"/>
                <w:sz w:val="19"/>
              </w:rPr>
              <w:t>Irreversible, disabling or fatal outcomes of longstanding untreated disease or of repeated intervention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Persistent high-risk HPV 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The necessary cause of cervical dysplasia; persistence of oncogenic HPV underlies more than 99% of cervical cancers.</w:t>
            </w:r>
          </w:p>
          <w:p>
            <w:pPr>
              <w:spacing w:after="40" w:before="0" w:line="259" w:lineRule="auto"/>
            </w:pPr>
            <w:r>
              <w:rPr>
                <w:rFonts w:ascii="Calibri" w:hAnsi="Calibri"/>
                <w:b/>
                <w:i w:val="0"/>
                <w:color w:val="212121"/>
                <w:sz w:val="19"/>
              </w:rPr>
              <w:t>&gt;99% of cervical cancers</w:t>
            </w:r>
          </w:p>
        </w:tc>
      </w:tr>
      <w:tr>
        <w:trPr>
          <w:cantSplit/>
        </w:trPr>
        <w:tc>
          <w:tcPr>
            <w:tcW w:type="dxa" w:w="2232"/>
            <w:vAlign w:val="top"/>
          </w:tcPr>
          <w:p>
            <w:pPr>
              <w:spacing w:after="40" w:before="0" w:line="259" w:lineRule="auto"/>
            </w:pPr>
            <w:r>
              <w:rPr>
                <w:rFonts w:ascii="Calibri" w:hAnsi="Calibri"/>
                <w:b/>
                <w:i w:val="0"/>
                <w:color w:val="212121"/>
                <w:sz w:val="19"/>
              </w:rPr>
              <w:t>Invasive cervical cancer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downstream malignancy that untreated high-grade dysplasia progresses to; untreated CIN3 carries roughly a 30% long-term risk.</w:t>
            </w:r>
          </w:p>
          <w:p>
            <w:pPr>
              <w:spacing w:after="40" w:before="0" w:line="259" w:lineRule="auto"/>
            </w:pPr>
            <w:r>
              <w:rPr>
                <w:rFonts w:ascii="Calibri" w:hAnsi="Calibri"/>
                <w:b/>
                <w:i w:val="0"/>
                <w:color w:val="212121"/>
                <w:sz w:val="19"/>
              </w:rPr>
              <w:t>~30% (untreated CIN3 over many years)</w:t>
            </w:r>
          </w:p>
        </w:tc>
      </w:tr>
      <w:tr>
        <w:trPr>
          <w:cantSplit/>
        </w:trPr>
        <w:tc>
          <w:tcPr>
            <w:tcW w:type="dxa" w:w="2232"/>
            <w:vAlign w:val="top"/>
          </w:tcPr>
          <w:p>
            <w:pPr>
              <w:spacing w:after="40" w:before="0" w:line="259" w:lineRule="auto"/>
            </w:pPr>
            <w:r>
              <w:rPr>
                <w:rFonts w:ascii="Calibri" w:hAnsi="Calibri"/>
                <w:b/>
                <w:i w:val="0"/>
                <w:color w:val="212121"/>
                <w:sz w:val="19"/>
              </w:rPr>
              <w:t>HIV / AIDS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Immunosuppression sharply increases HPV persistence and accelerates progression; cervical cancer is an AIDS-defining illness needing earlier, more frequent screening.</w:t>
            </w:r>
          </w:p>
          <w:p>
            <w:pPr>
              <w:spacing w:after="40" w:before="0" w:line="259" w:lineRule="auto"/>
            </w:pPr>
            <w:r>
              <w:rPr>
                <w:rFonts w:ascii="Calibri" w:hAnsi="Calibri"/>
                <w:b/>
                <w:i w:val="0"/>
                <w:color w:val="212121"/>
                <w:sz w:val="19"/>
              </w:rPr>
              <w:t>6× higher risk; ~5% of cases attributable</w:t>
            </w:r>
          </w:p>
        </w:tc>
      </w:tr>
      <w:tr>
        <w:trPr>
          <w:cantSplit/>
        </w:trPr>
        <w:tc>
          <w:tcPr>
            <w:tcW w:type="dxa" w:w="2232"/>
            <w:vAlign w:val="top"/>
          </w:tcPr>
          <w:p>
            <w:pPr>
              <w:spacing w:after="40" w:before="0" w:line="259" w:lineRule="auto"/>
            </w:pPr>
            <w:r>
              <w:rPr>
                <w:rFonts w:ascii="Calibri" w:hAnsi="Calibri"/>
                <w:b/>
                <w:i w:val="0"/>
                <w:color w:val="212121"/>
                <w:sz w:val="19"/>
              </w:rPr>
              <w:t>Chlamydia trachomatis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cervical inflammation from chlamydia acts as a cofactor that helps HPV grow and persist, raising dysplasia risk.</w:t>
            </w:r>
          </w:p>
        </w:tc>
      </w:tr>
      <w:tr>
        <w:trPr>
          <w:cantSplit/>
        </w:trPr>
        <w:tc>
          <w:tcPr>
            <w:tcW w:type="dxa" w:w="2232"/>
            <w:vAlign w:val="top"/>
          </w:tcPr>
          <w:p>
            <w:pPr>
              <w:spacing w:after="40" w:before="0" w:line="259" w:lineRule="auto"/>
            </w:pPr>
            <w:r>
              <w:rPr>
                <w:rFonts w:ascii="Calibri" w:hAnsi="Calibri"/>
                <w:b/>
                <w:i w:val="0"/>
                <w:color w:val="212121"/>
                <w:sz w:val="19"/>
              </w:rPr>
              <w:t>Herpes simplex virus type 2 (HSV-2)</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Genital HSV-2 co-infection is an associated cofactor that promotes HPV persistence and cervical neoplasia.</w:t>
            </w:r>
          </w:p>
        </w:tc>
      </w:tr>
      <w:tr>
        <w:trPr>
          <w:cantSplit/>
        </w:trPr>
        <w:tc>
          <w:tcPr>
            <w:tcW w:type="dxa" w:w="2232"/>
            <w:vAlign w:val="top"/>
          </w:tcPr>
          <w:p>
            <w:pPr>
              <w:spacing w:after="40" w:before="0" w:line="259" w:lineRule="auto"/>
            </w:pPr>
            <w:r>
              <w:rPr>
                <w:rFonts w:ascii="Calibri" w:hAnsi="Calibri"/>
                <w:b/>
                <w:i w:val="0"/>
                <w:color w:val="212121"/>
                <w:sz w:val="19"/>
              </w:rPr>
              <w:t>Vaginal (VaIN) &amp; vulvar (VIN) intraepithelial neoplasia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Same high-risk HPV can cause a lower-genital-tract 'field effect', so these lesions frequently coexist with CIN and warrant examination of the whole anogenital tract.</w:t>
            </w:r>
          </w:p>
        </w:tc>
      </w:tr>
      <w:tr>
        <w:trPr>
          <w:cantSplit/>
        </w:trPr>
        <w:tc>
          <w:tcPr>
            <w:tcW w:type="dxa" w:w="2232"/>
            <w:vAlign w:val="top"/>
          </w:tcPr>
          <w:p>
            <w:pPr>
              <w:spacing w:after="40" w:before="0" w:line="259" w:lineRule="auto"/>
            </w:pPr>
            <w:r>
              <w:rPr>
                <w:rFonts w:ascii="Calibri" w:hAnsi="Calibri"/>
                <w:b/>
                <w:i w:val="0"/>
                <w:color w:val="212121"/>
                <w:sz w:val="19"/>
              </w:rPr>
              <w:t>Anal intraepithelial neoplasia / anal cancer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Shares HPV aetiology; risk is elevated in women with cervical dysplasia, especially if HIV-positive.</w:t>
            </w:r>
          </w:p>
        </w:tc>
      </w:tr>
      <w:tr>
        <w:trPr>
          <w:cantSplit/>
        </w:trPr>
        <w:tc>
          <w:tcPr>
            <w:tcW w:type="dxa" w:w="2232"/>
            <w:vAlign w:val="top"/>
          </w:tcPr>
          <w:p>
            <w:pPr>
              <w:spacing w:after="40" w:before="0" w:line="259" w:lineRule="auto"/>
            </w:pPr>
            <w:r>
              <w:rPr>
                <w:rFonts w:ascii="Calibri" w:hAnsi="Calibri"/>
                <w:b/>
                <w:i w:val="0"/>
                <w:color w:val="212121"/>
                <w:sz w:val="19"/>
              </w:rPr>
              <w:t>HPV-related oropharyngeal &amp; other anogenital cancers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The same oncogenic HPV types cause a proportion of oropharyngeal, vaginal, vulvar, anal and penile cancers, reflecting shared aetiology.</w:t>
            </w:r>
          </w:p>
        </w:tc>
      </w:tr>
      <w:tr>
        <w:trPr>
          <w:cantSplit/>
        </w:trPr>
        <w:tc>
          <w:tcPr>
            <w:tcW w:type="dxa" w:w="2232"/>
            <w:vAlign w:val="top"/>
          </w:tcPr>
          <w:p>
            <w:pPr>
              <w:spacing w:after="40" w:before="0" w:line="259" w:lineRule="auto"/>
            </w:pPr>
            <w:r>
              <w:rPr>
                <w:rFonts w:ascii="Calibri" w:hAnsi="Calibri"/>
                <w:b/>
                <w:i w:val="0"/>
                <w:color w:val="212121"/>
                <w:sz w:val="19"/>
              </w:rPr>
              <w:t>Anogenital warts (condyloma / low-risk HPV)</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Marker of HPV exposure; low-risk (6/11) and high-risk types are often co-transmitted, so warts flag a need for cervical screening.</w:t>
            </w:r>
          </w:p>
        </w:tc>
      </w:tr>
      <w:tr>
        <w:trPr>
          <w:cantSplit/>
        </w:trPr>
        <w:tc>
          <w:tcPr>
            <w:tcW w:type="dxa" w:w="2232"/>
            <w:vAlign w:val="top"/>
          </w:tcPr>
          <w:p>
            <w:pPr>
              <w:spacing w:after="40" w:before="0" w:line="259" w:lineRule="auto"/>
            </w:pPr>
            <w:r>
              <w:rPr>
                <w:rFonts w:ascii="Calibri" w:hAnsi="Calibri"/>
                <w:b/>
                <w:i w:val="0"/>
                <w:color w:val="212121"/>
                <w:sz w:val="19"/>
              </w:rPr>
              <w:t>Tobacco 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Smoking and smokeless tobacco impair local immunity and roughly double risk, promoting persistence and progression of dysplasia.</w:t>
            </w:r>
          </w:p>
          <w:p>
            <w:pPr>
              <w:spacing w:after="40" w:before="0" w:line="259" w:lineRule="auto"/>
            </w:pPr>
            <w:r>
              <w:rPr>
                <w:rFonts w:ascii="Calibri" w:hAnsi="Calibri"/>
                <w:b/>
                <w:i w:val="0"/>
                <w:color w:val="212121"/>
                <w:sz w:val="19"/>
              </w:rPr>
              <w:t>~2× higher cervical-cancer risk</w:t>
            </w:r>
          </w:p>
        </w:tc>
      </w:tr>
      <w:tr>
        <w:trPr>
          <w:cantSplit/>
        </w:trPr>
        <w:tc>
          <w:tcPr>
            <w:tcW w:type="dxa" w:w="2232"/>
            <w:vAlign w:val="top"/>
          </w:tcPr>
          <w:p>
            <w:pPr>
              <w:spacing w:after="40" w:before="0" w:line="259" w:lineRule="auto"/>
            </w:pPr>
            <w:r>
              <w:rPr>
                <w:rFonts w:ascii="Calibri" w:hAnsi="Calibri"/>
                <w:b/>
                <w:i w:val="0"/>
                <w:color w:val="212121"/>
                <w:sz w:val="19"/>
              </w:rPr>
              <w:t>Iatrogenic immunosuppression (transplant / autoimmune therapy)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Long-term immunosuppression increases incidence and recurrence of CIN and reduces treatment success, altering surveillance.</w:t>
            </w:r>
          </w:p>
        </w:tc>
      </w:tr>
      <w:tr>
        <w:trPr>
          <w:cantSplit/>
        </w:trPr>
        <w:tc>
          <w:tcPr>
            <w:tcW w:type="dxa" w:w="2232"/>
            <w:vAlign w:val="top"/>
          </w:tcPr>
          <w:p>
            <w:pPr>
              <w:spacing w:after="40" w:before="0" w:line="259" w:lineRule="auto"/>
            </w:pPr>
            <w:r>
              <w:rPr>
                <w:rFonts w:ascii="Calibri" w:hAnsi="Calibri"/>
                <w:b/>
                <w:i w:val="0"/>
                <w:color w:val="212121"/>
                <w:sz w:val="19"/>
              </w:rPr>
              <w:t>Bacterial vaginosis / cervicovaginal dysbiosis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An altered vaginal microbiome with reduced lactobacilli is associated with delayed HPV clearance and higher-grade lesions.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cervical dysplasia is a symptom-free, HPV-driven precancer — the only way to detect it is regular screening, not waiting for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vaccinated against HPV — ideally girls aged 9–14 before sexual debut (India now has an indigenous quadrivalent vaccine, CERVAVAC); catch-up vaccination benefits older girls/young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cervical screening as advised: a high-performance HPV test every 5–10 years from age 30 (every 3–5 years from age 25 if living with HIV); VIA or Pap where HPV testing is unavailable.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symptoms — bleeding after sex, between periods or after menopause, or persistent abnormal discharge — and seek prompt evaluation.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safer sex (limit partners, use condoms) to reduce HPV and co-infection exposure, remembering condoms are only partially protective.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recommended follow-up and treatment after any abnormal result — most high-grade lesions are fully curable when treated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girls &amp;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sexually active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Unscreened &amp; rural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living with HIV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an abnormal Pap/HPV result</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moderate activity (≥ 150 min/week) and a healthy weight to support immune function and general reproductive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to an Asian-appropriate BMI (18.5–22.9) — obesity reduces the adequacy of cervical screening and worsens cervical-cancer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routine health/fitness contacts (antenatal, postnatal, wellness visits) as opportunities to check screening status.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adult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overdue for screening</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folate- and antioxidant-rich diet — green leafy vegetables, citrus and other fruits, legumes and whole grains/millets — which may support HPV clearance and lesion regression.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at least 5 servings of fruit and vegetables per day for vitamins C, E and carotenoids.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folate intake, particularly in 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heavily processed, low-nutrient foods that displace protective micronutrients.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low-grade dysplasia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poor dietary diversity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the cell-mediated immunity that clears HPV.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and good sleep hygiene, especially during periods of stress or illness.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adult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under chronic stress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 both smoking and smokeless (chewed) tobacco — which roughly doubles risk and impairs clearance of HPV; cessation can aid regression of low-grade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cessation support: brief advice, counselling, quitlines and nicotine-replacement or pharmacotherapy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is also associated with increased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Frame smoking cessation as an integral part of managing an abnormal cervical result.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CIN 1/2 under observation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or abstain; heavy alcohol use often clusters with smoking and higher-risk sexual behaviour.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as a barrier to attending screening and follow-up appointments.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alcohol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multiple lifestyle risk factors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and address the anxiety that an abnormal Pap/HPV result or a dysplasia diagnosis commonly causes, with clear reassurance that most lesions are curable.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information and psychological support around HPV, sexuality and stigma to reduce distress and improve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depression/anxiety that can reduce screening and treatment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Signpost to counselling and peer-support resources, especially for women living with HIV.</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an abnormal result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awaiting colposcopy/treatment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living with HIV</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31093/" TargetMode="External"/><Relationship Id="rId10" Type="http://schemas.openxmlformats.org/officeDocument/2006/relationships/hyperlink" Target="https://hpvcentre.net/statistics/reports/IND.pdf" TargetMode="External"/><Relationship Id="rId11" Type="http://schemas.openxmlformats.org/officeDocument/2006/relationships/hyperlink" Target="https://www.cancer.org/cancer/types/cervical-cancer/causes-risks-prevention/risk-factors.html" TargetMode="External"/><Relationship Id="rId12" Type="http://schemas.openxmlformats.org/officeDocument/2006/relationships/hyperlink" Target="https://www.who.int/news-room/fact-sheets/detail/cervical-ca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