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Perimenopause</w:t>
      </w:r>
    </w:p>
    <w:p>
      <w:pPr>
        <w:spacing w:before="0" w:after="160"/>
      </w:pPr>
      <w:r>
        <w:rPr>
          <w:rFonts w:ascii="Calibri" w:hAnsi="Calibri"/>
          <w:b/>
          <w:i w:val="0"/>
          <w:color w:val="212121"/>
          <w:sz w:val="22"/>
        </w:rPr>
        <w:t xml:space="preserve">AKA </w:t>
      </w:r>
      <w:r>
        <w:rPr>
          <w:rFonts w:ascii="Calibri" w:hAnsi="Calibri"/>
          <w:b w:val="0"/>
          <w:i w:val="0"/>
          <w:color w:val="212121"/>
          <w:sz w:val="22"/>
        </w:rPr>
        <w:t>i.e., Menopausal transition, Climacteric, Peri-menopause, “The change” / “Change of life”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Perimenopause is the transitional phase leading up to menopause, during which fluctuating and progressively declining ovarian production of estrogen and progesterone produces menstrual-cycle irregularity together with vasomotor, psychological, sleep, cognitive and genitourinary symptoms. It begins when the menstrual cycle first becomes persistently variable and ends 12 months after the final menstrual period, the point that retrospectively defines menopause. The transition typically spans the mid-40s to early 50s and can last several years, affecting physical, emotional, mental and social well-being.</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Perimenopause is a universal midlife stage — every woman who reaches middle age passes through it. In India the average age at natural menopause is about 46.6 years (95% CI 44.83–48.44), roughly 4–5 years earlier than the ~51 years typical of high-income countries, so Indian women commonly enter the transition in their late 30s to mid-40s. Symptom burden is high: community studies report that 80–97% of peri-/menopausal women have at least one bothersome symptom (81.2% in an Odisha cohort; 96.6% in rural Puducherry). About 1.5% of Indian women reach menopause before age 40 (premature), with earlier transition concentrated among poorer, rural and less-educated women. Given a large and rapidly ageing female population, tens of millions of Indian women are in the menopausal-transition age band at any given time.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Perimenopause is principally a clinical diagnosis based on age, a change in menstrual pattern and characteristic symptoms, staged using the Stages of Reproductive Aging Workshop (STRAW+10) framework. Laboratory tests are confirmatory or used to exclude mimics rather than to make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a woman older than 45 years with new menstrual-cycle irregularity plus vasomotor symptoms, the diagnosis is clinical and no hormonal testing is required;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Early menopausal transition (STRAW −2): a persistent difference of ≥ 7 days in the length of consecutive menstrual cycles;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Late menopausal transition (STRAW −1): an interval of amenorrhoea of ≥ 60 days, often with a random FSH ≥ 25 IU/L and emerging hot flushes;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Follicle-stimulating hormone (FSH) is elevated but fluctuates widely; a single value is unreliable in perimenopause and is reserved for women younger than 45, after hysterectomy, or when premature ovarian insufficiency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Anti-Müllerian hormone (AMH) is low and antral follicle count is falling, reflecting ovarian reserve depletion;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Menopause itself is diagnosed retrospectively after 12 consecutive months of amenorrhoea with no other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Exclude pregnancy (β-hCG), thyroid dysfunction (TSH) and hyperprolactinaemia in women with abnormal bleeding or atypical symptoms.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Reproductive ageing is staged by the STRAW+10 system around the final menstrual period (FMP). Perimenopause encompasses the menopausal-transition stages and the first year after the FMP:</w:t>
      </w:r>
    </w:p>
    <w:p>
      <w:pPr>
        <w:spacing w:before="0" w:after="80"/>
      </w:pPr>
      <w:r>
        <w:rPr>
          <w:rFonts w:ascii="Calibri" w:hAnsi="Calibri"/>
          <w:b w:val="0"/>
          <w:i w:val="0"/>
          <w:color w:val="212121"/>
          <w:sz w:val="21"/>
        </w:rPr>
        <w:t>(1) Late reproductive stage (STRAW −3): subtle changes in cycle length and flow with a rising, still cyclical, early-follicular FSH and declining AMH — fertility is waning but cycles remain regular;</w:t>
      </w:r>
    </w:p>
    <w:p>
      <w:pPr>
        <w:spacing w:before="0" w:after="80"/>
      </w:pPr>
      <w:r>
        <w:rPr>
          <w:rFonts w:ascii="Calibri" w:hAnsi="Calibri"/>
          <w:b w:val="0"/>
          <w:i w:val="0"/>
          <w:color w:val="212121"/>
          <w:sz w:val="21"/>
        </w:rPr>
        <w:t>(2) Early menopausal transition (STRAW −2): onset of persistent cycle-length variability (≥ 7-day difference between consecutive cycles) with fluctuating, intermittently elevated FSH;</w:t>
      </w:r>
    </w:p>
    <w:p>
      <w:pPr>
        <w:spacing w:before="0" w:after="80"/>
      </w:pPr>
      <w:r>
        <w:rPr>
          <w:rFonts w:ascii="Calibri" w:hAnsi="Calibri"/>
          <w:b w:val="0"/>
          <w:i w:val="0"/>
          <w:color w:val="212121"/>
          <w:sz w:val="21"/>
        </w:rPr>
        <w:t>(3) Late menopausal transition (STRAW −1): amenorrhoeic intervals of ≥ 60 days, FSH frequently ≥ 25 IU/L, and the highest likelihood of vasomotor symptoms; this stage lasts on average 1–3 years;</w:t>
      </w:r>
    </w:p>
    <w:p>
      <w:pPr>
        <w:spacing w:before="0" w:after="80"/>
      </w:pPr>
      <w:r>
        <w:rPr>
          <w:rFonts w:ascii="Calibri" w:hAnsi="Calibri"/>
          <w:b w:val="0"/>
          <w:i w:val="0"/>
          <w:color w:val="212121"/>
          <w:sz w:val="21"/>
        </w:rPr>
        <w:t>(4) Early postmenopause (STRAW +1): the first 12 months after the FMP, when FSH continues to rise and vasomotor symptoms peak — by convention still part of the clinical ‘perimenopause’ window;</w:t>
      </w:r>
    </w:p>
    <w:p>
      <w:pPr>
        <w:spacing w:before="0" w:after="80"/>
      </w:pPr>
      <w:r>
        <w:rPr>
          <w:rFonts w:ascii="Calibri" w:hAnsi="Calibri"/>
          <w:b w:val="0"/>
          <w:i w:val="0"/>
          <w:color w:val="212121"/>
          <w:sz w:val="21"/>
        </w:rPr>
        <w:t>(5) Induced / iatrogenic transition: an abrupt, often more severe transition caused by bilateral oophorectomy, chemotherapy or pelvic radiotherapy; premature (&lt; 40 years) or early (40–44 years) menopause carry heightened long-term cardiovascular and skeletal risk.</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Ovarian follicular depletion: The primary driver — progressive age-related exhaustion of the ovarian follicle pool reduces oestradiol and progesterone output and drives the entire transition.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Loss of ovarian feedback (AMH/inhibin-B decline): Falling inhibin-B and AMH remove negative feedback on the pituitary, so FSH rises and cycles become erratic before oestrogen finally falls.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Oestrogen fluctuation then decline: Wide, unpredictable swings in oestradiol — rather than steady low levels — explain hot flushes, mood lability and irregular, sometimes heavy, bleeding.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 familial timing: Age at menopause is substantially heritable; a woman’s mother’s age at menopause is a strong predictor of her own.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Smoking and lifestyle: Current smoking markedly accelerates follicular loss and brings menopause forward (odds of premature menopause ~4-fold higher); very low body weight is also linked to earlier menopause.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Iatrogenic / medical factors: Bilateral oophorectomy, hysterectomy (which can reduce ovarian blood supply), chemotherapy and pelvic radiotherapy induce an early or abrupt transition; autoimmune and genetic disorders can cause premature ovarian insufficiency.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Women in their mid-40s (approx. 40–50 years)</w:t>
            </w:r>
          </w:p>
        </w:tc>
        <w:tc>
          <w:tcPr>
            <w:tcW w:type="dxa" w:w="4276"/>
            <w:vAlign w:val="top"/>
          </w:tcPr>
          <w:p>
            <w:pPr>
              <w:spacing w:after="60" w:line="259" w:lineRule="auto"/>
            </w:pPr>
            <w:r>
              <w:rPr>
                <w:rFonts w:ascii="Calibri" w:hAnsi="Calibri"/>
                <w:b w:val="0"/>
                <w:i w:val="0"/>
                <w:color w:val="212121"/>
                <w:sz w:val="19"/>
              </w:rPr>
              <w:t>The normal window for the menopausal transition. Cumulative follicular loss reaches the threshold at which cycles become irregular and vasomotor symptoms emerge.</w:t>
            </w:r>
          </w:p>
          <w:p>
            <w:pPr>
              <w:spacing w:after="40" w:before="60" w:line="259" w:lineRule="auto"/>
            </w:pPr>
            <w:r>
              <w:rPr>
                <w:rFonts w:ascii="Calibri" w:hAnsi="Calibri"/>
                <w:b w:val="0"/>
                <w:i w:val="0"/>
                <w:color w:val="212121"/>
                <w:sz w:val="19"/>
              </w:rPr>
              <w:t>The average age at natural menopause in India is about 46.6 years (95% CI 44.83–48.44), so most Indian women are perimenopausal through their mid-40s.</w:t>
            </w:r>
          </w:p>
          <w:p>
            <w:pPr>
              <w:spacing w:after="40" w:line="252" w:lineRule="auto"/>
            </w:pPr>
            <w:hyperlink r:id="rId9">
              <w:r>
                <w:rPr>
                  <w:rFonts w:ascii="Calibri" w:hAnsi="Calibri" w:cs="Calibri"/>
                  <w:sz w:val="18"/>
                  <w:color w:val="1155CC"/>
                  <w:u w:val="single"/>
                </w:rPr>
                <w:t xml:space="preserve">pubmed.ncbi.nlm.nih.gov/33524647</w:t>
              </w:r>
            </w:hyperlink>
          </w:p>
          <w:p>
            <w:pPr>
              <w:spacing w:before="60" w:after="40"/>
            </w:pPr>
            <w:r>
              <w:rPr>
                <w:rFonts w:ascii="Calibri" w:hAnsi="Calibri"/>
                <w:b w:val="0"/>
                <w:i w:val="0"/>
                <w:color w:val="5A5A5A"/>
                <w:sz w:val="18"/>
              </w:rPr>
              <w:t>#perimenopause  #menopausaltransition  #midlife  #ovarianaging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Women 35–44 (early / premature onset)</w:t>
            </w:r>
          </w:p>
        </w:tc>
        <w:tc>
          <w:tcPr>
            <w:tcW w:type="dxa" w:w="4276"/>
            <w:vAlign w:val="top"/>
          </w:tcPr>
          <w:p>
            <w:pPr>
              <w:spacing w:after="60" w:line="259" w:lineRule="auto"/>
            </w:pPr>
            <w:r>
              <w:rPr>
                <w:rFonts w:ascii="Calibri" w:hAnsi="Calibri"/>
                <w:b w:val="0"/>
                <w:i w:val="0"/>
                <w:color w:val="212121"/>
                <w:sz w:val="19"/>
              </w:rPr>
              <w:t>Indian women transition several years earlier than Western populations; a minority enter menopause before 40 (premature ovarian insufficiency), which raises long-term cardiovascular and bone risk.</w:t>
            </w:r>
          </w:p>
          <w:p>
            <w:pPr>
              <w:spacing w:after="40" w:before="60" w:line="259" w:lineRule="auto"/>
            </w:pPr>
            <w:r>
              <w:rPr>
                <w:rFonts w:ascii="Calibri" w:hAnsi="Calibri"/>
                <w:b w:val="0"/>
                <w:i w:val="0"/>
                <w:color w:val="212121"/>
                <w:sz w:val="19"/>
              </w:rPr>
              <w:t>In a survey of 643,944 Indian women, menopause before age 40 was reported by about 1.5%.</w:t>
            </w:r>
          </w:p>
          <w:p>
            <w:pPr>
              <w:spacing w:after="40" w:line="252" w:lineRule="auto"/>
            </w:pPr>
            <w:hyperlink r:id="rId10">
              <w:r>
                <w:rPr>
                  <w:rFonts w:ascii="Calibri" w:hAnsi="Calibri" w:cs="Calibri"/>
                  <w:sz w:val="18"/>
                  <w:color w:val="1155CC"/>
                  <w:u w:val="single"/>
                </w:rPr>
                <w:t xml:space="preserve">pubmed.ncbi.nlm.nih.gov/28139535</w:t>
              </w:r>
            </w:hyperlink>
          </w:p>
          <w:p>
            <w:pPr>
              <w:spacing w:before="60" w:after="40"/>
            </w:pPr>
            <w:r>
              <w:rPr>
                <w:rFonts w:ascii="Calibri" w:hAnsi="Calibri"/>
                <w:b w:val="0"/>
                <w:i w:val="0"/>
                <w:color w:val="5A5A5A"/>
                <w:sz w:val="18"/>
              </w:rPr>
              <w:t>#earlymenopause  #POI  #prematuremenopause  #ovarianreserve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Females (natal/ovarian)</w:t>
            </w:r>
          </w:p>
        </w:tc>
        <w:tc>
          <w:tcPr>
            <w:tcW w:type="dxa" w:w="4276"/>
            <w:vAlign w:val="top"/>
          </w:tcPr>
          <w:p>
            <w:pPr>
              <w:spacing w:after="60" w:line="259" w:lineRule="auto"/>
            </w:pPr>
            <w:r>
              <w:rPr>
                <w:rFonts w:ascii="Calibri" w:hAnsi="Calibri"/>
                <w:b w:val="0"/>
                <w:i w:val="0"/>
                <w:color w:val="212121"/>
                <w:sz w:val="19"/>
              </w:rPr>
              <w:t>By definition perimenopause is exclusive to individuals with functioning ovaries; the transition reflects ovarian follicular depletion and has no direct male equivalent.</w:t>
            </w:r>
          </w:p>
          <w:p>
            <w:pPr>
              <w:spacing w:after="40" w:before="60" w:line="259" w:lineRule="auto"/>
            </w:pPr>
            <w:r>
              <w:rPr>
                <w:rFonts w:ascii="Calibri" w:hAnsi="Calibri"/>
                <w:b w:val="0"/>
                <w:i w:val="0"/>
                <w:color w:val="212121"/>
                <w:sz w:val="19"/>
              </w:rPr>
              <w:t>Most women experience menopause between 45 and 55 years as a natural part of biological ageing.</w:t>
            </w:r>
          </w:p>
          <w:p>
            <w:pPr>
              <w:spacing w:after="40" w:line="252" w:lineRule="auto"/>
            </w:pPr>
            <w:hyperlink r:id="rId11">
              <w:r>
                <w:rPr>
                  <w:rFonts w:ascii="Calibri" w:hAnsi="Calibri" w:cs="Calibri"/>
                  <w:sz w:val="18"/>
                  <w:color w:val="1155CC"/>
                  <w:u w:val="single"/>
                </w:rPr>
                <w:t xml:space="preserve">who.int — menopause fact sheet</w:t>
              </w:r>
            </w:hyperlink>
          </w:p>
          <w:p>
            <w:pPr>
              <w:spacing w:before="60" w:after="40"/>
            </w:pPr>
            <w:r>
              <w:rPr>
                <w:rFonts w:ascii="Calibri" w:hAnsi="Calibri"/>
                <w:b w:val="0"/>
                <w:i w:val="0"/>
                <w:color w:val="5A5A5A"/>
                <w:sz w:val="18"/>
              </w:rPr>
              <w:t>#womenshealth  #ovary  #estrogen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less-educated, widowed women</w:t>
            </w:r>
          </w:p>
        </w:tc>
        <w:tc>
          <w:tcPr>
            <w:tcW w:type="dxa" w:w="4276"/>
            <w:vAlign w:val="top"/>
          </w:tcPr>
          <w:p>
            <w:pPr>
              <w:spacing w:after="60" w:line="259" w:lineRule="auto"/>
            </w:pPr>
            <w:r>
              <w:rPr>
                <w:rFonts w:ascii="Calibri" w:hAnsi="Calibri"/>
                <w:b w:val="0"/>
                <w:i w:val="0"/>
                <w:color w:val="212121"/>
                <w:sz w:val="19"/>
              </w:rPr>
              <w:t>Poverty, low education and marital disruption are linked to earlier menopause and to a heavier, less-treated symptom burden, partly through nutrition, parity and healthcare access.</w:t>
            </w:r>
          </w:p>
          <w:p>
            <w:pPr>
              <w:spacing w:after="40" w:before="60" w:line="259" w:lineRule="auto"/>
            </w:pPr>
            <w:r>
              <w:rPr>
                <w:rFonts w:ascii="Calibri" w:hAnsi="Calibri"/>
                <w:b w:val="0"/>
                <w:i w:val="0"/>
                <w:color w:val="212121"/>
                <w:sz w:val="19"/>
              </w:rPr>
              <w:t>Earlier natural menopause in India was significantly associated with poverty, rural residence, lack of formal education, widowhood and low parity.</w:t>
            </w:r>
          </w:p>
          <w:p>
            <w:pPr>
              <w:spacing w:after="40" w:line="252" w:lineRule="auto"/>
            </w:pPr>
            <w:hyperlink r:id="rId10">
              <w:r>
                <w:rPr>
                  <w:rFonts w:ascii="Calibri" w:hAnsi="Calibri" w:cs="Calibri"/>
                  <w:sz w:val="18"/>
                  <w:color w:val="1155CC"/>
                  <w:u w:val="single"/>
                </w:rPr>
                <w:t xml:space="preserve">pubmed.ncbi.nlm.nih.gov/28139535</w:t>
              </w:r>
            </w:hyperlink>
          </w:p>
          <w:p>
            <w:pPr>
              <w:spacing w:before="60" w:after="40"/>
            </w:pPr>
            <w:r>
              <w:rPr>
                <w:rFonts w:ascii="Calibri" w:hAnsi="Calibri"/>
                <w:b w:val="0"/>
                <w:i w:val="0"/>
                <w:color w:val="5A5A5A"/>
                <w:sz w:val="18"/>
              </w:rPr>
              <w:t>#healthequity  #SES  #ruralhealth  #underserved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 South Asian women</w:t>
            </w:r>
          </w:p>
        </w:tc>
        <w:tc>
          <w:tcPr>
            <w:tcW w:type="dxa" w:w="4276"/>
            <w:vAlign w:val="top"/>
          </w:tcPr>
          <w:p>
            <w:pPr>
              <w:spacing w:after="60" w:line="259" w:lineRule="auto"/>
            </w:pPr>
            <w:r>
              <w:rPr>
                <w:rFonts w:ascii="Calibri" w:hAnsi="Calibri"/>
                <w:b w:val="0"/>
                <w:i w:val="0"/>
                <w:color w:val="212121"/>
                <w:sz w:val="19"/>
              </w:rPr>
              <w:t>South Asian women reach menopause earlier than European or North American women, compressing the reproductive span and advancing the age of perimenopausal symptoms.</w:t>
            </w:r>
          </w:p>
          <w:p>
            <w:pPr>
              <w:spacing w:after="40" w:before="60" w:line="259" w:lineRule="auto"/>
            </w:pPr>
            <w:r>
              <w:rPr>
                <w:rFonts w:ascii="Calibri" w:hAnsi="Calibri"/>
                <w:b w:val="0"/>
                <w:i w:val="0"/>
                <w:color w:val="212121"/>
                <w:sz w:val="19"/>
              </w:rPr>
              <w:t>India’s mean age at natural menopause (~46.6 years) is significantly lower than the ~51 years reported in many high-income countries.</w:t>
            </w:r>
          </w:p>
          <w:p>
            <w:pPr>
              <w:spacing w:after="40" w:line="252" w:lineRule="auto"/>
            </w:pPr>
            <w:hyperlink r:id="rId9">
              <w:r>
                <w:rPr>
                  <w:rFonts w:ascii="Calibri" w:hAnsi="Calibri" w:cs="Calibri"/>
                  <w:sz w:val="18"/>
                  <w:color w:val="1155CC"/>
                  <w:u w:val="single"/>
                </w:rPr>
                <w:t xml:space="preserve">pubmed.ncbi.nlm.nih.gov/33524647</w:t>
              </w:r>
            </w:hyperlink>
          </w:p>
          <w:p>
            <w:pPr>
              <w:spacing w:before="60" w:after="40"/>
            </w:pPr>
            <w:r>
              <w:rPr>
                <w:rFonts w:ascii="Calibri" w:hAnsi="Calibri"/>
                <w:b w:val="0"/>
                <w:i w:val="0"/>
                <w:color w:val="5A5A5A"/>
                <w:sz w:val="18"/>
              </w:rPr>
              <w:t>#southasian  #indianwomen  #earliertransition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Rural and western-region Indian women</w:t>
            </w:r>
          </w:p>
        </w:tc>
        <w:tc>
          <w:tcPr>
            <w:tcW w:type="dxa" w:w="4276"/>
            <w:vAlign w:val="top"/>
          </w:tcPr>
          <w:p>
            <w:pPr>
              <w:spacing w:after="60" w:line="259" w:lineRule="auto"/>
            </w:pPr>
            <w:r>
              <w:rPr>
                <w:rFonts w:ascii="Calibri" w:hAnsi="Calibri"/>
                <w:b w:val="0"/>
                <w:i w:val="0"/>
                <w:color w:val="212121"/>
                <w:sz w:val="19"/>
              </w:rPr>
              <w:t>Rural residence and, geographically, western India were associated with earlier menopause, likely mediated by nutrition, workload and socioeconomic factors.</w:t>
            </w:r>
          </w:p>
          <w:p>
            <w:pPr>
              <w:spacing w:after="40" w:before="60" w:line="259" w:lineRule="auto"/>
            </w:pPr>
            <w:r>
              <w:rPr>
                <w:rFonts w:ascii="Calibri" w:hAnsi="Calibri"/>
                <w:b w:val="0"/>
                <w:i w:val="0"/>
                <w:color w:val="212121"/>
                <w:sz w:val="19"/>
              </w:rPr>
              <w:t>Early menopause clustered in rural areas and western regions in a national analysis of Indian women.</w:t>
            </w:r>
          </w:p>
          <w:p>
            <w:pPr>
              <w:spacing w:after="40" w:line="252" w:lineRule="auto"/>
            </w:pPr>
            <w:hyperlink r:id="rId10">
              <w:r>
                <w:rPr>
                  <w:rFonts w:ascii="Calibri" w:hAnsi="Calibri" w:cs="Calibri"/>
                  <w:sz w:val="18"/>
                  <w:color w:val="1155CC"/>
                  <w:u w:val="single"/>
                </w:rPr>
                <w:t xml:space="preserve">pubmed.ncbi.nlm.nih.gov/28139535</w:t>
              </w:r>
            </w:hyperlink>
          </w:p>
          <w:p>
            <w:pPr>
              <w:spacing w:before="60" w:after="40"/>
            </w:pPr>
            <w:r>
              <w:rPr>
                <w:rFonts w:ascii="Calibri" w:hAnsi="Calibri"/>
                <w:b w:val="0"/>
                <w:i w:val="0"/>
                <w:color w:val="5A5A5A"/>
                <w:sz w:val="18"/>
              </w:rPr>
              <w:t>#ruralindia  #westernindia  #nutrition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cigarette / bidi smokers</w:t>
            </w:r>
          </w:p>
        </w:tc>
        <w:tc>
          <w:tcPr>
            <w:tcW w:type="dxa" w:w="4276"/>
            <w:vAlign w:val="top"/>
          </w:tcPr>
          <w:p>
            <w:pPr>
              <w:spacing w:after="60" w:line="259" w:lineRule="auto"/>
            </w:pPr>
            <w:r>
              <w:rPr>
                <w:rFonts w:ascii="Calibri" w:hAnsi="Calibri"/>
                <w:b w:val="0"/>
                <w:i w:val="0"/>
                <w:color w:val="212121"/>
                <w:sz w:val="19"/>
              </w:rPr>
              <w:t>Tobacco toxins are directly gonadotoxic, accelerating follicular loss so that menopause arrives earlier and vasomotor symptoms and bone loss are worse.</w:t>
            </w:r>
          </w:p>
          <w:p>
            <w:pPr>
              <w:spacing w:after="40" w:before="60" w:line="259" w:lineRule="auto"/>
            </w:pPr>
            <w:r>
              <w:rPr>
                <w:rFonts w:ascii="Calibri" w:hAnsi="Calibri"/>
                <w:b w:val="0"/>
                <w:i w:val="0"/>
                <w:color w:val="212121"/>
                <w:sz w:val="19"/>
              </w:rPr>
              <w:t>Current smoking was associated with premature menopause (odds ratio 3.99, 95% CI 1.35–11.81).</w:t>
            </w:r>
          </w:p>
          <w:p>
            <w:pPr>
              <w:spacing w:after="40" w:line="252" w:lineRule="auto"/>
            </w:pPr>
            <w:hyperlink r:id="rId12">
              <w:r>
                <w:rPr>
                  <w:rFonts w:ascii="Calibri" w:hAnsi="Calibri" w:cs="Calibri"/>
                  <w:sz w:val="18"/>
                  <w:color w:val="1155CC"/>
                  <w:u w:val="single"/>
                </w:rPr>
                <w:t xml:space="preserve">pubmed.ncbi.nlm.nih.gov/35312401</w:t>
              </w:r>
            </w:hyperlink>
          </w:p>
          <w:p>
            <w:pPr>
              <w:spacing w:before="60" w:after="40"/>
            </w:pPr>
            <w:r>
              <w:rPr>
                <w:rFonts w:ascii="Calibri" w:hAnsi="Calibri"/>
                <w:b w:val="0"/>
                <w:i w:val="0"/>
                <w:color w:val="5A5A5A"/>
                <w:sz w:val="18"/>
              </w:rPr>
              <w:t>#smoking  #gonadotoxic  #earlymenopause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low physical activity</w:t>
            </w:r>
          </w:p>
        </w:tc>
        <w:tc>
          <w:tcPr>
            <w:tcW w:type="dxa" w:w="2160"/>
            <w:vAlign w:val="top"/>
          </w:tcPr>
          <w:p>
            <w:pPr>
              <w:spacing w:after="40" w:before="0" w:line="259" w:lineRule="auto"/>
            </w:pPr>
            <w:r>
              <w:rPr>
                <w:rFonts w:ascii="Calibri" w:hAnsi="Calibri"/>
                <w:b w:val="0"/>
                <w:i w:val="0"/>
                <w:color w:val="212121"/>
                <w:sz w:val="19"/>
              </w:rPr>
              <w:t>Physically inactive midlife women</w:t>
            </w:r>
          </w:p>
        </w:tc>
        <w:tc>
          <w:tcPr>
            <w:tcW w:type="dxa" w:w="4276"/>
            <w:vAlign w:val="top"/>
          </w:tcPr>
          <w:p>
            <w:pPr>
              <w:spacing w:after="60" w:line="259" w:lineRule="auto"/>
            </w:pPr>
            <w:r>
              <w:rPr>
                <w:rFonts w:ascii="Calibri" w:hAnsi="Calibri"/>
                <w:b w:val="0"/>
                <w:i w:val="0"/>
                <w:color w:val="212121"/>
                <w:sz w:val="19"/>
              </w:rPr>
              <w:t>Physical inactivity is associated with more severe hot flushes, poorer mood and sleep, greater central weight gain and faster bone and muscle loss during the transition.</w:t>
            </w:r>
          </w:p>
          <w:p>
            <w:pPr>
              <w:spacing w:after="40" w:before="60" w:line="259" w:lineRule="auto"/>
            </w:pPr>
            <w:r>
              <w:rPr>
                <w:rFonts w:ascii="Calibri" w:hAnsi="Calibri"/>
                <w:b w:val="0"/>
                <w:i w:val="0"/>
                <w:color w:val="212121"/>
                <w:sz w:val="19"/>
              </w:rPr>
              <w:t>Regular exercise is associated with better sleep and psychological well-being across the menopause transition; inactivity compounds vasomotor and metabolic symptoms.</w:t>
            </w:r>
          </w:p>
          <w:p>
            <w:pPr>
              <w:spacing w:before="60" w:after="40"/>
            </w:pPr>
            <w:r>
              <w:rPr>
                <w:rFonts w:ascii="Calibri" w:hAnsi="Calibri"/>
                <w:b w:val="0"/>
                <w:i w:val="0"/>
                <w:color w:val="5A5A5A"/>
                <w:sz w:val="18"/>
              </w:rPr>
              <w:t>#sedentary  #physicalactivity  #bonehealth  #mood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Underweight / low BMI</w:t>
            </w:r>
          </w:p>
        </w:tc>
        <w:tc>
          <w:tcPr>
            <w:tcW w:type="dxa" w:w="2160"/>
            <w:vAlign w:val="top"/>
          </w:tcPr>
          <w:p>
            <w:pPr>
              <w:spacing w:after="40" w:before="0" w:line="259" w:lineRule="auto"/>
            </w:pPr>
            <w:r>
              <w:rPr>
                <w:rFonts w:ascii="Calibri" w:hAnsi="Calibri"/>
                <w:b w:val="0"/>
                <w:i w:val="0"/>
                <w:color w:val="212121"/>
                <w:sz w:val="19"/>
              </w:rPr>
              <w:t>Thin, low-BMI women</w:t>
            </w:r>
          </w:p>
        </w:tc>
        <w:tc>
          <w:tcPr>
            <w:tcW w:type="dxa" w:w="4276"/>
            <w:vAlign w:val="top"/>
          </w:tcPr>
          <w:p>
            <w:pPr>
              <w:spacing w:after="60" w:line="259" w:lineRule="auto"/>
            </w:pPr>
            <w:r>
              <w:rPr>
                <w:rFonts w:ascii="Calibri" w:hAnsi="Calibri"/>
                <w:b w:val="0"/>
                <w:i w:val="0"/>
                <w:color w:val="212121"/>
                <w:sz w:val="19"/>
              </w:rPr>
              <w:t>Low body fat means less peripheral aromatisation of androgens to oestrogen, an important source once the ovaries decline; low BMI is linked to earlier menopause and more troublesome flushing.</w:t>
            </w:r>
          </w:p>
          <w:p>
            <w:pPr>
              <w:spacing w:after="40" w:before="60" w:line="259" w:lineRule="auto"/>
            </w:pPr>
            <w:r>
              <w:rPr>
                <w:rFonts w:ascii="Calibri" w:hAnsi="Calibri"/>
                <w:b w:val="0"/>
                <w:i w:val="0"/>
                <w:color w:val="212121"/>
                <w:sz w:val="19"/>
              </w:rPr>
              <w:t>A BMI &lt; 18.5 kg/m² was associated with early menopause (odds ratio 2.30, 95% CI 1.01–5.22).</w:t>
            </w:r>
          </w:p>
          <w:p>
            <w:pPr>
              <w:spacing w:after="40" w:line="252" w:lineRule="auto"/>
            </w:pPr>
            <w:hyperlink r:id="rId12">
              <w:r>
                <w:rPr>
                  <w:rFonts w:ascii="Calibri" w:hAnsi="Calibri" w:cs="Calibri"/>
                  <w:sz w:val="18"/>
                  <w:color w:val="1155CC"/>
                  <w:u w:val="single"/>
                </w:rPr>
                <w:t xml:space="preserve">pubmed.ncbi.nlm.nih.gov/35312401</w:t>
              </w:r>
            </w:hyperlink>
          </w:p>
          <w:p>
            <w:pPr>
              <w:spacing w:before="60" w:after="40"/>
            </w:pPr>
            <w:r>
              <w:rPr>
                <w:rFonts w:ascii="Calibri" w:hAnsi="Calibri"/>
                <w:b w:val="0"/>
                <w:i w:val="0"/>
                <w:color w:val="5A5A5A"/>
                <w:sz w:val="18"/>
              </w:rPr>
              <w:t>#lowBMI  #underweight  #aromatization  #estrogen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and obese midlife women</w:t>
            </w:r>
          </w:p>
        </w:tc>
        <w:tc>
          <w:tcPr>
            <w:tcW w:type="dxa" w:w="4276"/>
            <w:vAlign w:val="top"/>
          </w:tcPr>
          <w:p>
            <w:pPr>
              <w:spacing w:after="60" w:line="259" w:lineRule="auto"/>
            </w:pPr>
            <w:r>
              <w:rPr>
                <w:rFonts w:ascii="Calibri" w:hAnsi="Calibri"/>
                <w:b w:val="0"/>
                <w:i w:val="0"/>
                <w:color w:val="212121"/>
                <w:sz w:val="19"/>
              </w:rPr>
              <w:t>Higher BMI shifts menopause slightly later through greater oestrogen from adipose tissue, but central adiposity worsens hot flushes and markedly raises cardiometabolic risk across the transition.</w:t>
            </w:r>
          </w:p>
          <w:p>
            <w:pPr>
              <w:spacing w:after="40" w:before="60" w:line="259" w:lineRule="auto"/>
            </w:pPr>
            <w:r>
              <w:rPr>
                <w:rFonts w:ascii="Calibri" w:hAnsi="Calibri"/>
                <w:b w:val="0"/>
                <w:i w:val="0"/>
                <w:color w:val="212121"/>
                <w:sz w:val="19"/>
              </w:rPr>
              <w:t>A BMI ≥ 25 kg/m² was associated with later menopause (≥ 55 years; odds ratio 1.38, 95% CI 1.10–1.72).</w:t>
            </w:r>
          </w:p>
          <w:p>
            <w:pPr>
              <w:spacing w:after="40" w:line="252" w:lineRule="auto"/>
            </w:pPr>
            <w:hyperlink r:id="rId12">
              <w:r>
                <w:rPr>
                  <w:rFonts w:ascii="Calibri" w:hAnsi="Calibri" w:cs="Calibri"/>
                  <w:sz w:val="18"/>
                  <w:color w:val="1155CC"/>
                  <w:u w:val="single"/>
                </w:rPr>
                <w:t xml:space="preserve">pubmed.ncbi.nlm.nih.gov/35312401</w:t>
              </w:r>
            </w:hyperlink>
          </w:p>
          <w:p>
            <w:pPr>
              <w:spacing w:before="60" w:after="40"/>
            </w:pPr>
            <w:r>
              <w:rPr>
                <w:rFonts w:ascii="Calibri" w:hAnsi="Calibri"/>
                <w:b w:val="0"/>
                <w:i w:val="0"/>
                <w:color w:val="5A5A5A"/>
                <w:sz w:val="18"/>
              </w:rPr>
              <w:t>#obesity  #visceralfat  #cardiometabolic  #hotflashes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 calcium / vitamin D intake</w:t>
            </w:r>
          </w:p>
        </w:tc>
        <w:tc>
          <w:tcPr>
            <w:tcW w:type="dxa" w:w="2160"/>
            <w:vAlign w:val="top"/>
          </w:tcPr>
          <w:p>
            <w:pPr>
              <w:spacing w:after="40" w:before="0" w:line="259" w:lineRule="auto"/>
            </w:pPr>
            <w:r>
              <w:rPr>
                <w:rFonts w:ascii="Calibri" w:hAnsi="Calibri"/>
                <w:b w:val="0"/>
                <w:i w:val="0"/>
                <w:color w:val="212121"/>
                <w:sz w:val="19"/>
              </w:rPr>
              <w:t>Women with poor calcium and vitamin-D nutrition</w:t>
            </w:r>
          </w:p>
        </w:tc>
        <w:tc>
          <w:tcPr>
            <w:tcW w:type="dxa" w:w="4276"/>
            <w:vAlign w:val="top"/>
          </w:tcPr>
          <w:p>
            <w:pPr>
              <w:spacing w:after="60" w:line="259" w:lineRule="auto"/>
            </w:pPr>
            <w:r>
              <w:rPr>
                <w:rFonts w:ascii="Calibri" w:hAnsi="Calibri"/>
                <w:b w:val="0"/>
                <w:i w:val="0"/>
                <w:color w:val="212121"/>
                <w:sz w:val="19"/>
              </w:rPr>
              <w:t>Oestrogen withdrawal accelerates bone resorption; a background of low dietary calcium and widespread vitamin-D deficiency in India magnifies perimenopausal bone loss and fracture risk.</w:t>
            </w:r>
          </w:p>
          <w:p>
            <w:pPr>
              <w:spacing w:after="40" w:before="60" w:line="259" w:lineRule="auto"/>
            </w:pPr>
            <w:r>
              <w:rPr>
                <w:rFonts w:ascii="Calibri" w:hAnsi="Calibri"/>
                <w:b w:val="0"/>
                <w:i w:val="0"/>
                <w:color w:val="212121"/>
                <w:sz w:val="19"/>
              </w:rPr>
              <w:t>In an Indian (Ernakulam) study of postmenopausal women, 63.6% were at risk for osteoporosis.</w:t>
            </w:r>
          </w:p>
          <w:p>
            <w:pPr>
              <w:spacing w:after="40" w:line="252" w:lineRule="auto"/>
            </w:pPr>
            <w:hyperlink r:id="rId13">
              <w:r>
                <w:rPr>
                  <w:rFonts w:ascii="Calibri" w:hAnsi="Calibri" w:cs="Calibri"/>
                  <w:sz w:val="18"/>
                  <w:color w:val="1155CC"/>
                  <w:u w:val="single"/>
                </w:rPr>
                <w:t xml:space="preserve">pubmed.ncbi.nlm.nih.gov/38864018</w:t>
              </w:r>
            </w:hyperlink>
          </w:p>
          <w:p>
            <w:pPr>
              <w:spacing w:before="60" w:after="40"/>
            </w:pPr>
            <w:r>
              <w:rPr>
                <w:rFonts w:ascii="Calibri" w:hAnsi="Calibri"/>
                <w:b w:val="0"/>
                <w:i w:val="0"/>
                <w:color w:val="5A5A5A"/>
                <w:sz w:val="18"/>
              </w:rPr>
              <w:t>#calcium  #vitaminD  #bonehealth  #osteoporosis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 quality / phytoestrogens</w:t>
            </w:r>
          </w:p>
        </w:tc>
        <w:tc>
          <w:tcPr>
            <w:tcW w:type="dxa" w:w="2160"/>
            <w:vAlign w:val="top"/>
          </w:tcPr>
          <w:p>
            <w:pPr>
              <w:spacing w:after="40" w:before="0" w:line="259" w:lineRule="auto"/>
            </w:pPr>
            <w:r>
              <w:rPr>
                <w:rFonts w:ascii="Calibri" w:hAnsi="Calibri"/>
                <w:b w:val="0"/>
                <w:i w:val="0"/>
                <w:color w:val="212121"/>
                <w:sz w:val="19"/>
              </w:rPr>
              <w:t>Low-fibre, low-phytoestrogen, high-caffeine diets</w:t>
            </w:r>
          </w:p>
        </w:tc>
        <w:tc>
          <w:tcPr>
            <w:tcW w:type="dxa" w:w="4276"/>
            <w:vAlign w:val="top"/>
          </w:tcPr>
          <w:p>
            <w:pPr>
              <w:spacing w:after="60" w:line="259" w:lineRule="auto"/>
            </w:pPr>
            <w:r>
              <w:rPr>
                <w:rFonts w:ascii="Calibri" w:hAnsi="Calibri"/>
                <w:b w:val="0"/>
                <w:i w:val="0"/>
                <w:color w:val="212121"/>
                <w:sz w:val="19"/>
              </w:rPr>
              <w:t>Diets low in fibre, pulses and soy phytoestrogens and high in caffeine and spicy/hot foods may aggravate vasomotor symptoms and worsen the metabolic drift of the transition.</w:t>
            </w:r>
          </w:p>
          <w:p>
            <w:pPr>
              <w:spacing w:after="40" w:before="60" w:line="259" w:lineRule="auto"/>
            </w:pPr>
            <w:r>
              <w:rPr>
                <w:rFonts w:ascii="Calibri" w:hAnsi="Calibri"/>
                <w:b w:val="0"/>
                <w:i w:val="0"/>
                <w:color w:val="212121"/>
                <w:sz w:val="19"/>
              </w:rPr>
              <w:t>Traditional Indian legume- and millet-based diets provide phytoestrogens and fibre that support cardiometabolic and bone health during the transition.</w:t>
            </w:r>
          </w:p>
          <w:p>
            <w:pPr>
              <w:spacing w:before="60" w:after="40"/>
            </w:pPr>
            <w:r>
              <w:rPr>
                <w:rFonts w:ascii="Calibri" w:hAnsi="Calibri"/>
                <w:b w:val="0"/>
                <w:i w:val="0"/>
                <w:color w:val="5A5A5A"/>
                <w:sz w:val="18"/>
              </w:rPr>
              <w:t>#phytoestrogen  #soy  #fibre  #caffeine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Women whose mother had early menopause</w:t>
            </w:r>
          </w:p>
        </w:tc>
        <w:tc>
          <w:tcPr>
            <w:tcW w:type="dxa" w:w="4276"/>
            <w:vAlign w:val="top"/>
          </w:tcPr>
          <w:p>
            <w:pPr>
              <w:spacing w:after="60" w:line="259" w:lineRule="auto"/>
            </w:pPr>
            <w:r>
              <w:rPr>
                <w:rFonts w:ascii="Calibri" w:hAnsi="Calibri"/>
                <w:b w:val="0"/>
                <w:i w:val="0"/>
                <w:color w:val="212121"/>
                <w:sz w:val="19"/>
              </w:rPr>
              <w:t>Age at menopause is strongly heritable; a family history of early menopause predicts an earlier personal transition and a shorter window for fertility and oestrogen protection.</w:t>
            </w:r>
          </w:p>
          <w:p>
            <w:pPr>
              <w:spacing w:after="40" w:before="60" w:line="259" w:lineRule="auto"/>
            </w:pPr>
            <w:r>
              <w:rPr>
                <w:rFonts w:ascii="Calibri" w:hAnsi="Calibri"/>
                <w:b w:val="0"/>
                <w:i w:val="0"/>
                <w:color w:val="212121"/>
                <w:sz w:val="19"/>
              </w:rPr>
              <w:t>Genetic and familial factors are among the principal determinants of the age at which natural menopause occurs.</w:t>
            </w:r>
          </w:p>
          <w:p>
            <w:pPr>
              <w:spacing w:after="40" w:line="252" w:lineRule="auto"/>
            </w:pPr>
            <w:hyperlink r:id="rId14">
              <w:r>
                <w:rPr>
                  <w:rFonts w:ascii="Calibri" w:hAnsi="Calibri" w:cs="Calibri"/>
                  <w:sz w:val="18"/>
                  <w:color w:val="1155CC"/>
                  <w:u w:val="single"/>
                </w:rPr>
                <w:t xml:space="preserve">pubmed.ncbi.nlm.nih.gov/21961711</w:t>
              </w:r>
            </w:hyperlink>
          </w:p>
          <w:p>
            <w:pPr>
              <w:spacing w:before="60" w:after="40"/>
            </w:pPr>
            <w:r>
              <w:rPr>
                <w:rFonts w:ascii="Calibri" w:hAnsi="Calibri"/>
                <w:b w:val="0"/>
                <w:i w:val="0"/>
                <w:color w:val="5A5A5A"/>
                <w:sz w:val="18"/>
              </w:rPr>
              <w:t>#heritability  #familyhistory  #menopausaltiming</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Depression / anxiety</w:t>
            </w:r>
          </w:p>
        </w:tc>
        <w:tc>
          <w:tcPr>
            <w:tcW w:type="dxa" w:w="2160"/>
            <w:vAlign w:val="top"/>
          </w:tcPr>
          <w:p>
            <w:pPr>
              <w:spacing w:after="40" w:before="0" w:line="259" w:lineRule="auto"/>
            </w:pPr>
            <w:r>
              <w:rPr>
                <w:rFonts w:ascii="Calibri" w:hAnsi="Calibri"/>
                <w:b w:val="0"/>
                <w:i w:val="0"/>
                <w:color w:val="212121"/>
                <w:sz w:val="19"/>
              </w:rPr>
              <w:t>Women with prior or current mood disorder</w:t>
            </w:r>
          </w:p>
        </w:tc>
        <w:tc>
          <w:tcPr>
            <w:tcW w:type="dxa" w:w="4276"/>
            <w:vAlign w:val="top"/>
          </w:tcPr>
          <w:p>
            <w:pPr>
              <w:spacing w:after="60" w:line="259" w:lineRule="auto"/>
            </w:pPr>
            <w:r>
              <w:rPr>
                <w:rFonts w:ascii="Calibri" w:hAnsi="Calibri"/>
                <w:b w:val="0"/>
                <w:i w:val="0"/>
                <w:color w:val="212121"/>
                <w:sz w:val="19"/>
              </w:rPr>
              <w:t>The perimenopause is a hormonal 'window of vulnerability' for depression; fluctuating oestrogen, disturbed sleep and psychosocial stress interact, and a prior history amplifies risk.</w:t>
            </w:r>
          </w:p>
          <w:p>
            <w:pPr>
              <w:spacing w:after="40" w:before="60" w:line="259" w:lineRule="auto"/>
            </w:pPr>
            <w:r>
              <w:rPr>
                <w:rFonts w:ascii="Calibri" w:hAnsi="Calibri"/>
                <w:b w:val="0"/>
                <w:i w:val="0"/>
                <w:color w:val="212121"/>
                <w:sz w:val="19"/>
              </w:rPr>
              <w:t>Perimenopause is recognised as a window of vulnerability for new-onset and recurrent depressive symptoms and major depressive episodes.</w:t>
            </w:r>
          </w:p>
          <w:p>
            <w:pPr>
              <w:spacing w:after="40" w:line="252" w:lineRule="auto"/>
            </w:pPr>
            <w:hyperlink r:id="rId15">
              <w:r>
                <w:rPr>
                  <w:rFonts w:ascii="Calibri" w:hAnsi="Calibri" w:cs="Calibri"/>
                  <w:sz w:val="18"/>
                  <w:color w:val="1155CC"/>
                  <w:u w:val="single"/>
                </w:rPr>
                <w:t xml:space="preserve">pubmed.ncbi.nlm.nih.gov/30182804</w:t>
              </w:r>
            </w:hyperlink>
          </w:p>
          <w:p>
            <w:pPr>
              <w:spacing w:before="60" w:after="40"/>
            </w:pPr>
            <w:r>
              <w:rPr>
                <w:rFonts w:ascii="Calibri" w:hAnsi="Calibri"/>
                <w:b w:val="0"/>
                <w:i w:val="0"/>
                <w:color w:val="5A5A5A"/>
                <w:sz w:val="18"/>
              </w:rPr>
              <w:t>#depression  #anxiety  #windowofvulnerability  #mentalhealth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disorder</w:t>
            </w:r>
          </w:p>
        </w:tc>
        <w:tc>
          <w:tcPr>
            <w:tcW w:type="dxa" w:w="2160"/>
            <w:vAlign w:val="top"/>
          </w:tcPr>
          <w:p>
            <w:pPr>
              <w:spacing w:after="40" w:before="0" w:line="259" w:lineRule="auto"/>
            </w:pPr>
            <w:r>
              <w:rPr>
                <w:rFonts w:ascii="Calibri" w:hAnsi="Calibri"/>
                <w:b w:val="0"/>
                <w:i w:val="0"/>
                <w:color w:val="212121"/>
                <w:sz w:val="19"/>
              </w:rPr>
              <w:t>Women with hypo- or hyperthyroidism</w:t>
            </w:r>
          </w:p>
        </w:tc>
        <w:tc>
          <w:tcPr>
            <w:tcW w:type="dxa" w:w="4276"/>
            <w:vAlign w:val="top"/>
          </w:tcPr>
          <w:p>
            <w:pPr>
              <w:spacing w:after="60" w:line="259" w:lineRule="auto"/>
            </w:pPr>
            <w:r>
              <w:rPr>
                <w:rFonts w:ascii="Calibri" w:hAnsi="Calibri"/>
                <w:b w:val="0"/>
                <w:i w:val="0"/>
                <w:color w:val="212121"/>
                <w:sz w:val="19"/>
              </w:rPr>
              <w:t>Thyroid disease is common in midlife Indian women and its symptoms (fatigue, weight change, mood and menstrual disturbance) overlap heavily with perimenopause, complicating diagnosis.</w:t>
            </w:r>
          </w:p>
          <w:p>
            <w:pPr>
              <w:spacing w:after="40" w:before="60" w:line="259" w:lineRule="auto"/>
            </w:pPr>
            <w:r>
              <w:rPr>
                <w:rFonts w:ascii="Calibri" w:hAnsi="Calibri"/>
                <w:b w:val="0"/>
                <w:i w:val="0"/>
                <w:color w:val="212121"/>
                <w:sz w:val="19"/>
              </w:rPr>
              <w:t>Thyroid dysfunction closely mimics perimenopausal symptoms, so TSH is checked to avoid misattributing treatable thyroid disease to the menopausal transition.</w:t>
            </w:r>
          </w:p>
          <w:p>
            <w:pPr>
              <w:spacing w:before="60" w:after="40"/>
            </w:pPr>
            <w:r>
              <w:rPr>
                <w:rFonts w:ascii="Calibri" w:hAnsi="Calibri"/>
                <w:b w:val="0"/>
                <w:i w:val="0"/>
                <w:color w:val="5A5A5A"/>
                <w:sz w:val="18"/>
              </w:rPr>
              <w:t>#thyroid  #hypothyroidism  #symptomoverlap  #TSH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Iatrogenic ovarian loss</w:t>
            </w:r>
          </w:p>
        </w:tc>
        <w:tc>
          <w:tcPr>
            <w:tcW w:type="dxa" w:w="2160"/>
            <w:vAlign w:val="top"/>
          </w:tcPr>
          <w:p>
            <w:pPr>
              <w:spacing w:after="40" w:before="0" w:line="259" w:lineRule="auto"/>
            </w:pPr>
            <w:r>
              <w:rPr>
                <w:rFonts w:ascii="Calibri" w:hAnsi="Calibri"/>
                <w:b w:val="0"/>
                <w:i w:val="0"/>
                <w:color w:val="212121"/>
                <w:sz w:val="19"/>
              </w:rPr>
              <w:t>Post-oophorectomy, chemotherapy or pelvic-radiation patients</w:t>
            </w:r>
          </w:p>
        </w:tc>
        <w:tc>
          <w:tcPr>
            <w:tcW w:type="dxa" w:w="4276"/>
            <w:vAlign w:val="top"/>
          </w:tcPr>
          <w:p>
            <w:pPr>
              <w:spacing w:after="60" w:line="259" w:lineRule="auto"/>
            </w:pPr>
            <w:r>
              <w:rPr>
                <w:rFonts w:ascii="Calibri" w:hAnsi="Calibri"/>
                <w:b w:val="0"/>
                <w:i w:val="0"/>
                <w:color w:val="212121"/>
                <w:sz w:val="19"/>
              </w:rPr>
              <w:t>Surgical or medical removal of ovarian function causes an abrupt, often severe transition with intense vasomotor symptoms and accelerated bone and cardiovascular risk, especially if before 45.</w:t>
            </w:r>
          </w:p>
          <w:p>
            <w:pPr>
              <w:spacing w:after="40" w:before="60" w:line="259" w:lineRule="auto"/>
            </w:pPr>
            <w:r>
              <w:rPr>
                <w:rFonts w:ascii="Calibri" w:hAnsi="Calibri"/>
                <w:b w:val="0"/>
                <w:i w:val="0"/>
                <w:color w:val="212121"/>
                <w:sz w:val="19"/>
              </w:rPr>
              <w:t>Menopause before 40 (whether natural or induced) carries higher long-term cardiovascular and skeletal risk than menopause at the usual age.</w:t>
            </w:r>
          </w:p>
          <w:p>
            <w:pPr>
              <w:spacing w:after="40" w:line="252" w:lineRule="auto"/>
            </w:pPr>
            <w:hyperlink r:id="rId16">
              <w:r>
                <w:rPr>
                  <w:rFonts w:ascii="Calibri" w:hAnsi="Calibri" w:cs="Calibri"/>
                  <w:sz w:val="18"/>
                  <w:color w:val="1155CC"/>
                  <w:u w:val="single"/>
                </w:rPr>
                <w:t xml:space="preserve">pubmed.ncbi.nlm.nih.gov/31588031</w:t>
              </w:r>
            </w:hyperlink>
          </w:p>
          <w:p>
            <w:pPr>
              <w:spacing w:before="60" w:after="40"/>
            </w:pPr>
            <w:r>
              <w:rPr>
                <w:rFonts w:ascii="Calibri" w:hAnsi="Calibri"/>
                <w:b w:val="0"/>
                <w:i w:val="0"/>
                <w:color w:val="5A5A5A"/>
                <w:sz w:val="18"/>
              </w:rPr>
              <w:t>#surgicalmenopause  #oophorectomy  #chemotherapy  #POI</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aerobic and resistance exercise reduces the severity of vasomotor and psychological symptoms, improves sleep, and preserves bone density and lean mass; inactivity worsens central weight gain and cardiometabolic risk across the transition.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quality shapes the transition: adequate calcium/vitamin D and phytoestrogen- and fibre-rich foods support bone and cardiometabolic health, while low body weight is linked to earlier menopause and worse flushing.</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Sleep disruption is a core feature — night sweats and hormonal change fragment sleep, and insomnia is among the most frequently reported perimenopausal complaints, feeding back into mood and fatigue.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directly gonadotoxic, advancing menopause by roughly 1–2 years (odds of premature menopause ~4-fold higher) and intensifying vasomotor symptoms and bone loss.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shows no consistent effect on the age at menopause, but heavy intake is a recognised trigger of hot flushes, disturbs sleep and accelerates bone loss.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perimenopause is a window of vulnerability for depression and anxiety; fluctuating oestrogen, poor sleep and midlife stressors interact, and prior mood disorder strongly increases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eases mucosal dryness of the genitourinary syndrome of menopause and supports thermoregulation during flushes, but direct evidence is limited.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 caffeine intake is associated with more bothersome vasomotor symptoms and can worsen sleep and anxiety, though findings are inconsistent.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Attention to genital and urinary hygiene reduces the vaginal and urinary infections that become more common with atrophic (genitourinary) changes of the transition.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Hot flushes are commonly triggered by heat, hot or spicy food and drinks, alcohol, caffeine, stress and tight clothing; identifying and avoiding personal triggers reduces episodes.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Perimenopausal women</w:t>
            </w:r>
          </w:p>
        </w:tc>
        <w:tc>
          <w:tcPr>
            <w:tcW w:type="dxa" w:w="1512"/>
            <w:vAlign w:val="top"/>
          </w:tcPr>
          <w:p>
            <w:pPr>
              <w:spacing w:after="40" w:before="0" w:line="259" w:lineRule="auto"/>
            </w:pPr>
            <w:r>
              <w:rPr>
                <w:rFonts w:ascii="Calibri" w:hAnsi="Calibri"/>
                <w:b w:val="0"/>
                <w:i w:val="0"/>
                <w:color w:val="212121"/>
                <w:sz w:val="19"/>
              </w:rPr>
              <w:t>≥ 150 min/week + resistance training 2–3 days/week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Exercise lowers vasomotor and mood symptoms and protects bone and metabolic health</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Midlife women</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(earlier menopause / worse flushes); ≥ 25 (cardiometabolic risk)</w:t>
            </w:r>
          </w:p>
        </w:tc>
        <w:tc>
          <w:tcPr>
            <w:tcW w:type="dxa" w:w="1468"/>
            <w:vAlign w:val="top"/>
          </w:tcPr>
          <w:p>
            <w:pPr>
              <w:spacing w:after="60" w:line="259" w:lineRule="auto"/>
            </w:pPr>
            <w:r>
              <w:rPr>
                <w:rFonts w:ascii="Calibri" w:hAnsi="Calibri"/>
                <w:b w:val="0"/>
                <w:i w:val="0"/>
                <w:color w:val="212121"/>
                <w:sz w:val="19"/>
              </w:rPr>
              <w:t>Both low and high BMI adversely affect timing and symptom burden</w:t>
            </w:r>
          </w:p>
          <w:p>
            <w:pPr>
              <w:spacing w:after="40" w:line="252" w:lineRule="auto"/>
            </w:pPr>
            <w:hyperlink r:id="rId12">
              <w:r>
                <w:rPr>
                  <w:rFonts w:ascii="Calibri" w:hAnsi="Calibri" w:cs="Calibri"/>
                  <w:sz w:val="18"/>
                  <w:color w:val="1155CC"/>
                  <w:u w:val="single"/>
                </w:rPr>
                <w:t xml:space="preserve">https://pubmed.ncbi.nlm.nih.gov/35312401/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Midlife women</w:t>
            </w:r>
          </w:p>
        </w:tc>
        <w:tc>
          <w:tcPr>
            <w:tcW w:type="dxa" w:w="1512"/>
            <w:vAlign w:val="top"/>
          </w:tcPr>
          <w:p>
            <w:pPr>
              <w:spacing w:after="40" w:before="0" w:line="259" w:lineRule="auto"/>
            </w:pPr>
            <w:r>
              <w:rPr>
                <w:rFonts w:ascii="Calibri" w:hAnsi="Calibri"/>
                <w:b w:val="0"/>
                <w:i w:val="0"/>
                <w:color w:val="212121"/>
                <w:sz w:val="19"/>
              </w:rPr>
              <w:t>&lt; 80 cm (Asian-Indian cut-off)</w:t>
            </w:r>
          </w:p>
        </w:tc>
        <w:tc>
          <w:tcPr>
            <w:tcW w:type="dxa" w:w="1512"/>
            <w:vAlign w:val="top"/>
          </w:tcPr>
          <w:p>
            <w:pPr>
              <w:spacing w:after="40" w:before="0" w:line="259" w:lineRule="auto"/>
            </w:pPr>
            <w:r>
              <w:rPr>
                <w:rFonts w:ascii="Calibri" w:hAnsi="Calibri"/>
                <w:b w:val="0"/>
                <w:i w:val="0"/>
                <w:color w:val="212121"/>
                <w:sz w:val="19"/>
              </w:rPr>
              <w:t>≥ 80 cm</w:t>
            </w:r>
          </w:p>
        </w:tc>
        <w:tc>
          <w:tcPr>
            <w:tcW w:type="dxa" w:w="1468"/>
            <w:vAlign w:val="top"/>
          </w:tcPr>
          <w:p>
            <w:pPr>
              <w:spacing w:after="40" w:before="0" w:line="259" w:lineRule="auto"/>
            </w:pPr>
            <w:r>
              <w:rPr>
                <w:rFonts w:ascii="Calibri" w:hAnsi="Calibri"/>
                <w:b w:val="0"/>
                <w:i w:val="0"/>
                <w:color w:val="212121"/>
                <w:sz w:val="19"/>
              </w:rPr>
              <w:t>Central adiposity rises across the transition and drives cardiometabolic risk</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calcium (mg/day)</w:t>
            </w:r>
          </w:p>
        </w:tc>
        <w:tc>
          <w:tcPr>
            <w:tcW w:type="dxa" w:w="1655"/>
            <w:vAlign w:val="top"/>
          </w:tcPr>
          <w:p>
            <w:pPr>
              <w:spacing w:after="40" w:before="0" w:line="259" w:lineRule="auto"/>
            </w:pPr>
            <w:r>
              <w:rPr>
                <w:rFonts w:ascii="Calibri" w:hAnsi="Calibri"/>
                <w:b w:val="0"/>
                <w:i w:val="0"/>
                <w:color w:val="212121"/>
                <w:sz w:val="19"/>
              </w:rPr>
              <w:t>Peri-/postmenopausal women</w:t>
            </w:r>
          </w:p>
        </w:tc>
        <w:tc>
          <w:tcPr>
            <w:tcW w:type="dxa" w:w="1512"/>
            <w:vAlign w:val="top"/>
          </w:tcPr>
          <w:p>
            <w:pPr>
              <w:spacing w:after="40" w:before="0" w:line="259" w:lineRule="auto"/>
            </w:pPr>
            <w:r>
              <w:rPr>
                <w:rFonts w:ascii="Calibri" w:hAnsi="Calibri"/>
                <w:b w:val="0"/>
                <w:i w:val="0"/>
                <w:color w:val="212121"/>
                <w:sz w:val="19"/>
              </w:rPr>
              <w:t>1000–1200 mg/day</w:t>
            </w:r>
          </w:p>
        </w:tc>
        <w:tc>
          <w:tcPr>
            <w:tcW w:type="dxa" w:w="1512"/>
            <w:vAlign w:val="top"/>
          </w:tcPr>
          <w:p>
            <w:pPr>
              <w:spacing w:after="40" w:before="0" w:line="259" w:lineRule="auto"/>
            </w:pPr>
            <w:r>
              <w:rPr>
                <w:rFonts w:ascii="Calibri" w:hAnsi="Calibri"/>
                <w:b w:val="0"/>
                <w:i w:val="0"/>
                <w:color w:val="212121"/>
                <w:sz w:val="19"/>
              </w:rPr>
              <w:t>&lt; 800 mg/day</w:t>
            </w:r>
          </w:p>
        </w:tc>
        <w:tc>
          <w:tcPr>
            <w:tcW w:type="dxa" w:w="1468"/>
            <w:vAlign w:val="top"/>
          </w:tcPr>
          <w:p>
            <w:pPr>
              <w:spacing w:after="40" w:before="0" w:line="259" w:lineRule="auto"/>
            </w:pPr>
            <w:r>
              <w:rPr>
                <w:rFonts w:ascii="Calibri" w:hAnsi="Calibri"/>
                <w:b w:val="0"/>
                <w:i w:val="0"/>
                <w:color w:val="212121"/>
                <w:sz w:val="19"/>
              </w:rPr>
              <w:t>Oestrogen decline accelerates bone resorption; low intake is common in India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 vitamin D (ng/mL)</w:t>
            </w:r>
          </w:p>
        </w:tc>
        <w:tc>
          <w:tcPr>
            <w:tcW w:type="dxa" w:w="1655"/>
            <w:vAlign w:val="top"/>
          </w:tcPr>
          <w:p>
            <w:pPr>
              <w:spacing w:after="40" w:before="0" w:line="259" w:lineRule="auto"/>
            </w:pPr>
            <w:r>
              <w:rPr>
                <w:rFonts w:ascii="Calibri" w:hAnsi="Calibri"/>
                <w:b w:val="0"/>
                <w:i w:val="0"/>
                <w:color w:val="212121"/>
                <w:sz w:val="19"/>
              </w:rPr>
              <w:t>Midlife Indian women</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60" w:line="259" w:lineRule="auto"/>
            </w:pPr>
            <w:r>
              <w:rPr>
                <w:rFonts w:ascii="Calibri" w:hAnsi="Calibri"/>
                <w:b w:val="0"/>
                <w:i w:val="0"/>
                <w:color w:val="212121"/>
                <w:sz w:val="19"/>
              </w:rPr>
              <w:t>Vitamin-D deficiency is widespread in India and worsens perimenopausal bone loss</w:t>
            </w:r>
          </w:p>
          <w:p>
            <w:pPr>
              <w:spacing w:after="40" w:line="252" w:lineRule="auto"/>
            </w:pPr>
            <w:hyperlink r:id="rId13">
              <w:r>
                <w:rPr>
                  <w:rFonts w:ascii="Calibri" w:hAnsi="Calibri" w:cs="Calibri"/>
                  <w:sz w:val="18"/>
                  <w:color w:val="1155CC"/>
                  <w:u w:val="single"/>
                </w:rPr>
                <w:t xml:space="preserve">https://pubmed.ncbi.nlm.nih.gov/38864018/</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quantity (hours/night)</w:t>
            </w:r>
          </w:p>
        </w:tc>
        <w:tc>
          <w:tcPr>
            <w:tcW w:type="dxa" w:w="1655"/>
            <w:vAlign w:val="top"/>
          </w:tcPr>
          <w:p>
            <w:pPr>
              <w:spacing w:after="40" w:before="0" w:line="259" w:lineRule="auto"/>
            </w:pPr>
            <w:r>
              <w:rPr>
                <w:rFonts w:ascii="Calibri" w:hAnsi="Calibri"/>
                <w:b w:val="0"/>
                <w:i w:val="0"/>
                <w:color w:val="212121"/>
                <w:sz w:val="19"/>
              </w:rPr>
              <w:t>Perimenopausal women</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frequent night-sweat awakenings</w:t>
            </w:r>
          </w:p>
        </w:tc>
        <w:tc>
          <w:tcPr>
            <w:tcW w:type="dxa" w:w="1468"/>
            <w:vAlign w:val="top"/>
          </w:tcPr>
          <w:p>
            <w:pPr>
              <w:spacing w:after="40" w:before="0" w:line="259" w:lineRule="auto"/>
            </w:pPr>
            <w:r>
              <w:rPr>
                <w:rFonts w:ascii="Calibri" w:hAnsi="Calibri"/>
                <w:b w:val="0"/>
                <w:i w:val="0"/>
                <w:color w:val="212121"/>
                <w:sz w:val="19"/>
              </w:rPr>
              <w:t>Fragmented sleep amplifies mood symptoms, fatigue and cognitive complaints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Midlife women</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60" w:line="259" w:lineRule="auto"/>
            </w:pPr>
            <w:r>
              <w:rPr>
                <w:rFonts w:ascii="Calibri" w:hAnsi="Calibri"/>
                <w:b w:val="0"/>
                <w:i w:val="0"/>
                <w:color w:val="212121"/>
                <w:sz w:val="19"/>
              </w:rPr>
              <w:t>Any smoking advances menopause and worsens vasomotor and bone outcomes</w:t>
            </w:r>
          </w:p>
          <w:p>
            <w:pPr>
              <w:spacing w:after="40" w:line="252" w:lineRule="auto"/>
            </w:pPr>
            <w:hyperlink r:id="rId12">
              <w:r>
                <w:rPr>
                  <w:rFonts w:ascii="Calibri" w:hAnsi="Calibri" w:cs="Calibri"/>
                  <w:sz w:val="18"/>
                  <w:color w:val="1155CC"/>
                  <w:u w:val="single"/>
                </w:rPr>
                <w:t xml:space="preserve">https://pubmed.ncbi.nlm.nih.gov/35312401/</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Perimenopausal women</w:t>
            </w:r>
          </w:p>
        </w:tc>
        <w:tc>
          <w:tcPr>
            <w:tcW w:type="dxa" w:w="1512"/>
            <w:vAlign w:val="top"/>
          </w:tcPr>
          <w:p>
            <w:pPr>
              <w:spacing w:after="40" w:before="0" w:line="259" w:lineRule="auto"/>
            </w:pPr>
            <w:r>
              <w:rPr>
                <w:rFonts w:ascii="Calibri" w:hAnsi="Calibri"/>
                <w:b w:val="0"/>
                <w:i w:val="0"/>
                <w:color w:val="212121"/>
                <w:sz w:val="19"/>
              </w:rPr>
              <w:t>≤ 7 drinks/week</w:t>
            </w:r>
          </w:p>
        </w:tc>
        <w:tc>
          <w:tcPr>
            <w:tcW w:type="dxa" w:w="1512"/>
            <w:vAlign w:val="top"/>
          </w:tcPr>
          <w:p>
            <w:pPr>
              <w:spacing w:after="40" w:before="0" w:line="259" w:lineRule="auto"/>
            </w:pPr>
            <w:r>
              <w:rPr>
                <w:rFonts w:ascii="Calibri" w:hAnsi="Calibri"/>
                <w:b w:val="0"/>
                <w:i w:val="0"/>
                <w:color w:val="212121"/>
                <w:sz w:val="19"/>
              </w:rPr>
              <w:t>&gt; 7 drinks/week</w:t>
            </w:r>
          </w:p>
        </w:tc>
        <w:tc>
          <w:tcPr>
            <w:tcW w:type="dxa" w:w="1468"/>
            <w:vAlign w:val="top"/>
          </w:tcPr>
          <w:p>
            <w:pPr>
              <w:spacing w:after="40" w:before="0" w:line="259" w:lineRule="auto"/>
            </w:pPr>
            <w:r>
              <w:rPr>
                <w:rFonts w:ascii="Calibri" w:hAnsi="Calibri"/>
                <w:b w:val="0"/>
                <w:i w:val="0"/>
                <w:color w:val="212121"/>
                <w:sz w:val="19"/>
              </w:rPr>
              <w:t>Heavy alcohol triggers hot flushes, disturbs sleep and accelerates bone loss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 anxiety screen (PHQ-9 / GAD-7)</w:t>
            </w:r>
          </w:p>
        </w:tc>
        <w:tc>
          <w:tcPr>
            <w:tcW w:type="dxa" w:w="1655"/>
            <w:vAlign w:val="top"/>
          </w:tcPr>
          <w:p>
            <w:pPr>
              <w:spacing w:after="40" w:before="0" w:line="259" w:lineRule="auto"/>
            </w:pPr>
            <w:r>
              <w:rPr>
                <w:rFonts w:ascii="Calibri" w:hAnsi="Calibri"/>
                <w:b w:val="0"/>
                <w:i w:val="0"/>
                <w:color w:val="212121"/>
                <w:sz w:val="19"/>
              </w:rPr>
              <w:t>Perimenopausal women</w:t>
            </w:r>
          </w:p>
        </w:tc>
        <w:tc>
          <w:tcPr>
            <w:tcW w:type="dxa" w:w="1512"/>
            <w:vAlign w:val="top"/>
          </w:tcPr>
          <w:p>
            <w:pPr>
              <w:spacing w:after="40" w:before="0" w:line="259" w:lineRule="auto"/>
            </w:pPr>
            <w:r>
              <w:rPr>
                <w:rFonts w:ascii="Calibri" w:hAnsi="Calibri"/>
                <w:b w:val="0"/>
                <w:i w:val="0"/>
                <w:color w:val="212121"/>
                <w:sz w:val="19"/>
              </w:rPr>
              <w:t>PHQ-9 &lt; 5 and GAD-7 &lt; 5</w:t>
            </w:r>
          </w:p>
        </w:tc>
        <w:tc>
          <w:tcPr>
            <w:tcW w:type="dxa" w:w="1512"/>
            <w:vAlign w:val="top"/>
          </w:tcPr>
          <w:p>
            <w:pPr>
              <w:spacing w:after="40" w:before="0" w:line="259" w:lineRule="auto"/>
            </w:pPr>
            <w:r>
              <w:rPr>
                <w:rFonts w:ascii="Calibri" w:hAnsi="Calibri"/>
                <w:b w:val="0"/>
                <w:i w:val="0"/>
                <w:color w:val="212121"/>
                <w:sz w:val="19"/>
              </w:rPr>
              <w:t>PHQ-9 ≥ 10 or GAD-7 ≥ 10</w:t>
            </w:r>
          </w:p>
        </w:tc>
        <w:tc>
          <w:tcPr>
            <w:tcW w:type="dxa" w:w="1468"/>
            <w:vAlign w:val="top"/>
          </w:tcPr>
          <w:p>
            <w:pPr>
              <w:spacing w:after="60" w:line="259" w:lineRule="auto"/>
            </w:pPr>
            <w:r>
              <w:rPr>
                <w:rFonts w:ascii="Calibri" w:hAnsi="Calibri"/>
                <w:b w:val="0"/>
                <w:i w:val="0"/>
                <w:color w:val="212121"/>
                <w:sz w:val="19"/>
              </w:rPr>
              <w:t>Perimenopause is a high-risk window for new or recurrent mood disorders</w:t>
            </w:r>
          </w:p>
          <w:p>
            <w:pPr>
              <w:spacing w:after="40" w:line="252" w:lineRule="auto"/>
            </w:pPr>
            <w:hyperlink r:id="rId15">
              <w:r>
                <w:rPr>
                  <w:rFonts w:ascii="Calibri" w:hAnsi="Calibri" w:cs="Calibri"/>
                  <w:sz w:val="18"/>
                  <w:color w:val="1155CC"/>
                  <w:u w:val="single"/>
                </w:rPr>
                <w:t xml:space="preserve">https://pubmed.ncbi.nlm.nih.gov/30182804/</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Symptom severity (Menopause Rating Scale)</w:t>
            </w:r>
          </w:p>
        </w:tc>
        <w:tc>
          <w:tcPr>
            <w:tcW w:type="dxa" w:w="1655"/>
            <w:vAlign w:val="top"/>
          </w:tcPr>
          <w:p>
            <w:pPr>
              <w:spacing w:after="40" w:before="0" w:line="259" w:lineRule="auto"/>
            </w:pPr>
            <w:r>
              <w:rPr>
                <w:rFonts w:ascii="Calibri" w:hAnsi="Calibri"/>
                <w:b w:val="0"/>
                <w:i w:val="0"/>
                <w:color w:val="212121"/>
                <w:sz w:val="19"/>
              </w:rPr>
              <w:t>Symptomatic women</w:t>
            </w:r>
          </w:p>
        </w:tc>
        <w:tc>
          <w:tcPr>
            <w:tcW w:type="dxa" w:w="1512"/>
            <w:vAlign w:val="top"/>
          </w:tcPr>
          <w:p>
            <w:pPr>
              <w:spacing w:after="40" w:before="0" w:line="259" w:lineRule="auto"/>
            </w:pPr>
            <w:r>
              <w:rPr>
                <w:rFonts w:ascii="Calibri" w:hAnsi="Calibri"/>
                <w:b w:val="0"/>
                <w:i w:val="0"/>
                <w:color w:val="212121"/>
                <w:sz w:val="19"/>
              </w:rPr>
              <w:t>MRS total 0–4 (none/minimal)</w:t>
            </w:r>
          </w:p>
        </w:tc>
        <w:tc>
          <w:tcPr>
            <w:tcW w:type="dxa" w:w="1512"/>
            <w:vAlign w:val="top"/>
          </w:tcPr>
          <w:p>
            <w:pPr>
              <w:spacing w:after="40" w:before="0" w:line="259" w:lineRule="auto"/>
            </w:pPr>
            <w:r>
              <w:rPr>
                <w:rFonts w:ascii="Calibri" w:hAnsi="Calibri"/>
                <w:b w:val="0"/>
                <w:i w:val="0"/>
                <w:color w:val="212121"/>
                <w:sz w:val="19"/>
              </w:rPr>
              <w:t>MRS ≥ 17 (severe)</w:t>
            </w:r>
          </w:p>
        </w:tc>
        <w:tc>
          <w:tcPr>
            <w:tcW w:type="dxa" w:w="1468"/>
            <w:vAlign w:val="top"/>
          </w:tcPr>
          <w:p>
            <w:pPr>
              <w:spacing w:after="40" w:before="0" w:line="259" w:lineRule="auto"/>
            </w:pPr>
            <w:r>
              <w:rPr>
                <w:rFonts w:ascii="Calibri" w:hAnsi="Calibri"/>
                <w:b w:val="0"/>
                <w:i w:val="0"/>
                <w:color w:val="212121"/>
                <w:sz w:val="19"/>
              </w:rPr>
              <w:t>Standardised scales quantify burden and track response to treatment</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Follicle-Stimulating Hormone (FSH)</w:t>
            </w:r>
          </w:p>
        </w:tc>
        <w:tc>
          <w:tcPr>
            <w:tcW w:type="dxa" w:w="892"/>
            <w:vAlign w:val="top"/>
          </w:tcPr>
          <w:p>
            <w:pPr>
              <w:spacing w:after="40" w:before="0" w:line="259" w:lineRule="auto"/>
            </w:pPr>
            <w:r>
              <w:rPr>
                <w:rFonts w:ascii="Calibri" w:hAnsi="Calibri"/>
                <w:b w:val="0"/>
                <w:i w:val="0"/>
                <w:color w:val="212121"/>
                <w:sz w:val="16"/>
              </w:rPr>
              <w:t>Serum FSH</w:t>
            </w:r>
          </w:p>
        </w:tc>
        <w:tc>
          <w:tcPr>
            <w:tcW w:type="dxa" w:w="950"/>
            <w:vAlign w:val="top"/>
          </w:tcPr>
          <w:p>
            <w:pPr>
              <w:spacing w:after="40" w:before="0" w:line="259" w:lineRule="auto"/>
            </w:pPr>
            <w:r>
              <w:rPr>
                <w:rFonts w:ascii="Calibri" w:hAnsi="Calibri"/>
                <w:b w:val="0"/>
                <w:i w:val="0"/>
                <w:color w:val="212121"/>
                <w:sz w:val="16"/>
              </w:rPr>
              <w:t>Reproductive: ~ 3–10 IU/L (early follicular)</w:t>
            </w:r>
          </w:p>
        </w:tc>
        <w:tc>
          <w:tcPr>
            <w:tcW w:type="dxa" w:w="950"/>
            <w:vAlign w:val="top"/>
          </w:tcPr>
          <w:p>
            <w:pPr>
              <w:spacing w:after="40" w:before="0" w:line="259" w:lineRule="auto"/>
            </w:pPr>
            <w:r>
              <w:rPr>
                <w:rFonts w:ascii="Calibri" w:hAnsi="Calibri"/>
                <w:b w:val="0"/>
                <w:i w:val="0"/>
                <w:color w:val="212121"/>
                <w:sz w:val="16"/>
              </w:rPr>
              <w:t>Late transition often ≥ 25 IU/L; menopausal &gt; 30–40 IU/L</w:t>
            </w:r>
          </w:p>
        </w:tc>
        <w:tc>
          <w:tcPr>
            <w:tcW w:type="dxa" w:w="1036"/>
            <w:vAlign w:val="top"/>
          </w:tcPr>
          <w:p>
            <w:pPr>
              <w:spacing w:after="40" w:before="0" w:line="259" w:lineRule="auto"/>
            </w:pPr>
            <w:r>
              <w:rPr>
                <w:rFonts w:ascii="Calibri" w:hAnsi="Calibri"/>
                <w:b w:val="0"/>
                <w:i w:val="0"/>
                <w:color w:val="212121"/>
                <w:sz w:val="16"/>
              </w:rPr>
              <w:t>Rising but fluctuating FSH supports the transition; a single value is unreliable</w:t>
            </w:r>
          </w:p>
        </w:tc>
        <w:tc>
          <w:tcPr>
            <w:tcW w:type="dxa" w:w="1036"/>
            <w:vAlign w:val="top"/>
          </w:tcPr>
          <w:p>
            <w:pPr>
              <w:spacing w:after="40" w:before="0" w:line="259" w:lineRule="auto"/>
            </w:pPr>
            <w:r>
              <w:rPr>
                <w:rFonts w:ascii="Calibri" w:hAnsi="Calibri"/>
                <w:b w:val="0"/>
                <w:i w:val="0"/>
                <w:color w:val="212121"/>
                <w:sz w:val="16"/>
              </w:rPr>
              <w:t>Women &lt; 45, post-hysterectomy, suspected POI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Not required to diagnose typical perimenopause in women &gt; 45</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Estradiol (E2)</w:t>
            </w:r>
          </w:p>
        </w:tc>
        <w:tc>
          <w:tcPr>
            <w:tcW w:type="dxa" w:w="892"/>
            <w:vAlign w:val="top"/>
          </w:tcPr>
          <w:p>
            <w:pPr>
              <w:spacing w:after="40" w:before="0" w:line="259" w:lineRule="auto"/>
            </w:pPr>
            <w:r>
              <w:rPr>
                <w:rFonts w:ascii="Calibri" w:hAnsi="Calibri"/>
                <w:b w:val="0"/>
                <w:i w:val="0"/>
                <w:color w:val="212121"/>
                <w:sz w:val="16"/>
              </w:rPr>
              <w:t>Serum estradiol</w:t>
            </w:r>
          </w:p>
        </w:tc>
        <w:tc>
          <w:tcPr>
            <w:tcW w:type="dxa" w:w="950"/>
            <w:vAlign w:val="top"/>
          </w:tcPr>
          <w:p>
            <w:pPr>
              <w:spacing w:after="40" w:before="0" w:line="259" w:lineRule="auto"/>
            </w:pPr>
            <w:r>
              <w:rPr>
                <w:rFonts w:ascii="Calibri" w:hAnsi="Calibri"/>
                <w:b w:val="0"/>
                <w:i w:val="0"/>
                <w:color w:val="212121"/>
                <w:sz w:val="16"/>
              </w:rPr>
              <w:t>Variable across cycle in reproductive years</w:t>
            </w:r>
          </w:p>
        </w:tc>
        <w:tc>
          <w:tcPr>
            <w:tcW w:type="dxa" w:w="950"/>
            <w:vAlign w:val="top"/>
          </w:tcPr>
          <w:p>
            <w:pPr>
              <w:spacing w:after="40" w:before="0" w:line="259" w:lineRule="auto"/>
            </w:pPr>
            <w:r>
              <w:rPr>
                <w:rFonts w:ascii="Calibri" w:hAnsi="Calibri"/>
                <w:b w:val="0"/>
                <w:i w:val="0"/>
                <w:color w:val="212121"/>
                <w:sz w:val="16"/>
              </w:rPr>
              <w:t>Low / erratic; persistently low postmenopause</w:t>
            </w:r>
          </w:p>
        </w:tc>
        <w:tc>
          <w:tcPr>
            <w:tcW w:type="dxa" w:w="1036"/>
            <w:vAlign w:val="top"/>
          </w:tcPr>
          <w:p>
            <w:pPr>
              <w:spacing w:after="40" w:before="0" w:line="259" w:lineRule="auto"/>
            </w:pPr>
            <w:r>
              <w:rPr>
                <w:rFonts w:ascii="Calibri" w:hAnsi="Calibri"/>
                <w:b w:val="0"/>
                <w:i w:val="0"/>
                <w:color w:val="212121"/>
                <w:sz w:val="16"/>
              </w:rPr>
              <w:t>Wide fluctuation rather than steady decline; interpret with FSH and symptoms</w:t>
            </w:r>
          </w:p>
        </w:tc>
        <w:tc>
          <w:tcPr>
            <w:tcW w:type="dxa" w:w="1036"/>
            <w:vAlign w:val="top"/>
          </w:tcPr>
          <w:p>
            <w:pPr>
              <w:spacing w:after="40" w:before="0" w:line="259" w:lineRule="auto"/>
            </w:pPr>
            <w:r>
              <w:rPr>
                <w:rFonts w:ascii="Calibri" w:hAnsi="Calibri"/>
                <w:b w:val="0"/>
                <w:i w:val="0"/>
                <w:color w:val="212121"/>
                <w:sz w:val="16"/>
              </w:rPr>
              <w:t>Symptomatic women, suspected POI</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Single levels of limited value due to marked variability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Anti-Müllerian Hormone (AMH)</w:t>
            </w:r>
          </w:p>
        </w:tc>
        <w:tc>
          <w:tcPr>
            <w:tcW w:type="dxa" w:w="892"/>
            <w:vAlign w:val="top"/>
          </w:tcPr>
          <w:p>
            <w:pPr>
              <w:spacing w:after="40" w:before="0" w:line="259" w:lineRule="auto"/>
            </w:pPr>
            <w:r>
              <w:rPr>
                <w:rFonts w:ascii="Calibri" w:hAnsi="Calibri"/>
                <w:b w:val="0"/>
                <w:i w:val="0"/>
                <w:color w:val="212121"/>
                <w:sz w:val="16"/>
              </w:rPr>
              <w:t>Serum AMH</w:t>
            </w:r>
          </w:p>
        </w:tc>
        <w:tc>
          <w:tcPr>
            <w:tcW w:type="dxa" w:w="950"/>
            <w:vAlign w:val="top"/>
          </w:tcPr>
          <w:p>
            <w:pPr>
              <w:spacing w:after="40" w:before="0" w:line="259" w:lineRule="auto"/>
            </w:pPr>
            <w:r>
              <w:rPr>
                <w:rFonts w:ascii="Calibri" w:hAnsi="Calibri"/>
                <w:b w:val="0"/>
                <w:i w:val="0"/>
                <w:color w:val="212121"/>
                <w:sz w:val="16"/>
              </w:rPr>
              <w:t>Detectable in reproductive years</w:t>
            </w:r>
          </w:p>
        </w:tc>
        <w:tc>
          <w:tcPr>
            <w:tcW w:type="dxa" w:w="950"/>
            <w:vAlign w:val="top"/>
          </w:tcPr>
          <w:p>
            <w:pPr>
              <w:spacing w:after="40" w:before="0" w:line="259" w:lineRule="auto"/>
            </w:pPr>
            <w:r>
              <w:rPr>
                <w:rFonts w:ascii="Calibri" w:hAnsi="Calibri"/>
                <w:b w:val="0"/>
                <w:i w:val="0"/>
                <w:color w:val="212121"/>
                <w:sz w:val="16"/>
              </w:rPr>
              <w:t>Low / undetectable</w:t>
            </w:r>
          </w:p>
        </w:tc>
        <w:tc>
          <w:tcPr>
            <w:tcW w:type="dxa" w:w="1036"/>
            <w:vAlign w:val="top"/>
          </w:tcPr>
          <w:p>
            <w:pPr>
              <w:spacing w:after="40" w:before="0" w:line="259" w:lineRule="auto"/>
            </w:pPr>
            <w:r>
              <w:rPr>
                <w:rFonts w:ascii="Calibri" w:hAnsi="Calibri"/>
                <w:b w:val="0"/>
                <w:i w:val="0"/>
                <w:color w:val="212121"/>
                <w:sz w:val="16"/>
              </w:rPr>
              <w:t>Reflects diminishing ovarian reserve; helps predict proximity to menopause</w:t>
            </w:r>
          </w:p>
        </w:tc>
        <w:tc>
          <w:tcPr>
            <w:tcW w:type="dxa" w:w="1036"/>
            <w:vAlign w:val="top"/>
          </w:tcPr>
          <w:p>
            <w:pPr>
              <w:spacing w:after="40" w:before="0" w:line="259" w:lineRule="auto"/>
            </w:pPr>
            <w:r>
              <w:rPr>
                <w:rFonts w:ascii="Calibri" w:hAnsi="Calibri"/>
                <w:b w:val="0"/>
                <w:i w:val="0"/>
                <w:color w:val="212121"/>
                <w:sz w:val="16"/>
              </w:rPr>
              <w:t>Younger women, fertility/POI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Best interpreted with age and antral follicle count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w:t>
            </w:r>
          </w:p>
        </w:tc>
        <w:tc>
          <w:tcPr>
            <w:tcW w:type="dxa" w:w="950"/>
            <w:vAlign w:val="top"/>
          </w:tcPr>
          <w:p>
            <w:pPr>
              <w:spacing w:after="40" w:before="0" w:line="259" w:lineRule="auto"/>
            </w:pPr>
            <w:r>
              <w:rPr>
                <w:rFonts w:ascii="Calibri" w:hAnsi="Calibri"/>
                <w:b w:val="0"/>
                <w:i w:val="0"/>
                <w:color w:val="212121"/>
                <w:sz w:val="16"/>
              </w:rPr>
              <w:t>~ 0.4–4.0 mIU/L</w:t>
            </w:r>
          </w:p>
        </w:tc>
        <w:tc>
          <w:tcPr>
            <w:tcW w:type="dxa" w:w="950"/>
            <w:vAlign w:val="top"/>
          </w:tcPr>
          <w:p>
            <w:pPr>
              <w:spacing w:after="40" w:before="0" w:line="259" w:lineRule="auto"/>
            </w:pPr>
            <w:r>
              <w:rPr>
                <w:rFonts w:ascii="Calibri" w:hAnsi="Calibri"/>
                <w:b w:val="0"/>
                <w:i w:val="0"/>
                <w:color w:val="212121"/>
                <w:sz w:val="16"/>
              </w:rPr>
              <w:t>&lt; 0.4 or &gt; 4.0 mIU/L</w:t>
            </w:r>
          </w:p>
        </w:tc>
        <w:tc>
          <w:tcPr>
            <w:tcW w:type="dxa" w:w="1036"/>
            <w:vAlign w:val="top"/>
          </w:tcPr>
          <w:p>
            <w:pPr>
              <w:spacing w:after="40" w:before="0" w:line="259" w:lineRule="auto"/>
            </w:pPr>
            <w:r>
              <w:rPr>
                <w:rFonts w:ascii="Calibri" w:hAnsi="Calibri"/>
                <w:b w:val="0"/>
                <w:i w:val="0"/>
                <w:color w:val="212121"/>
                <w:sz w:val="16"/>
              </w:rPr>
              <w:t>Excludes thyroid disease, which mimics perimenopausal symptoms</w:t>
            </w:r>
          </w:p>
        </w:tc>
        <w:tc>
          <w:tcPr>
            <w:tcW w:type="dxa" w:w="1036"/>
            <w:vAlign w:val="top"/>
          </w:tcPr>
          <w:p>
            <w:pPr>
              <w:spacing w:after="40" w:before="0" w:line="259" w:lineRule="auto"/>
            </w:pPr>
            <w:r>
              <w:rPr>
                <w:rFonts w:ascii="Calibri" w:hAnsi="Calibri"/>
                <w:b w:val="0"/>
                <w:i w:val="0"/>
                <w:color w:val="212121"/>
                <w:sz w:val="16"/>
              </w:rPr>
              <w:t>All women with fatigue, mood or menstrual change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Thyroid disorders are common in midlife Indian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Beta-hCG</w:t>
            </w:r>
          </w:p>
        </w:tc>
        <w:tc>
          <w:tcPr>
            <w:tcW w:type="dxa" w:w="892"/>
            <w:vAlign w:val="top"/>
          </w:tcPr>
          <w:p>
            <w:pPr>
              <w:spacing w:after="40" w:before="0" w:line="259" w:lineRule="auto"/>
            </w:pPr>
            <w:r>
              <w:rPr>
                <w:rFonts w:ascii="Calibri" w:hAnsi="Calibri"/>
                <w:b w:val="0"/>
                <w:i w:val="0"/>
                <w:color w:val="212121"/>
                <w:sz w:val="16"/>
              </w:rPr>
              <w:t>Pregnancy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Excludes pregnancy as a cause of amenorrhoea in perimenopause</w:t>
            </w:r>
          </w:p>
        </w:tc>
        <w:tc>
          <w:tcPr>
            <w:tcW w:type="dxa" w:w="1036"/>
            <w:vAlign w:val="top"/>
          </w:tcPr>
          <w:p>
            <w:pPr>
              <w:spacing w:after="40" w:before="0" w:line="259" w:lineRule="auto"/>
            </w:pPr>
            <w:r>
              <w:rPr>
                <w:rFonts w:ascii="Calibri" w:hAnsi="Calibri"/>
                <w:b w:val="0"/>
                <w:i w:val="0"/>
                <w:color w:val="212121"/>
                <w:sz w:val="16"/>
              </w:rPr>
              <w:t>Women with amenorrhoea and irregular cycles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Fertility is reduced but not zero during the transition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Lipid profile &amp; fasting glucose/HbA1c</w:t>
            </w:r>
          </w:p>
        </w:tc>
        <w:tc>
          <w:tcPr>
            <w:tcW w:type="dxa" w:w="892"/>
            <w:vAlign w:val="top"/>
          </w:tcPr>
          <w:p>
            <w:pPr>
              <w:spacing w:after="40" w:before="0" w:line="259" w:lineRule="auto"/>
            </w:pPr>
            <w:r>
              <w:rPr>
                <w:rFonts w:ascii="Calibri" w:hAnsi="Calibri"/>
                <w:b w:val="0"/>
                <w:i w:val="0"/>
                <w:color w:val="212121"/>
                <w:sz w:val="16"/>
              </w:rPr>
              <w:t>Cardiometabolic panel</w:t>
            </w:r>
          </w:p>
        </w:tc>
        <w:tc>
          <w:tcPr>
            <w:tcW w:type="dxa" w:w="950"/>
            <w:vAlign w:val="top"/>
          </w:tcPr>
          <w:p>
            <w:pPr>
              <w:spacing w:after="40" w:before="0" w:line="259" w:lineRule="auto"/>
            </w:pPr>
            <w:r>
              <w:rPr>
                <w:rFonts w:ascii="Calibri" w:hAnsi="Calibri"/>
                <w:b w:val="0"/>
                <w:i w:val="0"/>
                <w:color w:val="212121"/>
                <w:sz w:val="16"/>
              </w:rPr>
              <w:t>LDL &lt; 100 mg/dL; HbA1c &lt; 5.7%</w:t>
            </w:r>
          </w:p>
        </w:tc>
        <w:tc>
          <w:tcPr>
            <w:tcW w:type="dxa" w:w="950"/>
            <w:vAlign w:val="top"/>
          </w:tcPr>
          <w:p>
            <w:pPr>
              <w:spacing w:after="40" w:before="0" w:line="259" w:lineRule="auto"/>
            </w:pPr>
            <w:r>
              <w:rPr>
                <w:rFonts w:ascii="Calibri" w:hAnsi="Calibri"/>
                <w:b w:val="0"/>
                <w:i w:val="0"/>
                <w:color w:val="212121"/>
                <w:sz w:val="16"/>
              </w:rPr>
              <w:t>Rising LDL/triglycerides; HbA1c ≥ 5.7%</w:t>
            </w:r>
          </w:p>
        </w:tc>
        <w:tc>
          <w:tcPr>
            <w:tcW w:type="dxa" w:w="1036"/>
            <w:vAlign w:val="top"/>
          </w:tcPr>
          <w:p>
            <w:pPr>
              <w:spacing w:after="40" w:before="0" w:line="259" w:lineRule="auto"/>
            </w:pPr>
            <w:r>
              <w:rPr>
                <w:rFonts w:ascii="Calibri" w:hAnsi="Calibri"/>
                <w:b w:val="0"/>
                <w:i w:val="0"/>
                <w:color w:val="212121"/>
                <w:sz w:val="16"/>
              </w:rPr>
              <w:t>Oestrogen decline shifts lipids and glucose adversely, raising cardiovascular risk</w:t>
            </w:r>
          </w:p>
        </w:tc>
        <w:tc>
          <w:tcPr>
            <w:tcW w:type="dxa" w:w="1036"/>
            <w:vAlign w:val="top"/>
          </w:tcPr>
          <w:p>
            <w:pPr>
              <w:spacing w:after="40" w:before="0" w:line="259" w:lineRule="auto"/>
            </w:pPr>
            <w:r>
              <w:rPr>
                <w:rFonts w:ascii="Calibri" w:hAnsi="Calibri"/>
                <w:b w:val="0"/>
                <w:i w:val="0"/>
                <w:color w:val="212121"/>
                <w:sz w:val="16"/>
              </w:rPr>
              <w:t>Midlife women, early/premature menopause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Premature menopause is linked to higher cardiovascular disease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25-OH Vitamin D &amp; serum calcium</w:t>
            </w:r>
          </w:p>
        </w:tc>
        <w:tc>
          <w:tcPr>
            <w:tcW w:type="dxa" w:w="892"/>
            <w:vAlign w:val="top"/>
          </w:tcPr>
          <w:p>
            <w:pPr>
              <w:spacing w:after="40" w:before="0" w:line="259" w:lineRule="auto"/>
            </w:pPr>
            <w:r>
              <w:rPr>
                <w:rFonts w:ascii="Calibri" w:hAnsi="Calibri"/>
                <w:b w:val="0"/>
                <w:i w:val="0"/>
                <w:color w:val="212121"/>
                <w:sz w:val="16"/>
              </w:rPr>
              <w:t>Bone chemistry</w:t>
            </w:r>
          </w:p>
        </w:tc>
        <w:tc>
          <w:tcPr>
            <w:tcW w:type="dxa" w:w="950"/>
            <w:vAlign w:val="top"/>
          </w:tcPr>
          <w:p>
            <w:pPr>
              <w:spacing w:after="40" w:before="0" w:line="259" w:lineRule="auto"/>
            </w:pPr>
            <w:r>
              <w:rPr>
                <w:rFonts w:ascii="Calibri" w:hAnsi="Calibri"/>
                <w:b w:val="0"/>
                <w:i w:val="0"/>
                <w:color w:val="212121"/>
                <w:sz w:val="16"/>
              </w:rPr>
              <w:t>25-OH-D ≥ 30 ng/mL; normal calcium</w:t>
            </w:r>
          </w:p>
        </w:tc>
        <w:tc>
          <w:tcPr>
            <w:tcW w:type="dxa" w:w="950"/>
            <w:vAlign w:val="top"/>
          </w:tcPr>
          <w:p>
            <w:pPr>
              <w:spacing w:after="40" w:before="0" w:line="259" w:lineRule="auto"/>
            </w:pPr>
            <w:r>
              <w:rPr>
                <w:rFonts w:ascii="Calibri" w:hAnsi="Calibri"/>
                <w:b w:val="0"/>
                <w:i w:val="0"/>
                <w:color w:val="212121"/>
                <w:sz w:val="16"/>
              </w:rPr>
              <w:t>25-OH-D &lt; 20 ng/mL</w:t>
            </w:r>
          </w:p>
        </w:tc>
        <w:tc>
          <w:tcPr>
            <w:tcW w:type="dxa" w:w="1036"/>
            <w:vAlign w:val="top"/>
          </w:tcPr>
          <w:p>
            <w:pPr>
              <w:spacing w:after="40" w:before="0" w:line="259" w:lineRule="auto"/>
            </w:pPr>
            <w:r>
              <w:rPr>
                <w:rFonts w:ascii="Calibri" w:hAnsi="Calibri"/>
                <w:b w:val="0"/>
                <w:i w:val="0"/>
                <w:color w:val="212121"/>
                <w:sz w:val="16"/>
              </w:rPr>
              <w:t>Deficiency compounds oestrogen-related bone loss</w:t>
            </w:r>
          </w:p>
        </w:tc>
        <w:tc>
          <w:tcPr>
            <w:tcW w:type="dxa" w:w="1036"/>
            <w:vAlign w:val="top"/>
          </w:tcPr>
          <w:p>
            <w:pPr>
              <w:spacing w:after="40" w:before="0" w:line="259" w:lineRule="auto"/>
            </w:pPr>
            <w:r>
              <w:rPr>
                <w:rFonts w:ascii="Calibri" w:hAnsi="Calibri"/>
                <w:b w:val="0"/>
                <w:i w:val="0"/>
                <w:color w:val="212121"/>
                <w:sz w:val="16"/>
              </w:rPr>
              <w:t>Peri-/postmenopausal Indian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Preventive</w:t>
            </w:r>
          </w:p>
        </w:tc>
        <w:tc>
          <w:tcPr>
            <w:tcW w:type="dxa" w:w="720"/>
            <w:vAlign w:val="top"/>
          </w:tcPr>
          <w:p>
            <w:pPr>
              <w:spacing w:after="40" w:before="0" w:line="259" w:lineRule="auto"/>
            </w:pPr>
            <w:r>
              <w:rPr>
                <w:rFonts w:ascii="Calibri" w:hAnsi="Calibri"/>
                <w:b w:val="0"/>
                <w:i w:val="0"/>
                <w:color w:val="212121"/>
                <w:sz w:val="16"/>
              </w:rPr>
              <w:t>Vitamin-D deficiency is highly prevalent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Bone Mineral Density (DXA, T-score)</w:t>
            </w:r>
          </w:p>
        </w:tc>
        <w:tc>
          <w:tcPr>
            <w:tcW w:type="dxa" w:w="892"/>
            <w:vAlign w:val="top"/>
          </w:tcPr>
          <w:p>
            <w:pPr>
              <w:spacing w:after="40" w:before="0" w:line="259" w:lineRule="auto"/>
            </w:pPr>
            <w:r>
              <w:rPr>
                <w:rFonts w:ascii="Calibri" w:hAnsi="Calibri"/>
                <w:b w:val="0"/>
                <w:i w:val="0"/>
                <w:color w:val="212121"/>
                <w:sz w:val="16"/>
              </w:rPr>
              <w:t>DXA scan</w:t>
            </w:r>
          </w:p>
        </w:tc>
        <w:tc>
          <w:tcPr>
            <w:tcW w:type="dxa" w:w="950"/>
            <w:vAlign w:val="top"/>
          </w:tcPr>
          <w:p>
            <w:pPr>
              <w:spacing w:after="40" w:before="0" w:line="259" w:lineRule="auto"/>
            </w:pPr>
            <w:r>
              <w:rPr>
                <w:rFonts w:ascii="Calibri" w:hAnsi="Calibri"/>
                <w:b w:val="0"/>
                <w:i w:val="0"/>
                <w:color w:val="212121"/>
                <w:sz w:val="16"/>
              </w:rPr>
              <w:t>T-score ≥ −1.0</w:t>
            </w:r>
          </w:p>
        </w:tc>
        <w:tc>
          <w:tcPr>
            <w:tcW w:type="dxa" w:w="950"/>
            <w:vAlign w:val="top"/>
          </w:tcPr>
          <w:p>
            <w:pPr>
              <w:spacing w:after="40" w:before="0" w:line="259" w:lineRule="auto"/>
            </w:pPr>
            <w:r>
              <w:rPr>
                <w:rFonts w:ascii="Calibri" w:hAnsi="Calibri"/>
                <w:b w:val="0"/>
                <w:i w:val="0"/>
                <w:color w:val="212121"/>
                <w:sz w:val="16"/>
              </w:rPr>
              <w:t>Osteopenia −1.0 to −2.5; osteoporosis ≤ −2.5</w:t>
            </w:r>
          </w:p>
        </w:tc>
        <w:tc>
          <w:tcPr>
            <w:tcW w:type="dxa" w:w="1036"/>
            <w:vAlign w:val="top"/>
          </w:tcPr>
          <w:p>
            <w:pPr>
              <w:spacing w:after="40" w:before="0" w:line="259" w:lineRule="auto"/>
            </w:pPr>
            <w:r>
              <w:rPr>
                <w:rFonts w:ascii="Calibri" w:hAnsi="Calibri"/>
                <w:b w:val="0"/>
                <w:i w:val="0"/>
                <w:color w:val="212121"/>
                <w:sz w:val="16"/>
              </w:rPr>
              <w:t>Quantifies accelerated bone loss around the FMP</w:t>
            </w:r>
          </w:p>
        </w:tc>
        <w:tc>
          <w:tcPr>
            <w:tcW w:type="dxa" w:w="1036"/>
            <w:vAlign w:val="top"/>
          </w:tcPr>
          <w:p>
            <w:pPr>
              <w:spacing w:after="40" w:before="0" w:line="259" w:lineRule="auto"/>
            </w:pPr>
            <w:r>
              <w:rPr>
                <w:rFonts w:ascii="Calibri" w:hAnsi="Calibri"/>
                <w:b w:val="0"/>
                <w:i w:val="0"/>
                <w:color w:val="212121"/>
                <w:sz w:val="16"/>
              </w:rPr>
              <w:t>Early/premature menopause, low BMI, prior fracture</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~63.6% of women in an Indian study were at risk for osteoporosis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Haemoglobin / ferritin</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Hb ≥ 12 g/dL</w:t>
            </w:r>
          </w:p>
        </w:tc>
        <w:tc>
          <w:tcPr>
            <w:tcW w:type="dxa" w:w="950"/>
            <w:vAlign w:val="top"/>
          </w:tcPr>
          <w:p>
            <w:pPr>
              <w:spacing w:after="40" w:before="0" w:line="259" w:lineRule="auto"/>
            </w:pPr>
            <w:r>
              <w:rPr>
                <w:rFonts w:ascii="Calibri" w:hAnsi="Calibri"/>
                <w:b w:val="0"/>
                <w:i w:val="0"/>
                <w:color w:val="212121"/>
                <w:sz w:val="16"/>
              </w:rPr>
              <w:t>Hb &lt; 12 g/dL; low ferritin</w:t>
            </w:r>
          </w:p>
        </w:tc>
        <w:tc>
          <w:tcPr>
            <w:tcW w:type="dxa" w:w="1036"/>
            <w:vAlign w:val="top"/>
          </w:tcPr>
          <w:p>
            <w:pPr>
              <w:spacing w:after="40" w:before="0" w:line="259" w:lineRule="auto"/>
            </w:pPr>
            <w:r>
              <w:rPr>
                <w:rFonts w:ascii="Calibri" w:hAnsi="Calibri"/>
                <w:b w:val="0"/>
                <w:i w:val="0"/>
                <w:color w:val="212121"/>
                <w:sz w:val="16"/>
              </w:rPr>
              <w:t>Heavy or prolonged perimenopausal bleeding causes iron-deficiency anaemia</w:t>
            </w:r>
          </w:p>
        </w:tc>
        <w:tc>
          <w:tcPr>
            <w:tcW w:type="dxa" w:w="1036"/>
            <w:vAlign w:val="top"/>
          </w:tcPr>
          <w:p>
            <w:pPr>
              <w:spacing w:after="40" w:before="0" w:line="259" w:lineRule="auto"/>
            </w:pPr>
            <w:r>
              <w:rPr>
                <w:rFonts w:ascii="Calibri" w:hAnsi="Calibri"/>
                <w:b w:val="0"/>
                <w:i w:val="0"/>
                <w:color w:val="212121"/>
                <w:sz w:val="16"/>
              </w:rPr>
              <w:t>Women with menorrhagia / abnormal uterine bleeding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Anaemia is already highly prevalent among Indian women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history</w:t>
            </w:r>
          </w:p>
        </w:tc>
        <w:tc>
          <w:tcPr>
            <w:tcW w:type="dxa" w:w="979"/>
            <w:vAlign w:val="top"/>
          </w:tcPr>
          <w:p>
            <w:pPr>
              <w:spacing w:after="40" w:before="0" w:line="259" w:lineRule="auto"/>
            </w:pPr>
            <w:r>
              <w:rPr>
                <w:rFonts w:ascii="Calibri" w:hAnsi="Calibri"/>
                <w:b w:val="0"/>
                <w:i w:val="0"/>
                <w:color w:val="212121"/>
                <w:sz w:val="16"/>
              </w:rPr>
              <w:t>Cycle-length variability; amenorrhoeic intervals</w:t>
            </w:r>
          </w:p>
        </w:tc>
        <w:tc>
          <w:tcPr>
            <w:tcW w:type="dxa" w:w="950"/>
            <w:vAlign w:val="top"/>
          </w:tcPr>
          <w:p>
            <w:pPr>
              <w:spacing w:after="40" w:before="0" w:line="259" w:lineRule="auto"/>
            </w:pPr>
            <w:r>
              <w:rPr>
                <w:rFonts w:ascii="Calibri" w:hAnsi="Calibri"/>
                <w:b w:val="0"/>
                <w:i w:val="0"/>
                <w:color w:val="212121"/>
                <w:sz w:val="16"/>
              </w:rPr>
              <w:t>Regular cycles</w:t>
            </w:r>
          </w:p>
        </w:tc>
        <w:tc>
          <w:tcPr>
            <w:tcW w:type="dxa" w:w="950"/>
            <w:vAlign w:val="top"/>
          </w:tcPr>
          <w:p>
            <w:pPr>
              <w:spacing w:after="40" w:before="0" w:line="259" w:lineRule="auto"/>
            </w:pPr>
            <w:r>
              <w:rPr>
                <w:rFonts w:ascii="Calibri" w:hAnsi="Calibri"/>
                <w:b w:val="0"/>
                <w:i w:val="0"/>
                <w:color w:val="212121"/>
                <w:sz w:val="16"/>
              </w:rPr>
              <w:t>≥ 7-day change between consecutive cycles; ≥ 60-day gaps</w:t>
            </w:r>
          </w:p>
        </w:tc>
        <w:tc>
          <w:tcPr>
            <w:tcW w:type="dxa" w:w="1036"/>
            <w:vAlign w:val="top"/>
          </w:tcPr>
          <w:p>
            <w:pPr>
              <w:spacing w:after="40" w:before="0" w:line="259" w:lineRule="auto"/>
            </w:pPr>
            <w:r>
              <w:rPr>
                <w:rFonts w:ascii="Calibri" w:hAnsi="Calibri"/>
                <w:b w:val="0"/>
                <w:i w:val="0"/>
                <w:color w:val="212121"/>
                <w:sz w:val="16"/>
              </w:rPr>
              <w:t>Defines STRAW early (−2) and late (−1) transition stages</w:t>
            </w:r>
          </w:p>
        </w:tc>
        <w:tc>
          <w:tcPr>
            <w:tcW w:type="dxa" w:w="1036"/>
            <w:vAlign w:val="top"/>
          </w:tcPr>
          <w:p>
            <w:pPr>
              <w:spacing w:after="40" w:before="0" w:line="259" w:lineRule="auto"/>
            </w:pPr>
            <w:r>
              <w:rPr>
                <w:rFonts w:ascii="Calibri" w:hAnsi="Calibri"/>
                <w:b w:val="0"/>
                <w:i w:val="0"/>
                <w:color w:val="212121"/>
                <w:sz w:val="16"/>
              </w:rPr>
              <w:t>All perimenopausal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Track the pattern of change, not a single cycle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Hot flushes, night sweats, mood, sleep, dryness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Characteristic symptom cluster of the transition</w:t>
            </w:r>
          </w:p>
        </w:tc>
        <w:tc>
          <w:tcPr>
            <w:tcW w:type="dxa" w:w="1036"/>
            <w:vAlign w:val="top"/>
          </w:tcPr>
          <w:p>
            <w:pPr>
              <w:spacing w:after="40" w:before="0" w:line="259" w:lineRule="auto"/>
            </w:pPr>
            <w:r>
              <w:rPr>
                <w:rFonts w:ascii="Calibri" w:hAnsi="Calibri"/>
                <w:b w:val="0"/>
                <w:i w:val="0"/>
                <w:color w:val="212121"/>
                <w:sz w:val="16"/>
              </w:rPr>
              <w:t>Midlife women</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Vasomotor symptoms last a median of ~7.4 years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Standardised symptom score</w:t>
            </w:r>
          </w:p>
        </w:tc>
        <w:tc>
          <w:tcPr>
            <w:tcW w:type="dxa" w:w="979"/>
            <w:vAlign w:val="top"/>
          </w:tcPr>
          <w:p>
            <w:pPr>
              <w:spacing w:after="40" w:before="0" w:line="259" w:lineRule="auto"/>
            </w:pPr>
            <w:r>
              <w:rPr>
                <w:rFonts w:ascii="Calibri" w:hAnsi="Calibri"/>
                <w:b w:val="0"/>
                <w:i w:val="0"/>
                <w:color w:val="212121"/>
                <w:sz w:val="16"/>
              </w:rPr>
              <w:t>Menopause Rating Scale / Greene scale</w:t>
            </w:r>
          </w:p>
        </w:tc>
        <w:tc>
          <w:tcPr>
            <w:tcW w:type="dxa" w:w="950"/>
            <w:vAlign w:val="top"/>
          </w:tcPr>
          <w:p>
            <w:pPr>
              <w:spacing w:after="40" w:before="0" w:line="259" w:lineRule="auto"/>
            </w:pPr>
            <w:r>
              <w:rPr>
                <w:rFonts w:ascii="Calibri" w:hAnsi="Calibri"/>
                <w:b w:val="0"/>
                <w:i w:val="0"/>
                <w:color w:val="212121"/>
                <w:sz w:val="16"/>
              </w:rPr>
              <w:t>Low total score</w:t>
            </w:r>
          </w:p>
        </w:tc>
        <w:tc>
          <w:tcPr>
            <w:tcW w:type="dxa" w:w="950"/>
            <w:vAlign w:val="top"/>
          </w:tcPr>
          <w:p>
            <w:pPr>
              <w:spacing w:after="40" w:before="0" w:line="259" w:lineRule="auto"/>
            </w:pPr>
            <w:r>
              <w:rPr>
                <w:rFonts w:ascii="Calibri" w:hAnsi="Calibri"/>
                <w:b w:val="0"/>
                <w:i w:val="0"/>
                <w:color w:val="212121"/>
                <w:sz w:val="16"/>
              </w:rPr>
              <w:t>High total score</w:t>
            </w:r>
          </w:p>
        </w:tc>
        <w:tc>
          <w:tcPr>
            <w:tcW w:type="dxa" w:w="1036"/>
            <w:vAlign w:val="top"/>
          </w:tcPr>
          <w:p>
            <w:pPr>
              <w:spacing w:after="40" w:before="0" w:line="259" w:lineRule="auto"/>
            </w:pPr>
            <w:r>
              <w:rPr>
                <w:rFonts w:ascii="Calibri" w:hAnsi="Calibri"/>
                <w:b w:val="0"/>
                <w:i w:val="0"/>
                <w:color w:val="212121"/>
                <w:sz w:val="16"/>
              </w:rPr>
              <w:t>Quantifies severity across somatic, psychological and urogenital domains</w:t>
            </w:r>
          </w:p>
        </w:tc>
        <w:tc>
          <w:tcPr>
            <w:tcW w:type="dxa" w:w="1036"/>
            <w:vAlign w:val="top"/>
          </w:tcPr>
          <w:p>
            <w:pPr>
              <w:spacing w:after="40" w:before="0" w:line="259" w:lineRule="auto"/>
            </w:pPr>
            <w:r>
              <w:rPr>
                <w:rFonts w:ascii="Calibri" w:hAnsi="Calibri"/>
                <w:b w:val="0"/>
                <w:i w:val="0"/>
                <w:color w:val="212121"/>
                <w:sz w:val="16"/>
              </w:rPr>
              <w:t>Symptomatic women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Enables objective tracking of treatment response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reproductive history</w:t>
            </w:r>
          </w:p>
        </w:tc>
        <w:tc>
          <w:tcPr>
            <w:tcW w:type="dxa" w:w="979"/>
            <w:vAlign w:val="top"/>
          </w:tcPr>
          <w:p>
            <w:pPr>
              <w:spacing w:after="40" w:before="0" w:line="259" w:lineRule="auto"/>
            </w:pPr>
            <w:r>
              <w:rPr>
                <w:rFonts w:ascii="Calibri" w:hAnsi="Calibri"/>
                <w:b w:val="0"/>
                <w:i w:val="0"/>
                <w:color w:val="212121"/>
                <w:sz w:val="16"/>
              </w:rPr>
              <w:t>Mother’s age at menopause; parity</w:t>
            </w:r>
          </w:p>
        </w:tc>
        <w:tc>
          <w:tcPr>
            <w:tcW w:type="dxa" w:w="950"/>
            <w:vAlign w:val="top"/>
          </w:tcPr>
          <w:p>
            <w:pPr>
              <w:spacing w:after="40" w:before="0" w:line="259" w:lineRule="auto"/>
            </w:pPr>
            <w:r>
              <w:rPr>
                <w:rFonts w:ascii="Calibri" w:hAnsi="Calibri"/>
                <w:b w:val="0"/>
                <w:i w:val="0"/>
                <w:color w:val="212121"/>
                <w:sz w:val="16"/>
              </w:rPr>
              <w:t>No early menopause in family</w:t>
            </w:r>
          </w:p>
        </w:tc>
        <w:tc>
          <w:tcPr>
            <w:tcW w:type="dxa" w:w="950"/>
            <w:vAlign w:val="top"/>
          </w:tcPr>
          <w:p>
            <w:pPr>
              <w:spacing w:after="40" w:before="0" w:line="259" w:lineRule="auto"/>
            </w:pPr>
            <w:r>
              <w:rPr>
                <w:rFonts w:ascii="Calibri" w:hAnsi="Calibri"/>
                <w:b w:val="0"/>
                <w:i w:val="0"/>
                <w:color w:val="212121"/>
                <w:sz w:val="16"/>
              </w:rPr>
              <w:t>Family history of early menopause; low parity</w:t>
            </w:r>
          </w:p>
        </w:tc>
        <w:tc>
          <w:tcPr>
            <w:tcW w:type="dxa" w:w="1036"/>
            <w:vAlign w:val="top"/>
          </w:tcPr>
          <w:p>
            <w:pPr>
              <w:spacing w:after="40" w:before="0" w:line="259" w:lineRule="auto"/>
            </w:pPr>
            <w:r>
              <w:rPr>
                <w:rFonts w:ascii="Calibri" w:hAnsi="Calibri"/>
                <w:b w:val="0"/>
                <w:i w:val="0"/>
                <w:color w:val="212121"/>
                <w:sz w:val="16"/>
              </w:rPr>
              <w:t>Predicts timing of the personal transition</w:t>
            </w:r>
          </w:p>
        </w:tc>
        <w:tc>
          <w:tcPr>
            <w:tcW w:type="dxa" w:w="1036"/>
            <w:vAlign w:val="top"/>
          </w:tcPr>
          <w:p>
            <w:pPr>
              <w:spacing w:after="40" w:before="0" w:line="259" w:lineRule="auto"/>
            </w:pPr>
            <w:r>
              <w:rPr>
                <w:rFonts w:ascii="Calibri" w:hAnsi="Calibri"/>
                <w:b w:val="0"/>
                <w:i w:val="0"/>
                <w:color w:val="212121"/>
                <w:sz w:val="16"/>
              </w:rPr>
              <w:t>Women anticipating transition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Age at menopause is substantially heritable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Genitourinary examination</w:t>
            </w:r>
          </w:p>
        </w:tc>
        <w:tc>
          <w:tcPr>
            <w:tcW w:type="dxa" w:w="979"/>
            <w:vAlign w:val="top"/>
          </w:tcPr>
          <w:p>
            <w:pPr>
              <w:spacing w:after="40" w:before="0" w:line="259" w:lineRule="auto"/>
            </w:pPr>
            <w:r>
              <w:rPr>
                <w:rFonts w:ascii="Calibri" w:hAnsi="Calibri"/>
                <w:b w:val="0"/>
                <w:i w:val="0"/>
                <w:color w:val="212121"/>
                <w:sz w:val="16"/>
              </w:rPr>
              <w:t>Vulvovaginal atrophy signs</w:t>
            </w:r>
          </w:p>
        </w:tc>
        <w:tc>
          <w:tcPr>
            <w:tcW w:type="dxa" w:w="950"/>
            <w:vAlign w:val="top"/>
          </w:tcPr>
          <w:p>
            <w:pPr>
              <w:spacing w:after="40" w:before="0" w:line="259" w:lineRule="auto"/>
            </w:pPr>
            <w:r>
              <w:rPr>
                <w:rFonts w:ascii="Calibri" w:hAnsi="Calibri"/>
                <w:b w:val="0"/>
                <w:i w:val="0"/>
                <w:color w:val="212121"/>
                <w:sz w:val="16"/>
              </w:rPr>
              <w:t>Moist, rugated, elastic mucosa</w:t>
            </w:r>
          </w:p>
        </w:tc>
        <w:tc>
          <w:tcPr>
            <w:tcW w:type="dxa" w:w="950"/>
            <w:vAlign w:val="top"/>
          </w:tcPr>
          <w:p>
            <w:pPr>
              <w:spacing w:after="40" w:before="0" w:line="259" w:lineRule="auto"/>
            </w:pPr>
            <w:r>
              <w:rPr>
                <w:rFonts w:ascii="Calibri" w:hAnsi="Calibri"/>
                <w:b w:val="0"/>
                <w:i w:val="0"/>
                <w:color w:val="212121"/>
                <w:sz w:val="16"/>
              </w:rPr>
              <w:t>Pale, dry, thinned mucosa; loss of rugae</w:t>
            </w:r>
          </w:p>
        </w:tc>
        <w:tc>
          <w:tcPr>
            <w:tcW w:type="dxa" w:w="1036"/>
            <w:vAlign w:val="top"/>
          </w:tcPr>
          <w:p>
            <w:pPr>
              <w:spacing w:after="40" w:before="0" w:line="259" w:lineRule="auto"/>
            </w:pPr>
            <w:r>
              <w:rPr>
                <w:rFonts w:ascii="Calibri" w:hAnsi="Calibri"/>
                <w:b w:val="0"/>
                <w:i w:val="0"/>
                <w:color w:val="212121"/>
                <w:sz w:val="16"/>
              </w:rPr>
              <w:t>Identifies genitourinary syndrome of menopause (GSM)</w:t>
            </w:r>
          </w:p>
        </w:tc>
        <w:tc>
          <w:tcPr>
            <w:tcW w:type="dxa" w:w="1036"/>
            <w:vAlign w:val="top"/>
          </w:tcPr>
          <w:p>
            <w:pPr>
              <w:spacing w:after="40" w:before="0" w:line="259" w:lineRule="auto"/>
            </w:pPr>
            <w:r>
              <w:rPr>
                <w:rFonts w:ascii="Calibri" w:hAnsi="Calibri"/>
                <w:b w:val="0"/>
                <w:i w:val="0"/>
                <w:color w:val="212121"/>
                <w:sz w:val="16"/>
              </w:rPr>
              <w:t>Women with dryness, dyspareunia, urinary symptoms</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More than 50% of women develop genitourinary symptoms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Cardiometabolic vitals</w:t>
            </w:r>
          </w:p>
        </w:tc>
        <w:tc>
          <w:tcPr>
            <w:tcW w:type="dxa" w:w="979"/>
            <w:vAlign w:val="top"/>
          </w:tcPr>
          <w:p>
            <w:pPr>
              <w:spacing w:after="40" w:before="0" w:line="259" w:lineRule="auto"/>
            </w:pPr>
            <w:r>
              <w:rPr>
                <w:rFonts w:ascii="Calibri" w:hAnsi="Calibri"/>
                <w:b w:val="0"/>
                <w:i w:val="0"/>
                <w:color w:val="212121"/>
                <w:sz w:val="16"/>
              </w:rPr>
              <w:t>Blood pressure, weight, BMI, waist</w:t>
            </w:r>
          </w:p>
        </w:tc>
        <w:tc>
          <w:tcPr>
            <w:tcW w:type="dxa" w:w="950"/>
            <w:vAlign w:val="top"/>
          </w:tcPr>
          <w:p>
            <w:pPr>
              <w:spacing w:after="40" w:before="0" w:line="259" w:lineRule="auto"/>
            </w:pPr>
            <w:r>
              <w:rPr>
                <w:rFonts w:ascii="Calibri" w:hAnsi="Calibri"/>
                <w:b w:val="0"/>
                <w:i w:val="0"/>
                <w:color w:val="212121"/>
                <w:sz w:val="16"/>
              </w:rPr>
              <w:t>BP &lt; 130/85; BMI 18.5–24.9</w:t>
            </w:r>
          </w:p>
        </w:tc>
        <w:tc>
          <w:tcPr>
            <w:tcW w:type="dxa" w:w="950"/>
            <w:vAlign w:val="top"/>
          </w:tcPr>
          <w:p>
            <w:pPr>
              <w:spacing w:after="40" w:before="0" w:line="259" w:lineRule="auto"/>
            </w:pPr>
            <w:r>
              <w:rPr>
                <w:rFonts w:ascii="Calibri" w:hAnsi="Calibri"/>
                <w:b w:val="0"/>
                <w:i w:val="0"/>
                <w:color w:val="212121"/>
                <w:sz w:val="16"/>
              </w:rPr>
              <w:t>Rising BP, weight and waist circumference</w:t>
            </w:r>
          </w:p>
        </w:tc>
        <w:tc>
          <w:tcPr>
            <w:tcW w:type="dxa" w:w="1036"/>
            <w:vAlign w:val="top"/>
          </w:tcPr>
          <w:p>
            <w:pPr>
              <w:spacing w:after="40" w:before="0" w:line="259" w:lineRule="auto"/>
            </w:pPr>
            <w:r>
              <w:rPr>
                <w:rFonts w:ascii="Calibri" w:hAnsi="Calibri"/>
                <w:b w:val="0"/>
                <w:i w:val="0"/>
                <w:color w:val="212121"/>
                <w:sz w:val="16"/>
              </w:rPr>
              <w:t>Detects the adverse cardiometabolic drift of the transition</w:t>
            </w:r>
          </w:p>
        </w:tc>
        <w:tc>
          <w:tcPr>
            <w:tcW w:type="dxa" w:w="1036"/>
            <w:vAlign w:val="top"/>
          </w:tcPr>
          <w:p>
            <w:pPr>
              <w:spacing w:after="40" w:before="0" w:line="259" w:lineRule="auto"/>
            </w:pPr>
            <w:r>
              <w:rPr>
                <w:rFonts w:ascii="Calibri" w:hAnsi="Calibri"/>
                <w:b w:val="0"/>
                <w:i w:val="0"/>
                <w:color w:val="212121"/>
                <w:sz w:val="16"/>
              </w:rPr>
              <w:t>All midlife women</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Baseline for cardiovascular risk assessment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w:t>
            </w:r>
          </w:p>
        </w:tc>
        <w:tc>
          <w:tcPr>
            <w:tcW w:type="dxa" w:w="950"/>
            <w:vAlign w:val="top"/>
          </w:tcPr>
          <w:p>
            <w:pPr>
              <w:spacing w:after="40" w:before="0" w:line="259" w:lineRule="auto"/>
            </w:pPr>
            <w:r>
              <w:rPr>
                <w:rFonts w:ascii="Calibri" w:hAnsi="Calibri"/>
                <w:b w:val="0"/>
                <w:i w:val="0"/>
                <w:color w:val="212121"/>
                <w:sz w:val="16"/>
              </w:rPr>
              <w:t>Mood &amp; sleep screen</w:t>
            </w:r>
          </w:p>
        </w:tc>
        <w:tc>
          <w:tcPr>
            <w:tcW w:type="dxa" w:w="979"/>
            <w:vAlign w:val="top"/>
          </w:tcPr>
          <w:p>
            <w:pPr>
              <w:spacing w:after="40" w:before="0" w:line="259" w:lineRule="auto"/>
            </w:pPr>
            <w:r>
              <w:rPr>
                <w:rFonts w:ascii="Calibri" w:hAnsi="Calibri"/>
                <w:b w:val="0"/>
                <w:i w:val="0"/>
                <w:color w:val="212121"/>
                <w:sz w:val="16"/>
              </w:rPr>
              <w:t>PHQ-9 / GAD-7 / sleep review</w:t>
            </w:r>
          </w:p>
        </w:tc>
        <w:tc>
          <w:tcPr>
            <w:tcW w:type="dxa" w:w="950"/>
            <w:vAlign w:val="top"/>
          </w:tcPr>
          <w:p>
            <w:pPr>
              <w:spacing w:after="40" w:before="0" w:line="259" w:lineRule="auto"/>
            </w:pPr>
            <w:r>
              <w:rPr>
                <w:rFonts w:ascii="Calibri" w:hAnsi="Calibri"/>
                <w:b w:val="0"/>
                <w:i w:val="0"/>
                <w:color w:val="212121"/>
                <w:sz w:val="16"/>
              </w:rPr>
              <w:t>Screens negative</w:t>
            </w:r>
          </w:p>
        </w:tc>
        <w:tc>
          <w:tcPr>
            <w:tcW w:type="dxa" w:w="950"/>
            <w:vAlign w:val="top"/>
          </w:tcPr>
          <w:p>
            <w:pPr>
              <w:spacing w:after="40" w:before="0" w:line="259" w:lineRule="auto"/>
            </w:pPr>
            <w:r>
              <w:rPr>
                <w:rFonts w:ascii="Calibri" w:hAnsi="Calibri"/>
                <w:b w:val="0"/>
                <w:i w:val="0"/>
                <w:color w:val="212121"/>
                <w:sz w:val="16"/>
              </w:rPr>
              <w:t>Positive depression/anxiety/insomnia screen</w:t>
            </w:r>
          </w:p>
        </w:tc>
        <w:tc>
          <w:tcPr>
            <w:tcW w:type="dxa" w:w="1036"/>
            <w:vAlign w:val="top"/>
          </w:tcPr>
          <w:p>
            <w:pPr>
              <w:spacing w:after="40" w:before="0" w:line="259" w:lineRule="auto"/>
            </w:pPr>
            <w:r>
              <w:rPr>
                <w:rFonts w:ascii="Calibri" w:hAnsi="Calibri"/>
                <w:b w:val="0"/>
                <w:i w:val="0"/>
                <w:color w:val="212121"/>
                <w:sz w:val="16"/>
              </w:rPr>
              <w:t>Detects the high-risk perimenopausal mood and sleep disturbance</w:t>
            </w:r>
          </w:p>
        </w:tc>
        <w:tc>
          <w:tcPr>
            <w:tcW w:type="dxa" w:w="1036"/>
            <w:vAlign w:val="top"/>
          </w:tcPr>
          <w:p>
            <w:pPr>
              <w:spacing w:after="40" w:before="0" w:line="259" w:lineRule="auto"/>
            </w:pPr>
            <w:r>
              <w:rPr>
                <w:rFonts w:ascii="Calibri" w:hAnsi="Calibri"/>
                <w:b w:val="0"/>
                <w:i w:val="0"/>
                <w:color w:val="212121"/>
                <w:sz w:val="16"/>
              </w:rPr>
              <w:t>Women with mood or sleep complaints</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Perimenopause is a window of vulnerability for depression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Irregular / changing menstrual cycles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early sign — cycles shorten, lengthen or skip as ovulation becomes erratic.</w:t>
            </w:r>
          </w:p>
        </w:tc>
      </w:tr>
      <w:tr>
        <w:trPr>
          <w:cantSplit/>
        </w:trPr>
        <w:tc>
          <w:tcPr>
            <w:tcW w:type="dxa" w:w="2304"/>
            <w:vAlign w:val="top"/>
          </w:tcPr>
          <w:p>
            <w:pPr>
              <w:spacing w:after="40" w:before="0" w:line="259" w:lineRule="auto"/>
            </w:pPr>
            <w:r>
              <w:rPr>
                <w:rFonts w:ascii="Calibri" w:hAnsi="Calibri"/>
                <w:b/>
                <w:i w:val="0"/>
                <w:color w:val="212121"/>
                <w:sz w:val="19"/>
              </w:rPr>
              <w:t>Hot flushes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sensations of heat and flushing from oestrogen-driven thermoregulatory instability; the cardinal vasomotor symptom.</w:t>
            </w:r>
          </w:p>
        </w:tc>
      </w:tr>
      <w:tr>
        <w:trPr>
          <w:cantSplit/>
        </w:trPr>
        <w:tc>
          <w:tcPr>
            <w:tcW w:type="dxa" w:w="2304"/>
            <w:vAlign w:val="top"/>
          </w:tcPr>
          <w:p>
            <w:pPr>
              <w:spacing w:after="40" w:before="0" w:line="259" w:lineRule="auto"/>
            </w:pPr>
            <w:r>
              <w:rPr>
                <w:rFonts w:ascii="Calibri" w:hAnsi="Calibri"/>
                <w:b/>
                <w:i w:val="0"/>
                <w:color w:val="212121"/>
                <w:sz w:val="19"/>
              </w:rPr>
              <w:t>Night sweats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Nocturnal vasomotor episodes that drench and disrupt sleep.</w:t>
            </w:r>
          </w:p>
        </w:tc>
      </w:tr>
      <w:tr>
        <w:trPr>
          <w:cantSplit/>
        </w:trPr>
        <w:tc>
          <w:tcPr>
            <w:tcW w:type="dxa" w:w="2304"/>
            <w:vAlign w:val="top"/>
          </w:tcPr>
          <w:p>
            <w:pPr>
              <w:spacing w:after="40" w:before="0" w:line="259" w:lineRule="auto"/>
            </w:pPr>
            <w:r>
              <w:rPr>
                <w:rFonts w:ascii="Calibri" w:hAnsi="Calibri"/>
                <w:b/>
                <w:i w:val="0"/>
                <w:color w:val="212121"/>
                <w:sz w:val="19"/>
              </w:rPr>
              <w:t>Sleep disturbance / insomnia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falling or staying asleep, often driven by night sweats; among the most reported complaints (~45% in a Gujarat cohort).</w:t>
            </w:r>
          </w:p>
        </w:tc>
      </w:tr>
      <w:tr>
        <w:trPr>
          <w:cantSplit/>
        </w:trPr>
        <w:tc>
          <w:tcPr>
            <w:tcW w:type="dxa" w:w="2304"/>
            <w:vAlign w:val="top"/>
          </w:tcPr>
          <w:p>
            <w:pPr>
              <w:spacing w:after="40" w:before="0" w:line="259" w:lineRule="auto"/>
            </w:pPr>
            <w:r>
              <w:rPr>
                <w:rFonts w:ascii="Calibri" w:hAnsi="Calibri"/>
                <w:b/>
                <w:i w:val="0"/>
                <w:color w:val="212121"/>
                <w:sz w:val="19"/>
              </w:rPr>
              <w:t>Mood swings, irritability, low mood or anxiety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Fluctuating oestrogen and disturbed sleep create a window of vulnerability for depression and anxiety.</w:t>
            </w:r>
          </w:p>
        </w:tc>
      </w:tr>
      <w:tr>
        <w:trPr>
          <w:cantSplit/>
        </w:trPr>
        <w:tc>
          <w:tcPr>
            <w:tcW w:type="dxa" w:w="2304"/>
            <w:vAlign w:val="top"/>
          </w:tcPr>
          <w:p>
            <w:pPr>
              <w:spacing w:after="40" w:before="0" w:line="259" w:lineRule="auto"/>
            </w:pPr>
            <w:r>
              <w:rPr>
                <w:rFonts w:ascii="Calibri" w:hAnsi="Calibri"/>
                <w:b/>
                <w:i w:val="0"/>
                <w:color w:val="212121"/>
                <w:sz w:val="19"/>
              </w:rPr>
              <w:t>Fatigue / physical exhaustion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Very frequently reported (73% in a Gujarat study), compounded by poor sleep and anaemia.</w:t>
            </w:r>
          </w:p>
        </w:tc>
      </w:tr>
      <w:tr>
        <w:trPr>
          <w:cantSplit/>
        </w:trPr>
        <w:tc>
          <w:tcPr>
            <w:tcW w:type="dxa" w:w="2304"/>
            <w:vAlign w:val="top"/>
          </w:tcPr>
          <w:p>
            <w:pPr>
              <w:spacing w:after="40" w:before="0" w:line="259" w:lineRule="auto"/>
            </w:pPr>
            <w:r>
              <w:rPr>
                <w:rFonts w:ascii="Calibri" w:hAnsi="Calibri"/>
                <w:b/>
                <w:i w:val="0"/>
                <w:color w:val="212121"/>
                <w:sz w:val="19"/>
              </w:rPr>
              <w:t>Joint and muscle aches / backache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Arthralgia and body ache are among the most prevalent symptoms in Indian cohorts (backache 62% in rural Puducherry).</w:t>
            </w:r>
          </w:p>
        </w:tc>
      </w:tr>
      <w:tr>
        <w:trPr>
          <w:cantSplit/>
        </w:trPr>
        <w:tc>
          <w:tcPr>
            <w:tcW w:type="dxa" w:w="2304"/>
            <w:vAlign w:val="top"/>
          </w:tcPr>
          <w:p>
            <w:pPr>
              <w:spacing w:after="40" w:before="0" w:line="259" w:lineRule="auto"/>
            </w:pPr>
            <w:r>
              <w:rPr>
                <w:rFonts w:ascii="Calibri" w:hAnsi="Calibri"/>
                <w:b/>
                <w:i w:val="0"/>
                <w:color w:val="212121"/>
                <w:sz w:val="19"/>
              </w:rPr>
              <w:t>Vaginal dryness / painful intercourse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Atrophic genitourinary changes (GSM) cause dryness, dyspareunia and irritation.</w:t>
            </w:r>
          </w:p>
        </w:tc>
      </w:tr>
      <w:tr>
        <w:trPr>
          <w:cantSplit/>
        </w:trPr>
        <w:tc>
          <w:tcPr>
            <w:tcW w:type="dxa" w:w="2304"/>
            <w:vAlign w:val="top"/>
          </w:tcPr>
          <w:p>
            <w:pPr>
              <w:spacing w:after="40" w:before="0" w:line="259" w:lineRule="auto"/>
            </w:pPr>
            <w:r>
              <w:rPr>
                <w:rFonts w:ascii="Calibri" w:hAnsi="Calibri"/>
                <w:b/>
                <w:i w:val="0"/>
                <w:color w:val="212121"/>
                <w:sz w:val="19"/>
              </w:rPr>
              <w:t>Reduced libido</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Falling oestrogen and androgens, dryness and fatigue lower sexual desire.</w:t>
            </w:r>
          </w:p>
        </w:tc>
      </w:tr>
      <w:tr>
        <w:trPr>
          <w:cantSplit/>
        </w:trPr>
        <w:tc>
          <w:tcPr>
            <w:tcW w:type="dxa" w:w="2304"/>
            <w:vAlign w:val="top"/>
          </w:tcPr>
          <w:p>
            <w:pPr>
              <w:spacing w:after="40" w:before="0" w:line="259" w:lineRule="auto"/>
            </w:pPr>
            <w:r>
              <w:rPr>
                <w:rFonts w:ascii="Calibri" w:hAnsi="Calibri"/>
                <w:b/>
                <w:i w:val="0"/>
                <w:color w:val="212121"/>
                <w:sz w:val="19"/>
              </w:rPr>
              <w:t>Brain fog / memory and concentration difficulty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Transient, usually reversible cognitive complaints during the transition.</w:t>
            </w:r>
          </w:p>
        </w:tc>
      </w:tr>
      <w:tr>
        <w:trPr>
          <w:cantSplit/>
        </w:trPr>
        <w:tc>
          <w:tcPr>
            <w:tcW w:type="dxa" w:w="2304"/>
            <w:vAlign w:val="top"/>
          </w:tcPr>
          <w:p>
            <w:pPr>
              <w:spacing w:after="40" w:before="0" w:line="259" w:lineRule="auto"/>
            </w:pPr>
            <w:r>
              <w:rPr>
                <w:rFonts w:ascii="Calibri" w:hAnsi="Calibri"/>
                <w:b/>
                <w:i w:val="0"/>
                <w:color w:val="212121"/>
                <w:sz w:val="19"/>
              </w:rPr>
              <w:t>Heavy or prolonged menstrual bleeding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Anovulatory cycles and unopposed oestrogen can cause menorrhagia and iron-deficiency anaemia; warrants evaluation.</w:t>
            </w:r>
          </w:p>
        </w:tc>
      </w:tr>
      <w:tr>
        <w:trPr>
          <w:cantSplit/>
        </w:trPr>
        <w:tc>
          <w:tcPr>
            <w:tcW w:type="dxa" w:w="2304"/>
            <w:vAlign w:val="top"/>
          </w:tcPr>
          <w:p>
            <w:pPr>
              <w:spacing w:after="40" w:before="0" w:line="259" w:lineRule="auto"/>
            </w:pPr>
            <w:r>
              <w:rPr>
                <w:rFonts w:ascii="Calibri" w:hAnsi="Calibri"/>
                <w:b/>
                <w:i w:val="0"/>
                <w:color w:val="212121"/>
                <w:sz w:val="19"/>
              </w:rPr>
              <w:t>Urinary urgency / frequency / recurrent UTIs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Part of the genitourinary syndrome of menopause from urogenital atrophy.</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Often accompany hot flushes; cardiac causes should be excluded.</w:t>
            </w:r>
          </w:p>
        </w:tc>
      </w:tr>
      <w:tr>
        <w:trPr>
          <w:cantSplit/>
        </w:trPr>
        <w:tc>
          <w:tcPr>
            <w:tcW w:type="dxa" w:w="2304"/>
            <w:vAlign w:val="top"/>
          </w:tcPr>
          <w:p>
            <w:pPr>
              <w:spacing w:after="40" w:before="0" w:line="259" w:lineRule="auto"/>
            </w:pPr>
            <w:r>
              <w:rPr>
                <w:rFonts w:ascii="Calibri" w:hAnsi="Calibri"/>
                <w:b/>
                <w:i w:val="0"/>
                <w:color w:val="212121"/>
                <w:sz w:val="19"/>
              </w:rPr>
              <w:t>Formication (crawling skin sensation)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An uncommon sensory vasomotor-related symptom of the transition.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Documented menstrual-cycle irregularity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Persistent ≥ 7-day cycle-length variability or ≥ 60-day amenorrhoeic intervals on a menstrual diary.</w:t>
            </w:r>
          </w:p>
        </w:tc>
      </w:tr>
      <w:tr>
        <w:trPr>
          <w:cantSplit/>
        </w:trPr>
        <w:tc>
          <w:tcPr>
            <w:tcW w:type="dxa" w:w="3456"/>
            <w:vAlign w:val="top"/>
          </w:tcPr>
          <w:p>
            <w:pPr>
              <w:spacing w:after="40" w:before="0" w:line="259" w:lineRule="auto"/>
            </w:pPr>
            <w:r>
              <w:rPr>
                <w:rFonts w:ascii="Calibri" w:hAnsi="Calibri"/>
                <w:b/>
                <w:i w:val="0"/>
                <w:color w:val="212121"/>
                <w:sz w:val="19"/>
              </w:rPr>
              <w:t>Vulvovaginal atrophy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Pale, dry, thinned vaginal mucosa with loss of rugae and reduced elasticity — the sign of GSM.</w:t>
            </w:r>
          </w:p>
        </w:tc>
      </w:tr>
      <w:tr>
        <w:trPr>
          <w:cantSplit/>
        </w:trPr>
        <w:tc>
          <w:tcPr>
            <w:tcW w:type="dxa" w:w="3456"/>
            <w:vAlign w:val="top"/>
          </w:tcPr>
          <w:p>
            <w:pPr>
              <w:spacing w:after="40" w:before="0" w:line="259" w:lineRule="auto"/>
            </w:pPr>
            <w:r>
              <w:rPr>
                <w:rFonts w:ascii="Calibri" w:hAnsi="Calibri"/>
                <w:b/>
                <w:i w:val="0"/>
                <w:color w:val="212121"/>
                <w:sz w:val="19"/>
              </w:rPr>
              <w:t>Increased weight / waist circumference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Central fat redistribution is typical across the transition and raises cardiometabolic risk.</w:t>
            </w:r>
          </w:p>
        </w:tc>
      </w:tr>
      <w:tr>
        <w:trPr>
          <w:cantSplit/>
        </w:trPr>
        <w:tc>
          <w:tcPr>
            <w:tcW w:type="dxa" w:w="3456"/>
            <w:vAlign w:val="top"/>
          </w:tcPr>
          <w:p>
            <w:pPr>
              <w:spacing w:after="40" w:before="0" w:line="259" w:lineRule="auto"/>
            </w:pPr>
            <w:r>
              <w:rPr>
                <w:rFonts w:ascii="Calibri" w:hAnsi="Calibri"/>
                <w:b/>
                <w:i w:val="0"/>
                <w:color w:val="212121"/>
                <w:sz w:val="19"/>
              </w:rPr>
              <w:t>Rising blood pressure / adverse lipids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Oestrogen decline is accompanied by higher BP and atherogenic lipid shifts.</w:t>
            </w:r>
          </w:p>
        </w:tc>
      </w:tr>
      <w:tr>
        <w:trPr>
          <w:cantSplit/>
        </w:trPr>
        <w:tc>
          <w:tcPr>
            <w:tcW w:type="dxa" w:w="3456"/>
            <w:vAlign w:val="top"/>
          </w:tcPr>
          <w:p>
            <w:pPr>
              <w:spacing w:after="40" w:before="0" w:line="259" w:lineRule="auto"/>
            </w:pPr>
            <w:r>
              <w:rPr>
                <w:rFonts w:ascii="Calibri" w:hAnsi="Calibri"/>
                <w:b/>
                <w:i w:val="0"/>
                <w:color w:val="212121"/>
                <w:sz w:val="19"/>
              </w:rPr>
              <w:t>Dry skin and thinning hair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oestrogen lowers skin collagen and hydration and may thin scalp hair.</w:t>
            </w:r>
          </w:p>
        </w:tc>
      </w:tr>
      <w:tr>
        <w:trPr>
          <w:cantSplit/>
        </w:trPr>
        <w:tc>
          <w:tcPr>
            <w:tcW w:type="dxa" w:w="3456"/>
            <w:vAlign w:val="top"/>
          </w:tcPr>
          <w:p>
            <w:pPr>
              <w:spacing w:after="40" w:before="0" w:line="259" w:lineRule="auto"/>
            </w:pPr>
            <w:r>
              <w:rPr>
                <w:rFonts w:ascii="Calibri" w:hAnsi="Calibri"/>
                <w:b/>
                <w:i w:val="0"/>
                <w:color w:val="212121"/>
                <w:sz w:val="19"/>
              </w:rPr>
              <w:t>Pallor of anaemia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Conjunctival/palmar pallor when heavy perimenopausal bleeding causes iron deficiency.</w:t>
            </w:r>
          </w:p>
        </w:tc>
      </w:tr>
      <w:tr>
        <w:trPr>
          <w:cantSplit/>
        </w:trPr>
        <w:tc>
          <w:tcPr>
            <w:tcW w:type="dxa" w:w="3456"/>
            <w:vAlign w:val="top"/>
          </w:tcPr>
          <w:p>
            <w:pPr>
              <w:spacing w:after="40" w:before="0" w:line="259" w:lineRule="auto"/>
            </w:pPr>
            <w:r>
              <w:rPr>
                <w:rFonts w:ascii="Calibri" w:hAnsi="Calibri"/>
                <w:b/>
                <w:i w:val="0"/>
                <w:color w:val="212121"/>
                <w:sz w:val="19"/>
              </w:rPr>
              <w:t>Breast tenderness or changes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Hormonal fluctuation can cause mastalgia and changes in breast density.</w:t>
            </w:r>
          </w:p>
        </w:tc>
      </w:tr>
      <w:tr>
        <w:trPr>
          <w:cantSplit/>
        </w:trPr>
        <w:tc>
          <w:tcPr>
            <w:tcW w:type="dxa" w:w="3456"/>
            <w:vAlign w:val="top"/>
          </w:tcPr>
          <w:p>
            <w:pPr>
              <w:spacing w:after="40" w:before="0" w:line="259" w:lineRule="auto"/>
            </w:pPr>
            <w:r>
              <w:rPr>
                <w:rFonts w:ascii="Calibri" w:hAnsi="Calibri"/>
                <w:b/>
                <w:i w:val="0"/>
                <w:color w:val="212121"/>
                <w:sz w:val="19"/>
              </w:rPr>
              <w:t>Low mood / anxious affect on interview</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Observable psychological changes correlating with a positive PHQ-9/GAD-7.</w:t>
            </w:r>
          </w:p>
        </w:tc>
      </w:tr>
      <w:tr>
        <w:trPr>
          <w:cantSplit/>
        </w:trPr>
        <w:tc>
          <w:tcPr>
            <w:tcW w:type="dxa" w:w="3456"/>
            <w:vAlign w:val="top"/>
          </w:tcPr>
          <w:p>
            <w:pPr>
              <w:spacing w:after="40" w:before="0" w:line="259" w:lineRule="auto"/>
            </w:pPr>
            <w:r>
              <w:rPr>
                <w:rFonts w:ascii="Calibri" w:hAnsi="Calibri"/>
                <w:b/>
                <w:i w:val="0"/>
                <w:color w:val="212121"/>
                <w:sz w:val="19"/>
              </w:rPr>
              <w:t>Reduced bone mineral density on DXA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Osteopenia/osteoporosis emerges as bone loss accelerates around the final menstrual period.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 prolonged vasomotor symptoms (hot flushes, night sweats)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sleep deprivation and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Perimenopausal depression and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Abnormal uterine bleeding with iron-deficiency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 dysfunction and early genitourinary syndrome of menopause</w:t>
            </w:r>
          </w:p>
        </w:tc>
        <w:tc>
          <w:tcPr>
            <w:tcW w:type="dxa" w:w="2980"/>
            <w:vAlign w:val="top"/>
          </w:tcPr>
          <w:p>
            <w:pPr>
              <w:spacing w:after="40" w:before="0" w:line="259" w:lineRule="auto"/>
            </w:pPr>
            <w:r>
              <w:rPr>
                <w:rFonts w:ascii="Calibri" w:hAnsi="Calibri"/>
                <w:b w:val="0"/>
                <w:i w:val="0"/>
                <w:color w:val="212121"/>
                <w:sz w:val="19"/>
              </w:rPr>
              <w:t>Direct symptomatic consequences of fluctuating and declining ovarian hormones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bone loss (osteopenia)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Dyslipidaemia and rising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Central weight gain, insulin resistance and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cognitive complaints ('brain fog')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urinary tract infections from urogenital atrophy</w:t>
            </w:r>
          </w:p>
        </w:tc>
        <w:tc>
          <w:tcPr>
            <w:tcW w:type="dxa" w:w="2980"/>
            <w:vAlign w:val="top"/>
          </w:tcPr>
          <w:p>
            <w:pPr>
              <w:spacing w:after="40" w:before="0" w:line="259" w:lineRule="auto"/>
            </w:pPr>
            <w:r>
              <w:rPr>
                <w:rFonts w:ascii="Calibri" w:hAnsi="Calibri"/>
                <w:b w:val="0"/>
                <w:i w:val="0"/>
                <w:color w:val="212121"/>
                <w:sz w:val="19"/>
              </w:rPr>
              <w:t>Metabolic and end-organ effects that accumulate as oestrogen falls across the transition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Osteoporosis and fragility fractures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disease (coronary artery disease,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diabetes mellitus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Heightened long-term cardiovascular and skeletal risk when menopause is premature (&lt; 40) or early (40–44)</w:t>
            </w:r>
          </w:p>
        </w:tc>
        <w:tc>
          <w:tcPr>
            <w:tcW w:type="dxa" w:w="2980"/>
            <w:vAlign w:val="top"/>
          </w:tcPr>
          <w:p>
            <w:pPr>
              <w:spacing w:after="40" w:before="0" w:line="259" w:lineRule="auto"/>
            </w:pPr>
            <w:r>
              <w:rPr>
                <w:rFonts w:ascii="Calibri" w:hAnsi="Calibri"/>
                <w:b w:val="0"/>
                <w:i w:val="0"/>
                <w:color w:val="212121"/>
                <w:sz w:val="19"/>
              </w:rPr>
              <w:t>Irreversible long-term postmenopausal disease burden, amplified by early or premature transition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Osteoporosis / low bone mineral density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Oestrogen withdrawal accelerates bone resorption; bone loss begins in late perimenopause and predisposes to fragility fractures.</w:t>
            </w:r>
          </w:p>
          <w:p>
            <w:pPr>
              <w:spacing w:after="40" w:before="0" w:line="259" w:lineRule="auto"/>
            </w:pPr>
            <w:r>
              <w:rPr>
                <w:rFonts w:ascii="Calibri" w:hAnsi="Calibri"/>
                <w:b/>
                <w:i w:val="0"/>
                <w:color w:val="212121"/>
                <w:sz w:val="19"/>
              </w:rPr>
              <w:t>Up to ~63.6% at risk</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Loss of oestrogen’s vascular protection shifts lipids and blood pressure adversely; premature/early menopause carries higher CVD risk (HR 1.55 for &lt; 40).</w:t>
            </w:r>
          </w:p>
          <w:p>
            <w:pPr>
              <w:spacing w:after="40" w:before="0" w:line="259" w:lineRule="auto"/>
            </w:pPr>
            <w:r>
              <w:rPr>
                <w:rFonts w:ascii="Calibri" w:hAnsi="Calibri"/>
                <w:b/>
                <w:i w:val="0"/>
                <w:color w:val="212121"/>
                <w:sz w:val="19"/>
              </w:rPr>
              <w:t>HR 1.55 (&lt; 40)</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Perimenopause is a hormonal window of vulnerability for new and recurrent mood disorders, interacting with sleep loss and midlife stress.</w:t>
            </w:r>
          </w:p>
        </w:tc>
      </w:tr>
      <w:tr>
        <w:trPr>
          <w:cantSplit/>
        </w:trPr>
        <w:tc>
          <w:tcPr>
            <w:tcW w:type="dxa" w:w="2232"/>
            <w:vAlign w:val="top"/>
          </w:tcPr>
          <w:p>
            <w:pPr>
              <w:spacing w:after="40" w:before="0" w:line="259" w:lineRule="auto"/>
            </w:pPr>
            <w:r>
              <w:rPr>
                <w:rFonts w:ascii="Calibri" w:hAnsi="Calibri"/>
                <w:b/>
                <w:i w:val="0"/>
                <w:color w:val="212121"/>
                <w:sz w:val="19"/>
              </w:rPr>
              <w:t>Genitourinary syndrome of menopause (GSM)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Urogenital atrophy causes dryness, dyspareunia and urinary symptoms; largely a direct consequence of oestrogen decline.</w:t>
            </w:r>
          </w:p>
          <w:p>
            <w:pPr>
              <w:spacing w:after="40" w:before="0" w:line="259" w:lineRule="auto"/>
            </w:pPr>
            <w:r>
              <w:rPr>
                <w:rFonts w:ascii="Calibri" w:hAnsi="Calibri"/>
                <w:b/>
                <w:i w:val="0"/>
                <w:color w:val="212121"/>
                <w:sz w:val="19"/>
              </w:rPr>
              <w:t>&gt; 50%</w:t>
            </w:r>
          </w:p>
        </w:tc>
      </w:tr>
      <w:tr>
        <w:trPr>
          <w:cantSplit/>
        </w:trPr>
        <w:tc>
          <w:tcPr>
            <w:tcW w:type="dxa" w:w="2232"/>
            <w:vAlign w:val="top"/>
          </w:tcPr>
          <w:p>
            <w:pPr>
              <w:spacing w:after="40" w:before="0" w:line="259" w:lineRule="auto"/>
            </w:pPr>
            <w:r>
              <w:rPr>
                <w:rFonts w:ascii="Calibri" w:hAnsi="Calibri"/>
                <w:b/>
                <w:i w:val="0"/>
                <w:color w:val="212121"/>
                <w:sz w:val="19"/>
              </w:rPr>
              <w:t>Insomnia / sleep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Night sweats and hormonal change fragment sleep, which in turn worsens mood, fatigue and cognition.</w:t>
            </w:r>
          </w:p>
        </w:tc>
      </w:tr>
      <w:tr>
        <w:trPr>
          <w:cantSplit/>
        </w:trPr>
        <w:tc>
          <w:tcPr>
            <w:tcW w:type="dxa" w:w="2232"/>
            <w:vAlign w:val="top"/>
          </w:tcPr>
          <w:p>
            <w:pPr>
              <w:spacing w:after="40" w:before="0" w:line="259" w:lineRule="auto"/>
            </w:pPr>
            <w:r>
              <w:rPr>
                <w:rFonts w:ascii="Calibri" w:hAnsi="Calibri"/>
                <w:b/>
                <w:i w:val="0"/>
                <w:color w:val="212121"/>
                <w:sz w:val="19"/>
              </w:rPr>
              <w:t>Metabolic syndrome / type 2 diabetes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Central adiposity and insulin resistance rise across the transition, increasing diabetes risk.</w:t>
            </w:r>
          </w:p>
        </w:tc>
      </w:tr>
      <w:tr>
        <w:trPr>
          <w:cantSplit/>
        </w:trPr>
        <w:tc>
          <w:tcPr>
            <w:tcW w:type="dxa" w:w="2232"/>
            <w:vAlign w:val="top"/>
          </w:tcPr>
          <w:p>
            <w:pPr>
              <w:spacing w:after="40" w:before="0" w:line="259" w:lineRule="auto"/>
            </w:pPr>
            <w:r>
              <w:rPr>
                <w:rFonts w:ascii="Calibri" w:hAnsi="Calibri"/>
                <w:b/>
                <w:i w:val="0"/>
                <w:color w:val="212121"/>
                <w:sz w:val="19"/>
              </w:rPr>
              <w:t>Obesity / central weight gain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Hormonal and ageing changes drive visceral fat gain, which both worsens vasomotor symptoms and raises cardiometabolic risk.</w:t>
            </w:r>
          </w:p>
        </w:tc>
      </w:tr>
      <w:tr>
        <w:trPr>
          <w:cantSplit/>
        </w:trPr>
        <w:tc>
          <w:tcPr>
            <w:tcW w:type="dxa" w:w="2232"/>
            <w:vAlign w:val="top"/>
          </w:tcPr>
          <w:p>
            <w:pPr>
              <w:spacing w:after="40" w:before="0" w:line="259" w:lineRule="auto"/>
            </w:pPr>
            <w:r>
              <w:rPr>
                <w:rFonts w:ascii="Calibri" w:hAnsi="Calibri"/>
                <w:b/>
                <w:i w:val="0"/>
                <w:color w:val="212121"/>
                <w:sz w:val="19"/>
              </w:rPr>
              <w:t>Hypothyroidism / thyroid dysfunction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 midlife women and symptomatically overlaps with perimenopause, altering diagnosis and monitoring.</w:t>
            </w:r>
          </w:p>
        </w:tc>
      </w:tr>
      <w:tr>
        <w:trPr>
          <w:cantSplit/>
        </w:trPr>
        <w:tc>
          <w:tcPr>
            <w:tcW w:type="dxa" w:w="2232"/>
            <w:vAlign w:val="top"/>
          </w:tcPr>
          <w:p>
            <w:pPr>
              <w:spacing w:after="40" w:before="0" w:line="259" w:lineRule="auto"/>
            </w:pPr>
            <w:r>
              <w:rPr>
                <w:rFonts w:ascii="Calibri" w:hAnsi="Calibri"/>
                <w:b/>
                <w:i w:val="0"/>
                <w:color w:val="212121"/>
                <w:sz w:val="19"/>
              </w:rPr>
              <w:t>Abnormal uterine bleeding / iron-deficiency anaemia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Anovulatory, unopposed-oestrogen cycles cause heavy bleeding and anaemia, and mandate exclusion of endometrial pathology.</w:t>
            </w:r>
          </w:p>
        </w:tc>
      </w:tr>
      <w:tr>
        <w:trPr>
          <w:cantSplit/>
        </w:trPr>
        <w:tc>
          <w:tcPr>
            <w:tcW w:type="dxa" w:w="2232"/>
            <w:vAlign w:val="top"/>
          </w:tcPr>
          <w:p>
            <w:pPr>
              <w:spacing w:after="40" w:before="0" w:line="259" w:lineRule="auto"/>
            </w:pPr>
            <w:r>
              <w:rPr>
                <w:rFonts w:ascii="Calibri" w:hAnsi="Calibri"/>
                <w:b/>
                <w:i w:val="0"/>
                <w:color w:val="212121"/>
                <w:sz w:val="19"/>
              </w:rPr>
              <w:t>Migraine / headache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Oestrogen fluctuation can worsen or alter migraine, which also influences the safety of hormone therapy.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perimenopause is a normal, time-limited transition and learn its typical symptoms (irregular periods, hot flushes, sleep and mood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bleeding — very heavy, prolonged, or post-coital bleeding, or any bleeding after 12 months of amenorrhoea — and seek prompt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premature/early menopause (before 45) needs specialist assessment for hormone therapy and bone/heart protection.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midlife health checks: blood pressure, weight/waist, lipids, blood sugar, haemoglobin and bone-health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personal hot-flush triggers (heat, spicy food, caffeine, alcohol, stress) and practical cooling and dress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contraception — pregnancy is still possible until 12 months of amenorrhoea (24 months if under 50).</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midlife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40–55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early/premature menopause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and less-informed women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to ease vasomotor and mood symptoms and improve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resistance/weight-bearing training 2–3 days/week to preserve muscle and bone mass.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balance and flexibility work (yoga, tai-chi) to reduce fall and fracture risk and support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Target gradual reduction of central/abdominal fat to lower cardiometabolic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activity into daily routine (walking, stairs, household work) to counter sedentary time.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perimenopausal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midlife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low bone density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1000–1200 mg/day of calcium from milk, curd, paneer, ragi, sesame and green leafy vegetables.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and maintain vitamin-D sufficiency (sunlight and supplementation as advised) — deficiency is widespread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fibre-rich, largely plant-based diet with pulses, whole grains and millets, which also provide phytoestrogens.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adequate protein to protect muscle and bone during the transition.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alcohol, very spicy foods and hot beverages if they trigger flushes; reduce salt, refined sugar and fried/processed foods for heart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iron-rich foods (and treat deficiency) if periods are heavy.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low calcium/vitamin-D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heavy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cardiometabolic risk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a cool, dark, well-ventilated bedroom to limit night-sweat awakenings.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light, breathable bedding and nightwear and keep water at the bedside.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caffeine, alcohol, heavy meals and screens close to bedtime.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relaxation, paced breathing or mindfulness to fall asleep and manage night-time flushes.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evaluation if insomnia persists, as poor sleep worsens mood, fatigue and cognition.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night sweats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mood symptoms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(cigarettes and bidis) — tobacco brings menopause forward and worsens hot flushes and bone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quit-lines and pharmacotherapy (nicotine replacement)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affects respiratory and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Emphasise that quitting reduces cardiovascular and osteoporosis risk that is already rising in the transition.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early/premature menopause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low bone density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 7 standard drinks/week) or avoid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alcohol as a common trigger of hot flushes and night sweats.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Note that heavy drinking accelerates bone loss and disturbs sleep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as a sleep aid, since it fragments sleep later in the night.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vasomotor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poor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low bone density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openly discuss depression and anxiety — perimenopause is a high-risk window.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evidence-based care: cognitive behavioural therapy and, when indicated, antidepressants.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menopausal hormone therapy where mood symptoms coexist with troublesome vasomotor symptoms, per specialist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(mindfulness, yoga, breathing) and protect sleep, which strongly influences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Mobilise family and social support and reduce stigma around midlife mental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promptly for severe symptoms, functional impairment or any suicidal ideation.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new or past mood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severe vasomotor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under high psychosocial stress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3524647/" TargetMode="External"/><Relationship Id="rId10" Type="http://schemas.openxmlformats.org/officeDocument/2006/relationships/hyperlink" Target="https://pubmed.ncbi.nlm.nih.gov/28139535/" TargetMode="External"/><Relationship Id="rId11" Type="http://schemas.openxmlformats.org/officeDocument/2006/relationships/hyperlink" Target="https://www.who.int/news-room/fact-sheets/detail/menopause" TargetMode="External"/><Relationship Id="rId12" Type="http://schemas.openxmlformats.org/officeDocument/2006/relationships/hyperlink" Target="https://pubmed.ncbi.nlm.nih.gov/35312401/" TargetMode="External"/><Relationship Id="rId13" Type="http://schemas.openxmlformats.org/officeDocument/2006/relationships/hyperlink" Target="https://pubmed.ncbi.nlm.nih.gov/38864018/" TargetMode="External"/><Relationship Id="rId14" Type="http://schemas.openxmlformats.org/officeDocument/2006/relationships/hyperlink" Target="https://pubmed.ncbi.nlm.nih.gov/21961711/" TargetMode="External"/><Relationship Id="rId15" Type="http://schemas.openxmlformats.org/officeDocument/2006/relationships/hyperlink" Target="https://pubmed.ncbi.nlm.nih.gov/30182804/" TargetMode="External"/><Relationship Id="rId16" Type="http://schemas.openxmlformats.org/officeDocument/2006/relationships/hyperlink" Target="https://pubmed.ncbi.nlm.nih.gov/31588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